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color w:val="000000" w:themeColor="text1"/>
          <w:kern w:val="2"/>
          <w:sz w:val="21"/>
          <w:szCs w:val="24"/>
          <w:lang w:val="en-US" w:eastAsia="zh-CN" w:bidi="ar-SA"/>
          <w14:textFill>
            <w14:solidFill>
              <w14:schemeClr w14:val="tx1"/>
            </w14:solidFill>
          </w14:textFill>
        </w:rPr>
        <w:id w:val="147472952"/>
        <w15:color w:val="DBDBDB"/>
        <w:docPartObj>
          <w:docPartGallery w:val="Table of Contents"/>
          <w:docPartUnique/>
        </w:docPartObj>
      </w:sdtPr>
      <w:sdtEndP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sdtEndPr>
      <w:sdtContent>
        <w:p>
          <w:pPr>
            <w:jc w:val="center"/>
            <w:rPr>
              <w:rFonts w:ascii="宋体" w:hAnsi="宋体" w:eastAsia="宋体" w:cstheme="minorBidi"/>
              <w:color w:val="000000" w:themeColor="text1"/>
              <w:kern w:val="2"/>
              <w:sz w:val="21"/>
              <w:szCs w:val="24"/>
              <w:lang w:val="en-US" w:eastAsia="zh-CN" w:bidi="ar-SA"/>
              <w14:textFill>
                <w14:solidFill>
                  <w14:schemeClr w14:val="tx1"/>
                </w14:solidFill>
              </w14:textFill>
            </w:rPr>
          </w:pPr>
        </w:p>
        <w:p>
          <w:pPr>
            <w:jc w:val="center"/>
            <w:rPr>
              <w:rFonts w:ascii="宋体" w:hAnsi="宋体" w:eastAsia="宋体" w:cstheme="minorBidi"/>
              <w:color w:val="000000" w:themeColor="text1"/>
              <w:kern w:val="2"/>
              <w:sz w:val="21"/>
              <w:szCs w:val="24"/>
              <w:lang w:val="en-US" w:eastAsia="zh-CN" w:bidi="ar-SA"/>
              <w14:textFill>
                <w14:solidFill>
                  <w14:schemeClr w14:val="tx1"/>
                </w14:solidFill>
              </w14:textFill>
            </w:rPr>
          </w:pPr>
        </w:p>
        <w:p>
          <w:pPr>
            <w:jc w:val="center"/>
            <w:rPr>
              <w:rFonts w:ascii="宋体" w:hAnsi="宋体" w:eastAsia="宋体" w:cstheme="minorBidi"/>
              <w:color w:val="000000" w:themeColor="text1"/>
              <w:kern w:val="2"/>
              <w:sz w:val="21"/>
              <w:szCs w:val="24"/>
              <w:lang w:val="en-US" w:eastAsia="zh-CN" w:bidi="ar-SA"/>
              <w14:textFill>
                <w14:solidFill>
                  <w14:schemeClr w14:val="tx1"/>
                </w14:solidFill>
              </w14:textFill>
            </w:rPr>
          </w:pPr>
        </w:p>
        <w:p>
          <w:pPr>
            <w:jc w:val="center"/>
            <w:rPr>
              <w:rFonts w:ascii="宋体" w:hAnsi="宋体" w:eastAsia="宋体" w:cstheme="minorBidi"/>
              <w:color w:val="000000" w:themeColor="text1"/>
              <w:kern w:val="2"/>
              <w:sz w:val="21"/>
              <w:szCs w:val="24"/>
              <w:lang w:val="en-US" w:eastAsia="zh-CN" w:bidi="ar-SA"/>
              <w14:textFill>
                <w14:solidFill>
                  <w14:schemeClr w14:val="tx1"/>
                </w14:solidFill>
              </w14:textFill>
            </w:rPr>
          </w:pPr>
        </w:p>
        <w:p>
          <w:pPr>
            <w:jc w:val="center"/>
            <w:rPr>
              <w:rFonts w:ascii="宋体" w:hAnsi="宋体" w:eastAsia="宋体" w:cstheme="minorBidi"/>
              <w:color w:val="000000" w:themeColor="text1"/>
              <w:kern w:val="2"/>
              <w:sz w:val="21"/>
              <w:szCs w:val="24"/>
              <w:lang w:val="en-US" w:eastAsia="zh-CN" w:bidi="ar-SA"/>
              <w14:textFill>
                <w14:solidFill>
                  <w14:schemeClr w14:val="tx1"/>
                </w14:solidFill>
              </w14:textFill>
            </w:rPr>
          </w:pPr>
        </w:p>
        <w:p>
          <w:pPr>
            <w:jc w:val="center"/>
            <w:rPr>
              <w:rFonts w:ascii="宋体" w:hAnsi="宋体" w:eastAsia="宋体" w:cstheme="minorBidi"/>
              <w:color w:val="000000" w:themeColor="text1"/>
              <w:kern w:val="2"/>
              <w:sz w:val="21"/>
              <w:szCs w:val="24"/>
              <w:lang w:val="en-US" w:eastAsia="zh-CN" w:bidi="ar-SA"/>
              <w14:textFill>
                <w14:solidFill>
                  <w14:schemeClr w14:val="tx1"/>
                </w14:solidFill>
              </w14:textFill>
            </w:rPr>
          </w:pPr>
        </w:p>
        <w:p>
          <w:pPr>
            <w:jc w:val="center"/>
            <w:rPr>
              <w:rFonts w:ascii="宋体" w:hAnsi="宋体" w:eastAsia="宋体" w:cstheme="minorBidi"/>
              <w:color w:val="000000" w:themeColor="text1"/>
              <w:kern w:val="2"/>
              <w:sz w:val="21"/>
              <w:szCs w:val="24"/>
              <w:lang w:val="en-US" w:eastAsia="zh-CN" w:bidi="ar-SA"/>
              <w14:textFill>
                <w14:solidFill>
                  <w14:schemeClr w14:val="tx1"/>
                </w14:solidFill>
              </w14:textFill>
            </w:rPr>
          </w:pPr>
        </w:p>
        <w:p>
          <w:pPr>
            <w:jc w:val="both"/>
            <w:rPr>
              <w:rFonts w:ascii="宋体" w:hAnsi="宋体" w:eastAsia="宋体" w:cstheme="minorBidi"/>
              <w:color w:val="000000" w:themeColor="text1"/>
              <w:kern w:val="2"/>
              <w:sz w:val="21"/>
              <w:szCs w:val="24"/>
              <w:lang w:val="en-US" w:eastAsia="zh-CN" w:bidi="ar-SA"/>
              <w14:textFill>
                <w14:solidFill>
                  <w14:schemeClr w14:val="tx1"/>
                </w14:solidFill>
              </w14:textFill>
            </w:rPr>
          </w:pP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r>
            <w:rPr>
              <w:rFonts w:hint="eastAsia" w:ascii="方正小标宋_GBK" w:hAnsi="黑体" w:eastAsia="方正小标宋_GBK" w:cs="Times New Roman"/>
              <w:color w:val="000000" w:themeColor="text1"/>
              <w:sz w:val="56"/>
              <w:szCs w:val="72"/>
              <w14:textFill>
                <w14:solidFill>
                  <w14:schemeClr w14:val="tx1"/>
                </w14:solidFill>
              </w14:textFill>
            </w:rPr>
            <w:fldChar w:fldCharType="begin"/>
          </w:r>
          <w:r>
            <w:rPr>
              <w:rFonts w:hint="eastAsia" w:ascii="方正小标宋_GBK" w:hAnsi="黑体" w:eastAsia="方正小标宋_GBK" w:cs="Times New Roman"/>
              <w:color w:val="000000" w:themeColor="text1"/>
              <w:sz w:val="56"/>
              <w:szCs w:val="72"/>
              <w14:textFill>
                <w14:solidFill>
                  <w14:schemeClr w14:val="tx1"/>
                </w14:solidFill>
              </w14:textFill>
            </w:rPr>
            <w:instrText xml:space="preserve"> HYPERLINK "http://jtj.cngy.gov.cn/News/show/20210903065121878.html" </w:instrText>
          </w:r>
          <w:r>
            <w:rPr>
              <w:rFonts w:hint="eastAsia" w:ascii="方正小标宋_GBK" w:hAnsi="黑体" w:eastAsia="方正小标宋_GBK" w:cs="Times New Roman"/>
              <w:color w:val="000000" w:themeColor="text1"/>
              <w:sz w:val="56"/>
              <w:szCs w:val="72"/>
              <w14:textFill>
                <w14:solidFill>
                  <w14:schemeClr w14:val="tx1"/>
                </w14:solidFill>
              </w14:textFill>
            </w:rPr>
            <w:fldChar w:fldCharType="separate"/>
          </w:r>
          <w:r>
            <w:rPr>
              <w:rFonts w:hint="eastAsia" w:ascii="方正小标宋_GBK" w:hAnsi="黑体" w:eastAsia="方正小标宋_GBK" w:cs="Times New Roman"/>
              <w:color w:val="000000" w:themeColor="text1"/>
              <w:sz w:val="56"/>
              <w:szCs w:val="72"/>
              <w14:textFill>
                <w14:solidFill>
                  <w14:schemeClr w14:val="tx1"/>
                </w14:solidFill>
              </w14:textFill>
            </w:rPr>
            <w:t>广元市交通运输指挥中心</w:t>
          </w: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p>
        <w:p>
          <w:pPr>
            <w:jc w:val="center"/>
            <w:rPr>
              <w:rFonts w:hint="eastAsia" w:ascii="方正小标宋_GBK" w:hAnsi="黑体" w:eastAsia="方正小标宋_GBK" w:cs="Times New Roman"/>
              <w:color w:val="000000" w:themeColor="text1"/>
              <w:sz w:val="56"/>
              <w:szCs w:val="72"/>
              <w:lang w:eastAsia="zh-CN"/>
              <w14:textFill>
                <w14:solidFill>
                  <w14:schemeClr w14:val="tx1"/>
                </w14:solidFill>
              </w14:textFill>
            </w:rPr>
          </w:pP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r>
            <w:rPr>
              <w:rFonts w:hint="eastAsia" w:ascii="方正小标宋_GBK" w:hAnsi="黑体" w:eastAsia="方正小标宋_GBK" w:cs="Times New Roman"/>
              <w:color w:val="000000" w:themeColor="text1"/>
              <w:sz w:val="56"/>
              <w:szCs w:val="72"/>
              <w14:textFill>
                <w14:solidFill>
                  <w14:schemeClr w14:val="tx1"/>
                </w14:solidFill>
              </w14:textFill>
            </w:rPr>
            <w:t>2021年</w:t>
          </w: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r>
            <w:rPr>
              <w:rFonts w:hint="eastAsia" w:ascii="方正小标宋_GBK" w:hAnsi="黑体" w:eastAsia="方正小标宋_GBK" w:cs="Times New Roman"/>
              <w:color w:val="000000" w:themeColor="text1"/>
              <w:sz w:val="56"/>
              <w:szCs w:val="72"/>
              <w14:textFill>
                <w14:solidFill>
                  <w14:schemeClr w14:val="tx1"/>
                </w14:solidFill>
              </w14:textFill>
            </w:rPr>
            <w:t>部门预算编制说明</w:t>
          </w:r>
          <w:r>
            <w:rPr>
              <w:rFonts w:hint="eastAsia" w:ascii="方正小标宋_GBK" w:hAnsi="黑体" w:eastAsia="方正小标宋_GBK" w:cs="Times New Roman"/>
              <w:color w:val="000000" w:themeColor="text1"/>
              <w:sz w:val="56"/>
              <w:szCs w:val="72"/>
              <w14:textFill>
                <w14:solidFill>
                  <w14:schemeClr w14:val="tx1"/>
                </w14:solidFill>
              </w14:textFill>
            </w:rPr>
            <w:fldChar w:fldCharType="end"/>
          </w: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p>
        <w:p>
          <w:pPr>
            <w:jc w:val="center"/>
            <w:rPr>
              <w:rFonts w:hint="eastAsia" w:ascii="方正小标宋_GBK" w:hAnsi="黑体" w:eastAsia="方正小标宋_GBK" w:cs="Times New Roman"/>
              <w:color w:val="000000" w:themeColor="text1"/>
              <w:sz w:val="56"/>
              <w:szCs w:val="72"/>
              <w14:textFill>
                <w14:solidFill>
                  <w14:schemeClr w14:val="tx1"/>
                </w14:solidFill>
              </w14:textFill>
            </w:rPr>
          </w:pP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TOC \o "1-3" \h \u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_Toc25835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一、基本职能及主要工作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_Toc25835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0"/>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_Toc14068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（一）基本职能</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_Toc14068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0"/>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_Toc28398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（二）2021年重点工作</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_Toc28398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_Toc3952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二、部门预算单位构成</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_Toc3952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_Toc7304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三、2021年财政拨款部门预算情况的总体说明</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_Toc7304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_Toc4507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四、一般公共预算当年财政拨款情况说明</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_Toc4507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0"/>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_Toc25791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（一）一般公共预算当年财政拨款规模变化情况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_Toc25791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0"/>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_Toc32233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（二）一般公共预算当年财政拨款结构情况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_Toc32233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10"/>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_Toc15774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（三）一般公共预算当年财政拨款具体使用情况</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_Toc15774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_Toc21522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五、2021年一般公共预算基本支出情况说明</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_Toc21522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_Toc27242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六、财政拨款安排“三公”经费预算情况说明</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_Toc27242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_Toc19189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七、2021年政府性基金预算收支及变化情况的说明</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_Toc19189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_Toc27788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八、国有资本经营预算支出情况说明</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_Toc27788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_Toc29776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九、其他重要事项的情况说明</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_Toc29776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pStyle w:val="9"/>
            <w:tabs>
              <w:tab w:val="right" w:leader="dot" w:pos="8306"/>
            </w:tabs>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\l _Toc13531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十、名词解释</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PAGEREF _Toc13531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sdtContent>
    </w:sdt>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service.weibo.com/share/share.php?url=http://jtj.cngy.gov.cn/News/show/20210903065121878.html&amp;title=%E5%B9%BF%E5%85%83%E5%B8%82%E4%BA%A4%E9%80%9A%E8%BF%90%E8%BE%93%E6%8C%87%E6%8C%A5%E4%B8%AD%E5%BF%832021%E5%B9%B4%E9%83%A8%E9%97%A8%E9%A2%84%E7%AE%97%E7%BC%96%E5%88%B6%E8%AF%B4%E6%98%8E-%E5%B9%BF%E5%85%83%E5%B8%82%E4%BA%A4%E9%80%9A%E8%BF%90%E8%BE%93%E5%B1%80%E4%BF%A1%E6%81%AF%E7%BD%91&amp;pic=http://jtj.cngy.gov.cn/images/wza.jpg&amp;appkey=" \t "http://jtj.cngy.gov.cn/News/show/_blank"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HYPERLINK "http://jtj.cngy.gov.cn/News/show/javascript:;"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p>
    <w:p>
      <w:pPr>
        <w:rPr>
          <w:rFonts w:hint="eastAsia" w:ascii="仿宋_GB2312" w:hAnsi="仿宋_GB2312" w:eastAsia="仿宋_GB2312" w:cs="仿宋_GB2312"/>
          <w:color w:val="000000" w:themeColor="text1"/>
          <w:sz w:val="32"/>
          <w:szCs w:val="32"/>
          <w14:textFill>
            <w14:solidFill>
              <w14:schemeClr w14:val="tx1"/>
            </w14:solidFill>
          </w14:textFill>
        </w:rPr>
      </w:pP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0" w:name="_Toc25835"/>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一、基本职能及主要工作</w:t>
      </w:r>
      <w:bookmarkEnd w:id="0"/>
    </w:p>
    <w:p>
      <w:pPr>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1" w:name="_Toc1406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（一）基本职能</w:t>
      </w:r>
      <w:bookmarkEnd w:id="1"/>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1.负责全市交通运输系统电子信息系统、自动化网络的建设和维护管理工作。</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2.负责交通突发公共事件的检测预警、信息报告、综合研判、辅助决策、指挥调度、应急联动和异地会商。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3.承担涉及水上应急救援培训指导，组织开展水上应急救援演练等相关事务工作。</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4.加强交通战备、防洪抢险和协调指挥监控等。</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5.承担全市交通运输系统新闻宣传、政务微信和微博的信息发布等工作。</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6.负责全市12328交通运输服务监督电话的话务工作以及系统运行维护、推广宣传等工作。</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7.负责市交通运输局交办的其他事项。</w:t>
      </w:r>
    </w:p>
    <w:p>
      <w:pPr>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2" w:name="_Toc2839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（二）2021年重点工作</w:t>
      </w:r>
      <w:bookmarkEnd w:id="2"/>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是“十四五”交通运输发展和交通强市建设开局之年，我们将深入贯彻国家、省、市有关精神，推进高质量发展，以信息化推进应急管理体系和能力现代化，建立科学高效、左右互通、上下联通的融合指挥体系，奋力提升应急管理的科学化、专业化、智能化、精细化水平，为交通强市提供坚强保障。</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3" w:name="_Toc395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二、部门预算单位构成</w:t>
      </w:r>
      <w:bookmarkEnd w:id="3"/>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从预算单位构成看，本单位为广元市交通运输局所属二级预算单位，单位性质为财政补助事业单位，预算编报类型为市交通运输指挥中心单位预算。</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4" w:name="_Toc730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三、2021年财政拨款部门预算情况的总体说明</w:t>
      </w:r>
      <w:bookmarkEnd w:id="4"/>
    </w:p>
    <w:p>
      <w:pPr>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2021年部门预算收支入总数380.60万元，较2020年收支总数286.26万元增长32.96%，增长的主要原因是2021年将上年结转资金及相应安排的支出计入部门预算收支总数。</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部门预算收入数380.60万元，较2020年部门预算收入数286.26万元增长32.96%，变动的主要原因是2021年部门预算将上年结转资金计入收入总数；2021年部门预算支出数380.60万元，较2020年部门预算支出数286.26万元增长32.96%，变动的主要原因是项目支出增加。</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部门基本支出预算241.17万元，其中：人员支出206.97万元，公用支出34.2万元。</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部门专项项目预算139.43万元(明细项目见附表)。</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财政拨款收支总预算380.60万元。收入包括：上年结转86.25万元，一般公共预算当年拨款收入294.35万元；支出包括：交通运输支出245.06万元、社会保障和就业支出18.66万元、卫生健康支出9.33万元、住房保障支出21.30万元。</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5" w:name="_Toc4507"/>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四、一般公共预算当年财政拨款情况说明</w:t>
      </w:r>
      <w:bookmarkEnd w:id="5"/>
    </w:p>
    <w:p>
      <w:pPr>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6" w:name="_Toc25791"/>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（一）一般公共预算当年财政拨款规模变化情况</w:t>
      </w:r>
      <w:bookmarkEnd w:id="6"/>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2021年一般公共预算当年财政拨款294.35万元，比2020年财政预算数286.26万元增加8.09万元，增加2.83%，变动的主要原因是2021年部门人员工资变动导致支出增加。</w:t>
      </w:r>
    </w:p>
    <w:p>
      <w:pPr>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7" w:name="_Toc32233"/>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（二）一般公共预算当年财政拨款结构情况</w:t>
      </w:r>
      <w:bookmarkEnd w:id="7"/>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交通运输支出245.06万元，占83.25%；社会保障和就业支出18.66万元，占6.34%；卫生健康支出9.33万元，占3.17%；住房保障支出21.30万元，占7.24%。</w:t>
      </w:r>
    </w:p>
    <w:p>
      <w:pPr>
        <w:outlineLvl w:val="1"/>
        <w:rPr>
          <w:rFonts w:hint="eastAsia" w:ascii="仿宋_GB2312" w:hAnsi="仿宋_GB2312" w:eastAsia="仿宋_GB2312" w:cs="仿宋_GB2312"/>
          <w:color w:val="000000" w:themeColor="text1"/>
          <w:sz w:val="32"/>
          <w:szCs w:val="32"/>
          <w14:textFill>
            <w14:solidFill>
              <w14:schemeClr w14:val="tx1"/>
            </w14:solidFill>
          </w14:textFill>
        </w:rPr>
      </w:pPr>
      <w:bookmarkStart w:id="8" w:name="_Toc15774"/>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（三）一般公共预算当年财政拨款具体使用情况</w:t>
      </w:r>
      <w:bookmarkEnd w:id="8"/>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交通运输支出（类）公路水路运输（款）交通运输信息化建设（项），预算数为245.06万元，比2020年预算数240.42万元增加4.64万元，变动原因是2021年人员工资调整。主要用于事业单位工资奖金津补贴、其他工资福利支出、办公经费、会议费、培训费、公务接待费、公务用车运行维护费、维修（护）费、其他商品和服务支出、设备购置、社会福利和救助、其他对个人和家庭补助。</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社会保障和就业支出（类）行政事业单位养老支出（款）机关事业单位基本养老保险缴费支出（项）预算数为18.66万元,比2020年预算数18.28万元增加0.38万元，变动的主要原因是2021年人员缴费基数增加。主要用于机关事业单位养老保险缴费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卫生健康支出（类）行政事业单位医疗（款）事业单位医疗（项）预算数为9.33万元,比2020年预算数8.57万元增加0.76万元，变动的主要原因是2021年人员工资调增、医保缴费基数调增。主要用于对事业单位经常性补助的社会保障缴费。</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4．住房保障支出（类）住房改革支出（款）住房公积金（项）预算数为21.30万元,比2020年预算数18.99万元增加2.31万元，变动的主要原因是2021年人员工资调增。主要用主要用于行政事业单位住房公积金缴费。</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9" w:name="_Toc2152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五、2021年一般公共预算基本支出情况说明</w:t>
      </w:r>
      <w:bookmarkEnd w:id="9"/>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2021年一般公共预算基本支出241.17万元，其中： 人员经费206.97万元，主要包括：基本工资、津贴补贴、奖金、绩效工资、机关事业单位养老保险缴费、基本医疗保险缴费、其他社会保险缴费、住房公积金、其他工资福利支出。公用经费34.2万元，主要包括：办公费、水费、物业管理费、差旅费、公务接待费、劳务费、工会经费、福利费、公务用车运行维护费、其他交通费用、其他商品和服务支出。</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0" w:name="_Toc27242"/>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六、财政拨款安排“三公”经费预算情况说明</w:t>
      </w:r>
      <w:bookmarkEnd w:id="10"/>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（一）公务接待费0.3万元，较2020年0.4万元预算减少0.1万元，下降25%，变动的主要原因是继续本着厉行节约原则，严格控制公务接待费。</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公务用车购置及运行维护费6万元，较2020年9万元减少3万元，下降33%，这个原因是厉行节约，公务用车运行维护费预算下降。其中，公务用车购置费0万元，与上年持平，单位核定车编2辆，截至2020年底实际车辆保有量为2辆；公务用车运行维护费6万元，较2020年预算9万元减少3万元，下降33%，变动的主要原因是坚持厉行节约，严格控制公务用车运行维护费。</w:t>
      </w:r>
    </w:p>
    <w:p>
      <w:pPr>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（三）因公出国（境）费用0万元，与上年持平。</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1" w:name="_Toc19189"/>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七、2021年政府性基金预算收支及变化情况的说明</w:t>
      </w:r>
      <w:bookmarkEnd w:id="11"/>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 年政府性基金预算0万元。2021年本单位未在政府性基金预算拨款安排“三公经费”支出。</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2" w:name="_Toc27788"/>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八、国有资本经营预算支出情况说明</w:t>
      </w:r>
      <w:bookmarkEnd w:id="12"/>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 年国有资本经营预算0万元。</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3" w:name="_Toc29776"/>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九、其他重要事项的情况说明</w:t>
      </w:r>
      <w:bookmarkEnd w:id="13"/>
    </w:p>
    <w:p>
      <w:pPr>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（一）机关运行经费。2021年本单位机关运行经费预算0万元，与上年持平，主要原因是本单位属于其他事业单位，不产生机关运行经费。</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（二）国有资产占有使用情况。2021年，单位共有车辆2辆，其中：特种专业技术用车1辆、其他用车1辆。</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（三）部门政府采购预算0万元。</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（四）绩效目标设置情况。2021年广元市交通运输指挥中心实行绩效目标管理的项目4项，涉及预算53.18万元，其中，一般公共预算53.18万元。</w:t>
      </w:r>
    </w:p>
    <w:p>
      <w:pPr>
        <w:outlineLvl w:val="0"/>
        <w:rPr>
          <w:rFonts w:hint="eastAsia" w:ascii="仿宋_GB2312" w:hAnsi="仿宋_GB2312" w:eastAsia="仿宋_GB2312" w:cs="仿宋_GB2312"/>
          <w:color w:val="000000" w:themeColor="text1"/>
          <w:sz w:val="32"/>
          <w:szCs w:val="32"/>
          <w14:textFill>
            <w14:solidFill>
              <w14:schemeClr w14:val="tx1"/>
            </w14:solidFill>
          </w14:textFill>
        </w:rPr>
      </w:pPr>
      <w:bookmarkStart w:id="14" w:name="_Toc13531"/>
      <w:r>
        <w:rPr>
          <w:rFonts w:hint="eastAsia" w:ascii="仿宋_GB2312" w:hAnsi="仿宋_GB2312" w:eastAsia="仿宋_GB2312" w:cs="仿宋_GB2312"/>
          <w:color w:val="000000" w:themeColor="text1"/>
          <w:sz w:val="32"/>
          <w:szCs w:val="32"/>
          <w14:textFill>
            <w14:solidFill>
              <w14:schemeClr w14:val="tx1"/>
            </w14:solidFill>
          </w14:textFill>
        </w:rPr>
        <w:t>十、名词解释</w:t>
      </w:r>
      <w:bookmarkEnd w:id="14"/>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（一）一般公共预算拨款收入：指省级财政当年拨付的资金。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（二）上年结转：指以前年度尚未完成，结转到本年仍按原规定用途继续使用的资金。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交通运输支出</w:t>
      </w:r>
      <w:r>
        <w:rPr>
          <w:rFonts w:hint="eastAsia" w:ascii="仿宋_GB2312" w:hAnsi="仿宋_GB2312" w:eastAsia="仿宋_GB2312" w:cs="仿宋_GB2312"/>
          <w:color w:val="000000" w:themeColor="text1"/>
          <w:sz w:val="32"/>
          <w:szCs w:val="32"/>
          <w14:textFill>
            <w14:solidFill>
              <w14:schemeClr w14:val="tx1"/>
            </w14:solidFill>
          </w14:textFill>
        </w:rPr>
        <w:t>（类）公路水路运输（款）交通运输信息化建设（项）:指交通运输信息化建设支出。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（四）社会保障和就业</w:t>
      </w:r>
      <w:r>
        <w:rPr>
          <w:rFonts w:hint="eastAsia" w:ascii="仿宋_GB2312" w:hAnsi="仿宋_GB2312" w:eastAsia="仿宋_GB2312" w:cs="仿宋_GB2312"/>
          <w:color w:val="000000" w:themeColor="text1"/>
          <w:sz w:val="32"/>
          <w:szCs w:val="32"/>
          <w:lang w:eastAsia="zh-CN"/>
          <w14:textFill>
            <w14:solidFill>
              <w14:schemeClr w14:val="tx1"/>
            </w14:solidFill>
          </w14:textFill>
        </w:rPr>
        <w:t>支出</w:t>
      </w:r>
      <w:r>
        <w:rPr>
          <w:rFonts w:hint="eastAsia" w:ascii="仿宋_GB2312" w:hAnsi="仿宋_GB2312" w:eastAsia="仿宋_GB2312" w:cs="仿宋_GB2312"/>
          <w:color w:val="000000" w:themeColor="text1"/>
          <w:sz w:val="32"/>
          <w:szCs w:val="32"/>
          <w14:textFill>
            <w14:solidFill>
              <w14:schemeClr w14:val="tx1"/>
            </w14:solidFill>
          </w14:textFill>
        </w:rPr>
        <w:t>（类）行政事业单位养老支出（款）机关事业单位基本养老保险缴费支出（项）：指部门实施养老保险制度由单位缴纳的养老保险的支出。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）卫生健康（类）行政事业单位医疗（款）事业单位医疗（项）：指事业单位用于单位应缴纳基本医疗保险支出。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）住房保障（类）住房改革支出（款）住房公积金（项）：指按照《住房公积金管理条例》的规定，由单位及其在职职工缴存的长期住房储金。</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color w:val="000000" w:themeColor="text1"/>
          <w:sz w:val="32"/>
          <w:szCs w:val="32"/>
          <w14:textFill>
            <w14:solidFill>
              <w14:schemeClr w14:val="tx1"/>
            </w14:solidFill>
          </w14:textFill>
        </w:rPr>
        <w:t>）基本支出：指为保证机构正常运转，完成日常工作任务而发生的人员支出和公用支出。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color w:val="000000" w:themeColor="text1"/>
          <w:sz w:val="32"/>
          <w:szCs w:val="32"/>
          <w14:textFill>
            <w14:solidFill>
              <w14:schemeClr w14:val="tx1"/>
            </w14:solidFill>
          </w14:textFill>
        </w:rPr>
        <w:t>项目支出：指在基本支出之外为完成特定行政任务和事业发展目标所发生的支出。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color w:val="000000" w:themeColor="text1"/>
          <w:sz w:val="32"/>
          <w:szCs w:val="32"/>
          <w14:textFill>
            <w14:solidFill>
              <w14:schemeClr w14:val="tx1"/>
            </w14:solidFill>
          </w14:textFill>
        </w:rPr>
        <w:t>）“三公”经费：纳入财政</w:t>
      </w:r>
      <w:bookmarkStart w:id="15" w:name="_GoBack"/>
      <w:bookmarkEnd w:id="15"/>
      <w:r>
        <w:rPr>
          <w:rFonts w:hint="eastAsia" w:ascii="仿宋_GB2312" w:hAnsi="仿宋_GB2312" w:eastAsia="仿宋_GB2312" w:cs="仿宋_GB2312"/>
          <w:color w:val="000000" w:themeColor="text1"/>
          <w:sz w:val="32"/>
          <w:szCs w:val="32"/>
          <w14:textFill>
            <w14:solidFill>
              <w14:schemeClr w14:val="tx1"/>
            </w14:solidFill>
          </w14:textFill>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（十）机关运行经费：为保障行政单位（包括参照公务员法管理的事业单位）运行用于购买货物和服务的各项资金，</w:t>
      </w:r>
      <w:r>
        <w:rPr>
          <w:rFonts w:hint="eastAsia" w:ascii="仿宋_GB2312" w:hAnsi="仿宋_GB2312" w:eastAsia="仿宋_GB2312" w:cs="仿宋_GB2312"/>
          <w:color w:val="000000" w:themeColor="text1"/>
          <w:sz w:val="32"/>
          <w:szCs w:val="32"/>
          <w:lang w:eastAsia="zh-CN"/>
          <w14:textFill>
            <w14:solidFill>
              <w14:schemeClr w14:val="tx1"/>
            </w14:solidFill>
          </w14:textFill>
        </w:rPr>
        <w:t>因本单位属于其他事业单位，无机关运行经费预算</w:t>
      </w:r>
      <w:r>
        <w:rPr>
          <w:rFonts w:hint="eastAsia" w:ascii="仿宋_GB2312" w:hAnsi="仿宋_GB2312" w:eastAsia="仿宋_GB2312" w:cs="仿宋_GB2312"/>
          <w:color w:val="000000" w:themeColor="text1"/>
          <w:sz w:val="32"/>
          <w:szCs w:val="32"/>
          <w14:textFill>
            <w14:solidFill>
              <w14:schemeClr w14:val="tx1"/>
            </w14:solidFill>
          </w14:textFill>
        </w:rPr>
        <w:t>。</w:t>
      </w:r>
    </w:p>
    <w:p>
      <w:pPr>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广元市交通运输指挥中心</w:t>
      </w:r>
    </w:p>
    <w:p>
      <w:pPr>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2021年3月19日</w:t>
      </w:r>
    </w:p>
    <w:p>
      <w:pPr>
        <w:jc w:val="right"/>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康饰艺体W5">
    <w:panose1 w:val="04020509000000000000"/>
    <w:charset w:val="86"/>
    <w:family w:val="auto"/>
    <w:pitch w:val="default"/>
    <w:sig w:usb0="800002BF" w:usb1="184F6CFA" w:usb2="0000001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D25AB"/>
    <w:rsid w:val="046E6F9B"/>
    <w:rsid w:val="31443C01"/>
    <w:rsid w:val="3E4C6078"/>
    <w:rsid w:val="40AA5699"/>
    <w:rsid w:val="586C08F9"/>
    <w:rsid w:val="5ADC7063"/>
    <w:rsid w:val="67FF7EC3"/>
    <w:rsid w:val="7679E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rPr>
      <w:sz w:val="24"/>
    </w:rPr>
  </w:style>
  <w:style w:type="character" w:styleId="8">
    <w:name w:val="Hyperlink"/>
    <w:basedOn w:val="7"/>
    <w:qFormat/>
    <w:uiPriority w:val="0"/>
    <w:rPr>
      <w:color w:val="0000FF"/>
      <w:u w:val="single"/>
    </w:rPr>
  </w:style>
  <w:style w:type="paragraph" w:customStyle="1" w:styleId="9">
    <w:name w:val="WPSOffice手动目录 1"/>
    <w:qFormat/>
    <w:uiPriority w:val="0"/>
    <w:pPr>
      <w:ind w:leftChars="0"/>
    </w:pPr>
    <w:rPr>
      <w:rFonts w:ascii="Times New Roman" w:hAnsi="Times New Roman" w:eastAsia="宋体" w:cs="Times New Roman"/>
      <w:sz w:val="20"/>
      <w:szCs w:val="20"/>
    </w:rPr>
  </w:style>
  <w:style w:type="paragraph" w:customStyle="1" w:styleId="10">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2022-06-07T00:56:00Z</dcterms:created>
  <dc:creator>Administrator</dc:creator>
  <cp:lastModifiedBy>user</cp:lastModifiedBy>
  <dcterms:modified xsi:type="dcterms:W3CDTF">2022-09-02T10:57:58Z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