
<file path=[Content_Types].xml><?xml version="1.0" encoding="utf-8"?>
<Types xmlns="http://schemas.openxmlformats.org/package/2006/content-types">
  <Default Extension="xlsx" ContentType="application/vnd.openxmlformats-officedocument.spreadsheetml.shee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96597"/>
      <w:bookmarkStart w:id="1" w:name="_Toc15378441"/>
      <w:bookmarkStart w:id="2" w:name="_Toc15377425"/>
      <w:bookmarkStart w:id="3" w:name="_Toc15396475"/>
      <w:bookmarkStart w:id="4" w:name="_Toc15377193"/>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2908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7" w:name="_Toc5127"/>
      <w:bookmarkStart w:id="8" w:name="_Toc15377426"/>
      <w:bookmarkStart w:id="9" w:name="_Toc15396476"/>
      <w:bookmarkStart w:id="10" w:name="_Toc15377194"/>
      <w:bookmarkStart w:id="11" w:name="_Toc15396598"/>
      <w:bookmarkStart w:id="12" w:name="_Toc15378442"/>
      <w:r>
        <w:rPr>
          <w:rFonts w:hint="eastAsia" w:ascii="方正小标宋简体" w:hAnsi="方正小标宋简体" w:eastAsia="方正小标宋简体" w:cs="方正小标宋简体"/>
          <w:color w:val="auto"/>
          <w:sz w:val="72"/>
          <w:szCs w:val="72"/>
          <w:highlight w:val="none"/>
          <w:lang w:val="en-US" w:eastAsia="zh-CN"/>
        </w:rPr>
        <w:t>广元市港航发展中心</w:t>
      </w:r>
      <w:bookmarkEnd w:id="5"/>
      <w:bookmarkEnd w:id="7"/>
      <w:bookmarkStart w:id="13" w:name="_Toc15306268"/>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4" w:name="_Toc31619"/>
      <w:r>
        <w:rPr>
          <w:rFonts w:hint="eastAsia" w:ascii="方正小标宋简体" w:hAnsi="方正小标宋简体" w:eastAsia="方正小标宋简体" w:cs="方正小标宋简体"/>
          <w:color w:val="auto"/>
          <w:sz w:val="72"/>
          <w:szCs w:val="72"/>
          <w:highlight w:val="none"/>
        </w:rPr>
        <w:t>部门决算</w:t>
      </w:r>
      <w:bookmarkEnd w:id="8"/>
      <w:bookmarkEnd w:id="9"/>
      <w:bookmarkEnd w:id="10"/>
      <w:bookmarkEnd w:id="11"/>
      <w:bookmarkEnd w:id="12"/>
      <w:bookmarkEnd w:id="13"/>
      <w:bookmarkEnd w:id="14"/>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p>
    <w:p>
      <w:pPr>
        <w:pStyle w:val="11"/>
        <w:tabs>
          <w:tab w:val="right" w:leader="dot" w:pos="8306"/>
          <w:tab w:val="clear" w:pos="8296"/>
        </w:tabs>
      </w:pPr>
      <w:r>
        <w:fldChar w:fldCharType="begin"/>
      </w:r>
      <w:r>
        <w:instrText xml:space="preserve">TOC \o "1-2" \h</w:instrText>
      </w:r>
      <w:r>
        <w:fldChar w:fldCharType="separate"/>
      </w:r>
    </w:p>
    <w:p/>
    <w:p>
      <w:pPr>
        <w:pStyle w:val="10"/>
        <w:tabs>
          <w:tab w:val="right" w:leader="dot" w:pos="8306"/>
          <w:tab w:val="clear" w:pos="8296"/>
        </w:tabs>
        <w:rPr>
          <w:rFonts w:hint="eastAsia" w:ascii="黑体" w:hAnsi="黑体" w:eastAsia="黑体"/>
          <w:bCs/>
          <w:highlight w:val="none"/>
          <w:lang w:val="en-US" w:eastAsia="zh-CN"/>
        </w:rPr>
      </w:pPr>
      <w:r>
        <w:fldChar w:fldCharType="begin"/>
      </w:r>
      <w:r>
        <w:instrText xml:space="preserve"> HYPERLINK \l _Toc26126 </w:instrText>
      </w:r>
      <w:r>
        <w:fldChar w:fldCharType="separate"/>
      </w:r>
    </w:p>
    <w:sdt>
      <w:sdtPr>
        <w:rPr>
          <w:rFonts w:ascii="宋体" w:hAnsi="宋体" w:eastAsia="宋体" w:cs="Times New Roman"/>
          <w:kern w:val="2"/>
          <w:sz w:val="21"/>
          <w:szCs w:val="24"/>
          <w:lang w:val="en-US" w:eastAsia="zh-CN" w:bidi="ar-SA"/>
        </w:rPr>
        <w:id w:val="147460781"/>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b/>
            </w:rPr>
          </w:pPr>
          <w:r>
            <w:fldChar w:fldCharType="begin"/>
          </w:r>
          <w:r>
            <w:instrText xml:space="preserve">TOC \o "1-2" \h \u </w:instrText>
          </w:r>
          <w:r>
            <w:fldChar w:fldCharType="separate"/>
          </w:r>
        </w:p>
        <w:p>
          <w:pPr>
            <w:pStyle w:val="31"/>
            <w:tabs>
              <w:tab w:val="right" w:leader="dot" w:pos="8306"/>
            </w:tabs>
            <w:rPr>
              <w:b/>
            </w:rPr>
          </w:pPr>
        </w:p>
        <w:p>
          <w:pPr>
            <w:pStyle w:val="31"/>
            <w:tabs>
              <w:tab w:val="right" w:leader="dot" w:pos="8306"/>
            </w:tabs>
            <w:rPr>
              <w:b/>
            </w:rPr>
          </w:pPr>
          <w:r>
            <w:rPr>
              <w:b/>
            </w:rPr>
            <w:fldChar w:fldCharType="begin"/>
          </w:r>
          <w:r>
            <w:rPr>
              <w:b/>
            </w:rPr>
            <w:instrText xml:space="preserve"> HYPERLINK \l _Toc13911 </w:instrText>
          </w:r>
          <w:r>
            <w:rPr>
              <w:b/>
            </w:rPr>
            <w:fldChar w:fldCharType="separate"/>
          </w:r>
          <w:r>
            <w:rPr>
              <w:rFonts w:hint="eastAsia" w:ascii="黑体" w:hAnsi="黑体" w:eastAsia="黑体"/>
              <w:b/>
              <w:highlight w:val="none"/>
            </w:rPr>
            <w:t xml:space="preserve">第一部分 </w:t>
          </w:r>
          <w:r>
            <w:rPr>
              <w:rFonts w:hint="eastAsia" w:ascii="黑体" w:hAnsi="黑体" w:eastAsia="黑体"/>
              <w:b/>
              <w:bCs w:val="0"/>
              <w:highlight w:val="none"/>
            </w:rPr>
            <w:t>部门概况</w:t>
          </w:r>
          <w:r>
            <w:rPr>
              <w:b/>
            </w:rPr>
            <w:tab/>
          </w:r>
          <w:r>
            <w:rPr>
              <w:b/>
            </w:rPr>
            <w:fldChar w:fldCharType="begin"/>
          </w:r>
          <w:r>
            <w:rPr>
              <w:b/>
            </w:rPr>
            <w:instrText xml:space="preserve"> PAGEREF _Toc13911 \h </w:instrText>
          </w:r>
          <w:r>
            <w:rPr>
              <w:b/>
            </w:rPr>
            <w:fldChar w:fldCharType="separate"/>
          </w:r>
          <w:r>
            <w:rPr>
              <w:b/>
            </w:rPr>
            <w:t>4</w:t>
          </w:r>
          <w:r>
            <w:rPr>
              <w:b/>
            </w:rPr>
            <w:fldChar w:fldCharType="end"/>
          </w:r>
          <w:r>
            <w:rPr>
              <w:b/>
            </w:rPr>
            <w:fldChar w:fldCharType="end"/>
          </w:r>
        </w:p>
        <w:p>
          <w:pPr>
            <w:pStyle w:val="32"/>
            <w:tabs>
              <w:tab w:val="right" w:leader="dot" w:pos="8306"/>
            </w:tabs>
          </w:pPr>
          <w:r>
            <w:fldChar w:fldCharType="begin"/>
          </w:r>
          <w:r>
            <w:instrText xml:space="preserve"> HYPERLINK \l _Toc22968 </w:instrText>
          </w:r>
          <w:r>
            <w:fldChar w:fldCharType="separate"/>
          </w:r>
          <w:r>
            <w:rPr>
              <w:rFonts w:hint="eastAsia" w:ascii="黑体" w:hAnsi="黑体" w:eastAsia="黑体"/>
              <w:highlight w:val="none"/>
            </w:rPr>
            <w:t>一、基</w:t>
          </w:r>
          <w:r>
            <w:rPr>
              <w:rFonts w:hint="eastAsia" w:ascii="黑体" w:hAnsi="黑体" w:eastAsia="黑体"/>
              <w:bCs w:val="0"/>
              <w:highlight w:val="none"/>
            </w:rPr>
            <w:t>本职能及主要工作</w:t>
          </w:r>
          <w:r>
            <w:tab/>
          </w:r>
          <w:r>
            <w:fldChar w:fldCharType="begin"/>
          </w:r>
          <w:r>
            <w:instrText xml:space="preserve"> PAGEREF _Toc22968 \h </w:instrText>
          </w:r>
          <w:r>
            <w:fldChar w:fldCharType="separate"/>
          </w:r>
          <w:r>
            <w:t>4</w:t>
          </w:r>
          <w:r>
            <w:fldChar w:fldCharType="end"/>
          </w:r>
          <w:r>
            <w:fldChar w:fldCharType="end"/>
          </w:r>
        </w:p>
        <w:p>
          <w:pPr>
            <w:pStyle w:val="32"/>
            <w:tabs>
              <w:tab w:val="right" w:leader="dot" w:pos="8306"/>
            </w:tabs>
          </w:pPr>
          <w:r>
            <w:fldChar w:fldCharType="begin"/>
          </w:r>
          <w:r>
            <w:instrText xml:space="preserve"> HYPERLINK \l _Toc15595 </w:instrText>
          </w:r>
          <w: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_Toc15595 \h </w:instrText>
          </w:r>
          <w:r>
            <w:fldChar w:fldCharType="separate"/>
          </w:r>
          <w:r>
            <w:t>11</w:t>
          </w:r>
          <w:r>
            <w:fldChar w:fldCharType="end"/>
          </w:r>
          <w:r>
            <w:fldChar w:fldCharType="end"/>
          </w:r>
        </w:p>
        <w:p>
          <w:pPr>
            <w:pStyle w:val="31"/>
            <w:tabs>
              <w:tab w:val="right" w:leader="dot" w:pos="8306"/>
            </w:tabs>
            <w:rPr>
              <w:b/>
            </w:rPr>
          </w:pPr>
          <w:r>
            <w:rPr>
              <w:b/>
            </w:rPr>
            <w:fldChar w:fldCharType="begin"/>
          </w:r>
          <w:r>
            <w:rPr>
              <w:b/>
            </w:rPr>
            <w:instrText xml:space="preserve"> HYPERLINK \l _Toc4219 </w:instrText>
          </w:r>
          <w:r>
            <w:rPr>
              <w:b/>
            </w:rPr>
            <w:fldChar w:fldCharType="separate"/>
          </w:r>
          <w:r>
            <w:rPr>
              <w:rFonts w:hint="eastAsia" w:ascii="黑体" w:hAnsi="黑体" w:eastAsia="黑体"/>
              <w:b/>
              <w:bCs/>
              <w:highlight w:val="none"/>
            </w:rPr>
            <w:t xml:space="preserve">第二部分 </w:t>
          </w:r>
          <w:r>
            <w:rPr>
              <w:rFonts w:hint="eastAsia" w:ascii="黑体" w:hAnsi="黑体" w:eastAsia="黑体"/>
              <w:b/>
              <w:bCs/>
              <w:highlight w:val="none"/>
              <w:lang w:val="en-US" w:eastAsia="zh-CN"/>
            </w:rPr>
            <w:t>2021年度</w:t>
          </w:r>
          <w:r>
            <w:rPr>
              <w:rFonts w:hint="eastAsia" w:ascii="黑体" w:hAnsi="黑体" w:eastAsia="黑体"/>
              <w:b/>
              <w:bCs/>
              <w:highlight w:val="none"/>
            </w:rPr>
            <w:t>部门决算情况说明</w:t>
          </w:r>
          <w:r>
            <w:rPr>
              <w:b/>
            </w:rPr>
            <w:tab/>
          </w:r>
          <w:r>
            <w:rPr>
              <w:b/>
            </w:rPr>
            <w:fldChar w:fldCharType="begin"/>
          </w:r>
          <w:r>
            <w:rPr>
              <w:b/>
            </w:rPr>
            <w:instrText xml:space="preserve"> PAGEREF _Toc4219 \h </w:instrText>
          </w:r>
          <w:r>
            <w:rPr>
              <w:b/>
            </w:rPr>
            <w:fldChar w:fldCharType="separate"/>
          </w:r>
          <w:r>
            <w:rPr>
              <w:b/>
            </w:rPr>
            <w:t>12</w:t>
          </w:r>
          <w:r>
            <w:rPr>
              <w:b/>
            </w:rPr>
            <w:fldChar w:fldCharType="end"/>
          </w:r>
          <w:r>
            <w:rPr>
              <w:b/>
            </w:rPr>
            <w:fldChar w:fldCharType="end"/>
          </w:r>
        </w:p>
        <w:p>
          <w:pPr>
            <w:pStyle w:val="32"/>
            <w:tabs>
              <w:tab w:val="right" w:leader="dot" w:pos="8306"/>
            </w:tabs>
          </w:pPr>
          <w:r>
            <w:fldChar w:fldCharType="begin"/>
          </w:r>
          <w:r>
            <w:instrText xml:space="preserve"> HYPERLINK \l _Toc11967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_Toc11967 \h </w:instrText>
          </w:r>
          <w:r>
            <w:fldChar w:fldCharType="separate"/>
          </w:r>
          <w:r>
            <w:t>12</w:t>
          </w:r>
          <w:r>
            <w:fldChar w:fldCharType="end"/>
          </w:r>
          <w:r>
            <w:fldChar w:fldCharType="end"/>
          </w:r>
        </w:p>
        <w:p>
          <w:pPr>
            <w:pStyle w:val="32"/>
            <w:tabs>
              <w:tab w:val="right" w:leader="dot" w:pos="8306"/>
            </w:tabs>
          </w:pPr>
          <w:r>
            <w:fldChar w:fldCharType="begin"/>
          </w:r>
          <w:r>
            <w:instrText xml:space="preserve"> HYPERLINK \l _Toc6087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_Toc6087 \h </w:instrText>
          </w:r>
          <w:r>
            <w:fldChar w:fldCharType="separate"/>
          </w:r>
          <w:r>
            <w:t>12</w:t>
          </w:r>
          <w:r>
            <w:fldChar w:fldCharType="end"/>
          </w:r>
          <w:r>
            <w:fldChar w:fldCharType="end"/>
          </w:r>
        </w:p>
        <w:p>
          <w:pPr>
            <w:pStyle w:val="32"/>
            <w:tabs>
              <w:tab w:val="right" w:leader="dot" w:pos="8306"/>
            </w:tabs>
          </w:pPr>
          <w:r>
            <w:fldChar w:fldCharType="begin"/>
          </w:r>
          <w:r>
            <w:instrText xml:space="preserve"> HYPERLINK \l _Toc21127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_Toc21127 \h </w:instrText>
          </w:r>
          <w:r>
            <w:fldChar w:fldCharType="separate"/>
          </w:r>
          <w:r>
            <w:t>13</w:t>
          </w:r>
          <w:r>
            <w:fldChar w:fldCharType="end"/>
          </w:r>
          <w:r>
            <w:fldChar w:fldCharType="end"/>
          </w:r>
        </w:p>
        <w:p>
          <w:pPr>
            <w:pStyle w:val="32"/>
            <w:tabs>
              <w:tab w:val="right" w:leader="dot" w:pos="8306"/>
            </w:tabs>
          </w:pPr>
          <w:r>
            <w:fldChar w:fldCharType="begin"/>
          </w:r>
          <w:r>
            <w:instrText xml:space="preserve"> HYPERLINK \l _Toc24754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_Toc24754 \h </w:instrText>
          </w:r>
          <w:r>
            <w:fldChar w:fldCharType="separate"/>
          </w:r>
          <w:r>
            <w:t>14</w:t>
          </w:r>
          <w:r>
            <w:fldChar w:fldCharType="end"/>
          </w:r>
          <w:r>
            <w:fldChar w:fldCharType="end"/>
          </w:r>
        </w:p>
        <w:p>
          <w:pPr>
            <w:pStyle w:val="32"/>
            <w:tabs>
              <w:tab w:val="right" w:leader="dot" w:pos="8306"/>
            </w:tabs>
          </w:pPr>
          <w:r>
            <w:fldChar w:fldCharType="begin"/>
          </w:r>
          <w:r>
            <w:instrText xml:space="preserve"> HYPERLINK \l _Toc14279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_Toc14279 \h </w:instrText>
          </w:r>
          <w:r>
            <w:fldChar w:fldCharType="separate"/>
          </w:r>
          <w:r>
            <w:t>15</w:t>
          </w:r>
          <w:r>
            <w:fldChar w:fldCharType="end"/>
          </w:r>
          <w:r>
            <w:fldChar w:fldCharType="end"/>
          </w:r>
        </w:p>
        <w:p>
          <w:pPr>
            <w:pStyle w:val="32"/>
            <w:tabs>
              <w:tab w:val="right" w:leader="dot" w:pos="8306"/>
            </w:tabs>
          </w:pPr>
          <w:r>
            <w:fldChar w:fldCharType="begin"/>
          </w:r>
          <w:r>
            <w:instrText xml:space="preserve"> HYPERLINK \l _Toc7216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_Toc7216 \h </w:instrText>
          </w:r>
          <w:r>
            <w:fldChar w:fldCharType="separate"/>
          </w:r>
          <w:r>
            <w:t>19</w:t>
          </w:r>
          <w:r>
            <w:fldChar w:fldCharType="end"/>
          </w:r>
          <w:r>
            <w:fldChar w:fldCharType="end"/>
          </w:r>
        </w:p>
        <w:p>
          <w:pPr>
            <w:pStyle w:val="32"/>
            <w:tabs>
              <w:tab w:val="right" w:leader="dot" w:pos="8306"/>
            </w:tabs>
          </w:pPr>
          <w:r>
            <w:fldChar w:fldCharType="begin"/>
          </w:r>
          <w:r>
            <w:instrText xml:space="preserve"> HYPERLINK \l _Toc9861 </w:instrText>
          </w:r>
          <w:r>
            <w:fldChar w:fldCharType="separate"/>
          </w:r>
          <w:r>
            <w:rPr>
              <w:rFonts w:hint="eastAsia" w:ascii="黑体" w:eastAsia="黑体"/>
              <w:szCs w:val="32"/>
              <w:highlight w:val="none"/>
            </w:rPr>
            <w:t>七、</w:t>
          </w:r>
          <w:r>
            <w:rPr>
              <w:rFonts w:hint="eastAsia" w:ascii="黑体" w:hAnsi="黑体" w:eastAsia="黑体"/>
              <w:highlight w:val="none"/>
            </w:rPr>
            <w:t>“三公”经费财政拨款支出决算情况说明</w:t>
          </w:r>
          <w:r>
            <w:tab/>
          </w:r>
          <w:r>
            <w:fldChar w:fldCharType="begin"/>
          </w:r>
          <w:r>
            <w:instrText xml:space="preserve"> PAGEREF _Toc9861 \h </w:instrText>
          </w:r>
          <w:r>
            <w:fldChar w:fldCharType="separate"/>
          </w:r>
          <w:r>
            <w:t>19</w:t>
          </w:r>
          <w:r>
            <w:fldChar w:fldCharType="end"/>
          </w:r>
          <w:r>
            <w:fldChar w:fldCharType="end"/>
          </w:r>
        </w:p>
        <w:p>
          <w:pPr>
            <w:pStyle w:val="32"/>
            <w:tabs>
              <w:tab w:val="right" w:leader="dot" w:pos="8306"/>
            </w:tabs>
          </w:pPr>
          <w:r>
            <w:fldChar w:fldCharType="begin"/>
          </w:r>
          <w:r>
            <w:instrText xml:space="preserve"> HYPERLINK \l _Toc29290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_Toc29290 \h </w:instrText>
          </w:r>
          <w:r>
            <w:fldChar w:fldCharType="separate"/>
          </w:r>
          <w:r>
            <w:t>22</w:t>
          </w:r>
          <w:r>
            <w:fldChar w:fldCharType="end"/>
          </w:r>
          <w:r>
            <w:fldChar w:fldCharType="end"/>
          </w:r>
        </w:p>
        <w:p>
          <w:pPr>
            <w:pStyle w:val="32"/>
            <w:tabs>
              <w:tab w:val="right" w:leader="dot" w:pos="8306"/>
            </w:tabs>
          </w:pPr>
          <w:r>
            <w:fldChar w:fldCharType="begin"/>
          </w:r>
          <w:r>
            <w:instrText xml:space="preserve"> HYPERLINK \l _Toc6016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_Toc6016 \h </w:instrText>
          </w:r>
          <w:r>
            <w:fldChar w:fldCharType="separate"/>
          </w:r>
          <w:r>
            <w:t>22</w:t>
          </w:r>
          <w:r>
            <w:fldChar w:fldCharType="end"/>
          </w:r>
          <w:r>
            <w:fldChar w:fldCharType="end"/>
          </w:r>
        </w:p>
        <w:p>
          <w:pPr>
            <w:pStyle w:val="32"/>
            <w:tabs>
              <w:tab w:val="right" w:leader="dot" w:pos="8306"/>
            </w:tabs>
          </w:pPr>
          <w:r>
            <w:fldChar w:fldCharType="begin"/>
          </w:r>
          <w:r>
            <w:instrText xml:space="preserve"> HYPERLINK \l _Toc29087 </w:instrText>
          </w:r>
          <w:r>
            <w:fldChar w:fldCharType="separate"/>
          </w:r>
          <w:r>
            <w:rPr>
              <w:rFonts w:hint="eastAsia" w:ascii="黑体" w:hAnsi="黑体" w:eastAsia="黑体"/>
            </w:rPr>
            <w:t xml:space="preserve">十、 </w:t>
          </w:r>
          <w:r>
            <w:rPr>
              <w:rFonts w:hint="eastAsia" w:ascii="黑体" w:hAnsi="黑体" w:eastAsia="黑体"/>
              <w:highlight w:val="none"/>
              <w:lang w:val="en-US" w:eastAsia="zh-CN"/>
            </w:rPr>
            <w:t>预算绩效管理情况</w:t>
          </w:r>
          <w:r>
            <w:tab/>
          </w:r>
          <w:r>
            <w:fldChar w:fldCharType="begin"/>
          </w:r>
          <w:r>
            <w:instrText xml:space="preserve"> PAGEREF _Toc29087 \h </w:instrText>
          </w:r>
          <w:r>
            <w:fldChar w:fldCharType="separate"/>
          </w:r>
          <w:r>
            <w:t>22</w:t>
          </w:r>
          <w:r>
            <w:fldChar w:fldCharType="end"/>
          </w:r>
          <w:r>
            <w:fldChar w:fldCharType="end"/>
          </w:r>
        </w:p>
        <w:p>
          <w:pPr>
            <w:pStyle w:val="32"/>
            <w:tabs>
              <w:tab w:val="right" w:leader="dot" w:pos="8306"/>
            </w:tabs>
          </w:pPr>
          <w:r>
            <w:fldChar w:fldCharType="begin"/>
          </w:r>
          <w:r>
            <w:instrText xml:space="preserve"> HYPERLINK \l _Toc29574 </w:instrText>
          </w:r>
          <w:r>
            <w:fldChar w:fldCharType="separate"/>
          </w:r>
          <w:r>
            <w:rPr>
              <w:rFonts w:hint="eastAsia" w:ascii="黑体" w:hAnsi="黑体" w:eastAsia="黑体"/>
            </w:rPr>
            <w:t xml:space="preserve">十一、 </w:t>
          </w:r>
          <w:r>
            <w:rPr>
              <w:rFonts w:hint="eastAsia" w:ascii="黑体" w:hAnsi="黑体" w:eastAsia="黑体"/>
              <w:highlight w:val="none"/>
            </w:rPr>
            <w:t>其他重要事项的情况说明</w:t>
          </w:r>
          <w:r>
            <w:tab/>
          </w:r>
          <w:r>
            <w:fldChar w:fldCharType="begin"/>
          </w:r>
          <w:r>
            <w:instrText xml:space="preserve"> PAGEREF _Toc29574 \h </w:instrText>
          </w:r>
          <w:r>
            <w:fldChar w:fldCharType="separate"/>
          </w:r>
          <w:r>
            <w:t>22</w:t>
          </w:r>
          <w:r>
            <w:fldChar w:fldCharType="end"/>
          </w:r>
          <w:r>
            <w:fldChar w:fldCharType="end"/>
          </w:r>
        </w:p>
        <w:p>
          <w:pPr>
            <w:pStyle w:val="31"/>
            <w:tabs>
              <w:tab w:val="right" w:leader="dot" w:pos="8306"/>
            </w:tabs>
            <w:rPr>
              <w:b/>
            </w:rPr>
          </w:pPr>
          <w:r>
            <w:rPr>
              <w:b/>
            </w:rPr>
            <w:fldChar w:fldCharType="begin"/>
          </w:r>
          <w:r>
            <w:rPr>
              <w:b/>
            </w:rPr>
            <w:instrText xml:space="preserve"> HYPERLINK \l _Toc9537 </w:instrText>
          </w:r>
          <w:r>
            <w:rPr>
              <w:b/>
            </w:rPr>
            <w:fldChar w:fldCharType="separate"/>
          </w:r>
          <w:r>
            <w:rPr>
              <w:rFonts w:hint="eastAsia" w:ascii="黑体" w:hAnsi="黑体" w:eastAsia="黑体"/>
              <w:b/>
            </w:rPr>
            <w:t xml:space="preserve">第三部分 </w:t>
          </w:r>
          <w:r>
            <w:rPr>
              <w:rFonts w:hint="eastAsia" w:ascii="黑体" w:hAnsi="黑体" w:eastAsia="黑体"/>
              <w:b/>
              <w:szCs w:val="44"/>
              <w:highlight w:val="none"/>
            </w:rPr>
            <w:t>名</w:t>
          </w:r>
          <w:r>
            <w:rPr>
              <w:rFonts w:hint="eastAsia" w:ascii="黑体" w:hAnsi="黑体" w:eastAsia="黑体"/>
              <w:b/>
              <w:highlight w:val="none"/>
            </w:rPr>
            <w:t>词解释</w:t>
          </w:r>
          <w:r>
            <w:rPr>
              <w:b/>
            </w:rPr>
            <w:tab/>
          </w:r>
          <w:r>
            <w:rPr>
              <w:b/>
            </w:rPr>
            <w:fldChar w:fldCharType="begin"/>
          </w:r>
          <w:r>
            <w:rPr>
              <w:b/>
            </w:rPr>
            <w:instrText xml:space="preserve"> PAGEREF _Toc9537 \h </w:instrText>
          </w:r>
          <w:r>
            <w:rPr>
              <w:b/>
            </w:rPr>
            <w:fldChar w:fldCharType="separate"/>
          </w:r>
          <w:r>
            <w:rPr>
              <w:b/>
            </w:rPr>
            <w:t>24</w:t>
          </w:r>
          <w:r>
            <w:rPr>
              <w:b/>
            </w:rPr>
            <w:fldChar w:fldCharType="end"/>
          </w:r>
          <w:r>
            <w:rPr>
              <w:b/>
            </w:rPr>
            <w:fldChar w:fldCharType="end"/>
          </w:r>
        </w:p>
        <w:p>
          <w:pPr>
            <w:pStyle w:val="31"/>
            <w:tabs>
              <w:tab w:val="right" w:leader="dot" w:pos="8306"/>
            </w:tabs>
            <w:rPr>
              <w:b/>
            </w:rPr>
          </w:pPr>
        </w:p>
        <w:p>
          <w:pPr>
            <w:pStyle w:val="31"/>
            <w:tabs>
              <w:tab w:val="right" w:leader="dot" w:pos="8306"/>
            </w:tabs>
            <w:rPr>
              <w:b/>
            </w:rPr>
          </w:pPr>
          <w:r>
            <w:rPr>
              <w:b/>
            </w:rPr>
            <w:fldChar w:fldCharType="begin"/>
          </w:r>
          <w:r>
            <w:rPr>
              <w:b/>
            </w:rPr>
            <w:instrText xml:space="preserve"> HYPERLINK \l _Toc23317 </w:instrText>
          </w:r>
          <w:r>
            <w:rPr>
              <w:b/>
            </w:rPr>
            <w:fldChar w:fldCharType="separate"/>
          </w:r>
          <w:r>
            <w:rPr>
              <w:rFonts w:hint="eastAsia" w:ascii="黑体" w:hAnsi="黑体" w:eastAsia="黑体"/>
              <w:b/>
              <w:szCs w:val="44"/>
              <w:highlight w:val="none"/>
            </w:rPr>
            <w:t>第</w:t>
          </w:r>
          <w:r>
            <w:rPr>
              <w:rFonts w:hint="eastAsia" w:ascii="黑体" w:hAnsi="黑体" w:eastAsia="黑体"/>
              <w:b/>
              <w:highlight w:val="none"/>
            </w:rPr>
            <w:t>四部分 附件</w:t>
          </w:r>
          <w:r>
            <w:rPr>
              <w:b/>
            </w:rPr>
            <w:tab/>
          </w:r>
          <w:r>
            <w:rPr>
              <w:b/>
            </w:rPr>
            <w:fldChar w:fldCharType="begin"/>
          </w:r>
          <w:r>
            <w:rPr>
              <w:b/>
            </w:rPr>
            <w:instrText xml:space="preserve"> PAGEREF _Toc23317 \h </w:instrText>
          </w:r>
          <w:r>
            <w:rPr>
              <w:b/>
            </w:rPr>
            <w:fldChar w:fldCharType="separate"/>
          </w:r>
          <w:r>
            <w:rPr>
              <w:b/>
            </w:rPr>
            <w:t>27</w:t>
          </w:r>
          <w:r>
            <w:rPr>
              <w:b/>
            </w:rPr>
            <w:fldChar w:fldCharType="end"/>
          </w:r>
          <w:r>
            <w:rPr>
              <w:b/>
            </w:rPr>
            <w:fldChar w:fldCharType="end"/>
          </w:r>
        </w:p>
        <w:p>
          <w:pPr>
            <w:pStyle w:val="32"/>
            <w:tabs>
              <w:tab w:val="right" w:leader="dot" w:pos="8306"/>
            </w:tabs>
          </w:pPr>
        </w:p>
        <w:p>
          <w:pPr>
            <w:pStyle w:val="31"/>
            <w:tabs>
              <w:tab w:val="right" w:leader="dot" w:pos="8306"/>
            </w:tabs>
            <w:rPr>
              <w:b/>
            </w:rPr>
          </w:pPr>
          <w:r>
            <w:rPr>
              <w:b/>
            </w:rPr>
            <w:fldChar w:fldCharType="begin"/>
          </w:r>
          <w:r>
            <w:rPr>
              <w:b/>
            </w:rPr>
            <w:instrText xml:space="preserve"> HYPERLINK \l _Toc2213 </w:instrText>
          </w:r>
          <w:r>
            <w:rPr>
              <w:b/>
            </w:rPr>
            <w:fldChar w:fldCharType="separate"/>
          </w:r>
          <w:r>
            <w:rPr>
              <w:rFonts w:hint="eastAsia" w:ascii="黑体" w:hAnsi="黑体" w:eastAsia="黑体"/>
              <w:b/>
              <w:szCs w:val="44"/>
              <w:highlight w:val="none"/>
            </w:rPr>
            <w:t>第</w:t>
          </w:r>
          <w:r>
            <w:rPr>
              <w:rFonts w:hint="eastAsia" w:ascii="黑体" w:hAnsi="黑体" w:eastAsia="黑体"/>
              <w:b/>
              <w:highlight w:val="none"/>
            </w:rPr>
            <w:t>五部分 附表</w:t>
          </w:r>
          <w:r>
            <w:rPr>
              <w:b/>
            </w:rPr>
            <w:tab/>
          </w:r>
          <w:r>
            <w:rPr>
              <w:b/>
            </w:rPr>
            <w:fldChar w:fldCharType="begin"/>
          </w:r>
          <w:r>
            <w:rPr>
              <w:b/>
            </w:rPr>
            <w:instrText xml:space="preserve"> PAGEREF _Toc2213 \h </w:instrText>
          </w:r>
          <w:r>
            <w:rPr>
              <w:b/>
            </w:rPr>
            <w:fldChar w:fldCharType="separate"/>
          </w:r>
          <w:r>
            <w:rPr>
              <w:b/>
            </w:rPr>
            <w:t>51</w:t>
          </w:r>
          <w:r>
            <w:rPr>
              <w:b/>
            </w:rPr>
            <w:fldChar w:fldCharType="end"/>
          </w:r>
          <w:r>
            <w:rPr>
              <w:b/>
            </w:rPr>
            <w:fldChar w:fldCharType="end"/>
          </w:r>
        </w:p>
        <w:p>
          <w:pPr>
            <w:pStyle w:val="32"/>
            <w:tabs>
              <w:tab w:val="right" w:leader="dot" w:pos="8306"/>
            </w:tabs>
          </w:pPr>
          <w:r>
            <w:fldChar w:fldCharType="begin"/>
          </w:r>
          <w:r>
            <w:instrText xml:space="preserve"> HYPERLINK \l _Toc16960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_Toc16960 \h </w:instrText>
          </w:r>
          <w:r>
            <w:fldChar w:fldCharType="separate"/>
          </w:r>
          <w:r>
            <w:t>52</w:t>
          </w:r>
          <w:r>
            <w:fldChar w:fldCharType="end"/>
          </w:r>
          <w:r>
            <w:fldChar w:fldCharType="end"/>
          </w:r>
        </w:p>
        <w:p>
          <w:pPr>
            <w:pStyle w:val="32"/>
            <w:tabs>
              <w:tab w:val="right" w:leader="dot" w:pos="8306"/>
            </w:tabs>
          </w:pPr>
          <w:r>
            <w:fldChar w:fldCharType="begin"/>
          </w:r>
          <w:r>
            <w:instrText xml:space="preserve"> HYPERLINK \l _Toc18204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_Toc18204 \h </w:instrText>
          </w:r>
          <w:r>
            <w:fldChar w:fldCharType="separate"/>
          </w:r>
          <w:r>
            <w:t>52</w:t>
          </w:r>
          <w:r>
            <w:fldChar w:fldCharType="end"/>
          </w:r>
          <w:r>
            <w:fldChar w:fldCharType="end"/>
          </w:r>
        </w:p>
        <w:p>
          <w:pPr>
            <w:pStyle w:val="32"/>
            <w:tabs>
              <w:tab w:val="right" w:leader="dot" w:pos="8306"/>
            </w:tabs>
          </w:pPr>
          <w:r>
            <w:fldChar w:fldCharType="begin"/>
          </w:r>
          <w:r>
            <w:instrText xml:space="preserve"> HYPERLINK \l _Toc43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_Toc43 \h </w:instrText>
          </w:r>
          <w:r>
            <w:fldChar w:fldCharType="separate"/>
          </w:r>
          <w:r>
            <w:t>52</w:t>
          </w:r>
          <w:r>
            <w:fldChar w:fldCharType="end"/>
          </w:r>
          <w:r>
            <w:fldChar w:fldCharType="end"/>
          </w:r>
        </w:p>
        <w:p>
          <w:pPr>
            <w:pStyle w:val="32"/>
            <w:tabs>
              <w:tab w:val="right" w:leader="dot" w:pos="8306"/>
            </w:tabs>
          </w:pPr>
          <w:r>
            <w:fldChar w:fldCharType="begin"/>
          </w:r>
          <w:r>
            <w:instrText xml:space="preserve"> HYPERLINK \l _Toc10249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_Toc10249 \h </w:instrText>
          </w:r>
          <w:r>
            <w:fldChar w:fldCharType="separate"/>
          </w:r>
          <w:r>
            <w:t>52</w:t>
          </w:r>
          <w:r>
            <w:fldChar w:fldCharType="end"/>
          </w:r>
          <w:r>
            <w:fldChar w:fldCharType="end"/>
          </w:r>
        </w:p>
        <w:p>
          <w:pPr>
            <w:pStyle w:val="32"/>
            <w:tabs>
              <w:tab w:val="right" w:leader="dot" w:pos="8306"/>
            </w:tabs>
          </w:pPr>
          <w:r>
            <w:fldChar w:fldCharType="begin"/>
          </w:r>
          <w:r>
            <w:instrText xml:space="preserve"> HYPERLINK \l _Toc31102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_Toc31102 \h </w:instrText>
          </w:r>
          <w:r>
            <w:fldChar w:fldCharType="separate"/>
          </w:r>
          <w:r>
            <w:t>52</w:t>
          </w:r>
          <w:r>
            <w:fldChar w:fldCharType="end"/>
          </w:r>
          <w:r>
            <w:fldChar w:fldCharType="end"/>
          </w:r>
        </w:p>
        <w:p>
          <w:pPr>
            <w:pStyle w:val="32"/>
            <w:tabs>
              <w:tab w:val="right" w:leader="dot" w:pos="8306"/>
            </w:tabs>
          </w:pPr>
          <w:r>
            <w:fldChar w:fldCharType="begin"/>
          </w:r>
          <w:r>
            <w:instrText xml:space="preserve"> HYPERLINK \l _Toc9058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_Toc9058 \h </w:instrText>
          </w:r>
          <w:r>
            <w:fldChar w:fldCharType="separate"/>
          </w:r>
          <w:r>
            <w:t>52</w:t>
          </w:r>
          <w:r>
            <w:fldChar w:fldCharType="end"/>
          </w:r>
          <w:r>
            <w:fldChar w:fldCharType="end"/>
          </w:r>
        </w:p>
        <w:p>
          <w:pPr>
            <w:pStyle w:val="32"/>
            <w:tabs>
              <w:tab w:val="right" w:leader="dot" w:pos="8306"/>
            </w:tabs>
          </w:pPr>
          <w:r>
            <w:fldChar w:fldCharType="begin"/>
          </w:r>
          <w:r>
            <w:instrText xml:space="preserve"> HYPERLINK \l _Toc7842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_Toc7842 \h </w:instrText>
          </w:r>
          <w:r>
            <w:fldChar w:fldCharType="separate"/>
          </w:r>
          <w:r>
            <w:t>52</w:t>
          </w:r>
          <w:r>
            <w:fldChar w:fldCharType="end"/>
          </w:r>
          <w:r>
            <w:fldChar w:fldCharType="end"/>
          </w:r>
        </w:p>
        <w:p>
          <w:pPr>
            <w:pStyle w:val="32"/>
            <w:tabs>
              <w:tab w:val="right" w:leader="dot" w:pos="8306"/>
            </w:tabs>
          </w:pPr>
          <w:r>
            <w:fldChar w:fldCharType="begin"/>
          </w:r>
          <w:r>
            <w:instrText xml:space="preserve"> HYPERLINK \l _Toc1803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_Toc1803 \h </w:instrText>
          </w:r>
          <w:r>
            <w:fldChar w:fldCharType="separate"/>
          </w:r>
          <w:r>
            <w:t>52</w:t>
          </w:r>
          <w:r>
            <w:fldChar w:fldCharType="end"/>
          </w:r>
          <w:r>
            <w:fldChar w:fldCharType="end"/>
          </w:r>
        </w:p>
        <w:p>
          <w:pPr>
            <w:pStyle w:val="32"/>
            <w:tabs>
              <w:tab w:val="right" w:leader="dot" w:pos="8306"/>
            </w:tabs>
          </w:pPr>
          <w:r>
            <w:fldChar w:fldCharType="begin"/>
          </w:r>
          <w:r>
            <w:instrText xml:space="preserve"> HYPERLINK \l _Toc30846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_Toc30846 \h </w:instrText>
          </w:r>
          <w:r>
            <w:fldChar w:fldCharType="separate"/>
          </w:r>
          <w:r>
            <w:t>52</w:t>
          </w:r>
          <w:r>
            <w:fldChar w:fldCharType="end"/>
          </w:r>
          <w:r>
            <w:fldChar w:fldCharType="end"/>
          </w:r>
        </w:p>
        <w:p>
          <w:pPr>
            <w:pStyle w:val="32"/>
            <w:tabs>
              <w:tab w:val="right" w:leader="dot" w:pos="8306"/>
            </w:tabs>
          </w:pPr>
          <w:r>
            <w:fldChar w:fldCharType="begin"/>
          </w:r>
          <w:r>
            <w:instrText xml:space="preserve"> HYPERLINK \l _Toc19993 </w:instrText>
          </w:r>
          <w:r>
            <w:fldChar w:fldCharType="separate"/>
          </w:r>
          <w:r>
            <w:rPr>
              <w:rFonts w:hint="eastAsia" w:ascii="仿宋" w:hAnsi="仿宋" w:eastAsia="仿宋"/>
              <w:bCs w:val="0"/>
              <w:highlight w:val="none"/>
            </w:rPr>
            <w:t>十、</w:t>
          </w:r>
          <w:r>
            <w:rPr>
              <w:rFonts w:hint="eastAsia" w:ascii="仿宋" w:hAnsi="仿宋" w:eastAsia="仿宋"/>
              <w:highlight w:val="none"/>
            </w:rPr>
            <w:t>一</w:t>
          </w:r>
          <w:r>
            <w:rPr>
              <w:rFonts w:hint="eastAsia" w:ascii="仿宋" w:hAnsi="仿宋" w:eastAsia="仿宋"/>
              <w:bCs w:val="0"/>
              <w:highlight w:val="none"/>
            </w:rPr>
            <w:t>般公共预算财政拨款“三公”经费支出决算表</w:t>
          </w:r>
          <w:r>
            <w:tab/>
          </w:r>
          <w:r>
            <w:fldChar w:fldCharType="begin"/>
          </w:r>
          <w:r>
            <w:instrText xml:space="preserve"> PAGEREF _Toc19993 \h </w:instrText>
          </w:r>
          <w:r>
            <w:fldChar w:fldCharType="separate"/>
          </w:r>
          <w:r>
            <w:t>52</w:t>
          </w:r>
          <w:r>
            <w:fldChar w:fldCharType="end"/>
          </w:r>
          <w:r>
            <w:fldChar w:fldCharType="end"/>
          </w:r>
        </w:p>
        <w:p>
          <w:pPr>
            <w:pStyle w:val="32"/>
            <w:tabs>
              <w:tab w:val="right" w:leader="dot" w:pos="8306"/>
            </w:tabs>
          </w:pPr>
          <w:r>
            <w:fldChar w:fldCharType="begin"/>
          </w:r>
          <w:r>
            <w:instrText xml:space="preserve"> HYPERLINK \l _Toc5247 </w:instrText>
          </w:r>
          <w:r>
            <w:fldChar w:fldCharType="separate"/>
          </w:r>
          <w:r>
            <w:rPr>
              <w:rFonts w:hint="eastAsia" w:ascii="仿宋" w:hAnsi="仿宋" w:eastAsia="仿宋"/>
              <w:bCs w:val="0"/>
              <w:highlight w:val="none"/>
            </w:rPr>
            <w:t>十一、</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_Toc5247 \h </w:instrText>
          </w:r>
          <w:r>
            <w:fldChar w:fldCharType="separate"/>
          </w:r>
          <w:r>
            <w:t>52</w:t>
          </w:r>
          <w:r>
            <w:fldChar w:fldCharType="end"/>
          </w:r>
          <w:r>
            <w:fldChar w:fldCharType="end"/>
          </w:r>
        </w:p>
        <w:p>
          <w:pPr>
            <w:pStyle w:val="32"/>
            <w:tabs>
              <w:tab w:val="right" w:leader="dot" w:pos="8306"/>
            </w:tabs>
          </w:pPr>
          <w:r>
            <w:fldChar w:fldCharType="begin"/>
          </w:r>
          <w:r>
            <w:instrText xml:space="preserve"> HYPERLINK \l _Toc15323 </w:instrText>
          </w:r>
          <w:r>
            <w:fldChar w:fldCharType="separate"/>
          </w:r>
          <w:r>
            <w:rPr>
              <w:rFonts w:hint="eastAsia" w:ascii="仿宋" w:hAnsi="仿宋" w:eastAsia="仿宋"/>
              <w:bCs w:val="0"/>
              <w:highlight w:val="none"/>
            </w:rPr>
            <w:t>十二、</w:t>
          </w:r>
          <w:r>
            <w:rPr>
              <w:rFonts w:hint="eastAsia" w:ascii="仿宋" w:hAnsi="仿宋" w:eastAsia="仿宋"/>
              <w:highlight w:val="none"/>
            </w:rPr>
            <w:t>政</w:t>
          </w:r>
          <w:r>
            <w:rPr>
              <w:rFonts w:hint="eastAsia" w:ascii="仿宋" w:hAnsi="仿宋" w:eastAsia="仿宋"/>
              <w:bCs w:val="0"/>
              <w:highlight w:val="none"/>
            </w:rPr>
            <w:t>府性基金预算财政拨款“三公”经费支出决算表</w:t>
          </w:r>
          <w:r>
            <w:tab/>
          </w:r>
          <w:r>
            <w:fldChar w:fldCharType="begin"/>
          </w:r>
          <w:r>
            <w:instrText xml:space="preserve"> PAGEREF _Toc15323 \h </w:instrText>
          </w:r>
          <w:r>
            <w:fldChar w:fldCharType="separate"/>
          </w:r>
          <w:r>
            <w:t>52</w:t>
          </w:r>
          <w:r>
            <w:fldChar w:fldCharType="end"/>
          </w:r>
          <w:r>
            <w:fldChar w:fldCharType="end"/>
          </w:r>
        </w:p>
        <w:p>
          <w:pPr>
            <w:pStyle w:val="32"/>
            <w:tabs>
              <w:tab w:val="right" w:leader="dot" w:pos="8306"/>
            </w:tabs>
          </w:pPr>
          <w:r>
            <w:fldChar w:fldCharType="begin"/>
          </w:r>
          <w:r>
            <w:instrText xml:space="preserve"> HYPERLINK \l _Toc9615 </w:instrText>
          </w:r>
          <w:r>
            <w:fldChar w:fldCharType="separate"/>
          </w:r>
          <w:r>
            <w:rPr>
              <w:rFonts w:hint="eastAsia" w:ascii="仿宋" w:hAnsi="仿宋" w:eastAsia="仿宋"/>
              <w:bCs w:val="0"/>
              <w:highlight w:val="none"/>
            </w:rPr>
            <w:t>十三、</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_Toc9615 \h </w:instrText>
          </w:r>
          <w:r>
            <w:fldChar w:fldCharType="separate"/>
          </w:r>
          <w:r>
            <w:t>52</w:t>
          </w:r>
          <w:r>
            <w:fldChar w:fldCharType="end"/>
          </w:r>
          <w:r>
            <w:fldChar w:fldCharType="end"/>
          </w:r>
        </w:p>
        <w:p>
          <w:pPr>
            <w:pStyle w:val="32"/>
            <w:tabs>
              <w:tab w:val="right" w:leader="dot" w:pos="8306"/>
            </w:tabs>
          </w:pPr>
          <w:r>
            <w:fldChar w:fldCharType="begin"/>
          </w:r>
          <w:r>
            <w:instrText xml:space="preserve"> HYPERLINK \l _Toc6856 </w:instrText>
          </w:r>
          <w:r>
            <w:fldChar w:fldCharType="separate"/>
          </w:r>
          <w:r>
            <w:rPr>
              <w:rFonts w:hint="eastAsia" w:ascii="仿宋" w:hAnsi="仿宋" w:eastAsia="仿宋"/>
              <w:bCs w:val="0"/>
              <w:highlight w:val="none"/>
              <w:lang w:eastAsia="zh-CN"/>
            </w:rPr>
            <w:t>十四、国有资本经营预算财政拨款支出决算表</w:t>
          </w:r>
          <w:r>
            <w:tab/>
          </w:r>
          <w:r>
            <w:fldChar w:fldCharType="begin"/>
          </w:r>
          <w:r>
            <w:instrText xml:space="preserve"> PAGEREF _Toc6856 \h </w:instrText>
          </w:r>
          <w:r>
            <w:fldChar w:fldCharType="separate"/>
          </w:r>
          <w:r>
            <w:t>52</w:t>
          </w:r>
          <w:r>
            <w:fldChar w:fldCharType="end"/>
          </w:r>
          <w:r>
            <w:fldChar w:fldCharType="end"/>
          </w:r>
        </w:p>
        <w:p>
          <w:r>
            <w:rPr>
              <w:b/>
            </w:rPr>
            <w:fldChar w:fldCharType="end"/>
          </w:r>
        </w:p>
      </w:sdtContent>
    </w:sdt>
    <w:p>
      <w:pPr>
        <w:pStyle w:val="10"/>
        <w:tabs>
          <w:tab w:val="right" w:leader="dot" w:pos="8306"/>
          <w:tab w:val="clear" w:pos="8296"/>
        </w:tabs>
        <w:jc w:val="both"/>
      </w:pPr>
      <w:r>
        <w:fldChar w:fldCharType="end"/>
      </w:r>
    </w:p>
    <w:p>
      <w:pPr>
        <w:rPr>
          <w:rFonts w:ascii="仿宋" w:hAnsi="仿宋" w:eastAsia="仿宋"/>
          <w:color w:val="auto"/>
          <w:sz w:val="24"/>
          <w:highlight w:val="none"/>
        </w:rPr>
      </w:pPr>
      <w:r>
        <w:fldChar w:fldCharType="end"/>
      </w:r>
    </w:p>
    <w:p>
      <w:pPr>
        <w:widowControl/>
        <w:spacing w:line="440" w:lineRule="exact"/>
        <w:jc w:val="left"/>
        <w:rPr>
          <w:rFonts w:ascii="仿宋" w:hAnsi="仿宋" w:eastAsia="仿宋"/>
          <w:bCs/>
          <w:color w:val="auto"/>
          <w:kern w:val="44"/>
          <w:sz w:val="24"/>
          <w:highlight w:val="none"/>
        </w:rPr>
      </w:pPr>
      <w:bookmarkStart w:id="15" w:name="_Toc15377196"/>
      <w:bookmarkStart w:id="16" w:name="_Toc15396599"/>
      <w:r>
        <w:rPr>
          <w:rFonts w:ascii="仿宋" w:hAnsi="仿宋" w:eastAsia="仿宋"/>
          <w:b/>
          <w:color w:val="auto"/>
          <w:sz w:val="24"/>
          <w:highlight w:val="none"/>
        </w:rPr>
        <w:br w:type="page"/>
      </w:r>
    </w:p>
    <w:p>
      <w:pPr>
        <w:pStyle w:val="3"/>
        <w:jc w:val="center"/>
        <w:rPr>
          <w:rStyle w:val="24"/>
          <w:rFonts w:ascii="黑体" w:hAnsi="黑体" w:eastAsia="黑体"/>
          <w:b/>
          <w:bCs w:val="0"/>
          <w:color w:val="auto"/>
          <w:highlight w:val="none"/>
        </w:rPr>
      </w:pPr>
      <w:bookmarkStart w:id="17" w:name="_Toc13911"/>
      <w:bookmarkStart w:id="18" w:name="_Toc23867"/>
      <w:r>
        <w:rPr>
          <w:rFonts w:hint="eastAsia" w:ascii="黑体" w:hAnsi="黑体" w:eastAsia="黑体"/>
          <w:b w:val="0"/>
          <w:color w:val="auto"/>
          <w:highlight w:val="none"/>
        </w:rPr>
        <w:t xml:space="preserve">第一部分 </w:t>
      </w:r>
      <w:r>
        <w:rPr>
          <w:rStyle w:val="24"/>
          <w:rFonts w:hint="eastAsia" w:ascii="黑体" w:hAnsi="黑体" w:eastAsia="黑体"/>
          <w:b w:val="0"/>
          <w:bCs w:val="0"/>
          <w:color w:val="auto"/>
          <w:highlight w:val="none"/>
        </w:rPr>
        <w:t>部门概况</w:t>
      </w:r>
      <w:bookmarkEnd w:id="15"/>
      <w:bookmarkEnd w:id="16"/>
      <w:bookmarkEnd w:id="17"/>
      <w:bookmarkEnd w:id="18"/>
    </w:p>
    <w:p>
      <w:pPr>
        <w:widowControl/>
        <w:jc w:val="left"/>
        <w:rPr>
          <w:rFonts w:ascii="黑体" w:eastAsia="黑体"/>
          <w:color w:val="auto"/>
          <w:sz w:val="32"/>
          <w:szCs w:val="32"/>
          <w:highlight w:val="none"/>
        </w:rPr>
      </w:pPr>
    </w:p>
    <w:p>
      <w:pPr>
        <w:pStyle w:val="4"/>
        <w:rPr>
          <w:rStyle w:val="25"/>
          <w:rFonts w:ascii="仿宋" w:hAnsi="仿宋" w:eastAsia="仿宋"/>
          <w:b w:val="0"/>
          <w:bCs w:val="0"/>
          <w:color w:val="auto"/>
          <w:highlight w:val="none"/>
        </w:rPr>
      </w:pPr>
      <w:bookmarkStart w:id="19" w:name="_Toc22968"/>
      <w:bookmarkStart w:id="20" w:name="_Toc15396600"/>
      <w:bookmarkStart w:id="21" w:name="_Toc15377197"/>
      <w:bookmarkStart w:id="22" w:name="_Toc15286"/>
      <w:r>
        <w:rPr>
          <w:rFonts w:hint="eastAsia" w:ascii="黑体" w:hAnsi="黑体" w:eastAsia="黑体"/>
          <w:b w:val="0"/>
          <w:color w:val="auto"/>
          <w:highlight w:val="none"/>
        </w:rPr>
        <w:t>一、基</w:t>
      </w:r>
      <w:r>
        <w:rPr>
          <w:rStyle w:val="25"/>
          <w:rFonts w:hint="eastAsia" w:ascii="黑体" w:hAnsi="黑体" w:eastAsia="黑体"/>
          <w:b w:val="0"/>
          <w:bCs w:val="0"/>
          <w:color w:val="auto"/>
          <w:highlight w:val="none"/>
        </w:rPr>
        <w:t>本职能及主要工作</w:t>
      </w:r>
      <w:bookmarkEnd w:id="19"/>
      <w:bookmarkEnd w:id="20"/>
      <w:bookmarkEnd w:id="21"/>
      <w:bookmarkEnd w:id="22"/>
    </w:p>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23" w:name="_Toc15378445"/>
      <w:bookmarkStart w:id="24" w:name="_Toc15377198"/>
      <w:r>
        <w:rPr>
          <w:rFonts w:hint="eastAsia" w:ascii="仿宋" w:hAnsi="仿宋" w:eastAsia="仿宋"/>
          <w:bCs/>
          <w:color w:val="auto"/>
          <w:sz w:val="32"/>
          <w:szCs w:val="32"/>
          <w:highlight w:val="none"/>
        </w:rPr>
        <w:t>（一）主要职能。</w:t>
      </w:r>
      <w:bookmarkEnd w:id="23"/>
      <w:bookmarkEnd w:id="24"/>
      <w:bookmarkStart w:id="25" w:name="_Toc15377199"/>
      <w:bookmarkStart w:id="26" w:name="_Toc15378446"/>
    </w:p>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lang w:val="en-US" w:eastAsia="zh-CN"/>
        </w:rPr>
        <w:t>1.主要职能。</w:t>
      </w:r>
      <w:r>
        <w:rPr>
          <w:rFonts w:hint="eastAsia" w:ascii="仿宋" w:hAnsi="仿宋" w:eastAsia="仿宋"/>
          <w:bCs/>
          <w:color w:val="auto"/>
          <w:sz w:val="32"/>
          <w:szCs w:val="32"/>
          <w:highlight w:val="none"/>
        </w:rPr>
        <w:t>广元市港航发展中心的主要职责：（1）贯彻执行国家、省、市有关水路交通的方针政策、法律法 规和规章，承担全市水运行业发展规划、计划编制的事务工作；（2）负责全市通航设施运行调度，承担涉水工程航道通航条件影响评价的协调工作；（3）指导全市港口、航道基础设施建设和维护管理工作，指导和协调县区完成嘉陵江以外其他航道建设，督促航道养护机构按 照年度养护计划完成航道日常养护工作；（4）承担港口岸线利用项目技术审查工作；（5）负责水路交通运输发展服务和水路交通战备工作；（6）承担全市船员考试服务工作；（7）负责船舶检验、船舶设计图纸技术审查及船舶建造企业业 务指导工作；（8）指导水上交通运输、港口、航道基础设施建设养护等安全生产工作；参与水上交通事故调查船舶技术鉴定工作；（9）承担嘉陵江数字化航道建设、运行和维护工作；（10）负责水运行业的客货运周转量等综合统计工作；（11）承担航运海事行政审批事项现场踏勘、核查相关事务工作；（12）完成市交通运输局交办的其他任务。</w:t>
      </w:r>
    </w:p>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2．机构情况，包括当年变动情况及原因。2020年度，广元市航务管理局更名为广元市港航发展中心，为广元市交通运输局管理的公益一类事业单位，副县级，保留参公管理。根据中共广元市委机构编制委员会关于印发《广元市港航发展中心职能配置、内设机构和人员编制制定》的通知（广编办〔2020〕59号），中心内设机构共6个，分别为：综合科、港口航道科、航运服务科、船舶检验科、信息技术科、人事科。</w:t>
      </w:r>
    </w:p>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3．人员情况，包括当年变动情况及原因。人员概况广元市港航发展中心核定编制人员20人，实有19人。</w:t>
      </w:r>
    </w:p>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21</w:t>
      </w:r>
      <w:r>
        <w:rPr>
          <w:rFonts w:hint="eastAsia" w:ascii="仿宋" w:hAnsi="仿宋" w:eastAsia="仿宋"/>
          <w:bCs/>
          <w:color w:val="auto"/>
          <w:sz w:val="32"/>
          <w:szCs w:val="32"/>
          <w:highlight w:val="none"/>
        </w:rPr>
        <w:t>年重点工作完成情况。</w:t>
      </w:r>
    </w:p>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1.聚焦固本强基，基础设施有巩固。（1）加快推进项目建设。广元港苍溪港区张家坝作业区（一区）一期工程达到开港试运行条件，嘉陵江上石盘电航综合枢纽船闸工程完成交工验收，嘉陵江水东坝航电综合枢纽工程前期工作完成勘察设计招标代理机构公开比选，水上交通安全监测综合信息系统项目建设完成，苍溪西门滩水毁工程建设完成，中心办公楼维修项目已经完工，桃花岛应急锚地建设完成方案论证。全年完成投资8680万元，占目标任务的108.8%。（2）不断强化航道养护。以高质量航道管养为目标，严格按照《航道养护技术规范》、《内河航道绿色养护技术指南》，坚持管养并重、突出重点、分类维护、保障畅通的原则，全面加强了航道、航标、船艇、整治建筑物的维护管理。完成了嘉陵江川境段航运配套工程E标段整治建筑物丁坝群验收移交，加快推进了浙水、回水、江口及射箭航道管理站房和码头土地报建工作。（3）统筹布局水运发展规划。抢抓国家加快内河水运发展和川渝共建长江上游航运中心的机遇，积极和省航务海事中心对接“十四五”水运发展规划，将嘉陵江亭子口升船机改造工程、嘉陵江水东坝综合枢纽、广元港苍溪港区张家坝作业区等重点项目纳入“十四五”规划，项目总投资达28.56亿元。完成2021年高等级航道专项养护工程项目省级补助资金建议，积极争取上级补助资金1655.69万元。</w:t>
      </w:r>
    </w:p>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2.聚焦水运发展，服务水平有提高。（1）圆满完成2021年水路春运工作。印发了《2021年水路春运保障工作方案》，严格落实水上交通运输疫情常态化防控措施，准确把握全市水路春运旅客流量、流向和高峰时段，充分做好运力保障，严格执行春运值班制度，扎实开展“情满旅途”活动，精准服务广大旅客平安健康出行。春运期间，全市日均投入客渡船92艘，2632客位，安全运输旅客共计13.37万人次，实现了无安全事故、无服务投诉、无旅客滞留的“三无”工作目标。（2）扎实推进水运服务保障工作。全年完成客货运总周转量3200万吨公里，因受新冠肺炎疫情影响，同比增长10.01%。认真组织开展了2021年度水路运输核查工作，通过核查的水路运输企业4家，营运船舶116艘，形成了《广元市水运市场调查报告》。加快亭子口水利枢纽船闸工程验收工作进度，推动亭子口水利枢纽和苍溪航电电调联动，配合部省加快建立嘉陵江通航建筑物联合调度机制，顺利完成第一阶段试运行任务，初步实现了船舶待闸时间缩短三分之一的目标，打通了疆煤经广元港入渝新通道。组织了朝天区八庙沟嘉陵江大桥航评论证，有序推进了上石盘库区夜航前期调研论证工作。（3）规范开展船舶检验工作。认真把好船舶安全源头关，完成新建船舶图纸审查12套，完成船舶建造检验9艘、营运检验138艘，完成渔船检验57艘，完成“兴川江”8号、9号两艘千吨级多用途货船倾斜及试航实验、系泊实验，完成嘉陵江流域最大运输船舶的建造检验工作，填补了川东北大型船舶检验空白，全省船检工作现场会、全省船检业务培训会先后在我市召开。</w:t>
      </w:r>
    </w:p>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3.聚焦行业基础，发展动能有提升。（1）顺利推进机构改革工作。提高政治站位，统一思想认识，推动交通运输综合行政执法改革工作落地落实，坚决落实好市委和交通运输局党组对港航管理体制改革的决策部署，做到态度坚决、行动坚定，确保机构改革和事业发展两手抓、两不误、两促进，做到了中心组建期间思想不乱、工作不断、干劲不减。改革后加快厘清职责，主动做好职责对接、工作衔接“后半篇”文章，确保今年各项目标任务的实现。（2）不断夯实行业安全管理基础。制定了《安全生产工作责任清单》和《2021年全市水上交通防汛工作方案》，印发了《关于认真做好2021年汛期水上交通安全工作的通知》，修订了《水上交通突发事件应急预案》，指导水运企业建立了《企业安全生产责任清单》，召开了季度安全生产例会暨企业安全生产标准化建设、船舶港口码头污染防治工作培训会，完成等级航道船舶碰撞桥梁风险摸底自查，排查桥梁66座，发现存在安全风险桥梁58座并上报省局；落实了汛情水情传递机制，成立了由20人组成的应急救援队，建立了应急救援物资储备库，保障了安全形势持续稳定。（3）持续筑牢水运行业环保底线。全面启动了绿水绿航绿色发展五年行动，首批磷酸铁锂新能源船舶建造完成并顺利投运，全省“绿水绿航、绿色交通，新能源船舶投放仪式”在我市举行。协助市交通运输局全力做好了第二轮中央生态环境保护督察迎检准备工作，配合开展了水上交通环保工作专项检查，对全市渡口、码头、船舶等环保设施设备配置及运行情况进行督导检查，督促船舶100%安装船E行APP，全面落实船舶防污染联单管理制度。建立了船舶和港口污染防治工作情况季度调度机制，指导相关县区完成长江经济带船舶和港口码头污染突出问题整治验收工作，完成全市106艘符合改造条件船舶防污染设施设备的加装改造。《中国交通报》《四川日报》等省部级主流媒体集中采访报道了我市港口船舶防污染工作成效。（4）深入开展扫黑除恶斗争。传达学习了中办国办《关于常态化开展扫黑除恶斗争巩固专项斗争成果的意见》精神和四川省扫黑除恶领导小组相关会议精神，切实履行好常态化开展扫黑除恶斗争政治责任。我中心制定了《广元市港航发展中心常态化开展扫黑除恶斗争工作方案》，调整了常态化扫黑除恶斗争工作领导小组，继续加强宣传，张贴扫黑除恶宣传标语12条，制作扫黑除恶宣传专栏，设置了线索举报箱。（5）有效开展疫情防控工作。深刻认识疫情防控工作的重要性，严格落实上级工作部署要求，切实扛起疫情防控政治责任，保障各项防控工作落细落实。加强了春节、国庆节等特殊时间节点的疫情防控，全体干部职工100%注册了天府健康通，对办公区进出口进行了改造升级，加强门卫值守、进出扫码、防疫值班，对水上交通疫情防控工作进行了周密的安排部署，切实做好了客渡船舶、码头消毒处置和防疫防护等工作，确保了行业疫情防控形势稳定。（6）大力实施乡村振兴战略。继所帮扶的1个贫困村和1个插花村顺利实现脱贫后，我中心按照《广元市乡村振兴战略规划（2018-2022年）》及有关工作要求，第一时间向昭化区太公镇黄金村选派了第一书记和工作队员，第一书记脱产驻村开展工作，工作队以乡村产业兴旺为抓手、以乡风文明为保障，不断探索创新，力争高质量实现黄金村乡村振兴发展目标。（7）有序推动机关管理工作。认真做好了公共机构节能降耗、垃圾分类、信访维稳、提案办理、史志编纂、目标管理、12328投诉受理、精神文明建设及保密等工作，出台了《三重一大制度》等机关管理各类制度16项，认真开展了“三提三创”活动，稳步推进了国家卫生城市复审和第七届文明城市创建工作，重点做好了中国共产党成立100周年安保维稳工作，积极配合完成市审计局对杨映刚同志的经济责任审计及问题整改工作，高效推进了法治政府示范市创建工作，积极做好了宣传报道工作，多篇政务信息被《中国交通报》《中国水运报》《四川交通》《广元日报》等媒体采用。</w:t>
      </w:r>
    </w:p>
    <w:p>
      <w:pPr>
        <w:pStyle w:val="2"/>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4.聚焦思想建设，党建工作有成效。（1）加强基层党组织建设。全市交通运输综合行政执法改革后，我中心第一时间建立了新的基层党组织，并及时完成了改选。中心党建工作按照新时代党的建设总要求，坚持党的领导，强化思想理论教育，严肃党内政治生活，通过“三会一课”、组织生活会、谈心谈话、民主评议党员等制度载体，使党员干部牢固树立“四个意识”，坚定“四个自信”、做到“两个维护”。严格党员管理监督，结合落实中央“八项规定”，持续反对“四风”，党组织功能不断强化。（2）扎实开展党史学习教育。党史学习教育启动以来，按照市委、市交通运输局党组统一部署，我中心围绕学史明理、学史增信、学史崇德、学史力行和学党史、悟思想、办实事、开新局的要求目标，采取集体学习、个人自学、走访调研、学习研讨、讲党课、开展主题党日等多种形式，以“我为群众办实事”为有力抓手，不断推动党史学习教育走深走实，同时积极参加全市交通运输系统“学史力行 争当发展先行官”演讲比赛并获一等奖。（3）全面抓好党风廉政建设和反腐败工作。印发了《2021年党风廉政建设工作要点》《2021年全面从严治党三张清单》，认真落实党风廉政建设各项规定，层层签订党风廉政建设责任书，组织党员干部观看反腐倡廉警示教育片，研究制定了精准监督三张责任清单，实现了重点岗位管理制度化，领导权力透明化。同时全面推开干部纪律作风整顿工作，针对突出问题，强化组织领导，明确整顿内容，形成长效机制，进一步严纪律、正风气、净生态，形成了改进作风、严明纪律的整体效应。</w:t>
      </w:r>
    </w:p>
    <w:bookmarkEnd w:id="25"/>
    <w:bookmarkEnd w:id="26"/>
    <w:p>
      <w:pPr>
        <w:pStyle w:val="4"/>
        <w:keepNext/>
        <w:keepLines/>
        <w:pageBreakBefore w:val="0"/>
        <w:widowControl w:val="0"/>
        <w:kinsoku/>
        <w:wordWrap/>
        <w:overflowPunct/>
        <w:topLinePunct w:val="0"/>
        <w:autoSpaceDE/>
        <w:autoSpaceDN/>
        <w:bidi w:val="0"/>
        <w:adjustRightInd/>
        <w:snapToGrid/>
        <w:spacing w:line="416" w:lineRule="auto"/>
        <w:ind w:firstLine="640" w:firstLineChars="200"/>
        <w:textAlignment w:val="auto"/>
        <w:rPr>
          <w:rStyle w:val="25"/>
          <w:b w:val="0"/>
          <w:bCs w:val="0"/>
          <w:color w:val="auto"/>
          <w:highlight w:val="none"/>
        </w:rPr>
      </w:pPr>
      <w:bookmarkStart w:id="27" w:name="_Toc15396601"/>
      <w:bookmarkStart w:id="28" w:name="_Toc31824"/>
      <w:bookmarkStart w:id="29" w:name="_Toc15595"/>
      <w:bookmarkStart w:id="30"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25"/>
          <w:rFonts w:hint="eastAsia" w:ascii="黑体" w:hAnsi="黑体" w:eastAsia="黑体"/>
          <w:b w:val="0"/>
          <w:bCs w:val="0"/>
          <w:color w:val="auto"/>
          <w:highlight w:val="none"/>
        </w:rPr>
        <w:t>构设置</w:t>
      </w:r>
      <w:bookmarkEnd w:id="27"/>
      <w:bookmarkEnd w:id="28"/>
      <w:bookmarkEnd w:id="29"/>
      <w:bookmarkEnd w:id="30"/>
    </w:p>
    <w:p>
      <w:pPr>
        <w:ind w:firstLine="800" w:firstLineChars="25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广元市港航发展中心</w:t>
      </w:r>
      <w:r>
        <w:rPr>
          <w:rFonts w:hint="eastAsia" w:ascii="仿宋" w:hAnsi="仿宋" w:eastAsia="仿宋"/>
          <w:color w:val="auto"/>
          <w:sz w:val="32"/>
          <w:szCs w:val="32"/>
          <w:highlight w:val="none"/>
        </w:rPr>
        <w:t>下属二级单位</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个，其中参照公务员法管理的事业单位</w:t>
      </w:r>
      <w:r>
        <w:rPr>
          <w:rFonts w:hint="eastAsia" w:ascii="仿宋" w:hAnsi="仿宋" w:eastAsia="仿宋"/>
          <w:bCs/>
          <w:color w:val="auto"/>
          <w:sz w:val="32"/>
          <w:szCs w:val="32"/>
          <w:highlight w:val="none"/>
          <w:lang w:val="en-US" w:eastAsia="zh-CN"/>
        </w:rPr>
        <w:t>1</w:t>
      </w:r>
      <w:r>
        <w:rPr>
          <w:rFonts w:hint="eastAsia" w:ascii="仿宋" w:hAnsi="仿宋" w:eastAsia="仿宋"/>
          <w:color w:val="auto"/>
          <w:sz w:val="32"/>
          <w:szCs w:val="32"/>
          <w:highlight w:val="none"/>
        </w:rPr>
        <w:t>个，其他事业单位</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个。</w:t>
      </w:r>
    </w:p>
    <w:p>
      <w:pPr>
        <w:pStyle w:val="2"/>
        <w:adjustRightInd w:val="0"/>
        <w:snapToGrid w:val="0"/>
        <w:spacing w:before="93" w:line="600" w:lineRule="exact"/>
        <w:ind w:firstLine="672" w:firstLineChars="210"/>
        <w:rPr>
          <w:rFonts w:ascii="仿宋" w:hAnsi="仿宋" w:eastAsia="仿宋"/>
          <w:color w:val="auto"/>
          <w:sz w:val="32"/>
          <w:szCs w:val="32"/>
          <w:highlight w:val="none"/>
        </w:rPr>
      </w:pPr>
      <w:r>
        <w:rPr>
          <w:rFonts w:hint="eastAsia" w:ascii="仿宋" w:hAnsi="仿宋" w:eastAsia="仿宋"/>
          <w:color w:val="auto"/>
          <w:sz w:val="32"/>
          <w:szCs w:val="32"/>
          <w:highlight w:val="none"/>
        </w:rPr>
        <w:t>纳入</w:t>
      </w:r>
      <w:r>
        <w:rPr>
          <w:rFonts w:hint="eastAsia" w:ascii="仿宋" w:hAnsi="仿宋" w:eastAsia="仿宋"/>
          <w:color w:val="auto"/>
          <w:sz w:val="32"/>
          <w:szCs w:val="32"/>
          <w:highlight w:val="none"/>
          <w:lang w:val="en-US" w:eastAsia="zh-CN"/>
        </w:rPr>
        <w:t>广元市港航发展中心</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年度部门决算编制范围的二级预算单位包括：</w:t>
      </w:r>
    </w:p>
    <w:p>
      <w:pPr>
        <w:pStyle w:val="2"/>
        <w:numPr>
          <w:ilvl w:val="0"/>
          <w:numId w:val="1"/>
        </w:numPr>
        <w:adjustRightInd w:val="0"/>
        <w:snapToGrid w:val="0"/>
        <w:spacing w:before="93" w:line="600" w:lineRule="exact"/>
        <w:outlineLvl w:val="2"/>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广元市港航发展中心（本级）</w:t>
      </w:r>
    </w:p>
    <w:p>
      <w:pPr>
        <w:pStyle w:val="2"/>
        <w:numPr>
          <w:ilvl w:val="0"/>
          <w:numId w:val="1"/>
        </w:numPr>
        <w:adjustRightInd w:val="0"/>
        <w:snapToGrid w:val="0"/>
        <w:spacing w:before="93" w:line="600" w:lineRule="exact"/>
        <w:outlineLvl w:val="2"/>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广元市航务管理局广元航道段</w:t>
      </w:r>
    </w:p>
    <w:p>
      <w:pPr>
        <w:pStyle w:val="2"/>
        <w:numPr>
          <w:ilvl w:val="0"/>
          <w:numId w:val="1"/>
        </w:numPr>
        <w:adjustRightInd w:val="0"/>
        <w:snapToGrid w:val="0"/>
        <w:spacing w:before="93" w:line="600" w:lineRule="exact"/>
        <w:outlineLvl w:val="2"/>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广元市航务管理局苍溪航道段</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color w:val="auto"/>
          <w:highlight w:val="none"/>
        </w:rPr>
      </w:pPr>
      <w:bookmarkStart w:id="31" w:name="_Toc15377204"/>
      <w:bookmarkStart w:id="32" w:name="_Toc4219"/>
      <w:bookmarkStart w:id="33"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4"/>
          <w:rFonts w:hint="eastAsia" w:ascii="黑体" w:hAnsi="黑体" w:eastAsia="黑体"/>
          <w:b w:val="0"/>
          <w:bCs/>
          <w:color w:val="auto"/>
          <w:highlight w:val="none"/>
        </w:rPr>
        <w:t>部门决算情况说明</w:t>
      </w:r>
      <w:bookmarkEnd w:id="31"/>
      <w:bookmarkEnd w:id="32"/>
      <w:bookmarkEnd w:id="33"/>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34" w:name="_Toc15377205"/>
      <w:bookmarkStart w:id="35" w:name="_Toc15396603"/>
      <w:bookmarkStart w:id="36" w:name="_Toc11967"/>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34"/>
      <w:bookmarkEnd w:id="35"/>
      <w:bookmarkEnd w:id="36"/>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5241.74</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6249.60万元</w:t>
      </w:r>
      <w:r>
        <w:rPr>
          <w:rFonts w:hint="eastAsia" w:ascii="仿宋" w:hAnsi="仿宋" w:eastAsia="仿宋"/>
          <w:color w:val="auto"/>
          <w:sz w:val="32"/>
          <w:szCs w:val="32"/>
          <w:highlight w:val="none"/>
        </w:rPr>
        <w:t>相比，收、支总计各减少</w:t>
      </w:r>
      <w:r>
        <w:rPr>
          <w:rFonts w:hint="eastAsia" w:ascii="仿宋" w:hAnsi="仿宋" w:eastAsia="仿宋"/>
          <w:color w:val="auto"/>
          <w:sz w:val="32"/>
          <w:szCs w:val="32"/>
          <w:highlight w:val="none"/>
          <w:lang w:val="en-US" w:eastAsia="zh-CN"/>
        </w:rPr>
        <w:t>1007.86</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16.13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上年预算精度提高，</w:t>
      </w:r>
      <w:r>
        <w:rPr>
          <w:rFonts w:hint="eastAsia" w:ascii="仿宋" w:hAnsi="仿宋" w:eastAsia="仿宋"/>
          <w:color w:val="auto"/>
          <w:sz w:val="32"/>
          <w:szCs w:val="32"/>
          <w:highlight w:val="none"/>
          <w:lang w:val="en-US" w:eastAsia="zh-CN"/>
        </w:rPr>
        <w:t>年初结转资金减少。</w:t>
      </w:r>
    </w:p>
    <w:p>
      <w:pPr>
        <w:spacing w:line="600" w:lineRule="exact"/>
        <w:ind w:firstLine="640" w:firstLineChars="200"/>
        <w:rPr>
          <w:rFonts w:ascii="仿宋" w:hAnsi="仿宋" w:eastAsia="仿宋"/>
          <w:color w:val="auto"/>
          <w:sz w:val="32"/>
          <w:szCs w:val="32"/>
          <w:highlight w:val="none"/>
        </w:rPr>
      </w:pPr>
      <w:r>
        <w:rPr>
          <w:rFonts w:hint="eastAsia" w:ascii="仿宋_GB2312" w:eastAsia="仿宋_GB2312"/>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134620</wp:posOffset>
            </wp:positionH>
            <wp:positionV relativeFrom="paragraph">
              <wp:posOffset>5715</wp:posOffset>
            </wp:positionV>
            <wp:extent cx="5080000" cy="3241675"/>
            <wp:effectExtent l="4445" t="4445" r="5715" b="1524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37" w:name="_Toc15377206"/>
      <w:bookmarkStart w:id="38" w:name="_Toc6087"/>
      <w:bookmarkStart w:id="39"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37"/>
      <w:bookmarkEnd w:id="38"/>
      <w:bookmarkEnd w:id="39"/>
    </w:p>
    <w:p>
      <w:pPr>
        <w:spacing w:line="600" w:lineRule="exact"/>
        <w:ind w:firstLine="640" w:firstLineChars="200"/>
        <w:outlineLvl w:val="1"/>
        <w:rPr>
          <w:rFonts w:ascii="仿宋" w:hAnsi="仿宋" w:eastAsia="仿宋"/>
          <w:color w:val="auto"/>
          <w:sz w:val="32"/>
          <w:szCs w:val="32"/>
          <w:highlight w:val="none"/>
        </w:rPr>
      </w:pPr>
      <w:bookmarkStart w:id="40" w:name="_Toc9506"/>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3226.47</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2586.29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80.16</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199.19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6.17</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440.99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13.67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0"/>
    </w:p>
    <w:p>
      <w:pPr>
        <w:spacing w:line="600" w:lineRule="exact"/>
        <w:ind w:firstLine="640" w:firstLineChars="200"/>
        <w:outlineLvl w:val="1"/>
        <w:rPr>
          <w:rFonts w:ascii="仿宋" w:hAnsi="仿宋" w:eastAsia="仿宋"/>
          <w:color w:val="auto"/>
          <w:sz w:val="32"/>
          <w:szCs w:val="32"/>
          <w:highlight w:val="none"/>
        </w:rPr>
      </w:pPr>
      <w:bookmarkStart w:id="41" w:name="_Toc10215"/>
      <w:r>
        <w:rPr>
          <w:rFonts w:hint="eastAsia" w:ascii="仿宋" w:hAnsi="仿宋" w:eastAsia="仿宋"/>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129540</wp:posOffset>
            </wp:positionH>
            <wp:positionV relativeFrom="paragraph">
              <wp:posOffset>121920</wp:posOffset>
            </wp:positionV>
            <wp:extent cx="5080000" cy="3482340"/>
            <wp:effectExtent l="4445" t="4445" r="5715" b="1841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olor w:val="auto"/>
          <w:sz w:val="32"/>
          <w:szCs w:val="32"/>
          <w:highlight w:val="none"/>
        </w:rPr>
        <w:t>（图2：收入决算结构图）（饼状图）</w:t>
      </w:r>
      <w:bookmarkEnd w:id="41"/>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42" w:name="_Toc21127"/>
      <w:bookmarkStart w:id="43" w:name="_Toc15377207"/>
      <w:bookmarkStart w:id="44"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42"/>
      <w:bookmarkEnd w:id="43"/>
      <w:bookmarkEnd w:id="44"/>
    </w:p>
    <w:p>
      <w:pPr>
        <w:spacing w:line="600" w:lineRule="exact"/>
        <w:ind w:firstLine="640" w:firstLineChars="200"/>
        <w:outlineLvl w:val="1"/>
        <w:rPr>
          <w:rFonts w:ascii="仿宋" w:hAnsi="仿宋" w:eastAsia="仿宋"/>
          <w:color w:val="auto"/>
          <w:sz w:val="32"/>
          <w:szCs w:val="32"/>
          <w:highlight w:val="none"/>
        </w:rPr>
      </w:pPr>
      <w:bookmarkStart w:id="45" w:name="_Toc24463"/>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3706.76</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1714.23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46.25</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1992.53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53.75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5"/>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shd w:val="pct10" w:color="auto" w:fill="FFFFFF"/>
          <w:lang w:eastAsia="zh-CN"/>
        </w:rPr>
        <w:drawing>
          <wp:anchor distT="0" distB="0" distL="114300" distR="114300" simplePos="0" relativeHeight="251661312" behindDoc="0" locked="0" layoutInCell="1" allowOverlap="1">
            <wp:simplePos x="0" y="0"/>
            <wp:positionH relativeFrom="column">
              <wp:posOffset>124460</wp:posOffset>
            </wp:positionH>
            <wp:positionV relativeFrom="paragraph">
              <wp:posOffset>95885</wp:posOffset>
            </wp:positionV>
            <wp:extent cx="5080000" cy="3529330"/>
            <wp:effectExtent l="4445" t="4445" r="5715" b="1714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auto"/>
          <w:sz w:val="32"/>
          <w:szCs w:val="32"/>
          <w:highlight w:val="none"/>
        </w:rPr>
        <w:t>（图3：支出决算结构图）（饼状图）</w:t>
      </w:r>
    </w:p>
    <w:p>
      <w:pPr>
        <w:spacing w:line="600" w:lineRule="exact"/>
        <w:ind w:firstLine="640" w:firstLineChars="200"/>
        <w:outlineLvl w:val="1"/>
        <w:rPr>
          <w:rStyle w:val="25"/>
          <w:rFonts w:ascii="黑体" w:hAnsi="黑体" w:eastAsia="黑体"/>
          <w:b w:val="0"/>
          <w:color w:val="auto"/>
          <w:highlight w:val="none"/>
        </w:rPr>
      </w:pPr>
      <w:bookmarkStart w:id="46" w:name="_Toc15377208"/>
      <w:bookmarkStart w:id="47" w:name="_Toc15396606"/>
      <w:bookmarkStart w:id="48" w:name="_Toc24754"/>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46"/>
      <w:bookmarkEnd w:id="47"/>
      <w:bookmarkEnd w:id="48"/>
    </w:p>
    <w:p>
      <w:pPr>
        <w:snapToGrid w:val="0"/>
        <w:spacing w:line="52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3222.31</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2429.26万元</w:t>
      </w:r>
      <w:r>
        <w:rPr>
          <w:rFonts w:hint="eastAsia" w:ascii="仿宋" w:hAnsi="仿宋" w:eastAsia="仿宋"/>
          <w:color w:val="auto"/>
          <w:sz w:val="32"/>
          <w:szCs w:val="32"/>
          <w:highlight w:val="none"/>
        </w:rPr>
        <w:t>相比，财政拨款收、支总计各增加</w:t>
      </w:r>
      <w:r>
        <w:rPr>
          <w:rFonts w:hint="eastAsia" w:ascii="仿宋" w:hAnsi="仿宋" w:eastAsia="仿宋"/>
          <w:color w:val="auto"/>
          <w:sz w:val="32"/>
          <w:szCs w:val="32"/>
          <w:highlight w:val="none"/>
          <w:lang w:val="en-US" w:eastAsia="zh-CN"/>
        </w:rPr>
        <w:t>793.05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32.65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hAnsi="仿宋" w:eastAsia="仿宋_GB2312" w:cs="Times New Roman"/>
          <w:sz w:val="32"/>
          <w:szCs w:val="32"/>
          <w:lang w:val="en-US" w:eastAsia="zh-CN"/>
        </w:rPr>
        <w:t>2021年下达“高等级航道养护管理”项目883万元、“内河航道应急抢通补助”项目199.19万元资金均为一次性项目。</w:t>
      </w:r>
    </w:p>
    <w:p>
      <w:pPr>
        <w:spacing w:line="600" w:lineRule="exac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4445</wp:posOffset>
            </wp:positionH>
            <wp:positionV relativeFrom="paragraph">
              <wp:posOffset>-3515995</wp:posOffset>
            </wp:positionV>
            <wp:extent cx="5080000" cy="3810000"/>
            <wp:effectExtent l="4445" t="4445" r="5715" b="1079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（图4：财政拨款收、支决算总计变动情况）（柱状图）</w:t>
      </w:r>
    </w:p>
    <w:p>
      <w:pPr>
        <w:spacing w:line="600" w:lineRule="exact"/>
        <w:ind w:firstLine="640"/>
        <w:rPr>
          <w:rFonts w:ascii="仿宋" w:hAnsi="仿宋" w:eastAsia="仿宋"/>
          <w:b/>
          <w:color w:val="auto"/>
          <w:sz w:val="32"/>
          <w:szCs w:val="32"/>
          <w:highlight w:val="none"/>
        </w:rPr>
      </w:pPr>
    </w:p>
    <w:p>
      <w:pPr>
        <w:spacing w:line="600" w:lineRule="exact"/>
        <w:ind w:firstLine="640" w:firstLineChars="200"/>
        <w:outlineLvl w:val="1"/>
        <w:rPr>
          <w:rStyle w:val="25"/>
          <w:rFonts w:ascii="黑体" w:hAnsi="黑体" w:eastAsia="黑体"/>
          <w:b w:val="0"/>
          <w:color w:val="auto"/>
          <w:highlight w:val="none"/>
        </w:rPr>
      </w:pPr>
      <w:bookmarkStart w:id="49" w:name="_Toc14279"/>
      <w:bookmarkStart w:id="50" w:name="_Toc15377209"/>
      <w:bookmarkStart w:id="51"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49"/>
      <w:bookmarkEnd w:id="50"/>
      <w:bookmarkEnd w:id="51"/>
    </w:p>
    <w:p>
      <w:pPr>
        <w:spacing w:line="600" w:lineRule="exact"/>
        <w:ind w:firstLine="643" w:firstLineChars="200"/>
        <w:outlineLvl w:val="2"/>
        <w:rPr>
          <w:rFonts w:ascii="仿宋" w:hAnsi="仿宋" w:eastAsia="仿宋"/>
          <w:b/>
          <w:color w:val="auto"/>
          <w:sz w:val="32"/>
          <w:szCs w:val="32"/>
          <w:highlight w:val="none"/>
        </w:rPr>
      </w:pPr>
      <w:bookmarkStart w:id="52" w:name="_Toc15377210"/>
      <w:r>
        <w:rPr>
          <w:rFonts w:hint="eastAsia" w:ascii="仿宋" w:hAnsi="仿宋" w:eastAsia="仿宋"/>
          <w:b/>
          <w:color w:val="auto"/>
          <w:sz w:val="32"/>
          <w:szCs w:val="32"/>
          <w:highlight w:val="none"/>
        </w:rPr>
        <w:t>（一）一般公共预算财政拨款支出决算总体情况</w:t>
      </w:r>
      <w:bookmarkEnd w:id="52"/>
    </w:p>
    <w:p>
      <w:pPr>
        <w:spacing w:line="600" w:lineRule="exact"/>
        <w:ind w:firstLine="640" w:firstLineChars="200"/>
        <w:rPr>
          <w:rFonts w:hint="default" w:ascii="仿宋" w:hAnsi="仿宋" w:eastAsia="仿宋"/>
          <w:color w:val="auto"/>
          <w:sz w:val="32"/>
          <w:szCs w:val="32"/>
          <w:highlight w:val="none"/>
          <w:lang w:val="en-US"/>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2859.12</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77.13</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1895.47万元</w:t>
      </w:r>
      <w:r>
        <w:rPr>
          <w:rFonts w:hint="eastAsia" w:ascii="仿宋" w:hAnsi="仿宋" w:eastAsia="仿宋"/>
          <w:color w:val="auto"/>
          <w:sz w:val="32"/>
          <w:szCs w:val="32"/>
          <w:highlight w:val="none"/>
        </w:rPr>
        <w:t>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963.65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50.84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_GB2312" w:hAnsi="仿宋" w:eastAsia="仿宋_GB2312" w:cs="Times New Roman"/>
          <w:sz w:val="32"/>
          <w:szCs w:val="32"/>
          <w:lang w:val="en-US" w:eastAsia="zh-CN"/>
        </w:rPr>
        <w:t>2021年下达“高等级航道养护管理”项目883万元资金为一次性项目。</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410845</wp:posOffset>
            </wp:positionH>
            <wp:positionV relativeFrom="paragraph">
              <wp:posOffset>-3515995</wp:posOffset>
            </wp:positionV>
            <wp:extent cx="5080000" cy="3810000"/>
            <wp:effectExtent l="4445" t="4445" r="5715" b="1079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53" w:name="_Toc15377211"/>
      <w:r>
        <w:rPr>
          <w:rFonts w:hint="eastAsia" w:ascii="仿宋" w:hAnsi="仿宋" w:eastAsia="仿宋"/>
          <w:b/>
          <w:color w:val="auto"/>
          <w:sz w:val="32"/>
          <w:szCs w:val="32"/>
          <w:highlight w:val="none"/>
        </w:rPr>
        <w:t>（二）一般公共预算财政拨款支出决算结构情况</w:t>
      </w:r>
      <w:bookmarkEnd w:id="53"/>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2859.12</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200.59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7.02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类</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支出</w:t>
      </w:r>
      <w:r>
        <w:rPr>
          <w:rFonts w:hint="eastAsia" w:ascii="仿宋" w:hAnsi="仿宋" w:eastAsia="仿宋"/>
          <w:color w:val="auto"/>
          <w:sz w:val="32"/>
          <w:szCs w:val="32"/>
          <w:highlight w:val="none"/>
          <w:lang w:val="en-US" w:eastAsia="zh-CN"/>
        </w:rPr>
        <w:t>58.30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2.04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val="en-US" w:eastAsia="zh-CN"/>
        </w:rPr>
        <w:t>交通运输（类）支出</w:t>
      </w:r>
      <w:r>
        <w:rPr>
          <w:rFonts w:hint="eastAsia" w:ascii="仿宋" w:hAnsi="仿宋" w:eastAsia="仿宋"/>
          <w:color w:val="auto"/>
          <w:sz w:val="32"/>
          <w:szCs w:val="32"/>
          <w:highlight w:val="none"/>
          <w:lang w:val="en-US" w:eastAsia="zh-CN"/>
        </w:rPr>
        <w:t>2489.17万元，占87.06%；</w:t>
      </w:r>
      <w:r>
        <w:rPr>
          <w:rFonts w:hint="eastAsia" w:ascii="仿宋" w:hAnsi="仿宋" w:eastAsia="仿宋"/>
          <w:b/>
          <w:bCs/>
          <w:color w:val="auto"/>
          <w:sz w:val="32"/>
          <w:szCs w:val="32"/>
          <w:highlight w:val="none"/>
        </w:rPr>
        <w:t>住房保障</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类</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支出</w:t>
      </w:r>
      <w:r>
        <w:rPr>
          <w:rFonts w:hint="eastAsia" w:ascii="仿宋" w:hAnsi="仿宋" w:eastAsia="仿宋"/>
          <w:color w:val="auto"/>
          <w:sz w:val="32"/>
          <w:szCs w:val="32"/>
          <w:highlight w:val="none"/>
          <w:lang w:val="en-US" w:eastAsia="zh-CN"/>
        </w:rPr>
        <w:t>111.07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3.88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410845</wp:posOffset>
            </wp:positionH>
            <wp:positionV relativeFrom="paragraph">
              <wp:posOffset>-3515995</wp:posOffset>
            </wp:positionV>
            <wp:extent cx="5080000" cy="3810000"/>
            <wp:effectExtent l="4445" t="4445" r="5715" b="1079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rPr>
        <w:t>（图6：一般公共预算财政拨款支出决算结构）（饼状图）</w:t>
      </w:r>
    </w:p>
    <w:p>
      <w:pPr>
        <w:spacing w:line="600" w:lineRule="exact"/>
        <w:ind w:firstLine="643" w:firstLineChars="200"/>
        <w:outlineLvl w:val="2"/>
        <w:rPr>
          <w:rFonts w:ascii="仿宋" w:hAnsi="仿宋" w:eastAsia="仿宋"/>
          <w:b/>
          <w:color w:val="auto"/>
          <w:sz w:val="32"/>
          <w:szCs w:val="32"/>
          <w:highlight w:val="none"/>
        </w:rPr>
      </w:pPr>
      <w:bookmarkStart w:id="54" w:name="_Toc15377212"/>
      <w:r>
        <w:rPr>
          <w:rFonts w:hint="eastAsia" w:ascii="仿宋" w:hAnsi="仿宋" w:eastAsia="仿宋"/>
          <w:b/>
          <w:color w:val="auto"/>
          <w:sz w:val="32"/>
          <w:szCs w:val="32"/>
          <w:highlight w:val="none"/>
        </w:rPr>
        <w:t>（三）一般公共预算财政拨款支出决算具体情况</w:t>
      </w:r>
      <w:bookmarkEnd w:id="54"/>
    </w:p>
    <w:p>
      <w:pPr>
        <w:spacing w:line="600" w:lineRule="exact"/>
        <w:ind w:firstLine="643" w:firstLineChars="200"/>
        <w:outlineLvl w:val="1"/>
        <w:rPr>
          <w:rFonts w:ascii="仿宋" w:hAnsi="仿宋" w:eastAsia="仿宋"/>
          <w:color w:val="auto"/>
          <w:sz w:val="32"/>
          <w:szCs w:val="32"/>
          <w:highlight w:val="none"/>
        </w:rPr>
      </w:pPr>
      <w:bookmarkStart w:id="55" w:name="_Toc15377444"/>
      <w:bookmarkStart w:id="56" w:name="_Toc15378460"/>
      <w:bookmarkStart w:id="57" w:name="_Toc27005"/>
      <w:bookmarkStart w:id="58" w:name="_Toc15377213"/>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2859.12</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96.13</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55"/>
      <w:bookmarkEnd w:id="56"/>
      <w:bookmarkEnd w:id="57"/>
      <w:bookmarkEnd w:id="58"/>
    </w:p>
    <w:p>
      <w:pPr>
        <w:spacing w:line="600" w:lineRule="exact"/>
        <w:ind w:firstLine="643" w:firstLineChars="200"/>
        <w:rPr>
          <w:rFonts w:hint="default" w:ascii="仿宋" w:hAnsi="仿宋" w:eastAsia="仿宋"/>
          <w:b/>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1</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w:t>
      </w:r>
      <w:r>
        <w:rPr>
          <w:rStyle w:val="14"/>
          <w:rFonts w:hint="eastAsia" w:ascii="仿宋" w:hAnsi="仿宋" w:eastAsia="仿宋"/>
          <w:bCs/>
          <w:color w:val="auto"/>
          <w:sz w:val="32"/>
          <w:szCs w:val="32"/>
          <w:highlight w:val="none"/>
          <w:lang w:eastAsia="zh-CN"/>
        </w:rPr>
        <w:t>支出</w:t>
      </w:r>
      <w:r>
        <w:rPr>
          <w:rStyle w:val="14"/>
          <w:rFonts w:hint="eastAsia" w:ascii="仿宋" w:hAnsi="仿宋" w:eastAsia="仿宋"/>
          <w:bCs/>
          <w:color w:val="auto"/>
          <w:sz w:val="32"/>
          <w:szCs w:val="32"/>
          <w:highlight w:val="none"/>
        </w:rPr>
        <w:t>（类）行政事业单位养老支出（款） 事业单位离退休（项）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38.61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val="en-US" w:eastAsia="zh-CN"/>
        </w:rPr>
        <w:t>。</w:t>
      </w:r>
    </w:p>
    <w:p>
      <w:pPr>
        <w:spacing w:line="600" w:lineRule="exact"/>
        <w:ind w:firstLine="643" w:firstLineChars="200"/>
        <w:rPr>
          <w:rFonts w:hint="default" w:ascii="仿宋" w:hAnsi="仿宋" w:eastAsia="仿宋"/>
          <w:b/>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2</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w:t>
      </w:r>
      <w:r>
        <w:rPr>
          <w:rStyle w:val="14"/>
          <w:rFonts w:hint="eastAsia" w:ascii="仿宋" w:hAnsi="仿宋" w:eastAsia="仿宋"/>
          <w:bCs/>
          <w:color w:val="auto"/>
          <w:sz w:val="32"/>
          <w:szCs w:val="32"/>
          <w:highlight w:val="none"/>
          <w:lang w:eastAsia="zh-CN"/>
        </w:rPr>
        <w:t>支出</w:t>
      </w:r>
      <w:r>
        <w:rPr>
          <w:rStyle w:val="14"/>
          <w:rFonts w:hint="eastAsia" w:ascii="仿宋" w:hAnsi="仿宋" w:eastAsia="仿宋"/>
          <w:bCs/>
          <w:color w:val="auto"/>
          <w:sz w:val="32"/>
          <w:szCs w:val="32"/>
          <w:highlight w:val="none"/>
        </w:rPr>
        <w:t>（类）行政事业单位养老支出（款）机关事业单位基本养老保险缴费支出（项）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103.04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val="en-US" w:eastAsia="zh-CN"/>
        </w:rPr>
        <w:t>。</w:t>
      </w:r>
    </w:p>
    <w:p>
      <w:pPr>
        <w:spacing w:line="600" w:lineRule="exact"/>
        <w:ind w:firstLine="643" w:firstLineChars="200"/>
        <w:rPr>
          <w:rFonts w:hint="default" w:ascii="仿宋" w:hAnsi="仿宋" w:eastAsia="仿宋"/>
          <w:b/>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3</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w:t>
      </w:r>
      <w:r>
        <w:rPr>
          <w:rStyle w:val="14"/>
          <w:rFonts w:hint="eastAsia" w:ascii="仿宋" w:hAnsi="仿宋" w:eastAsia="仿宋"/>
          <w:bCs/>
          <w:color w:val="auto"/>
          <w:sz w:val="32"/>
          <w:szCs w:val="32"/>
          <w:highlight w:val="none"/>
          <w:lang w:eastAsia="zh-CN"/>
        </w:rPr>
        <w:t>支出</w:t>
      </w:r>
      <w:r>
        <w:rPr>
          <w:rStyle w:val="14"/>
          <w:rFonts w:hint="eastAsia" w:ascii="仿宋" w:hAnsi="仿宋" w:eastAsia="仿宋"/>
          <w:bCs/>
          <w:color w:val="auto"/>
          <w:sz w:val="32"/>
          <w:szCs w:val="32"/>
          <w:highlight w:val="none"/>
        </w:rPr>
        <w:t>（类）行政事业单位养老支出（款）机关事业单位职业年金缴费支出（项）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41.34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val="en-US" w:eastAsia="zh-CN"/>
        </w:rPr>
        <w:t>。</w:t>
      </w:r>
    </w:p>
    <w:p>
      <w:pPr>
        <w:spacing w:line="600" w:lineRule="exact"/>
        <w:ind w:firstLine="643" w:firstLineChars="200"/>
        <w:rPr>
          <w:rFonts w:hint="default" w:ascii="仿宋" w:hAnsi="仿宋" w:eastAsia="仿宋"/>
          <w:b/>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4</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w:t>
      </w:r>
      <w:r>
        <w:rPr>
          <w:rStyle w:val="14"/>
          <w:rFonts w:hint="eastAsia" w:ascii="仿宋" w:hAnsi="仿宋" w:eastAsia="仿宋"/>
          <w:bCs/>
          <w:color w:val="auto"/>
          <w:sz w:val="32"/>
          <w:szCs w:val="32"/>
          <w:highlight w:val="none"/>
          <w:lang w:eastAsia="zh-CN"/>
        </w:rPr>
        <w:t>支出</w:t>
      </w:r>
      <w:r>
        <w:rPr>
          <w:rStyle w:val="14"/>
          <w:rFonts w:hint="eastAsia" w:ascii="仿宋" w:hAnsi="仿宋" w:eastAsia="仿宋"/>
          <w:bCs/>
          <w:color w:val="auto"/>
          <w:sz w:val="32"/>
          <w:szCs w:val="32"/>
          <w:highlight w:val="none"/>
        </w:rPr>
        <w:t>（类）其他社会保障和就业支出（款）其他社会保障和就业支出（项）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17.60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val="en-US" w:eastAsia="zh-CN"/>
        </w:rPr>
        <w:t>。</w:t>
      </w:r>
    </w:p>
    <w:p>
      <w:pPr>
        <w:spacing w:line="600" w:lineRule="exact"/>
        <w:ind w:firstLine="643" w:firstLineChars="200"/>
        <w:rPr>
          <w:rFonts w:hint="default" w:ascii="仿宋" w:hAnsi="仿宋" w:eastAsia="仿宋"/>
          <w:b/>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5</w:t>
      </w:r>
      <w:r>
        <w:rPr>
          <w:rStyle w:val="14"/>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eastAsia="zh-CN"/>
        </w:rPr>
        <w:t>支出</w:t>
      </w:r>
      <w:r>
        <w:rPr>
          <w:rStyle w:val="14"/>
          <w:rFonts w:hint="eastAsia" w:ascii="仿宋" w:hAnsi="仿宋" w:eastAsia="仿宋"/>
          <w:bCs/>
          <w:color w:val="auto"/>
          <w:sz w:val="32"/>
          <w:szCs w:val="32"/>
          <w:highlight w:val="none"/>
        </w:rPr>
        <w:t>（类）行政事业单位医疗（款）事业单位医疗（项）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58.30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val="en-US" w:eastAsia="zh-CN"/>
        </w:rPr>
        <w:t>。</w:t>
      </w:r>
    </w:p>
    <w:p>
      <w:pPr>
        <w:spacing w:line="600" w:lineRule="exact"/>
        <w:ind w:firstLine="643" w:firstLineChars="200"/>
        <w:rPr>
          <w:rFonts w:hint="default" w:ascii="仿宋" w:hAnsi="仿宋" w:eastAsia="仿宋"/>
          <w:b/>
          <w:color w:val="auto"/>
          <w:sz w:val="32"/>
          <w:szCs w:val="32"/>
          <w:highlight w:val="none"/>
          <w:lang w:val="en-US" w:eastAsia="zh-CN"/>
        </w:rPr>
      </w:pPr>
      <w:r>
        <w:rPr>
          <w:rStyle w:val="14"/>
          <w:rFonts w:hint="eastAsia" w:ascii="仿宋" w:hAnsi="仿宋" w:eastAsia="仿宋"/>
          <w:bCs/>
          <w:color w:val="auto"/>
          <w:sz w:val="32"/>
          <w:szCs w:val="32"/>
          <w:highlight w:val="none"/>
          <w:lang w:val="en-US" w:eastAsia="zh-CN"/>
        </w:rPr>
        <w:t>6</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交通运输支出（类）公路水路运输（款）行政运行（项）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300.54</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val="en-US" w:eastAsia="zh-CN"/>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7</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交通运输支出（类）公路水路运输（款）一般行政管理事务（项）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43.90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99.80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，决算数小于预算数的主要原因是</w:t>
      </w:r>
      <w:r>
        <w:rPr>
          <w:rStyle w:val="14"/>
          <w:rFonts w:hint="eastAsia" w:ascii="仿宋" w:hAnsi="仿宋" w:eastAsia="仿宋"/>
          <w:b w:val="0"/>
          <w:bCs/>
          <w:color w:val="auto"/>
          <w:sz w:val="32"/>
          <w:szCs w:val="32"/>
          <w:highlight w:val="none"/>
          <w:lang w:val="en-US" w:eastAsia="zh-CN"/>
        </w:rPr>
        <w:t>房屋维修维护项目结余0.09万元</w:t>
      </w:r>
      <w:r>
        <w:rPr>
          <w:rStyle w:val="14"/>
          <w:rFonts w:hint="eastAsia" w:ascii="仿宋" w:hAnsi="仿宋" w:eastAsia="仿宋"/>
          <w:b w:val="0"/>
          <w:bCs/>
          <w:color w:val="auto"/>
          <w:sz w:val="32"/>
          <w:szCs w:val="32"/>
          <w:highlight w:val="none"/>
        </w:rPr>
        <w:t>。</w:t>
      </w:r>
    </w:p>
    <w:p>
      <w:pPr>
        <w:spacing w:line="600" w:lineRule="exact"/>
        <w:ind w:firstLine="643" w:firstLineChars="200"/>
        <w:rPr>
          <w:rFonts w:hint="default" w:ascii="仿宋" w:hAnsi="仿宋" w:eastAsia="仿宋"/>
          <w:b/>
          <w:color w:val="auto"/>
          <w:sz w:val="32"/>
          <w:szCs w:val="32"/>
          <w:highlight w:val="yellow"/>
          <w:lang w:val="en-US" w:eastAsia="zh-CN"/>
        </w:rPr>
      </w:pPr>
      <w:r>
        <w:rPr>
          <w:rStyle w:val="14"/>
          <w:rFonts w:hint="eastAsia" w:ascii="仿宋" w:hAnsi="仿宋" w:eastAsia="仿宋"/>
          <w:bCs/>
          <w:color w:val="auto"/>
          <w:sz w:val="32"/>
          <w:szCs w:val="32"/>
          <w:highlight w:val="none"/>
          <w:lang w:val="en-US" w:eastAsia="zh-CN"/>
        </w:rPr>
        <w:t>8</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交通运输支出（类）公路水路运输（款）航道维护（项）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1888.31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97.43</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w:t>
      </w:r>
      <w:r>
        <w:rPr>
          <w:rStyle w:val="14"/>
          <w:rFonts w:hint="eastAsia" w:ascii="仿宋" w:hAnsi="仿宋" w:eastAsia="仿宋"/>
          <w:b w:val="0"/>
          <w:bCs/>
          <w:color w:val="auto"/>
          <w:sz w:val="32"/>
          <w:szCs w:val="32"/>
          <w:highlight w:val="none"/>
          <w:lang w:val="en-US" w:eastAsia="zh-CN"/>
        </w:rPr>
        <w:t>小于</w:t>
      </w:r>
      <w:r>
        <w:rPr>
          <w:rStyle w:val="14"/>
          <w:rFonts w:hint="eastAsia" w:ascii="仿宋" w:hAnsi="仿宋" w:eastAsia="仿宋"/>
          <w:b w:val="0"/>
          <w:bCs/>
          <w:color w:val="auto"/>
          <w:sz w:val="32"/>
          <w:szCs w:val="32"/>
          <w:highlight w:val="none"/>
        </w:rPr>
        <w:t>预算数</w:t>
      </w:r>
      <w:r>
        <w:rPr>
          <w:rStyle w:val="14"/>
          <w:rFonts w:hint="eastAsia" w:ascii="仿宋" w:hAnsi="仿宋" w:eastAsia="仿宋"/>
          <w:b w:val="0"/>
          <w:bCs/>
          <w:color w:val="auto"/>
          <w:sz w:val="32"/>
          <w:szCs w:val="32"/>
          <w:highlight w:val="none"/>
          <w:lang w:val="en-US" w:eastAsia="zh-CN"/>
        </w:rPr>
        <w:t>的主要原因是苍溪航道段航标及航道测量设备政府采购资金</w:t>
      </w:r>
      <w:r>
        <w:rPr>
          <w:rFonts w:hint="eastAsia" w:ascii="仿宋" w:hAnsi="仿宋" w:eastAsia="仿宋"/>
          <w:color w:val="000000"/>
          <w:sz w:val="32"/>
          <w:szCs w:val="32"/>
          <w:highlight w:val="none"/>
          <w:lang w:val="en-US" w:eastAsia="zh-CN"/>
        </w:rPr>
        <w:t>49.8万因政府采购流程未完成而未实现支付，</w:t>
      </w:r>
      <w:r>
        <w:rPr>
          <w:rFonts w:hint="eastAsia" w:ascii="仿宋" w:hAnsi="仿宋" w:eastAsia="仿宋"/>
          <w:color w:val="000000"/>
          <w:sz w:val="32"/>
          <w:szCs w:val="32"/>
          <w:lang w:val="en-US" w:eastAsia="zh-CN"/>
        </w:rPr>
        <w:t>结转到2022年继续使用。</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9</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交通运输支出（类）公路水路运输（款）其他公路水路运输支出（项）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256.42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79.76</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，决算数小于预算数的主要原因是</w:t>
      </w:r>
      <w:r>
        <w:rPr>
          <w:rStyle w:val="14"/>
          <w:rFonts w:hint="eastAsia" w:ascii="仿宋" w:hAnsi="仿宋" w:eastAsia="仿宋"/>
          <w:b w:val="0"/>
          <w:bCs/>
          <w:color w:val="auto"/>
          <w:sz w:val="32"/>
          <w:szCs w:val="32"/>
          <w:highlight w:val="none"/>
          <w:lang w:val="en-US" w:eastAsia="zh-CN"/>
        </w:rPr>
        <w:t>信息化项目未完成，65.06万元资金结转下年继续使用</w:t>
      </w:r>
      <w:r>
        <w:rPr>
          <w:rStyle w:val="14"/>
          <w:rFonts w:hint="eastAsia" w:ascii="仿宋" w:hAnsi="仿宋" w:eastAsia="仿宋"/>
          <w:b w:val="0"/>
          <w:bCs/>
          <w:color w:val="auto"/>
          <w:sz w:val="32"/>
          <w:szCs w:val="32"/>
          <w:highlight w:val="none"/>
        </w:rPr>
        <w:t>。</w:t>
      </w:r>
    </w:p>
    <w:p>
      <w:pPr>
        <w:spacing w:line="600" w:lineRule="exact"/>
        <w:ind w:firstLine="643" w:firstLineChars="200"/>
        <w:rPr>
          <w:rFonts w:hint="default" w:ascii="仿宋" w:hAnsi="仿宋" w:eastAsia="仿宋"/>
          <w:b/>
          <w:color w:val="auto"/>
          <w:sz w:val="32"/>
          <w:szCs w:val="32"/>
          <w:highlight w:val="none"/>
          <w:lang w:val="en-US" w:eastAsia="zh-CN"/>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lang w:val="en-US" w:eastAsia="zh-CN"/>
        </w:rPr>
        <w:t>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住房</w:t>
      </w:r>
      <w:r>
        <w:rPr>
          <w:rStyle w:val="14"/>
          <w:rFonts w:hint="eastAsia" w:ascii="仿宋" w:hAnsi="仿宋" w:eastAsia="仿宋"/>
          <w:bCs/>
          <w:color w:val="auto"/>
          <w:sz w:val="32"/>
          <w:szCs w:val="32"/>
          <w:highlight w:val="none"/>
          <w:lang w:val="en-US" w:eastAsia="zh-CN"/>
        </w:rPr>
        <w:t>保障</w:t>
      </w:r>
      <w:r>
        <w:rPr>
          <w:rStyle w:val="14"/>
          <w:rFonts w:hint="eastAsia" w:ascii="仿宋" w:hAnsi="仿宋" w:eastAsia="仿宋"/>
          <w:bCs/>
          <w:color w:val="auto"/>
          <w:sz w:val="32"/>
          <w:szCs w:val="32"/>
          <w:highlight w:val="none"/>
        </w:rPr>
        <w:t>支出（类）住房</w:t>
      </w:r>
      <w:r>
        <w:rPr>
          <w:rStyle w:val="14"/>
          <w:rFonts w:hint="eastAsia" w:ascii="仿宋" w:hAnsi="仿宋" w:eastAsia="仿宋"/>
          <w:bCs/>
          <w:color w:val="auto"/>
          <w:sz w:val="32"/>
          <w:szCs w:val="32"/>
          <w:highlight w:val="none"/>
          <w:lang w:val="en-US" w:eastAsia="zh-CN"/>
        </w:rPr>
        <w:t>改革</w:t>
      </w:r>
      <w:r>
        <w:rPr>
          <w:rStyle w:val="14"/>
          <w:rFonts w:hint="eastAsia" w:ascii="仿宋" w:hAnsi="仿宋" w:eastAsia="仿宋"/>
          <w:bCs/>
          <w:color w:val="auto"/>
          <w:sz w:val="32"/>
          <w:szCs w:val="32"/>
          <w:highlight w:val="none"/>
        </w:rPr>
        <w:t>支出（款）住房公积金（项）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111.07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w:t>
      </w:r>
      <w:r>
        <w:rPr>
          <w:rStyle w:val="14"/>
          <w:rFonts w:hint="eastAsia" w:ascii="仿宋" w:hAnsi="仿宋" w:eastAsia="仿宋"/>
          <w:b w:val="0"/>
          <w:bCs/>
          <w:color w:val="auto"/>
          <w:sz w:val="32"/>
          <w:szCs w:val="32"/>
          <w:highlight w:val="none"/>
          <w:lang w:val="en-US" w:eastAsia="zh-CN"/>
        </w:rPr>
        <w:t>。</w:t>
      </w:r>
    </w:p>
    <w:p>
      <w:pPr>
        <w:tabs>
          <w:tab w:val="right" w:pos="8306"/>
        </w:tabs>
        <w:spacing w:line="600" w:lineRule="exact"/>
        <w:ind w:firstLine="640"/>
        <w:outlineLvl w:val="1"/>
        <w:rPr>
          <w:rStyle w:val="25"/>
          <w:color w:val="auto"/>
          <w:highlight w:val="none"/>
        </w:rPr>
      </w:pPr>
      <w:bookmarkStart w:id="59" w:name="_Toc15377214"/>
      <w:bookmarkStart w:id="60" w:name="_Toc7216"/>
      <w:bookmarkStart w:id="61"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59"/>
      <w:bookmarkEnd w:id="60"/>
      <w:bookmarkEnd w:id="61"/>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1654.29</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人员经费1,494.73万元，主要包括：基本工资、津贴补贴、奖金、绩效工资、机关事业单位基本养老保险缴费、职业年金缴费、</w:t>
      </w:r>
      <w:r>
        <w:rPr>
          <w:rFonts w:hint="eastAsia" w:ascii="仿宋" w:hAnsi="仿宋" w:eastAsia="仿宋"/>
          <w:color w:val="auto"/>
          <w:sz w:val="32"/>
          <w:szCs w:val="32"/>
          <w:highlight w:val="none"/>
          <w:lang w:eastAsia="zh-CN"/>
        </w:rPr>
        <w:t>职工基本医疗保险缴费、</w:t>
      </w:r>
      <w:r>
        <w:rPr>
          <w:rFonts w:hint="eastAsia" w:ascii="仿宋" w:hAnsi="仿宋" w:eastAsia="仿宋"/>
          <w:color w:val="auto"/>
          <w:sz w:val="32"/>
          <w:szCs w:val="32"/>
          <w:highlight w:val="none"/>
        </w:rPr>
        <w:t>其他社会保障缴费、住房公积金、其他工资福利支出、离休费、生活补助、奖励金、其他对个人和家庭的补助支出等。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公用经费159.56万元，主要包括：办公费、印刷费、咨询费、手续费、水费、电费、邮电费、物业管理费、差旅费、维修（护）费、培训费、公务接待费、</w:t>
      </w:r>
      <w:r>
        <w:rPr>
          <w:rFonts w:hint="eastAsia" w:ascii="仿宋" w:hAnsi="仿宋" w:eastAsia="仿宋"/>
          <w:color w:val="auto"/>
          <w:sz w:val="32"/>
          <w:szCs w:val="32"/>
          <w:highlight w:val="none"/>
          <w:lang w:eastAsia="zh-CN"/>
        </w:rPr>
        <w:t>专用材料费、</w:t>
      </w:r>
      <w:r>
        <w:rPr>
          <w:rFonts w:hint="eastAsia" w:ascii="仿宋" w:hAnsi="仿宋" w:eastAsia="仿宋"/>
          <w:color w:val="auto"/>
          <w:sz w:val="32"/>
          <w:szCs w:val="32"/>
          <w:highlight w:val="none"/>
        </w:rPr>
        <w:t>劳务费、工会经费、福利费、公务用车运行维护费、其他交通费、其他商品和服务支出等。</w:t>
      </w:r>
    </w:p>
    <w:p>
      <w:pPr>
        <w:spacing w:line="600" w:lineRule="exact"/>
        <w:ind w:firstLine="640"/>
        <w:outlineLvl w:val="1"/>
        <w:rPr>
          <w:rStyle w:val="25"/>
          <w:rFonts w:ascii="黑体" w:hAnsi="黑体" w:eastAsia="黑体"/>
          <w:b w:val="0"/>
          <w:color w:val="auto"/>
          <w:highlight w:val="none"/>
        </w:rPr>
      </w:pPr>
      <w:bookmarkStart w:id="62" w:name="_Toc9861"/>
      <w:bookmarkStart w:id="63" w:name="_Toc15396609"/>
      <w:bookmarkStart w:id="64" w:name="_Toc15377215"/>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62"/>
      <w:bookmarkEnd w:id="63"/>
      <w:bookmarkEnd w:id="64"/>
    </w:p>
    <w:p>
      <w:pPr>
        <w:spacing w:line="600" w:lineRule="exact"/>
        <w:ind w:firstLine="640"/>
        <w:outlineLvl w:val="2"/>
        <w:rPr>
          <w:rFonts w:ascii="仿宋" w:hAnsi="仿宋" w:eastAsia="仿宋"/>
          <w:b/>
          <w:color w:val="auto"/>
          <w:sz w:val="32"/>
          <w:szCs w:val="32"/>
          <w:highlight w:val="none"/>
        </w:rPr>
      </w:pPr>
      <w:bookmarkStart w:id="65" w:name="_Toc15377216"/>
      <w:r>
        <w:rPr>
          <w:rFonts w:hint="eastAsia" w:ascii="仿宋" w:hAnsi="仿宋" w:eastAsia="仿宋"/>
          <w:b/>
          <w:color w:val="auto"/>
          <w:sz w:val="32"/>
          <w:szCs w:val="32"/>
          <w:highlight w:val="none"/>
        </w:rPr>
        <w:t>（一）“三公”经费财政拨款支出决算总体情况说明</w:t>
      </w:r>
      <w:bookmarkEnd w:id="6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8.78</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49.89</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，决算数小于预算数的主要原因是</w:t>
      </w:r>
      <w:r>
        <w:rPr>
          <w:rFonts w:hint="eastAsia" w:ascii="仿宋" w:hAnsi="仿宋" w:eastAsia="仿宋"/>
          <w:color w:val="auto"/>
          <w:sz w:val="32"/>
          <w:szCs w:val="32"/>
          <w:highlight w:val="none"/>
          <w:lang w:val="en-US" w:eastAsia="zh-CN"/>
        </w:rPr>
        <w:t>机构改革后职能减少，车辆划出，公务用车运行维护费减少</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66" w:name="_Toc15377217"/>
      <w:r>
        <w:rPr>
          <w:rFonts w:hint="eastAsia" w:ascii="仿宋" w:hAnsi="仿宋" w:eastAsia="仿宋"/>
          <w:b/>
          <w:color w:val="auto"/>
          <w:sz w:val="32"/>
          <w:szCs w:val="32"/>
          <w:highlight w:val="none"/>
        </w:rPr>
        <w:t>（二）“三公”经费财政拨款支出决算具体情况说明</w:t>
      </w:r>
      <w:bookmarkEnd w:id="66"/>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年“三公”经费财政拨款支出决算中，公务用车购置及运行维护费支出决算</w:t>
      </w:r>
      <w:r>
        <w:rPr>
          <w:rFonts w:hint="eastAsia" w:ascii="仿宋" w:hAnsi="仿宋" w:eastAsia="仿宋"/>
          <w:color w:val="auto"/>
          <w:sz w:val="32"/>
          <w:szCs w:val="32"/>
          <w:highlight w:val="none"/>
          <w:lang w:val="en-US" w:eastAsia="zh-CN"/>
        </w:rPr>
        <w:t>7.15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81.44</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1.63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18.56</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rPr>
          <w:rFonts w:hint="eastAsia" w:eastAsia="仿宋"/>
          <w:lang w:eastAsia="zh-CN"/>
        </w:rPr>
      </w:pPr>
      <w:r>
        <w:rPr>
          <w:rFonts w:hint="eastAsia" w:eastAsia="仿宋"/>
          <w:lang w:eastAsia="zh-CN"/>
        </w:rPr>
        <w:drawing>
          <wp:inline distT="0" distB="0" distL="114300" distR="114300">
            <wp:extent cx="5080000" cy="3810000"/>
            <wp:effectExtent l="4445" t="4445" r="5715" b="107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年初未安排预算。</w:t>
      </w:r>
      <w:r>
        <w:rPr>
          <w:rFonts w:hint="eastAsia" w:ascii="仿宋_GB2312" w:eastAsia="仿宋_GB2312"/>
          <w:color w:val="auto"/>
          <w:sz w:val="32"/>
          <w:szCs w:val="32"/>
          <w:highlight w:val="none"/>
        </w:rPr>
        <w:t>因公出国（境）支出决算较2020年无变化。</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b/>
          <w:color w:val="auto"/>
          <w:sz w:val="32"/>
          <w:szCs w:val="32"/>
          <w:highlight w:val="none"/>
          <w:lang w:val="en-US" w:eastAsia="zh-CN"/>
        </w:rPr>
        <w:t>7.15</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45.48</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lang w:eastAsia="zh-CN"/>
        </w:rPr>
        <w:t>，决算数小于预算数的原因是机构改革后车辆划出，导致公务用车运行维护费减少</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15.82万元</w:t>
      </w:r>
      <w:r>
        <w:rPr>
          <w:rFonts w:hint="eastAsia" w:ascii="仿宋_GB2312" w:eastAsia="仿宋_GB2312"/>
          <w:color w:val="auto"/>
          <w:sz w:val="32"/>
          <w:szCs w:val="32"/>
          <w:highlight w:val="none"/>
        </w:rPr>
        <w:t>减少</w:t>
      </w:r>
      <w:r>
        <w:rPr>
          <w:rFonts w:hint="eastAsia" w:ascii="仿宋_GB2312" w:eastAsia="仿宋_GB2312"/>
          <w:color w:val="auto"/>
          <w:sz w:val="32"/>
          <w:szCs w:val="32"/>
          <w:highlight w:val="none"/>
          <w:lang w:val="en-US" w:eastAsia="zh-CN"/>
        </w:rPr>
        <w:t>8.67</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54.80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Style w:val="14"/>
          <w:rFonts w:hint="eastAsia" w:ascii="仿宋" w:hAnsi="仿宋" w:eastAsia="仿宋"/>
          <w:b w:val="0"/>
          <w:bCs/>
          <w:color w:val="auto"/>
          <w:sz w:val="32"/>
          <w:szCs w:val="32"/>
          <w:highlight w:val="none"/>
          <w:lang w:eastAsia="zh-CN"/>
        </w:rPr>
        <w:t>机构改革后车辆划出，导致公务用车运行维护费减少</w:t>
      </w:r>
      <w:r>
        <w:rPr>
          <w:rStyle w:val="14"/>
          <w:rFonts w:hint="eastAsia" w:ascii="仿宋" w:hAnsi="仿宋" w:eastAsia="仿宋"/>
          <w:b w:val="0"/>
          <w:bCs/>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皮卡车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，主要用于航道维护督导检查及乡村振兴等</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7.15</w:t>
      </w:r>
      <w:r>
        <w:rPr>
          <w:rFonts w:hint="eastAsia" w:ascii="仿宋_GB2312" w:eastAsia="仿宋_GB2312"/>
          <w:color w:val="auto"/>
          <w:sz w:val="32"/>
          <w:szCs w:val="32"/>
          <w:highlight w:val="none"/>
        </w:rPr>
        <w:t>万元。主要用于日常工作中出差、协调</w:t>
      </w:r>
      <w:r>
        <w:rPr>
          <w:rFonts w:hint="eastAsia" w:ascii="仿宋_GB2312" w:eastAsia="仿宋_GB2312"/>
          <w:color w:val="auto"/>
          <w:sz w:val="32"/>
          <w:szCs w:val="32"/>
          <w:highlight w:val="none"/>
          <w:lang w:val="en-US" w:eastAsia="zh-CN"/>
        </w:rPr>
        <w:t>航运</w:t>
      </w:r>
      <w:r>
        <w:rPr>
          <w:rFonts w:hint="eastAsia" w:ascii="仿宋_GB2312" w:eastAsia="仿宋_GB2312"/>
          <w:color w:val="auto"/>
          <w:sz w:val="32"/>
          <w:szCs w:val="32"/>
          <w:highlight w:val="none"/>
        </w:rPr>
        <w:t>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1.63</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86.70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1.49万元</w:t>
      </w:r>
      <w:r>
        <w:rPr>
          <w:rFonts w:hint="eastAsia" w:ascii="仿宋_GB2312" w:eastAsia="仿宋_GB2312"/>
          <w:color w:val="auto"/>
          <w:sz w:val="32"/>
          <w:szCs w:val="32"/>
          <w:highlight w:val="none"/>
        </w:rPr>
        <w:t>增加</w:t>
      </w:r>
      <w:r>
        <w:rPr>
          <w:rFonts w:hint="eastAsia" w:ascii="仿宋_GB2312" w:eastAsia="仿宋_GB2312"/>
          <w:color w:val="auto"/>
          <w:sz w:val="32"/>
          <w:szCs w:val="32"/>
          <w:highlight w:val="none"/>
          <w:lang w:val="en-US" w:eastAsia="zh-CN"/>
        </w:rPr>
        <w:t>0.14</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9.40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疫情缓和，接待人次增多</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1.63</w:t>
      </w:r>
      <w:r>
        <w:rPr>
          <w:rFonts w:hint="eastAsia" w:ascii="仿宋_GB2312" w:eastAsia="仿宋_GB2312"/>
          <w:color w:val="auto"/>
          <w:sz w:val="32"/>
          <w:szCs w:val="32"/>
          <w:highlight w:val="none"/>
        </w:rPr>
        <w:t>万元，主要用于执行公务用餐费等。国内公务接待</w:t>
      </w: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167</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1.63</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中心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省航务局来广安全督查，支出0.07万元。省交通运输厅安全检查，支出0.04万元。南充市航务管理局考察学习水上应急救助项目建设，支出0.15万元。部水运局调研嘉陵江通航建筑物联合调度，支出0.33万元。省交通厅调研水路交通情况，支出0.20万元。乐山市港航发展中心来广交流，支出0.15万元。省海事局来广调研海事情况，支出0.18万元。泸州市交通运输局来广交流，支出0.13万元。</w:t>
      </w:r>
      <w:r>
        <w:rPr>
          <w:rFonts w:hint="eastAsia" w:ascii="仿宋" w:hAnsi="仿宋" w:eastAsia="仿宋"/>
          <w:color w:val="000000"/>
          <w:sz w:val="32"/>
          <w:szCs w:val="32"/>
          <w:lang w:val="en-US" w:eastAsia="zh-CN"/>
        </w:rPr>
        <w:t>（广元段）组织两村（苍溪县岳东镇青竹村、三塘村）村组干部及贫困户代表召开座谈会，会后用餐支出0.18万元。</w:t>
      </w:r>
      <w:r>
        <w:rPr>
          <w:rFonts w:hint="eastAsia" w:ascii="仿宋_GB2312" w:eastAsia="仿宋_GB2312"/>
          <w:color w:val="auto"/>
          <w:sz w:val="32"/>
          <w:szCs w:val="32"/>
          <w:highlight w:val="none"/>
          <w:lang w:val="en-US" w:eastAsia="zh-CN"/>
        </w:rPr>
        <w:t>（苍溪段）</w:t>
      </w:r>
      <w:r>
        <w:rPr>
          <w:rFonts w:hint="eastAsia" w:ascii="仿宋" w:hAnsi="仿宋" w:eastAsia="仿宋"/>
          <w:color w:val="000000"/>
          <w:sz w:val="32"/>
          <w:szCs w:val="32"/>
        </w:rPr>
        <w:t>广元市</w:t>
      </w:r>
      <w:r>
        <w:rPr>
          <w:rFonts w:hint="eastAsia" w:ascii="仿宋" w:hAnsi="仿宋" w:eastAsia="仿宋"/>
          <w:color w:val="000000"/>
          <w:sz w:val="32"/>
          <w:szCs w:val="32"/>
          <w:lang w:eastAsia="zh-CN"/>
        </w:rPr>
        <w:t>港航发展中心</w:t>
      </w:r>
      <w:r>
        <w:rPr>
          <w:rFonts w:hint="eastAsia" w:ascii="仿宋" w:hAnsi="仿宋" w:eastAsia="仿宋"/>
          <w:color w:val="000000"/>
          <w:sz w:val="32"/>
          <w:szCs w:val="32"/>
        </w:rPr>
        <w:t>开展汛期水上交通安全检查，发生金额</w:t>
      </w:r>
      <w:r>
        <w:rPr>
          <w:rFonts w:hint="eastAsia" w:ascii="仿宋" w:hAnsi="仿宋" w:eastAsia="仿宋"/>
          <w:color w:val="000000"/>
          <w:sz w:val="32"/>
          <w:szCs w:val="32"/>
          <w:lang w:val="en-US" w:eastAsia="zh-CN"/>
        </w:rPr>
        <w:t>0.09万元；</w:t>
      </w:r>
      <w:r>
        <w:rPr>
          <w:rFonts w:hint="eastAsia" w:ascii="仿宋" w:hAnsi="仿宋" w:eastAsia="仿宋"/>
          <w:color w:val="000000"/>
          <w:sz w:val="32"/>
          <w:szCs w:val="32"/>
        </w:rPr>
        <w:t>广元市</w:t>
      </w:r>
      <w:r>
        <w:rPr>
          <w:rFonts w:hint="eastAsia" w:ascii="仿宋" w:hAnsi="仿宋" w:eastAsia="仿宋"/>
          <w:color w:val="000000"/>
          <w:sz w:val="32"/>
          <w:szCs w:val="32"/>
          <w:lang w:eastAsia="zh-CN"/>
        </w:rPr>
        <w:t>港航发展中心</w:t>
      </w:r>
      <w:r>
        <w:rPr>
          <w:rFonts w:hint="eastAsia" w:ascii="仿宋" w:hAnsi="仿宋" w:eastAsia="仿宋"/>
          <w:color w:val="000000"/>
          <w:sz w:val="32"/>
          <w:szCs w:val="32"/>
        </w:rPr>
        <w:t>开展</w:t>
      </w:r>
      <w:r>
        <w:rPr>
          <w:rFonts w:hint="eastAsia" w:ascii="仿宋" w:hAnsi="仿宋" w:eastAsia="仿宋"/>
          <w:color w:val="000000"/>
          <w:sz w:val="32"/>
          <w:szCs w:val="32"/>
          <w:lang w:eastAsia="zh-CN"/>
        </w:rPr>
        <w:t>“夏季送清凉”慰问活动，发生金额</w:t>
      </w:r>
      <w:r>
        <w:rPr>
          <w:rFonts w:hint="eastAsia" w:ascii="仿宋" w:hAnsi="仿宋" w:eastAsia="仿宋"/>
          <w:color w:val="000000"/>
          <w:sz w:val="32"/>
          <w:szCs w:val="32"/>
          <w:lang w:val="en-US" w:eastAsia="zh-CN"/>
        </w:rPr>
        <w:t>0.05万元；</w:t>
      </w:r>
      <w:r>
        <w:rPr>
          <w:rFonts w:hint="eastAsia" w:ascii="仿宋" w:hAnsi="仿宋" w:eastAsia="仿宋"/>
          <w:color w:val="000000"/>
          <w:sz w:val="32"/>
          <w:szCs w:val="32"/>
        </w:rPr>
        <w:t>广元市</w:t>
      </w:r>
      <w:r>
        <w:rPr>
          <w:rFonts w:hint="eastAsia" w:ascii="仿宋" w:hAnsi="仿宋" w:eastAsia="仿宋"/>
          <w:color w:val="000000"/>
          <w:sz w:val="32"/>
          <w:szCs w:val="32"/>
          <w:lang w:eastAsia="zh-CN"/>
        </w:rPr>
        <w:t>港航发展中心</w:t>
      </w:r>
      <w:r>
        <w:rPr>
          <w:rFonts w:hint="eastAsia" w:ascii="仿宋" w:hAnsi="仿宋" w:eastAsia="仿宋"/>
          <w:color w:val="000000"/>
          <w:sz w:val="32"/>
          <w:szCs w:val="32"/>
        </w:rPr>
        <w:t>开展</w:t>
      </w:r>
      <w:r>
        <w:rPr>
          <w:rFonts w:hint="eastAsia" w:ascii="仿宋" w:hAnsi="仿宋" w:eastAsia="仿宋"/>
          <w:color w:val="000000"/>
          <w:sz w:val="32"/>
          <w:szCs w:val="32"/>
          <w:lang w:eastAsia="zh-CN"/>
        </w:rPr>
        <w:t>船舶防汛检查，发生金额</w:t>
      </w:r>
      <w:r>
        <w:rPr>
          <w:rFonts w:hint="eastAsia" w:ascii="仿宋" w:hAnsi="仿宋" w:eastAsia="仿宋"/>
          <w:color w:val="000000"/>
          <w:sz w:val="32"/>
          <w:szCs w:val="32"/>
          <w:lang w:val="en-US" w:eastAsia="zh-CN"/>
        </w:rPr>
        <w:t>0.06万元。</w:t>
      </w:r>
    </w:p>
    <w:p>
      <w:pPr>
        <w:spacing w:line="600" w:lineRule="exact"/>
        <w:ind w:firstLine="643" w:firstLineChars="200"/>
        <w:rPr>
          <w:rFonts w:hint="eastAsia" w:ascii="仿宋_GB2312" w:eastAsia="仿宋_GB2312"/>
          <w:color w:val="auto"/>
          <w:sz w:val="32"/>
          <w:szCs w:val="32"/>
          <w:highlight w:val="none"/>
          <w:lang w:val="en-US" w:eastAsia="zh-CN"/>
        </w:rPr>
      </w:pPr>
      <w:bookmarkStart w:id="67" w:name="_Toc15377218"/>
      <w:bookmarkStart w:id="68" w:name="_Toc15396610"/>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0"/>
        <w:outlineLvl w:val="1"/>
        <w:rPr>
          <w:rStyle w:val="25"/>
          <w:rFonts w:ascii="黑体" w:hAnsi="黑体" w:eastAsia="黑体"/>
          <w:color w:val="auto"/>
          <w:highlight w:val="none"/>
        </w:rPr>
      </w:pPr>
      <w:bookmarkStart w:id="69" w:name="_Toc29290"/>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67"/>
      <w:bookmarkEnd w:id="68"/>
      <w:bookmarkEnd w:id="69"/>
    </w:p>
    <w:p>
      <w:pPr>
        <w:spacing w:line="600" w:lineRule="exact"/>
        <w:ind w:firstLine="64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248.19</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，未使用政府性基金预算财政拨款安排“三公”经费支出。</w:t>
      </w:r>
    </w:p>
    <w:p>
      <w:pPr>
        <w:numPr>
          <w:ilvl w:val="0"/>
          <w:numId w:val="3"/>
        </w:numPr>
        <w:spacing w:line="600" w:lineRule="exact"/>
        <w:ind w:firstLine="640"/>
        <w:outlineLvl w:val="1"/>
        <w:rPr>
          <w:rStyle w:val="25"/>
          <w:rFonts w:ascii="黑体" w:hAnsi="黑体" w:eastAsia="黑体"/>
          <w:b w:val="0"/>
          <w:color w:val="auto"/>
          <w:highlight w:val="none"/>
        </w:rPr>
      </w:pPr>
      <w:bookmarkStart w:id="70" w:name="_Toc15396611"/>
      <w:bookmarkStart w:id="71" w:name="_Toc6016"/>
      <w:bookmarkStart w:id="72" w:name="_Toc15377219"/>
      <w:bookmarkStart w:id="73" w:name="_Toc10019"/>
      <w:r>
        <w:rPr>
          <w:rStyle w:val="25"/>
          <w:rFonts w:hint="eastAsia" w:ascii="黑体" w:hAnsi="黑体" w:eastAsia="黑体"/>
          <w:b w:val="0"/>
          <w:color w:val="auto"/>
          <w:highlight w:val="none"/>
        </w:rPr>
        <w:t>国有资本经营预算支出决算情况说明</w:t>
      </w:r>
      <w:bookmarkEnd w:id="70"/>
      <w:bookmarkEnd w:id="71"/>
      <w:bookmarkEnd w:id="72"/>
    </w:p>
    <w:bookmarkEnd w:id="73"/>
    <w:p>
      <w:pPr>
        <w:spacing w:line="600" w:lineRule="exact"/>
        <w:ind w:firstLine="64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74" w:name="_Toc15396612"/>
      <w:bookmarkStart w:id="75" w:name="_Toc15377221"/>
    </w:p>
    <w:p>
      <w:pPr>
        <w:numPr>
          <w:ilvl w:val="0"/>
          <w:numId w:val="3"/>
        </w:numPr>
        <w:spacing w:line="600" w:lineRule="exact"/>
        <w:ind w:firstLine="640"/>
        <w:outlineLvl w:val="1"/>
        <w:rPr>
          <w:rStyle w:val="25"/>
          <w:rFonts w:hint="eastAsia" w:ascii="黑体" w:hAnsi="黑体" w:eastAsia="黑体"/>
          <w:b w:val="0"/>
          <w:color w:val="auto"/>
          <w:highlight w:val="none"/>
        </w:rPr>
      </w:pPr>
      <w:bookmarkStart w:id="76" w:name="_Toc29087"/>
      <w:bookmarkStart w:id="77" w:name="_Toc9769"/>
      <w:r>
        <w:rPr>
          <w:rStyle w:val="25"/>
          <w:rFonts w:hint="eastAsia" w:ascii="黑体" w:hAnsi="黑体" w:eastAsia="黑体"/>
          <w:b w:val="0"/>
          <w:color w:val="auto"/>
          <w:highlight w:val="none"/>
          <w:lang w:val="en-US" w:eastAsia="zh-CN"/>
        </w:rPr>
        <w:t>预算绩效管理情况</w:t>
      </w:r>
      <w:bookmarkEnd w:id="76"/>
    </w:p>
    <w:bookmarkEnd w:id="77"/>
    <w:p>
      <w:pPr>
        <w:numPr>
          <w:ilvl w:val="0"/>
          <w:numId w:val="0"/>
        </w:numPr>
        <w:spacing w:line="600" w:lineRule="exact"/>
        <w:ind w:firstLine="640" w:firstLineChars="200"/>
        <w:outlineLvl w:val="1"/>
        <w:rPr>
          <w:rFonts w:hint="eastAsia"/>
        </w:rPr>
      </w:pPr>
      <w:bookmarkStart w:id="78" w:name="_Toc7182"/>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color w:val="auto"/>
          <w:sz w:val="32"/>
          <w:szCs w:val="32"/>
          <w:highlight w:val="none"/>
          <w:lang w:val="en-US" w:eastAsia="zh-CN"/>
        </w:rPr>
        <w:t>船舶检验与修造管理专项工作经费</w:t>
      </w:r>
      <w:r>
        <w:rPr>
          <w:rFonts w:hint="eastAsia" w:ascii="仿宋_GB2312" w:hAnsi="仿宋_GB2312" w:eastAsia="仿宋_GB2312" w:cs="仿宋_GB2312"/>
          <w:color w:val="auto"/>
          <w:sz w:val="32"/>
          <w:szCs w:val="32"/>
          <w:highlight w:val="none"/>
        </w:rPr>
        <w:t>项目（项目名称）</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11个项目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广元市港航发展中心</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bookmarkEnd w:id="78"/>
    </w:p>
    <w:p>
      <w:pPr>
        <w:numPr>
          <w:ilvl w:val="0"/>
          <w:numId w:val="3"/>
        </w:numPr>
        <w:spacing w:line="600" w:lineRule="exact"/>
        <w:ind w:firstLine="640"/>
        <w:outlineLvl w:val="1"/>
        <w:rPr>
          <w:rStyle w:val="25"/>
          <w:rFonts w:hint="eastAsia" w:ascii="黑体" w:hAnsi="黑体" w:eastAsia="黑体"/>
          <w:b w:val="0"/>
          <w:color w:val="auto"/>
          <w:highlight w:val="none"/>
        </w:rPr>
      </w:pPr>
      <w:bookmarkStart w:id="79" w:name="_Toc29574"/>
      <w:bookmarkStart w:id="80" w:name="_Toc27313"/>
      <w:r>
        <w:rPr>
          <w:rStyle w:val="25"/>
          <w:rFonts w:hint="eastAsia" w:ascii="黑体" w:hAnsi="黑体" w:eastAsia="黑体"/>
          <w:b w:val="0"/>
          <w:color w:val="auto"/>
          <w:highlight w:val="none"/>
        </w:rPr>
        <w:t>其他重要事项的情况说明</w:t>
      </w:r>
      <w:bookmarkEnd w:id="74"/>
      <w:bookmarkEnd w:id="75"/>
      <w:bookmarkEnd w:id="79"/>
    </w:p>
    <w:bookmarkEnd w:id="80"/>
    <w:p>
      <w:pPr>
        <w:spacing w:line="600" w:lineRule="exact"/>
        <w:ind w:firstLine="643" w:firstLineChars="200"/>
        <w:outlineLvl w:val="2"/>
        <w:rPr>
          <w:rFonts w:ascii="仿宋" w:hAnsi="仿宋" w:eastAsia="仿宋"/>
          <w:color w:val="auto"/>
          <w:sz w:val="32"/>
          <w:szCs w:val="32"/>
          <w:highlight w:val="none"/>
        </w:rPr>
      </w:pPr>
      <w:bookmarkStart w:id="81" w:name="_Toc15377222"/>
      <w:r>
        <w:rPr>
          <w:rFonts w:hint="eastAsia" w:ascii="仿宋" w:hAnsi="仿宋" w:eastAsia="仿宋"/>
          <w:b/>
          <w:color w:val="auto"/>
          <w:sz w:val="32"/>
          <w:szCs w:val="32"/>
          <w:highlight w:val="none"/>
        </w:rPr>
        <w:t>（一）机关运行经费支出情况</w:t>
      </w:r>
      <w:bookmarkEnd w:id="81"/>
    </w:p>
    <w:p>
      <w:pPr>
        <w:spacing w:line="60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广元市港航发展中心</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48.07</w:t>
      </w:r>
      <w:r>
        <w:rPr>
          <w:rFonts w:hint="eastAsia" w:ascii="仿宋_GB2312" w:eastAsia="仿宋_GB2312"/>
          <w:color w:val="auto"/>
          <w:sz w:val="32"/>
          <w:szCs w:val="32"/>
          <w:highlight w:val="none"/>
        </w:rPr>
        <w:t>万元，比2020年67.8</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万元减少19.74万元，下降29.11%。主要原因是机构改革</w:t>
      </w:r>
      <w:r>
        <w:rPr>
          <w:rFonts w:hint="eastAsia" w:ascii="仿宋_GB2312" w:eastAsia="仿宋_GB2312"/>
          <w:color w:val="auto"/>
          <w:sz w:val="32"/>
          <w:szCs w:val="32"/>
          <w:highlight w:val="none"/>
          <w:lang w:eastAsia="zh-CN"/>
        </w:rPr>
        <w:t>后</w:t>
      </w:r>
      <w:r>
        <w:rPr>
          <w:rFonts w:hint="eastAsia" w:ascii="仿宋_GB2312" w:eastAsia="仿宋_GB2312"/>
          <w:color w:val="auto"/>
          <w:sz w:val="32"/>
          <w:szCs w:val="32"/>
          <w:highlight w:val="none"/>
        </w:rPr>
        <w:t>人员减少</w:t>
      </w:r>
      <w:r>
        <w:rPr>
          <w:rFonts w:hint="eastAsia" w:ascii="仿宋_GB2312" w:eastAsia="仿宋_GB2312"/>
          <w:color w:val="auto"/>
          <w:sz w:val="32"/>
          <w:szCs w:val="32"/>
          <w:highlight w:val="none"/>
          <w:lang w:eastAsia="zh-CN"/>
        </w:rPr>
        <w:t>导致基本支出减少。</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82" w:name="_Toc15377223"/>
      <w:r>
        <w:rPr>
          <w:rFonts w:hint="eastAsia" w:ascii="仿宋" w:hAnsi="仿宋" w:eastAsia="仿宋"/>
          <w:b/>
          <w:color w:val="auto"/>
          <w:sz w:val="32"/>
          <w:szCs w:val="32"/>
          <w:highlight w:val="none"/>
        </w:rPr>
        <w:t>（二）政府采购支出情况</w:t>
      </w:r>
      <w:bookmarkEnd w:id="82"/>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广元市港航发展中心</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39.55</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39.55</w:t>
      </w:r>
      <w:r>
        <w:rPr>
          <w:rFonts w:hint="eastAsia" w:ascii="仿宋_GB2312" w:eastAsia="仿宋_GB2312"/>
          <w:color w:val="auto"/>
          <w:sz w:val="32"/>
          <w:szCs w:val="32"/>
          <w:highlight w:val="none"/>
        </w:rPr>
        <w:t>万元。主要用于水上交通安全监测综合信息系统计算机存储资源采购。授予中小企业合同金额</w:t>
      </w:r>
      <w:r>
        <w:rPr>
          <w:rFonts w:hint="eastAsia" w:ascii="仿宋_GB2312" w:eastAsia="仿宋_GB2312"/>
          <w:color w:val="auto"/>
          <w:sz w:val="32"/>
          <w:szCs w:val="32"/>
          <w:highlight w:val="none"/>
          <w:lang w:val="en-US" w:eastAsia="zh-CN"/>
        </w:rPr>
        <w:t>39.55</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39.55</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100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83" w:name="_Toc15377224"/>
      <w:r>
        <w:rPr>
          <w:rFonts w:hint="eastAsia" w:ascii="仿宋" w:hAnsi="仿宋" w:eastAsia="仿宋"/>
          <w:b/>
          <w:color w:val="auto"/>
          <w:sz w:val="32"/>
          <w:szCs w:val="32"/>
          <w:highlight w:val="none"/>
        </w:rPr>
        <w:t>（三）国有资产占有使用情况</w:t>
      </w:r>
      <w:bookmarkEnd w:id="83"/>
    </w:p>
    <w:p>
      <w:pPr>
        <w:autoSpaceDE w:val="0"/>
        <w:autoSpaceDN w:val="0"/>
        <w:adjustRightInd w:val="0"/>
        <w:spacing w:line="600" w:lineRule="exact"/>
        <w:ind w:firstLine="640" w:firstLineChars="200"/>
        <w:jc w:val="left"/>
        <w:rPr>
          <w:rFonts w:ascii="仿宋_GB2312" w:eastAsia="仿宋_GB2312"/>
          <w:b/>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广元市港航发展中心</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辆，其中：其他用车</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其他用车主要是用于</w:t>
      </w:r>
      <w:r>
        <w:rPr>
          <w:rFonts w:hint="eastAsia" w:ascii="仿宋_GB2312" w:eastAsia="仿宋_GB2312"/>
          <w:color w:val="auto"/>
          <w:sz w:val="32"/>
          <w:szCs w:val="32"/>
          <w:highlight w:val="none"/>
          <w:lang w:eastAsia="zh-CN"/>
        </w:rPr>
        <w:t>日常工作中出差、</w:t>
      </w:r>
      <w:r>
        <w:rPr>
          <w:rFonts w:hint="eastAsia" w:ascii="仿宋" w:hAnsi="仿宋" w:eastAsia="仿宋"/>
          <w:color w:val="000000"/>
          <w:sz w:val="32"/>
          <w:szCs w:val="32"/>
          <w:lang w:eastAsia="zh-CN"/>
        </w:rPr>
        <w:t>航道检查巡查。</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台（套）</w:t>
      </w:r>
      <w:r>
        <w:rPr>
          <w:rFonts w:hint="eastAsia" w:ascii="仿宋_GB2312" w:eastAsia="仿宋_GB2312"/>
          <w:color w:val="auto"/>
          <w:sz w:val="32"/>
          <w:szCs w:val="32"/>
          <w:highlight w:val="none"/>
          <w:lang w:eastAsia="zh-CN"/>
        </w:rPr>
        <w:t>。设备为</w:t>
      </w:r>
      <w:r>
        <w:rPr>
          <w:rFonts w:hint="eastAsia" w:ascii="仿宋_GB2312" w:eastAsia="仿宋_GB2312"/>
          <w:color w:val="auto"/>
          <w:sz w:val="32"/>
          <w:szCs w:val="32"/>
          <w:highlight w:val="none"/>
          <w:lang w:val="en-US" w:eastAsia="zh-CN"/>
        </w:rPr>
        <w:t>广元航道段的</w:t>
      </w:r>
      <w:r>
        <w:rPr>
          <w:rFonts w:hint="eastAsia" w:ascii="仿宋_GB2312" w:eastAsia="仿宋_GB2312"/>
          <w:color w:val="auto"/>
          <w:sz w:val="32"/>
          <w:szCs w:val="32"/>
          <w:highlight w:val="none"/>
          <w:lang w:eastAsia="zh-CN"/>
        </w:rPr>
        <w:t>船舶</w:t>
      </w:r>
      <w:r>
        <w:rPr>
          <w:rFonts w:hint="eastAsia" w:ascii="仿宋_GB2312" w:eastAsia="仿宋_GB2312"/>
          <w:color w:val="auto"/>
          <w:sz w:val="32"/>
          <w:szCs w:val="32"/>
          <w:highlight w:val="none"/>
        </w:rPr>
        <w:t>。</w:t>
      </w: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84" w:name="_Toc15377225"/>
      <w:bookmarkStart w:id="85" w:name="_Toc9537"/>
      <w:bookmarkStart w:id="86" w:name="_Toc15396613"/>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84"/>
      <w:bookmarkEnd w:id="85"/>
      <w:bookmarkEnd w:id="86"/>
    </w:p>
    <w:p>
      <w:pPr>
        <w:spacing w:line="600" w:lineRule="exact"/>
        <w:jc w:val="left"/>
        <w:rPr>
          <w:rFonts w:ascii="宋体"/>
          <w:b/>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eastAsia="仿宋_GB2312"/>
          <w:color w:val="auto"/>
          <w:sz w:val="32"/>
          <w:szCs w:val="32"/>
          <w:highlight w:val="none"/>
        </w:rPr>
      </w:pPr>
      <w:bookmarkStart w:id="87" w:name="_Toc29271"/>
      <w:bookmarkStart w:id="88" w:name="_Toc15377226"/>
      <w:r>
        <w:rPr>
          <w:rFonts w:hint="eastAsia" w:ascii="仿宋_GB2312" w:eastAsia="仿宋_GB2312"/>
          <w:color w:val="auto"/>
          <w:sz w:val="32"/>
          <w:szCs w:val="32"/>
          <w:highlight w:val="none"/>
        </w:rPr>
        <w:t>1.财政拨款收入：指单位从同级财政部门取得的财政预算资金。</w:t>
      </w:r>
      <w:bookmarkEnd w:id="8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eastAsia="仿宋_GB2312"/>
          <w:color w:val="auto"/>
          <w:sz w:val="32"/>
          <w:szCs w:val="32"/>
          <w:highlight w:val="none"/>
        </w:rPr>
      </w:pPr>
      <w:bookmarkStart w:id="89" w:name="_Toc1072"/>
      <w:r>
        <w:rPr>
          <w:rFonts w:hint="eastAsia" w:ascii="仿宋_GB2312" w:eastAsia="仿宋_GB2312"/>
          <w:color w:val="auto"/>
          <w:sz w:val="32"/>
          <w:szCs w:val="32"/>
          <w:highlight w:val="none"/>
        </w:rPr>
        <w:t>2.其他收入：指单位取得的除上述收入以外的各项收入。</w:t>
      </w:r>
      <w:bookmarkEnd w:id="8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eastAsia="仿宋_GB2312"/>
          <w:color w:val="auto"/>
          <w:sz w:val="32"/>
          <w:szCs w:val="32"/>
          <w:highlight w:val="none"/>
        </w:rPr>
      </w:pPr>
      <w:bookmarkStart w:id="90" w:name="_Toc17288"/>
      <w:r>
        <w:rPr>
          <w:rFonts w:hint="eastAsia" w:ascii="仿宋_GB2312" w:eastAsia="仿宋_GB2312"/>
          <w:color w:val="auto"/>
          <w:sz w:val="32"/>
          <w:szCs w:val="32"/>
          <w:highlight w:val="none"/>
        </w:rPr>
        <w:t>3.年初结转和结余：指以前年度尚未完成、结转到本年按有关规定继续使用的资金。</w:t>
      </w:r>
      <w:bookmarkEnd w:id="90"/>
      <w:r>
        <w:rPr>
          <w:rFonts w:hint="eastAsia" w:ascii="仿宋_GB2312" w:eastAsia="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eastAsia="仿宋_GB2312"/>
          <w:color w:val="auto"/>
          <w:sz w:val="32"/>
          <w:szCs w:val="32"/>
          <w:highlight w:val="none"/>
        </w:rPr>
      </w:pPr>
      <w:bookmarkStart w:id="91" w:name="_Toc17995"/>
      <w:r>
        <w:rPr>
          <w:rFonts w:hint="eastAsia" w:ascii="仿宋_GB2312" w:eastAsia="仿宋_GB2312"/>
          <w:color w:val="auto"/>
          <w:sz w:val="32"/>
          <w:szCs w:val="32"/>
          <w:highlight w:val="none"/>
        </w:rPr>
        <w:t>4.年末结转和结余：指单位按有关规定结转到下年或以后年度继续使用的资金。</w:t>
      </w:r>
      <w:bookmarkEnd w:id="91"/>
      <w:r>
        <w:rPr>
          <w:rFonts w:hint="eastAsia" w:ascii="仿宋_GB2312" w:eastAsia="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rPr>
      </w:pPr>
      <w:bookmarkStart w:id="92" w:name="_Toc23884"/>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（类）行政事业单位养老支出（款）事业单位离退休（项）：反映事业单位开支的离退休经费。</w:t>
      </w:r>
      <w:bookmarkEnd w:id="9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lang w:val="en-US" w:eastAsia="zh-CN"/>
        </w:rPr>
      </w:pPr>
      <w:bookmarkStart w:id="93" w:name="_Toc9513"/>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（类）行政事业单位养老支出（款）机关事业单位基本养老保险缴费支出（项）：反映</w:t>
      </w:r>
      <w:r>
        <w:rPr>
          <w:rFonts w:hint="eastAsia" w:ascii="仿宋_GB2312" w:eastAsia="仿宋_GB2312"/>
          <w:color w:val="auto"/>
          <w:sz w:val="32"/>
          <w:szCs w:val="32"/>
          <w:highlight w:val="none"/>
          <w:lang w:eastAsia="zh-CN"/>
        </w:rPr>
        <w:t>机关事业单位实施养老保险制度由单位实际缴纳的基本养老保险费支出</w:t>
      </w:r>
      <w:r>
        <w:rPr>
          <w:rFonts w:hint="eastAsia" w:ascii="仿宋_GB2312" w:eastAsia="仿宋_GB2312"/>
          <w:color w:val="auto"/>
          <w:sz w:val="32"/>
          <w:szCs w:val="32"/>
          <w:highlight w:val="none"/>
        </w:rPr>
        <w:t>。</w:t>
      </w:r>
      <w:bookmarkEnd w:id="9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rPr>
      </w:pPr>
      <w:bookmarkStart w:id="94" w:name="_Toc65"/>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（类）行政事业单位养老支出（款）机关事业单位职业年金缴费支出（项）：反映</w:t>
      </w:r>
      <w:r>
        <w:rPr>
          <w:rFonts w:hint="eastAsia" w:ascii="仿宋_GB2312" w:eastAsia="仿宋_GB2312"/>
          <w:color w:val="auto"/>
          <w:sz w:val="32"/>
          <w:szCs w:val="32"/>
          <w:highlight w:val="none"/>
          <w:lang w:eastAsia="zh-CN"/>
        </w:rPr>
        <w:t>行政事业单位实施养老保险制度由单位实际缴纳的职业年金支出</w:t>
      </w:r>
      <w:r>
        <w:rPr>
          <w:rFonts w:hint="eastAsia" w:ascii="仿宋_GB2312" w:eastAsia="仿宋_GB2312"/>
          <w:color w:val="auto"/>
          <w:sz w:val="32"/>
          <w:szCs w:val="32"/>
          <w:highlight w:val="none"/>
        </w:rPr>
        <w:t>。</w:t>
      </w:r>
      <w:bookmarkEnd w:id="9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rPr>
      </w:pPr>
      <w:bookmarkStart w:id="95" w:name="_Toc30753"/>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eastAsia="zh-CN"/>
        </w:rPr>
        <w:t>支出</w:t>
      </w:r>
      <w:r>
        <w:rPr>
          <w:rFonts w:hint="eastAsia" w:ascii="仿宋_GB2312" w:eastAsia="仿宋_GB2312"/>
          <w:color w:val="auto"/>
          <w:sz w:val="32"/>
          <w:szCs w:val="32"/>
          <w:highlight w:val="none"/>
        </w:rPr>
        <w:t>（类）其他社会保障和就业支出（款）其他社会保障和就业支出（项）：反映其他用于社会保障和就业方面的支出。</w:t>
      </w:r>
      <w:bookmarkEnd w:id="9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rPr>
      </w:pPr>
      <w:bookmarkStart w:id="96" w:name="_Toc24898"/>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卫生健康支出（类）行政事业单位医疗（款）事业单位医疗（项）：反映财政部门集中安排的事业单位基本医疗保险经费，未参加医疗保险的事业单位的公费医疗经费，按国家规定享受离休人员待遇人员的医疗经费。</w:t>
      </w:r>
      <w:bookmarkEnd w:id="9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rPr>
      </w:pPr>
      <w:bookmarkStart w:id="97" w:name="_Toc22938"/>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.交通运输支出（类）公路水路运输（款）行政运行（项）：反映行政单位（包括实行公务员管理的事业单位）的基本支出。</w:t>
      </w:r>
      <w:bookmarkEnd w:id="97"/>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rPr>
      </w:pPr>
      <w:bookmarkStart w:id="98" w:name="_Toc17927"/>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.交通运输支出（类）公路水路运输（款）一般行政管理事务（项）：反映行政单位（包括实行公务员管理的事业单位）未单独设置项级科目的其他项目支出。</w:t>
      </w:r>
      <w:bookmarkEnd w:id="9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rPr>
      </w:pPr>
      <w:bookmarkStart w:id="99" w:name="_Toc1249"/>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.交通运输支出（类）公路水路运输（款）航道维护（项）：指内河航道整治、维护方面的支出。</w:t>
      </w:r>
      <w:bookmarkEnd w:id="9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rPr>
      </w:pPr>
      <w:bookmarkStart w:id="100" w:name="_Toc9316"/>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.交通运输支出（类）公路水路运输（款）其他公路水路运输支出（项）：反映其他用于公路水路运输方面的支出。</w:t>
      </w:r>
      <w:bookmarkEnd w:id="100"/>
    </w:p>
    <w:p>
      <w:pPr>
        <w:pStyle w:val="2"/>
        <w:ind w:firstLine="640" w:firstLineChars="200"/>
        <w:rPr>
          <w:rFonts w:hint="eastAsia" w:eastAsia="仿宋_GB2312"/>
          <w:lang w:eastAsia="zh-CN"/>
        </w:rPr>
      </w:pPr>
      <w:r>
        <w:rPr>
          <w:rFonts w:hint="eastAsia"/>
          <w:color w:val="auto"/>
          <w:sz w:val="32"/>
          <w:szCs w:val="32"/>
          <w:highlight w:val="none"/>
          <w:lang w:val="en-US" w:eastAsia="zh-CN"/>
        </w:rPr>
        <w:t>14.</w:t>
      </w:r>
      <w:r>
        <w:rPr>
          <w:rFonts w:hint="eastAsia" w:ascii="仿宋_GB2312" w:eastAsia="仿宋_GB2312"/>
          <w:color w:val="auto"/>
          <w:sz w:val="32"/>
          <w:szCs w:val="32"/>
          <w:highlight w:val="none"/>
        </w:rPr>
        <w:t>交通运输支出（类）</w:t>
      </w:r>
      <w:r>
        <w:rPr>
          <w:rFonts w:hint="eastAsia"/>
          <w:color w:val="auto"/>
          <w:sz w:val="32"/>
          <w:szCs w:val="32"/>
          <w:highlight w:val="none"/>
          <w:lang w:eastAsia="zh-CN"/>
        </w:rPr>
        <w:t>港口建设费安排的支出（款）航道建设和维护（项）：反映港口建设费安排用于航道整治、维护方面的支出。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rPr>
      </w:pPr>
      <w:bookmarkStart w:id="101" w:name="_Toc14420"/>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.住房保障支出（类）住房改革支出（款）住房公积金（项）：反映行政事业单位按人力资源和社会保障部、财政部规定的基本工资和津贴补贴以及规定比例为职工缴纳的住房公积金。</w:t>
      </w:r>
      <w:bookmarkEnd w:id="10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rPr>
      </w:pPr>
      <w:bookmarkStart w:id="102" w:name="_Toc20742"/>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.基本支出：指为保障机构正常运转、完成日常工作任务而发生的人员支出和公用支出。</w:t>
      </w:r>
      <w:bookmarkEnd w:id="10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eastAsia="仿宋_GB2312"/>
          <w:color w:val="auto"/>
          <w:sz w:val="32"/>
          <w:szCs w:val="32"/>
          <w:highlight w:val="none"/>
        </w:rPr>
      </w:pPr>
      <w:bookmarkStart w:id="103" w:name="_Toc17820"/>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.项目支出：指在基本支出之外为完成特定行政任务和事业发展目标所发生的支出。</w:t>
      </w:r>
      <w:bookmarkEnd w:id="103"/>
      <w:r>
        <w:rPr>
          <w:rFonts w:hint="eastAsia" w:ascii="仿宋_GB2312" w:eastAsia="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hint="eastAsia" w:ascii="仿宋_GB2312" w:eastAsia="仿宋_GB2312"/>
          <w:color w:val="auto"/>
          <w:sz w:val="32"/>
          <w:szCs w:val="32"/>
          <w:highlight w:val="none"/>
        </w:rPr>
      </w:pPr>
      <w:bookmarkStart w:id="104" w:name="_Toc14151"/>
      <w:r>
        <w:rPr>
          <w:rFonts w:hint="eastAsia" w:ascii="仿宋_GB2312" w:eastAsia="仿宋_GB2312"/>
          <w:color w:val="auto"/>
          <w:sz w:val="32"/>
          <w:szCs w:val="32"/>
          <w:highlight w:val="none"/>
          <w:lang w:val="en-US" w:eastAsia="zh-CN"/>
        </w:rPr>
        <w:t>18</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End w:id="10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0"/>
        <w:rPr>
          <w:rFonts w:ascii="宋体"/>
          <w:b/>
          <w:color w:val="auto"/>
          <w:sz w:val="44"/>
          <w:szCs w:val="44"/>
          <w:highlight w:val="none"/>
        </w:rPr>
      </w:pPr>
      <w:bookmarkStart w:id="105" w:name="_Toc4532"/>
      <w:r>
        <w:rPr>
          <w:rFonts w:hint="eastAsia" w:ascii="仿宋_GB2312" w:eastAsia="仿宋_GB2312"/>
          <w:color w:val="auto"/>
          <w:sz w:val="32"/>
          <w:szCs w:val="32"/>
          <w:highlight w:val="none"/>
          <w:lang w:val="en-US" w:eastAsia="zh-CN"/>
        </w:rPr>
        <w:t>19</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办公用房水电费、办公用房物业管理费、公务用车运行维护费以及其他费用。</w:t>
      </w:r>
      <w:r>
        <w:rPr>
          <w:rFonts w:ascii="宋体"/>
          <w:b/>
          <w:color w:val="auto"/>
          <w:sz w:val="44"/>
          <w:szCs w:val="44"/>
          <w:highlight w:val="none"/>
        </w:rPr>
        <w:br w:type="page"/>
      </w:r>
      <w:bookmarkEnd w:id="105"/>
      <w:bookmarkStart w:id="106" w:name="_Toc15396614"/>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outlineLvl w:val="0"/>
        <w:rPr>
          <w:rStyle w:val="24"/>
          <w:rFonts w:hint="eastAsia" w:ascii="黑体" w:hAnsi="黑体" w:eastAsia="黑体"/>
          <w:b w:val="0"/>
          <w:color w:val="auto"/>
          <w:highlight w:val="none"/>
          <w:lang w:eastAsia="zh-CN"/>
        </w:rPr>
      </w:pPr>
      <w:bookmarkStart w:id="107" w:name="_Toc23317"/>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106"/>
      <w:bookmarkEnd w:id="107"/>
    </w:p>
    <w:p>
      <w:pPr>
        <w:keepNext w:val="0"/>
        <w:keepLines w:val="0"/>
        <w:pageBreakBefore w:val="0"/>
        <w:kinsoku/>
        <w:wordWrap/>
        <w:overflowPunct/>
        <w:topLinePunct w:val="0"/>
        <w:autoSpaceDE/>
        <w:autoSpaceDN/>
        <w:bidi w:val="0"/>
        <w:spacing w:line="572" w:lineRule="exact"/>
        <w:jc w:val="left"/>
        <w:textAlignment w:val="auto"/>
        <w:outlineLvl w:val="1"/>
        <w:rPr>
          <w:rFonts w:ascii="方正小标宋简体" w:hAnsi="方正小标宋简体" w:eastAsia="方正小标宋简体" w:cs="方正小标宋简体"/>
          <w:color w:val="auto"/>
          <w:sz w:val="44"/>
          <w:szCs w:val="44"/>
          <w:highlight w:val="none"/>
        </w:rPr>
      </w:pPr>
      <w:bookmarkStart w:id="108" w:name="_Toc37"/>
      <w:r>
        <w:rPr>
          <w:rFonts w:hint="eastAsia" w:ascii="黑体" w:hAnsi="黑体" w:eastAsia="黑体" w:cs="黑体"/>
          <w:color w:val="auto"/>
          <w:sz w:val="32"/>
          <w:szCs w:val="32"/>
          <w:highlight w:val="none"/>
        </w:rPr>
        <w:t>附件</w:t>
      </w:r>
      <w:bookmarkEnd w:id="108"/>
    </w:p>
    <w:p>
      <w:pPr>
        <w:keepNext w:val="0"/>
        <w:keepLines w:val="0"/>
        <w:pageBreakBefore w:val="0"/>
        <w:kinsoku/>
        <w:wordWrap/>
        <w:overflowPunct/>
        <w:topLinePunct w:val="0"/>
        <w:autoSpaceDE/>
        <w:autoSpaceDN/>
        <w:bidi w:val="0"/>
        <w:spacing w:line="572" w:lineRule="exact"/>
        <w:jc w:val="center"/>
        <w:textAlignment w:val="auto"/>
        <w:rPr>
          <w:rFonts w:ascii="方正小标宋简体" w:hAnsi="宋体" w:eastAsia="方正小标宋简体"/>
          <w:color w:val="auto"/>
          <w:kern w:val="0"/>
          <w:sz w:val="40"/>
          <w:szCs w:val="44"/>
          <w:highlight w:val="none"/>
          <w:lang w:val="zh-CN"/>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1</w:t>
      </w:r>
      <w:r>
        <w:rPr>
          <w:rFonts w:hint="eastAsia" w:ascii="方正小标宋简体" w:hAnsi="宋体" w:eastAsia="方正小标宋简体"/>
          <w:color w:val="auto"/>
          <w:kern w:val="0"/>
          <w:sz w:val="40"/>
          <w:szCs w:val="44"/>
          <w:highlight w:val="none"/>
        </w:rPr>
        <w:t>年</w:t>
      </w:r>
      <w:r>
        <w:rPr>
          <w:rFonts w:hint="eastAsia" w:ascii="方正小标宋简体" w:hAnsi="宋体" w:eastAsia="方正小标宋简体"/>
          <w:color w:val="auto"/>
          <w:kern w:val="0"/>
          <w:sz w:val="40"/>
          <w:szCs w:val="44"/>
          <w:highlight w:val="none"/>
          <w:lang w:val="en-US" w:eastAsia="zh-CN"/>
        </w:rPr>
        <w:t>广元市港航发展中心</w:t>
      </w:r>
      <w:r>
        <w:rPr>
          <w:rFonts w:hint="eastAsia" w:ascii="方正小标宋简体" w:hAnsi="宋体" w:eastAsia="方正小标宋简体"/>
          <w:color w:val="auto"/>
          <w:kern w:val="0"/>
          <w:sz w:val="40"/>
          <w:szCs w:val="44"/>
          <w:highlight w:val="none"/>
        </w:rPr>
        <w:t>部门整体绩效评价报告</w:t>
      </w:r>
    </w:p>
    <w:p>
      <w:pPr>
        <w:keepNext w:val="0"/>
        <w:keepLines w:val="0"/>
        <w:pageBreakBefore w:val="0"/>
        <w:widowControl/>
        <w:kinsoku/>
        <w:wordWrap/>
        <w:overflowPunct/>
        <w:topLinePunct w:val="0"/>
        <w:autoSpaceDE/>
        <w:autoSpaceDN/>
        <w:bidi w:val="0"/>
        <w:spacing w:line="572" w:lineRule="exact"/>
        <w:ind w:firstLine="640" w:firstLineChars="200"/>
        <w:contextualSpacing/>
        <w:jc w:val="center"/>
        <w:textAlignment w:val="auto"/>
        <w:rPr>
          <w:rFonts w:ascii="仿宋_GB2312" w:hAnsi="宋体" w:eastAsia="仿宋_GB2312"/>
          <w:color w:val="auto"/>
          <w:sz w:val="32"/>
          <w:szCs w:val="32"/>
          <w:highlight w:val="none"/>
          <w:shd w:val="clear" w:color="auto" w:fill="FFFFFF"/>
        </w:rPr>
      </w:pPr>
      <w:r>
        <w:rPr>
          <w:rFonts w:hint="eastAsia" w:ascii="仿宋_GB2312" w:hAnsi="宋体" w:eastAsia="仿宋_GB2312"/>
          <w:color w:val="auto"/>
          <w:sz w:val="32"/>
          <w:szCs w:val="32"/>
          <w:highlight w:val="none"/>
          <w:shd w:val="clear" w:color="auto" w:fill="FFFFFF"/>
        </w:rPr>
        <w:t>（报告范围包括机关和下属单位）</w:t>
      </w:r>
    </w:p>
    <w:p>
      <w:pPr>
        <w:keepNext w:val="0"/>
        <w:keepLines w:val="0"/>
        <w:pageBreakBefore w:val="0"/>
        <w:widowControl/>
        <w:kinsoku/>
        <w:wordWrap/>
        <w:overflowPunct/>
        <w:topLinePunct w:val="0"/>
        <w:autoSpaceDE/>
        <w:autoSpaceDN/>
        <w:bidi w:val="0"/>
        <w:adjustRightInd w:val="0"/>
        <w:snapToGrid w:val="0"/>
        <w:spacing w:line="572" w:lineRule="exact"/>
        <w:ind w:firstLine="480" w:firstLineChars="200"/>
        <w:contextualSpacing/>
        <w:jc w:val="left"/>
        <w:textAlignment w:val="auto"/>
        <w:rPr>
          <w:rFonts w:ascii="黑体" w:hAnsi="宋体" w:eastAsia="黑体" w:cs="宋体"/>
          <w:color w:val="auto"/>
          <w:kern w:val="0"/>
          <w:sz w:val="24"/>
          <w:szCs w:val="32"/>
          <w:highlight w:val="none"/>
          <w:shd w:val="clear" w:color="auto" w:fill="FFFFFF"/>
        </w:rPr>
      </w:pPr>
    </w:p>
    <w:p>
      <w:pPr>
        <w:spacing w:line="576" w:lineRule="exact"/>
        <w:ind w:firstLine="640" w:firstLineChars="200"/>
        <w:outlineLvl w:val="1"/>
        <w:rPr>
          <w:rFonts w:ascii="黑体" w:hAnsi="黑体" w:eastAsia="黑体" w:cs="仿宋_GB2312"/>
          <w:sz w:val="32"/>
          <w:szCs w:val="32"/>
        </w:rPr>
      </w:pPr>
      <w:bookmarkStart w:id="109" w:name="_Toc11207"/>
      <w:r>
        <w:rPr>
          <w:rFonts w:hint="eastAsia" w:ascii="黑体" w:hAnsi="黑体" w:eastAsia="黑体" w:cs="仿宋_GB2312"/>
          <w:sz w:val="32"/>
          <w:szCs w:val="32"/>
        </w:rPr>
        <w:t>一、单位概况</w:t>
      </w:r>
      <w:bookmarkEnd w:id="109"/>
    </w:p>
    <w:p>
      <w:pPr>
        <w:spacing w:line="576"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（一）机构组成。</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广元市港航发展中心</w:t>
      </w:r>
      <w:r>
        <w:rPr>
          <w:rFonts w:eastAsia="仿宋_GB2312"/>
          <w:sz w:val="32"/>
        </w:rPr>
        <w:t>挂广元市船舶检验中心牌子，为广元市交通运输局管理的参公管理事业单位，副县级，</w:t>
      </w:r>
      <w:r>
        <w:rPr>
          <w:rFonts w:hint="eastAsia" w:ascii="仿宋_GB2312" w:hAnsi="仿宋_GB2312" w:eastAsia="仿宋_GB2312" w:cs="仿宋_GB2312"/>
          <w:sz w:val="32"/>
          <w:szCs w:val="32"/>
        </w:rPr>
        <w:t>设综合科、港口航道科、航运服务科、船舶检验科、信息技术科和人事科等6个内设科室，下设广元航道段、苍溪航道段两直属单位。</w:t>
      </w:r>
    </w:p>
    <w:p>
      <w:pPr>
        <w:spacing w:line="576"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（二）机构职能。</w:t>
      </w:r>
    </w:p>
    <w:p>
      <w:pPr>
        <w:widowControl/>
        <w:adjustRightInd w:val="0"/>
        <w:snapToGrid w:val="0"/>
        <w:spacing w:line="576" w:lineRule="exact"/>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1.贯彻执行国家、省、市有关水路交通的方针政策、法律法规和规章，承担全市水运行业发展规划、计划编制的事务工作。</w:t>
      </w:r>
    </w:p>
    <w:p>
      <w:pPr>
        <w:widowControl/>
        <w:adjustRightInd w:val="0"/>
        <w:snapToGrid w:val="0"/>
        <w:spacing w:line="576" w:lineRule="exact"/>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2.负责全市通航设施运行调度，承担涉水工程航道通航条件影响评价的协调工作。</w:t>
      </w:r>
    </w:p>
    <w:p>
      <w:pPr>
        <w:widowControl/>
        <w:adjustRightInd w:val="0"/>
        <w:snapToGrid w:val="0"/>
        <w:spacing w:line="576" w:lineRule="exact"/>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3.指导全市港口、航道基础设施建设和维护管理工作，指导和协调县区完成嘉陵江以外其他航道建设，督促航道养护机构按照年度养护计划完成航道日常养护工作。</w:t>
      </w:r>
    </w:p>
    <w:p>
      <w:pPr>
        <w:widowControl/>
        <w:adjustRightInd w:val="0"/>
        <w:snapToGrid w:val="0"/>
        <w:spacing w:line="576" w:lineRule="exact"/>
        <w:ind w:firstLine="640" w:firstLineChars="200"/>
        <w:contextualSpacing/>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4.承担港口岸线利用项目技术审查工作。</w:t>
      </w:r>
    </w:p>
    <w:p>
      <w:pPr>
        <w:widowControl/>
        <w:adjustRightInd w:val="0"/>
        <w:snapToGrid w:val="0"/>
        <w:spacing w:line="576" w:lineRule="exact"/>
        <w:ind w:firstLine="640" w:firstLineChars="200"/>
        <w:contextualSpacing/>
        <w:jc w:val="left"/>
        <w:rPr>
          <w:rFonts w:ascii="仿宋_GB2312" w:eastAsia="仿宋_GB2312"/>
          <w:sz w:val="32"/>
        </w:rPr>
      </w:pPr>
      <w:r>
        <w:rPr>
          <w:rFonts w:hint="eastAsia" w:ascii="仿宋_GB2312" w:hAnsi="仿宋_GB2312" w:eastAsia="仿宋_GB2312" w:cs="仿宋_GB2312"/>
          <w:sz w:val="32"/>
          <w:szCs w:val="32"/>
        </w:rPr>
        <w:t>5.负责水路交通运输发展服务和水路交通战备工作。</w:t>
      </w:r>
    </w:p>
    <w:p>
      <w:pPr>
        <w:widowControl/>
        <w:adjustRightInd w:val="0"/>
        <w:snapToGrid w:val="0"/>
        <w:spacing w:line="576" w:lineRule="exact"/>
        <w:ind w:firstLine="640" w:firstLineChars="200"/>
        <w:contextualSpacing/>
        <w:jc w:val="left"/>
        <w:rPr>
          <w:rFonts w:ascii="仿宋_GB2312" w:eastAsia="仿宋_GB2312"/>
          <w:sz w:val="32"/>
        </w:rPr>
      </w:pPr>
      <w:r>
        <w:rPr>
          <w:rFonts w:hint="eastAsia" w:ascii="仿宋_GB2312" w:eastAsia="仿宋_GB2312"/>
          <w:sz w:val="32"/>
        </w:rPr>
        <w:t>6.承担全市船员考试服务工作。</w:t>
      </w:r>
    </w:p>
    <w:p>
      <w:pPr>
        <w:widowControl/>
        <w:adjustRightInd w:val="0"/>
        <w:snapToGrid w:val="0"/>
        <w:spacing w:line="576" w:lineRule="exact"/>
        <w:ind w:firstLine="640" w:firstLineChars="200"/>
        <w:contextualSpacing/>
        <w:jc w:val="left"/>
        <w:rPr>
          <w:rFonts w:ascii="仿宋_GB2312" w:eastAsia="仿宋_GB2312"/>
          <w:sz w:val="32"/>
        </w:rPr>
      </w:pPr>
      <w:r>
        <w:rPr>
          <w:rFonts w:hint="eastAsia" w:ascii="仿宋_GB2312" w:eastAsia="仿宋_GB2312"/>
          <w:sz w:val="32"/>
        </w:rPr>
        <w:t>7.负责船舶检验、船舶设计图纸技术审查及船舶建造企业业务指导工作。</w:t>
      </w:r>
    </w:p>
    <w:p>
      <w:pPr>
        <w:widowControl/>
        <w:adjustRightInd w:val="0"/>
        <w:snapToGrid w:val="0"/>
        <w:spacing w:line="576" w:lineRule="exact"/>
        <w:ind w:firstLine="640" w:firstLineChars="200"/>
        <w:contextualSpacing/>
        <w:jc w:val="left"/>
        <w:rPr>
          <w:rFonts w:ascii="仿宋_GB2312" w:eastAsia="仿宋_GB2312"/>
          <w:sz w:val="32"/>
        </w:rPr>
      </w:pPr>
      <w:r>
        <w:rPr>
          <w:rFonts w:hint="eastAsia" w:ascii="仿宋_GB2312" w:eastAsia="仿宋_GB2312"/>
          <w:sz w:val="32"/>
        </w:rPr>
        <w:t>8.指导水上交通运输、港口、航道基础设施建设养护等安全生产工作；参与水上交通事故调查船舶技术鉴定工作。</w:t>
      </w:r>
    </w:p>
    <w:p>
      <w:pPr>
        <w:widowControl/>
        <w:adjustRightInd w:val="0"/>
        <w:snapToGrid w:val="0"/>
        <w:spacing w:line="576" w:lineRule="exact"/>
        <w:ind w:firstLine="640" w:firstLineChars="200"/>
        <w:contextualSpacing/>
        <w:jc w:val="left"/>
        <w:rPr>
          <w:rFonts w:ascii="仿宋_GB2312" w:eastAsia="仿宋_GB2312"/>
          <w:sz w:val="32"/>
        </w:rPr>
      </w:pPr>
      <w:r>
        <w:rPr>
          <w:rFonts w:hint="eastAsia" w:ascii="仿宋_GB2312" w:eastAsia="仿宋_GB2312"/>
          <w:sz w:val="32"/>
        </w:rPr>
        <w:t>9.承担嘉陵江数字化航道建设、运行和维护工作。</w:t>
      </w:r>
    </w:p>
    <w:p>
      <w:pPr>
        <w:widowControl/>
        <w:adjustRightInd w:val="0"/>
        <w:snapToGrid w:val="0"/>
        <w:spacing w:line="576" w:lineRule="exact"/>
        <w:ind w:firstLine="640" w:firstLineChars="200"/>
        <w:contextualSpacing/>
        <w:jc w:val="left"/>
        <w:rPr>
          <w:rFonts w:ascii="仿宋_GB2312" w:eastAsia="仿宋_GB2312"/>
          <w:sz w:val="32"/>
        </w:rPr>
      </w:pPr>
      <w:r>
        <w:rPr>
          <w:rFonts w:hint="eastAsia" w:ascii="仿宋_GB2312" w:eastAsia="仿宋_GB2312"/>
          <w:sz w:val="32"/>
        </w:rPr>
        <w:t>10.负责水运行业的客货运周转量等综合统计工作。</w:t>
      </w:r>
    </w:p>
    <w:p>
      <w:pPr>
        <w:widowControl/>
        <w:adjustRightInd w:val="0"/>
        <w:snapToGrid w:val="0"/>
        <w:spacing w:line="576" w:lineRule="exact"/>
        <w:ind w:firstLine="640" w:firstLineChars="200"/>
        <w:contextualSpacing/>
        <w:jc w:val="left"/>
        <w:rPr>
          <w:rFonts w:ascii="仿宋_GB2312" w:eastAsia="仿宋_GB2312"/>
          <w:sz w:val="32"/>
        </w:rPr>
      </w:pPr>
      <w:r>
        <w:rPr>
          <w:rFonts w:hint="eastAsia" w:ascii="仿宋_GB2312" w:eastAsia="仿宋_GB2312"/>
          <w:sz w:val="32"/>
        </w:rPr>
        <w:t>11.承担航运海事行政审批事项现场踏勘、核查相关事务工作。</w:t>
      </w:r>
    </w:p>
    <w:p>
      <w:pPr>
        <w:widowControl/>
        <w:adjustRightInd w:val="0"/>
        <w:snapToGrid w:val="0"/>
        <w:spacing w:line="576" w:lineRule="exact"/>
        <w:ind w:firstLine="640" w:firstLineChars="200"/>
        <w:contextualSpacing/>
        <w:jc w:val="left"/>
        <w:rPr>
          <w:rFonts w:ascii="仿宋_GB2312" w:eastAsia="仿宋_GB2312"/>
          <w:sz w:val="32"/>
        </w:rPr>
      </w:pPr>
      <w:r>
        <w:rPr>
          <w:rFonts w:hint="eastAsia" w:ascii="仿宋_GB2312" w:eastAsia="仿宋_GB2312"/>
          <w:sz w:val="32"/>
        </w:rPr>
        <w:t>12.完成市交通运输局交办的其他任务。</w:t>
      </w:r>
    </w:p>
    <w:p>
      <w:pPr>
        <w:spacing w:line="576"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（三）人员概况。</w:t>
      </w:r>
    </w:p>
    <w:p>
      <w:pPr>
        <w:spacing w:line="576" w:lineRule="exact"/>
        <w:ind w:firstLine="640" w:firstLineChars="200"/>
        <w:rPr>
          <w:rFonts w:eastAsia="仿宋_GB2312"/>
          <w:sz w:val="32"/>
          <w:lang w:val="zh-CN"/>
        </w:rPr>
      </w:pPr>
      <w:r>
        <w:rPr>
          <w:rFonts w:hint="eastAsia" w:ascii="仿宋_GB2312" w:hAnsi="仿宋_GB2312" w:eastAsia="仿宋_GB2312" w:cs="仿宋_GB2312"/>
          <w:sz w:val="32"/>
          <w:szCs w:val="32"/>
        </w:rPr>
        <w:t>截至2021年底，我中心有在职职工19人，离休职工2人，退休职工18人，合计39人；广元航道段有在职职工50人，退休职工33人，遗属15人，合计98人；苍溪航道段共有在职人员24人，退休人员31人，合计54人。</w:t>
      </w:r>
    </w:p>
    <w:p>
      <w:pPr>
        <w:spacing w:line="576" w:lineRule="exact"/>
        <w:ind w:firstLine="640" w:firstLineChars="200"/>
        <w:outlineLvl w:val="1"/>
        <w:rPr>
          <w:rFonts w:ascii="黑体" w:hAnsi="黑体" w:eastAsia="黑体" w:cs="仿宋_GB2312"/>
          <w:sz w:val="32"/>
          <w:szCs w:val="32"/>
        </w:rPr>
      </w:pPr>
      <w:bookmarkStart w:id="110" w:name="_Toc15645"/>
      <w:r>
        <w:rPr>
          <w:rFonts w:hint="eastAsia" w:ascii="黑体" w:hAnsi="黑体" w:eastAsia="黑体" w:cs="仿宋_GB2312"/>
          <w:sz w:val="32"/>
          <w:szCs w:val="32"/>
        </w:rPr>
        <w:t>二、部门财政资金收支情况</w:t>
      </w:r>
      <w:bookmarkEnd w:id="110"/>
    </w:p>
    <w:p>
      <w:pPr>
        <w:spacing w:line="576"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（一）部门财政资金收入情况。</w:t>
      </w:r>
      <w:r>
        <w:rPr>
          <w:rFonts w:hint="eastAsia" w:ascii="仿宋_GB2312" w:hAnsi="仿宋_GB2312" w:eastAsia="仿宋_GB2312" w:cs="仿宋_GB2312"/>
          <w:sz w:val="32"/>
          <w:szCs w:val="32"/>
        </w:rPr>
        <w:t>2021年财政拨款收入合计3164.57万元，其中：一般公共预算财政拨款收入2916.31万元，政府性基金预算财政拨款收入248.19</w:t>
      </w:r>
      <w:r>
        <w:rPr>
          <w:rFonts w:ascii="仿宋_GB2312" w:hAnsi="仿宋_GB2312" w:eastAsia="仿宋_GB2312" w:cs="仿宋_GB2312"/>
          <w:sz w:val="32"/>
          <w:szCs w:val="32"/>
        </w:rPr>
        <w:t>万</w:t>
      </w:r>
      <w:r>
        <w:rPr>
          <w:rFonts w:hint="eastAsia" w:ascii="仿宋_GB2312" w:hAnsi="仿宋_GB2312" w:eastAsia="仿宋_GB2312" w:cs="仿宋_GB2312"/>
          <w:sz w:val="32"/>
          <w:szCs w:val="32"/>
        </w:rPr>
        <w:t>元，其他收入0.07万元。</w:t>
      </w:r>
    </w:p>
    <w:p>
      <w:pPr>
        <w:spacing w:line="576"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（二）部门财政资金支出情况。</w:t>
      </w:r>
      <w:r>
        <w:rPr>
          <w:rFonts w:hint="eastAsia" w:ascii="仿宋_GB2312" w:hAnsi="仿宋_GB2312" w:eastAsia="仿宋_GB2312" w:cs="仿宋_GB2312"/>
          <w:sz w:val="32"/>
          <w:szCs w:val="32"/>
        </w:rPr>
        <w:t>2021年财政拨款支出合计3170.04万元，其中：基本支出1714.22万元，项目支出1455.82万元。</w:t>
      </w:r>
    </w:p>
    <w:p>
      <w:pPr>
        <w:spacing w:line="576" w:lineRule="exact"/>
        <w:ind w:firstLine="640" w:firstLineChars="200"/>
        <w:outlineLvl w:val="1"/>
        <w:rPr>
          <w:rFonts w:ascii="黑体" w:hAnsi="黑体" w:eastAsia="黑体" w:cs="仿宋_GB2312"/>
          <w:sz w:val="32"/>
          <w:szCs w:val="32"/>
        </w:rPr>
      </w:pPr>
      <w:bookmarkStart w:id="111" w:name="_Toc24153"/>
      <w:r>
        <w:rPr>
          <w:rFonts w:hint="eastAsia" w:ascii="黑体" w:hAnsi="黑体" w:eastAsia="黑体" w:cs="仿宋_GB2312"/>
          <w:sz w:val="32"/>
          <w:szCs w:val="32"/>
        </w:rPr>
        <w:t>三、部门整体预算绩效管理情况</w:t>
      </w:r>
      <w:bookmarkEnd w:id="111"/>
    </w:p>
    <w:p>
      <w:pPr>
        <w:spacing w:line="576"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（一）部门预算项目绩效管理。</w:t>
      </w:r>
      <w:r>
        <w:rPr>
          <w:rFonts w:hint="eastAsia" w:ascii="仿宋_GB2312" w:hAnsi="仿宋_GB2312" w:eastAsia="仿宋_GB2312" w:cs="仿宋_GB2312"/>
          <w:sz w:val="32"/>
          <w:szCs w:val="32"/>
        </w:rPr>
        <w:t>严格按照市财政局的要求和规定及时编制部门绩效目标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由综合科牵头，各科室申报项目、</w:t>
      </w:r>
      <w:r>
        <w:rPr>
          <w:rFonts w:hint="eastAsia" w:ascii="仿宋_GB2312" w:hAnsi="仿宋_GB2312" w:eastAsia="仿宋_GB2312" w:cs="仿宋_GB2312"/>
          <w:sz w:val="32"/>
          <w:szCs w:val="32"/>
        </w:rPr>
        <w:t>要素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rPr>
        <w:t>集体决策报送202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部门预算，部门预算编制准确、无漏编；</w:t>
      </w:r>
      <w:r>
        <w:rPr>
          <w:rFonts w:hint="eastAsia" w:ascii="仿宋_GB2312" w:hAnsi="仿宋_GB2312" w:eastAsia="仿宋_GB2312" w:cs="仿宋_GB2312"/>
          <w:sz w:val="32"/>
          <w:szCs w:val="32"/>
          <w:lang w:val="en-US" w:eastAsia="zh-CN"/>
        </w:rPr>
        <w:t>人员类目标实现100%、运转类目标实现100%、特定目标类项目类目标实现100</w:t>
      </w:r>
      <w:r>
        <w:rPr>
          <w:rFonts w:hint="eastAsia" w:ascii="仿宋_GB2312" w:hAnsi="仿宋_GB2312" w:eastAsia="仿宋_GB2312" w:cs="仿宋_GB2312"/>
          <w:sz w:val="32"/>
          <w:szCs w:val="32"/>
          <w:highlight w:val="none"/>
          <w:lang w:val="en-US" w:eastAsia="zh-CN"/>
        </w:rPr>
        <w:t>%；部门公用经费及非定额公用支出控制情况，偏离度在10%-20%；部门绩效监控调整取消额与结余注销额均为零；执行进度在6、9月完成，11月未完成；部门预算项目12月预算执行进度达到100%的；部门预算项目资金结余率均小于0.1；</w:t>
      </w:r>
      <w:r>
        <w:rPr>
          <w:rFonts w:hint="eastAsia" w:ascii="仿宋_GB2312" w:hAnsi="仿宋_GB2312" w:eastAsia="仿宋_GB2312" w:cs="仿宋_GB2312"/>
          <w:sz w:val="32"/>
          <w:szCs w:val="32"/>
        </w:rPr>
        <w:t>预算执行中无调整；预算及时公开，公开内容完整；财经纪律执行较好，财政监控无违规记录。</w:t>
      </w:r>
    </w:p>
    <w:p>
      <w:pPr>
        <w:spacing w:line="576"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（二）结果应用情况。</w:t>
      </w:r>
      <w:r>
        <w:rPr>
          <w:rFonts w:hint="eastAsia" w:ascii="仿宋_GB2312" w:hAnsi="仿宋_GB2312" w:eastAsia="仿宋_GB2312" w:cs="仿宋_GB2312"/>
          <w:sz w:val="32"/>
          <w:szCs w:val="32"/>
        </w:rPr>
        <w:t>通过部门绩效规范化管理，厉行节约保运转，“三公”经费执行较好，年度决算数小于预算数。</w:t>
      </w:r>
    </w:p>
    <w:p>
      <w:pPr>
        <w:spacing w:line="576"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（三）自评质量。</w:t>
      </w:r>
      <w:r>
        <w:rPr>
          <w:rFonts w:hint="eastAsia" w:ascii="仿宋_GB2312" w:hAnsi="仿宋_GB2312" w:eastAsia="仿宋_GB2312" w:cs="仿宋_GB2312"/>
          <w:sz w:val="32"/>
          <w:szCs w:val="32"/>
        </w:rPr>
        <w:t>通过部门绩效精细化管理，有力有序有效推进了水路运输服务、水运基础设施建设、航道管养维护、船舶设计与修造检验、精准扶贫与乡村振兴有效衔接、信息化建设等各项工作开展，圆满完成了各项年度目标任务。</w:t>
      </w:r>
    </w:p>
    <w:p>
      <w:pPr>
        <w:spacing w:line="576" w:lineRule="exact"/>
        <w:ind w:firstLine="640" w:firstLineChars="200"/>
        <w:outlineLvl w:val="1"/>
        <w:rPr>
          <w:rFonts w:ascii="黑体" w:hAnsi="黑体" w:eastAsia="黑体" w:cs="仿宋_GB2312"/>
          <w:sz w:val="32"/>
          <w:szCs w:val="32"/>
        </w:rPr>
      </w:pPr>
      <w:bookmarkStart w:id="112" w:name="_Toc1311"/>
      <w:r>
        <w:rPr>
          <w:rFonts w:hint="eastAsia" w:ascii="黑体" w:hAnsi="黑体" w:eastAsia="黑体" w:cs="仿宋_GB2312"/>
          <w:sz w:val="32"/>
          <w:szCs w:val="32"/>
        </w:rPr>
        <w:t>四、评价结论及建议</w:t>
      </w:r>
      <w:bookmarkEnd w:id="112"/>
    </w:p>
    <w:p>
      <w:pPr>
        <w:spacing w:line="576"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（一）评价结论。</w:t>
      </w:r>
      <w:r>
        <w:rPr>
          <w:rFonts w:hint="eastAsia" w:ascii="仿宋_GB2312" w:hAnsi="仿宋_GB2312" w:eastAsia="仿宋_GB2312" w:cs="仿宋_GB2312"/>
          <w:sz w:val="32"/>
          <w:szCs w:val="32"/>
        </w:rPr>
        <w:t>严格按照年初预算进行部门整体支出，在执行过程中，能严格遵守各项规章制度，尤其在专项经费的支出上，专款专用，无截留、无挪用。</w:t>
      </w:r>
    </w:p>
    <w:p>
      <w:pPr>
        <w:spacing w:line="576"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（二）存在问题。</w:t>
      </w:r>
      <w:r>
        <w:rPr>
          <w:rFonts w:hint="eastAsia" w:ascii="仿宋_GB2312" w:hAnsi="仿宋_GB2312" w:eastAsia="仿宋_GB2312" w:cs="仿宋_GB2312"/>
          <w:sz w:val="32"/>
          <w:szCs w:val="32"/>
        </w:rPr>
        <w:t xml:space="preserve">一是部分项目支出预算执行进度缓慢；二是预算执行不完全精细和科学，年初预算数与决算数存在一定程度的偏离。 </w:t>
      </w:r>
    </w:p>
    <w:p>
      <w:pPr>
        <w:spacing w:line="576"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（三）改进建议。</w:t>
      </w:r>
      <w:r>
        <w:rPr>
          <w:rFonts w:hint="eastAsia" w:ascii="仿宋_GB2312" w:hAnsi="仿宋_GB2312" w:eastAsia="仿宋_GB2312" w:cs="仿宋_GB2312"/>
          <w:sz w:val="32"/>
          <w:szCs w:val="32"/>
        </w:rPr>
        <w:t xml:space="preserve">进一步严格落实《预算法》及省、市绩效管理工作有关规定；进一步规范财政资金管理，强化财政支出绩效理念，提升部门责任意识，提高资金使用效益，促进全市水运事业健康发展。 </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p>
    <w:p>
      <w:pPr>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br w:type="page"/>
      </w:r>
    </w:p>
    <w:p>
      <w:pPr>
        <w:pStyle w:val="2"/>
        <w:rPr>
          <w:rFonts w:hint="eastAsia"/>
          <w:color w:val="auto"/>
          <w:highlight w:val="none"/>
          <w:lang w:val="zh-CN"/>
        </w:rPr>
      </w:pPr>
      <w:r>
        <w:rPr>
          <w:rFonts w:hint="eastAsia" w:hAnsi="宋体" w:cs="宋体"/>
          <w:color w:val="auto"/>
          <w:kern w:val="0"/>
          <w:sz w:val="32"/>
          <w:szCs w:val="32"/>
          <w:highlight w:val="none"/>
          <w:shd w:val="clear" w:color="auto" w:fill="FFFFFF"/>
          <w:lang w:val="zh-CN"/>
        </w:rPr>
        <w:t>附件</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bookmarkStart w:id="113" w:name="_Toc15396618"/>
      <w:r>
        <w:rPr>
          <w:rFonts w:hint="eastAsia" w:ascii="方正小标宋简体" w:hAnsi="方正小标宋简体" w:eastAsia="方正小标宋简体" w:cs="方正小标宋简体"/>
          <w:color w:val="auto"/>
          <w:kern w:val="2"/>
          <w:sz w:val="40"/>
          <w:szCs w:val="40"/>
          <w:highlight w:val="none"/>
          <w:lang w:val="en-US" w:eastAsia="zh-CN" w:bidi="ar-SA"/>
        </w:rPr>
        <w:t>2021年水上交通安全监测综合信息系统采购</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项目</w:t>
      </w:r>
      <w:r>
        <w:rPr>
          <w:rFonts w:hint="eastAsia" w:ascii="方正小标宋简体" w:hAnsi="方正小标宋简体" w:eastAsia="方正小标宋简体" w:cs="方正小标宋简体"/>
          <w:color w:val="auto"/>
          <w:kern w:val="2"/>
          <w:sz w:val="40"/>
          <w:szCs w:val="40"/>
          <w:highlight w:val="none"/>
          <w:lang w:val="zh-CN" w:eastAsia="zh-CN" w:bidi="ar-SA"/>
        </w:rPr>
        <w:t>支出绩效自评报告</w:t>
      </w:r>
    </w:p>
    <w:p>
      <w:pPr>
        <w:keepNext w:val="0"/>
        <w:keepLines w:val="0"/>
        <w:pageBreakBefore w:val="0"/>
        <w:widowControl w:val="0"/>
        <w:kinsoku/>
        <w:wordWrap/>
        <w:overflowPunct/>
        <w:topLinePunct w:val="0"/>
        <w:autoSpaceDE/>
        <w:autoSpaceDN/>
        <w:bidi w:val="0"/>
        <w:spacing w:line="600"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adjustRightInd w:val="0"/>
        <w:snapToGrid w:val="0"/>
        <w:spacing w:line="576" w:lineRule="exact"/>
        <w:ind w:firstLine="720"/>
        <w:outlineLvl w:val="1"/>
        <w:rPr>
          <w:rFonts w:hint="eastAsia" w:ascii="黑体" w:hAnsi="黑体" w:eastAsia="黑体" w:cs="黑体"/>
          <w:bCs/>
          <w:sz w:val="32"/>
          <w:szCs w:val="32"/>
          <w:lang w:val="zh-CN"/>
        </w:rPr>
      </w:pPr>
      <w:bookmarkStart w:id="114" w:name="_Toc4815"/>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bookmarkEnd w:id="114"/>
    </w:p>
    <w:p>
      <w:pPr>
        <w:numPr>
          <w:ilvl w:val="0"/>
          <w:numId w:val="5"/>
        </w:numPr>
        <w:adjustRightInd w:val="0"/>
        <w:snapToGrid w:val="0"/>
        <w:spacing w:line="576" w:lineRule="exact"/>
        <w:ind w:firstLine="720"/>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lang w:val="zh-CN"/>
        </w:rPr>
        <w:t>项目</w:t>
      </w:r>
      <w:r>
        <w:rPr>
          <w:rFonts w:hint="eastAsia" w:ascii="楷体_GB2312" w:hAnsi="楷体_GB2312" w:eastAsia="楷体_GB2312" w:cs="楷体_GB2312"/>
          <w:bCs/>
          <w:sz w:val="32"/>
          <w:szCs w:val="32"/>
          <w:lang w:val="en-US" w:eastAsia="zh-CN"/>
        </w:rPr>
        <w:t>基本情况。</w:t>
      </w:r>
      <w:r>
        <w:rPr>
          <w:rFonts w:hint="eastAsia" w:ascii="仿宋_GB2312" w:hAnsi="仿宋_GB2312" w:eastAsia="仿宋_GB2312" w:cs="仿宋_GB2312"/>
          <w:sz w:val="32"/>
          <w:szCs w:val="32"/>
          <w:lang w:val="en-US" w:eastAsia="zh-CN"/>
        </w:rPr>
        <w:t>项目主管部门实施该项目。项目资金由以前年度省级专项资金形成。资金专门用于该项目。资金分配属于专款专用。</w:t>
      </w:r>
    </w:p>
    <w:p>
      <w:pPr>
        <w:numPr>
          <w:ilvl w:val="0"/>
          <w:numId w:val="5"/>
        </w:numPr>
        <w:adjustRightInd w:val="0"/>
        <w:snapToGrid w:val="0"/>
        <w:spacing w:line="576" w:lineRule="exact"/>
        <w:ind w:firstLine="720"/>
        <w:rPr>
          <w:rFonts w:hint="eastAsia" w:ascii="仿宋_GB2312" w:hAnsi="宋体" w:eastAsia="仿宋_GB2312"/>
          <w:sz w:val="32"/>
          <w:szCs w:val="32"/>
          <w:lang w:val="zh-CN"/>
        </w:rPr>
      </w:pPr>
      <w:r>
        <w:rPr>
          <w:rFonts w:hint="eastAsia" w:ascii="楷体_GB2312" w:hAnsi="楷体_GB2312" w:eastAsia="楷体_GB2312" w:cs="楷体_GB2312"/>
          <w:bCs/>
          <w:sz w:val="32"/>
          <w:szCs w:val="32"/>
          <w:lang w:val="zh-CN"/>
        </w:rPr>
        <w:t>项目绩效目标。</w:t>
      </w:r>
    </w:p>
    <w:p>
      <w:pPr>
        <w:keepNext w:val="0"/>
        <w:keepLines w:val="0"/>
        <w:pageBreakBefore w:val="0"/>
        <w:widowControl w:val="0"/>
        <w:numPr>
          <w:ilvl w:val="0"/>
          <w:numId w:val="6"/>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实现通航水域“全方位覆盖、全天候监控、快速反应”的现代化水上交通安全监管系统和救助体系，有效防范和坚决遏制发生重特大事故，实现广元“四型海事”、海事“三化”发展目标，保障广元重点水域通航环境安全与通畅，实现广元海事监管信息化、智慧化、现代化。</w:t>
      </w:r>
    </w:p>
    <w:p>
      <w:pPr>
        <w:keepNext w:val="0"/>
        <w:keepLines w:val="0"/>
        <w:pageBreakBefore w:val="0"/>
        <w:widowControl w:val="0"/>
        <w:numPr>
          <w:ilvl w:val="0"/>
          <w:numId w:val="6"/>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航道视频监控</w:t>
      </w:r>
      <w:r>
        <w:rPr>
          <w:rFonts w:hint="eastAsia" w:ascii="仿宋_GB2312" w:hAnsi="宋体" w:eastAsia="仿宋_GB2312"/>
          <w:sz w:val="32"/>
          <w:szCs w:val="32"/>
          <w:lang w:val="zh-CN"/>
        </w:rPr>
        <w:tab/>
      </w:r>
      <w:r>
        <w:rPr>
          <w:rFonts w:hint="eastAsia" w:ascii="仿宋_GB2312" w:hAnsi="宋体" w:eastAsia="仿宋_GB2312"/>
          <w:sz w:val="32"/>
          <w:szCs w:val="32"/>
          <w:lang w:val="zh-CN"/>
        </w:rPr>
        <w:t>15处、码头监控5处、水位检测1处、拟定全市通航水域信息化建设、维护规划1处；开展两个港口作业区、三个通航建筑物及亭子湖、白龙湖、升钟水库等重点区域信息化实施督导工作，指导县区完善信息化硬件及软件设施建设和维护工作8处、工程合格率100%、完成水上交通信息化建设内容2020-2021年；严格控制项目建设费用574.75万；提高政府效率、树立良好形象；确保航运安全、支撑经济发展；丰富监管手段、增强管理水平；促进信息公开、正确引导市场；节约人力、时间等管理成本；加强硬件管理、提升使用效率；提高运输效率、降低货运成本；通过建立网络系统监测预警，以减少实地巡航对河道、航道生态系统干扰；为全市通航水域安全监管提供巡航监控、区域监管以及综合指挥等海事监管功能；开展重点时段、重点区域信息化设施的维护、升级改造，每个季度不少于一次的嘉陵江高等级航道专项信息化维护；服务对象满意度</w:t>
      </w:r>
      <w:r>
        <w:rPr>
          <w:rFonts w:hint="eastAsia" w:ascii="仿宋_GB2312" w:hAnsi="宋体" w:eastAsia="仿宋_GB2312"/>
          <w:sz w:val="32"/>
          <w:szCs w:val="32"/>
          <w:lang w:val="zh-CN"/>
        </w:rPr>
        <w:tab/>
      </w:r>
      <w:r>
        <w:rPr>
          <w:rFonts w:hint="eastAsia" w:ascii="仿宋_GB2312" w:hAnsi="宋体" w:eastAsia="仿宋_GB2312"/>
          <w:sz w:val="32"/>
          <w:szCs w:val="32"/>
          <w:lang w:val="zh-CN"/>
        </w:rPr>
        <w:t>&gt;=90%。</w:t>
      </w:r>
      <w:r>
        <w:rPr>
          <w:rFonts w:hint="eastAsia" w:ascii="仿宋_GB2312" w:hAnsi="仿宋_GB2312" w:eastAsia="仿宋_GB2312" w:cs="仿宋_GB2312"/>
          <w:sz w:val="32"/>
          <w:szCs w:val="32"/>
          <w:lang w:val="zh-CN" w:eastAsia="zh-CN"/>
        </w:rPr>
        <w:t>资金申报相符性。</w:t>
      </w:r>
    </w:p>
    <w:p>
      <w:pPr>
        <w:keepNext w:val="0"/>
        <w:keepLines w:val="0"/>
        <w:pageBreakBefore w:val="0"/>
        <w:widowControl w:val="0"/>
        <w:numPr>
          <w:ilvl w:val="0"/>
          <w:numId w:val="6"/>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仿宋_GB2312" w:eastAsia="仿宋_GB2312" w:cs="仿宋_GB2312"/>
          <w:sz w:val="32"/>
          <w:szCs w:val="32"/>
          <w:lang w:val="zh-CN" w:eastAsia="zh-CN"/>
        </w:rPr>
        <w:t>项目申报内容与具体实施内容相符、申报目标合理可行。</w:t>
      </w:r>
    </w:p>
    <w:p>
      <w:pPr>
        <w:numPr>
          <w:ilvl w:val="0"/>
          <w:numId w:val="5"/>
        </w:numPr>
        <w:adjustRightInd w:val="0"/>
        <w:snapToGrid w:val="0"/>
        <w:spacing w:line="576" w:lineRule="exact"/>
        <w:ind w:firstLine="720"/>
        <w:rPr>
          <w:rFonts w:hint="eastAsia" w:ascii="仿宋_GB2312" w:hAnsi="宋体" w:eastAsia="仿宋_GB2312" w:cs="Times New Roman"/>
          <w:sz w:val="32"/>
          <w:szCs w:val="32"/>
          <w:lang w:val="zh-CN" w:eastAsia="zh-CN"/>
        </w:rPr>
      </w:pPr>
      <w:r>
        <w:rPr>
          <w:rFonts w:hint="eastAsia" w:ascii="楷体_GB2312" w:hAnsi="楷体_GB2312" w:eastAsia="楷体_GB2312" w:cs="楷体_GB2312"/>
          <w:bCs/>
          <w:sz w:val="32"/>
          <w:szCs w:val="32"/>
          <w:lang w:val="zh-CN"/>
        </w:rPr>
        <w:t>项目</w:t>
      </w:r>
      <w:r>
        <w:rPr>
          <w:rFonts w:hint="eastAsia" w:ascii="楷体_GB2312" w:hAnsi="楷体_GB2312" w:eastAsia="楷体_GB2312" w:cs="楷体_GB2312"/>
          <w:bCs/>
          <w:sz w:val="32"/>
          <w:szCs w:val="32"/>
          <w:lang w:val="en-US" w:eastAsia="zh-CN"/>
        </w:rPr>
        <w:t>自评步骤及方法。</w:t>
      </w:r>
      <w:r>
        <w:rPr>
          <w:rFonts w:hint="eastAsia" w:ascii="仿宋_GB2312" w:hAnsi="宋体" w:eastAsia="仿宋_GB2312" w:cs="Times New Roman"/>
          <w:sz w:val="32"/>
          <w:szCs w:val="32"/>
          <w:lang w:val="en-US" w:eastAsia="zh-CN"/>
        </w:rPr>
        <w:t>业务科室对照《2022年市级专项预算项目支出绩效评价指标体系》完善相关指标并进行自评打分。</w:t>
      </w:r>
    </w:p>
    <w:p>
      <w:pPr>
        <w:adjustRightInd w:val="0"/>
        <w:snapToGrid w:val="0"/>
        <w:spacing w:line="576" w:lineRule="exact"/>
        <w:ind w:firstLine="720"/>
        <w:outlineLvl w:val="1"/>
        <w:rPr>
          <w:rFonts w:hint="eastAsia" w:ascii="黑体" w:hAnsi="黑体" w:eastAsia="黑体" w:cs="黑体"/>
          <w:bCs/>
          <w:sz w:val="32"/>
          <w:szCs w:val="32"/>
        </w:rPr>
      </w:pPr>
      <w:bookmarkStart w:id="115" w:name="_Toc16230"/>
      <w:r>
        <w:rPr>
          <w:rFonts w:hint="eastAsia" w:ascii="黑体" w:hAnsi="黑体" w:eastAsia="黑体" w:cs="黑体"/>
          <w:bCs/>
          <w:sz w:val="32"/>
          <w:szCs w:val="32"/>
        </w:rPr>
        <w:t>二、项目实施及管理情况</w:t>
      </w:r>
      <w:bookmarkEnd w:id="115"/>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（一）项目资金申报及批复情况。</w:t>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仿宋_GB2312" w:hAnsi="仿宋_GB2312" w:eastAsia="仿宋_GB2312" w:cs="仿宋_GB2312"/>
          <w:sz w:val="32"/>
          <w:szCs w:val="32"/>
          <w:lang w:val="zh-CN"/>
        </w:rPr>
        <w:t>项目资金申报</w:t>
      </w:r>
      <w:r>
        <w:rPr>
          <w:rFonts w:hint="eastAsia" w:ascii="仿宋_GB2312" w:hAnsi="仿宋_GB2312" w:eastAsia="仿宋_GB2312" w:cs="仿宋_GB2312"/>
          <w:sz w:val="32"/>
          <w:szCs w:val="32"/>
        </w:rPr>
        <w:t>321.48万元</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val="zh-CN"/>
        </w:rPr>
        <w:t>批复</w:t>
      </w:r>
      <w:r>
        <w:rPr>
          <w:rFonts w:hint="eastAsia" w:ascii="仿宋_GB2312" w:hAnsi="仿宋_GB2312" w:eastAsia="仿宋_GB2312" w:cs="仿宋_GB2312"/>
          <w:sz w:val="32"/>
          <w:szCs w:val="32"/>
        </w:rPr>
        <w:t>321.48万元。</w:t>
      </w:r>
    </w:p>
    <w:p>
      <w:pPr>
        <w:numPr>
          <w:ilvl w:val="0"/>
          <w:numId w:val="7"/>
        </w:num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资金计划、到位及使用情况。</w:t>
      </w:r>
    </w:p>
    <w:p>
      <w:pPr>
        <w:adjustRightInd w:val="0"/>
        <w:snapToGrid w:val="0"/>
        <w:spacing w:line="576" w:lineRule="exact"/>
        <w:ind w:firstLine="720"/>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lang w:val="zh-CN"/>
        </w:rPr>
        <w:t>1.资金计划及到位。该项目资金计划321.48万元，截止评价时点实际到位321.48万元，为省级财政拨款资金，资金到位率100%。</w:t>
      </w:r>
    </w:p>
    <w:p>
      <w:pPr>
        <w:adjustRightInd w:val="0"/>
        <w:snapToGrid w:val="0"/>
        <w:spacing w:line="576"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2.资金使用。截止评价时点项目资金的实际支出</w:t>
      </w:r>
      <w:r>
        <w:rPr>
          <w:rFonts w:hint="eastAsia" w:ascii="仿宋_GB2312" w:hAnsi="宋体" w:eastAsia="仿宋_GB2312"/>
          <w:sz w:val="32"/>
          <w:szCs w:val="32"/>
        </w:rPr>
        <w:t>256.42万元</w:t>
      </w:r>
      <w:r>
        <w:rPr>
          <w:rFonts w:hint="eastAsia" w:ascii="仿宋_GB2312" w:hAnsi="宋体" w:eastAsia="仿宋_GB2312"/>
          <w:sz w:val="32"/>
          <w:szCs w:val="32"/>
          <w:lang w:val="zh-CN"/>
        </w:rPr>
        <w:t>，主要用于水上交通安全监测综合信息系统采购支出。支付依据合规合法，资金支付</w:t>
      </w:r>
      <w:r>
        <w:rPr>
          <w:rFonts w:hint="eastAsia" w:ascii="仿宋_GB2312" w:hAnsi="宋体" w:eastAsia="仿宋_GB2312"/>
          <w:sz w:val="32"/>
          <w:szCs w:val="32"/>
          <w:lang w:val="en-US" w:eastAsia="zh-CN"/>
        </w:rPr>
        <w:t>按照合同进度付款。</w:t>
      </w:r>
    </w:p>
    <w:p>
      <w:pPr>
        <w:adjustRightInd w:val="0"/>
        <w:snapToGrid w:val="0"/>
        <w:spacing w:line="576" w:lineRule="exact"/>
        <w:ind w:firstLine="720"/>
        <w:rPr>
          <w:rFonts w:hint="eastAsia" w:ascii="仿宋_GB2312" w:hAnsi="宋体" w:eastAsia="仿宋_GB2312"/>
          <w:sz w:val="32"/>
          <w:szCs w:val="32"/>
          <w:lang w:val="zh-CN"/>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val="zh-CN"/>
        </w:rPr>
        <w:t>）项目财务管理情况。</w:t>
      </w:r>
      <w:r>
        <w:rPr>
          <w:rFonts w:hint="eastAsia" w:ascii="仿宋_GB2312" w:hAnsi="宋体" w:eastAsia="仿宋_GB2312"/>
          <w:sz w:val="32"/>
          <w:szCs w:val="32"/>
          <w:lang w:val="zh-CN"/>
        </w:rPr>
        <w:t>项目会计核算及账务处理</w:t>
      </w:r>
      <w:r>
        <w:rPr>
          <w:rFonts w:hint="eastAsia" w:ascii="仿宋_GB2312" w:hAnsi="宋体" w:eastAsia="仿宋_GB2312"/>
          <w:sz w:val="32"/>
          <w:szCs w:val="32"/>
        </w:rPr>
        <w:t>按照《预算法》《单位内控制度》</w:t>
      </w:r>
      <w:r>
        <w:rPr>
          <w:rFonts w:hint="eastAsia" w:ascii="仿宋_GB2312" w:hAnsi="宋体" w:eastAsia="仿宋_GB2312"/>
          <w:sz w:val="32"/>
          <w:szCs w:val="32"/>
          <w:lang w:val="zh-CN"/>
        </w:rPr>
        <w:t>等相关</w:t>
      </w:r>
      <w:r>
        <w:rPr>
          <w:rFonts w:hint="eastAsia" w:ascii="仿宋_GB2312" w:hAnsi="宋体" w:eastAsia="仿宋_GB2312"/>
          <w:sz w:val="32"/>
          <w:szCs w:val="32"/>
        </w:rPr>
        <w:t>规定，</w:t>
      </w:r>
      <w:r>
        <w:rPr>
          <w:rFonts w:hint="eastAsia" w:ascii="仿宋_GB2312" w:hAnsi="宋体" w:eastAsia="仿宋_GB2312"/>
          <w:sz w:val="32"/>
          <w:szCs w:val="32"/>
          <w:lang w:val="zh-CN"/>
        </w:rPr>
        <w:t>严格执行财务管理制度、财务处理及时、会计核算规范。</w:t>
      </w:r>
    </w:p>
    <w:p>
      <w:pPr>
        <w:adjustRightInd w:val="0"/>
        <w:snapToGrid w:val="0"/>
        <w:spacing w:line="576" w:lineRule="exact"/>
        <w:ind w:firstLine="720"/>
        <w:outlineLvl w:val="1"/>
        <w:rPr>
          <w:rFonts w:hint="eastAsia" w:ascii="黑体" w:hAnsi="黑体" w:eastAsia="黑体" w:cs="黑体"/>
          <w:bCs/>
          <w:sz w:val="32"/>
          <w:szCs w:val="32"/>
          <w:lang w:val="zh-CN" w:eastAsia="zh-CN"/>
        </w:rPr>
      </w:pPr>
      <w:bookmarkStart w:id="116" w:name="_Toc26014"/>
      <w:r>
        <w:rPr>
          <w:rFonts w:hint="eastAsia" w:ascii="黑体" w:hAnsi="黑体" w:eastAsia="黑体" w:cs="黑体"/>
          <w:bCs/>
          <w:sz w:val="32"/>
          <w:szCs w:val="32"/>
          <w:lang w:val="zh-CN" w:eastAsia="zh-CN"/>
        </w:rPr>
        <w:t>三、项目组织实施情况</w:t>
      </w:r>
      <w:bookmarkEnd w:id="116"/>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b w:val="0"/>
          <w:bCs w:val="0"/>
          <w:sz w:val="32"/>
          <w:szCs w:val="32"/>
          <w:lang w:val="zh-CN"/>
        </w:rPr>
      </w:pPr>
      <w:r>
        <w:rPr>
          <w:rFonts w:hint="eastAsia" w:ascii="楷体_GB2312" w:hAnsi="宋体" w:eastAsia="楷体_GB2312" w:cs="Times New Roman"/>
          <w:b w:val="0"/>
          <w:bCs w:val="0"/>
          <w:sz w:val="32"/>
          <w:szCs w:val="32"/>
          <w:lang w:val="zh-CN"/>
        </w:rPr>
        <w:t>（一）项目组织架构及实施流程。</w:t>
      </w:r>
      <w:r>
        <w:rPr>
          <w:rFonts w:hint="eastAsia" w:ascii="仿宋_GB2312" w:hAnsi="宋体" w:eastAsia="仿宋_GB2312" w:cs="Times New Roman"/>
          <w:b w:val="0"/>
          <w:bCs w:val="0"/>
          <w:sz w:val="32"/>
          <w:szCs w:val="32"/>
          <w:lang w:val="zh-CN"/>
        </w:rPr>
        <w:t>根据政府采购管理要求，港航发展中心政府采购领导小组，作为政府采购的领导机构，由</w:t>
      </w:r>
      <w:r>
        <w:rPr>
          <w:rFonts w:hint="eastAsia" w:ascii="仿宋_GB2312" w:hAnsi="宋体" w:eastAsia="仿宋_GB2312" w:cs="Times New Roman"/>
          <w:b w:val="0"/>
          <w:bCs w:val="0"/>
          <w:sz w:val="32"/>
          <w:szCs w:val="32"/>
          <w:lang w:val="en-US" w:eastAsia="zh-CN"/>
        </w:rPr>
        <w:t>中心主任</w:t>
      </w:r>
      <w:r>
        <w:rPr>
          <w:rFonts w:hint="eastAsia" w:ascii="仿宋_GB2312" w:hAnsi="宋体" w:eastAsia="仿宋_GB2312" w:cs="Times New Roman"/>
          <w:b w:val="0"/>
          <w:bCs w:val="0"/>
          <w:sz w:val="32"/>
          <w:szCs w:val="32"/>
          <w:lang w:val="zh-CN"/>
        </w:rPr>
        <w:t>和相关科室的负责人组成。</w:t>
      </w:r>
      <w:r>
        <w:rPr>
          <w:rFonts w:hint="eastAsia" w:ascii="仿宋_GB2312" w:hAnsi="宋体" w:eastAsia="仿宋_GB2312" w:cs="Times New Roman"/>
          <w:b w:val="0"/>
          <w:bCs w:val="0"/>
          <w:sz w:val="32"/>
          <w:szCs w:val="32"/>
          <w:lang w:val="en-US" w:eastAsia="zh-CN"/>
        </w:rPr>
        <w:t>综合科</w:t>
      </w:r>
      <w:r>
        <w:rPr>
          <w:rFonts w:hint="eastAsia" w:ascii="仿宋_GB2312" w:hAnsi="宋体" w:eastAsia="仿宋_GB2312" w:cs="Times New Roman"/>
          <w:b w:val="0"/>
          <w:bCs w:val="0"/>
          <w:sz w:val="32"/>
          <w:szCs w:val="32"/>
          <w:lang w:val="zh-CN"/>
        </w:rPr>
        <w:t>为政府采购工作的具体管理部门，负责政府采购的管理和监督工作。相关科室根据职能分工和预算管理权限，履行政府采购相关具体职责。部门集中采购项目应通过委托的集中采购机构进行采购。</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b w:val="0"/>
          <w:bCs w:val="0"/>
          <w:sz w:val="32"/>
          <w:szCs w:val="32"/>
          <w:lang w:val="zh-CN"/>
        </w:rPr>
      </w:pPr>
      <w:r>
        <w:rPr>
          <w:rFonts w:hint="eastAsia" w:ascii="楷体_GB2312" w:hAnsi="宋体" w:eastAsia="楷体_GB2312" w:cs="Times New Roman"/>
          <w:b w:val="0"/>
          <w:bCs w:val="0"/>
          <w:sz w:val="32"/>
          <w:szCs w:val="32"/>
          <w:lang w:val="zh-CN"/>
        </w:rPr>
        <w:t>（二）项目管理情况。</w:t>
      </w:r>
      <w:r>
        <w:rPr>
          <w:rFonts w:hint="eastAsia" w:ascii="仿宋_GB2312" w:hAnsi="宋体" w:eastAsia="仿宋_GB2312" w:cs="Times New Roman"/>
          <w:b w:val="0"/>
          <w:bCs w:val="0"/>
          <w:sz w:val="32"/>
          <w:szCs w:val="32"/>
          <w:lang w:val="zh-CN"/>
        </w:rPr>
        <w:t>项目实施执行招投标、政府采购、项目公示制等相关规定。</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b w:val="0"/>
          <w:bCs w:val="0"/>
          <w:sz w:val="32"/>
          <w:szCs w:val="32"/>
          <w:lang w:val="zh-CN"/>
        </w:rPr>
      </w:pPr>
      <w:r>
        <w:rPr>
          <w:rFonts w:hint="eastAsia" w:ascii="楷体_GB2312" w:hAnsi="宋体" w:eastAsia="楷体_GB2312" w:cs="Times New Roman"/>
          <w:b w:val="0"/>
          <w:bCs w:val="0"/>
          <w:sz w:val="32"/>
          <w:szCs w:val="32"/>
          <w:lang w:val="zh-CN"/>
        </w:rPr>
        <w:t>（三）项目监管情况。</w:t>
      </w:r>
      <w:r>
        <w:rPr>
          <w:rFonts w:hint="eastAsia" w:ascii="仿宋_GB2312" w:hAnsi="宋体" w:eastAsia="仿宋_GB2312" w:cs="Times New Roman"/>
          <w:b w:val="0"/>
          <w:bCs w:val="0"/>
          <w:sz w:val="32"/>
          <w:szCs w:val="32"/>
          <w:lang w:val="en-US" w:eastAsia="zh-CN"/>
        </w:rPr>
        <w:t>综合科</w:t>
      </w:r>
      <w:r>
        <w:rPr>
          <w:rFonts w:hint="eastAsia" w:ascii="仿宋_GB2312" w:hAnsi="宋体" w:eastAsia="仿宋_GB2312" w:cs="Times New Roman"/>
          <w:b w:val="0"/>
          <w:bCs w:val="0"/>
          <w:sz w:val="32"/>
          <w:szCs w:val="32"/>
          <w:lang w:val="zh-CN"/>
        </w:rPr>
        <w:t>为政府采购工作的具体管理部门，负责政府采购的管理和监督工作。</w:t>
      </w:r>
      <w:r>
        <w:rPr>
          <w:rFonts w:hint="eastAsia" w:ascii="仿宋_GB2312" w:hAnsi="宋体" w:eastAsia="仿宋_GB2312" w:cs="Times New Roman"/>
          <w:b w:val="0"/>
          <w:bCs w:val="0"/>
          <w:sz w:val="32"/>
          <w:szCs w:val="32"/>
          <w:lang w:val="en-US" w:eastAsia="zh-CN"/>
        </w:rPr>
        <w:t>通过中心主任办公会每月通报项目进展情况，及时对项目实施进行督促，实现了项目与计划基本相符。</w:t>
      </w:r>
    </w:p>
    <w:p>
      <w:pPr>
        <w:adjustRightInd w:val="0"/>
        <w:snapToGrid w:val="0"/>
        <w:spacing w:line="576" w:lineRule="exact"/>
        <w:ind w:firstLine="720"/>
        <w:outlineLvl w:val="1"/>
        <w:rPr>
          <w:rFonts w:hint="eastAsia" w:ascii="黑体" w:hAnsi="黑体" w:eastAsia="黑体" w:cs="黑体"/>
          <w:bCs/>
          <w:sz w:val="32"/>
          <w:szCs w:val="32"/>
          <w:lang w:val="zh-CN"/>
        </w:rPr>
      </w:pPr>
      <w:bookmarkStart w:id="117" w:name="_Toc10288"/>
      <w:r>
        <w:rPr>
          <w:rFonts w:hint="eastAsia" w:ascii="黑体" w:hAnsi="黑体" w:eastAsia="黑体" w:cs="黑体"/>
          <w:bCs/>
          <w:sz w:val="32"/>
          <w:szCs w:val="32"/>
          <w:lang w:val="en-US" w:eastAsia="zh-CN"/>
        </w:rPr>
        <w:t>四</w:t>
      </w:r>
      <w:r>
        <w:rPr>
          <w:rFonts w:hint="eastAsia" w:ascii="黑体" w:hAnsi="黑体" w:eastAsia="黑体" w:cs="黑体"/>
          <w:bCs/>
          <w:sz w:val="32"/>
          <w:szCs w:val="32"/>
        </w:rPr>
        <w:t>、项目绩效情况</w:t>
      </w:r>
      <w:bookmarkEnd w:id="117"/>
      <w:r>
        <w:rPr>
          <w:rFonts w:hint="eastAsia" w:ascii="黑体" w:hAnsi="黑体" w:eastAsia="黑体" w:cs="黑体"/>
          <w:bCs/>
          <w:sz w:val="32"/>
          <w:szCs w:val="32"/>
          <w:lang w:val="zh-CN"/>
        </w:rPr>
        <w:tab/>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（一）项目完成情况。</w:t>
      </w:r>
    </w:p>
    <w:p>
      <w:pPr>
        <w:adjustRightInd w:val="0"/>
        <w:snapToGrid w:val="0"/>
        <w:spacing w:line="576"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建设航道视频监控15处，码头监控5处，水位监测1处，拟定全市通航水域信息化建设、维护规划1处。开展两个港口作业区、三个通航建筑物及亭子湖、白龙湖、升钟水库等重点区域信息化实施督导工作，指导县区完善信息化硬件及软件设施建设和维护工作8处，工程合格率100%，完成2020年至2021年水上交通信息化建设内容。</w:t>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val="zh-CN"/>
        </w:rPr>
        <w:t>）项目效益情况。</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1.提高政府效率、树立良好形象；确保航运安全、支撑经济发展；丰富监管手段、增强管理水平；促进信息公开、正确引导市场。</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2.节约人力、时间等管理成本；加强硬件管理、提升使用效率；提高运输效率、降低货运成本。</w:t>
      </w:r>
      <w:r>
        <w:rPr>
          <w:rFonts w:hint="eastAsia" w:ascii="仿宋_GB2312" w:eastAsia="仿宋_GB2312"/>
          <w:sz w:val="32"/>
          <w:szCs w:val="32"/>
        </w:rPr>
        <w:tab/>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3.通过建立网络系统监测预警，以减少实地巡航对河道、航道生态系统干扰。</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4.为全市通航水域安全监管提供巡航监控、区域监管以及综合指挥等功能。</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1"/>
        <w:rPr>
          <w:rFonts w:ascii="黑体" w:hAnsi="宋体" w:eastAsia="黑体" w:cs="Times New Roman"/>
          <w:b w:val="0"/>
          <w:bCs w:val="0"/>
          <w:sz w:val="32"/>
          <w:szCs w:val="32"/>
        </w:rPr>
      </w:pPr>
      <w:bookmarkStart w:id="118" w:name="_Toc21818"/>
      <w:r>
        <w:rPr>
          <w:rFonts w:hint="eastAsia" w:ascii="黑体" w:hAnsi="宋体" w:eastAsia="黑体" w:cs="Times New Roman"/>
          <w:b w:val="0"/>
          <w:bCs w:val="0"/>
          <w:sz w:val="32"/>
          <w:szCs w:val="32"/>
        </w:rPr>
        <w:t>五、评价结论及建议</w:t>
      </w:r>
      <w:bookmarkEnd w:id="118"/>
    </w:p>
    <w:p>
      <w:pPr>
        <w:adjustRightInd w:val="0"/>
        <w:snapToGrid w:val="0"/>
        <w:spacing w:line="576" w:lineRule="exact"/>
        <w:ind w:firstLine="720"/>
        <w:rPr>
          <w:rFonts w:hint="default"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zh-CN"/>
        </w:rPr>
        <w:t>（一）评价结论。</w:t>
      </w:r>
      <w:r>
        <w:rPr>
          <w:rFonts w:hint="eastAsia" w:ascii="楷体_GB2312" w:hAnsi="楷体_GB2312" w:eastAsia="楷体_GB2312" w:cs="楷体_GB2312"/>
          <w:bCs/>
          <w:sz w:val="32"/>
          <w:szCs w:val="32"/>
          <w:lang w:val="en-US" w:eastAsia="zh-CN"/>
        </w:rPr>
        <w:t>从该项目完成度来看，总体按照合同进度实施，项目资金按照工程量拨付。从该项目运行情况来看，已验收进入试运行阶段，目前运行效果较为理想。</w:t>
      </w:r>
    </w:p>
    <w:p>
      <w:pPr>
        <w:adjustRightInd w:val="0"/>
        <w:snapToGrid w:val="0"/>
        <w:spacing w:line="576" w:lineRule="exact"/>
        <w:ind w:firstLine="720"/>
        <w:rPr>
          <w:rFonts w:hint="eastAsia" w:ascii="仿宋_GB2312" w:hAnsi="宋体" w:eastAsia="仿宋_GB2312"/>
          <w:sz w:val="32"/>
          <w:szCs w:val="32"/>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lang w:val="zh-CN"/>
        </w:rPr>
        <w:t>）存在的问题。</w:t>
      </w:r>
      <w:r>
        <w:rPr>
          <w:rFonts w:hint="eastAsia" w:ascii="仿宋_GB2312" w:hAnsi="宋体" w:eastAsia="仿宋_GB2312"/>
          <w:sz w:val="32"/>
          <w:szCs w:val="32"/>
        </w:rPr>
        <w:t>该项目为政府采购项目，项目资金量大、报备环节多、程序繁杂、支付期跨度大，按照财政局政策规定资金2年未支付完需收回，有硬性工作需要的项目再打报告申请。</w:t>
      </w:r>
    </w:p>
    <w:p>
      <w:pPr>
        <w:adjustRightInd w:val="0"/>
        <w:snapToGrid w:val="0"/>
        <w:spacing w:line="576" w:lineRule="exact"/>
        <w:ind w:firstLine="720"/>
        <w:rPr>
          <w:rFonts w:ascii="仿宋_GB2312" w:hAnsi="仿宋_GB2312" w:eastAsia="仿宋_GB2312" w:cs="仿宋_GB2312"/>
          <w:sz w:val="32"/>
          <w:szCs w:val="32"/>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val="zh-CN"/>
        </w:rPr>
        <w:t>）相关建议。</w:t>
      </w:r>
      <w:r>
        <w:rPr>
          <w:rFonts w:hint="eastAsia" w:ascii="仿宋_GB2312" w:hAnsi="宋体" w:eastAsia="仿宋_GB2312"/>
          <w:sz w:val="32"/>
          <w:szCs w:val="32"/>
        </w:rPr>
        <w:t>有合同且资金有保障的项目，特事特办不执行资金2年收回规定，以减少申报环节业务量。</w:t>
      </w:r>
    </w:p>
    <w:p>
      <w:pPr>
        <w:pStyle w:val="2"/>
        <w:rPr>
          <w:rFonts w:hint="eastAsia"/>
          <w:color w:val="auto"/>
          <w:highlight w:val="none"/>
          <w:lang w:val="zh-CN"/>
        </w:rPr>
      </w:pPr>
    </w:p>
    <w:p>
      <w:pPr>
        <w:pStyle w:val="2"/>
        <w:rPr>
          <w:rFonts w:hint="eastAsia"/>
          <w:color w:val="auto"/>
          <w:highlight w:val="none"/>
          <w:lang w:val="zh-CN"/>
        </w:rPr>
      </w:pPr>
      <w:r>
        <w:drawing>
          <wp:inline distT="0" distB="0" distL="114300" distR="114300">
            <wp:extent cx="5267325" cy="6696075"/>
            <wp:effectExtent l="0" t="0" r="5715" b="9525"/>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13"/>
                    <a:stretch>
                      <a:fillRect/>
                    </a:stretch>
                  </pic:blipFill>
                  <pic:spPr>
                    <a:xfrm>
                      <a:off x="0" y="0"/>
                      <a:ext cx="5267325" cy="6696075"/>
                    </a:xfrm>
                    <a:prstGeom prst="rect">
                      <a:avLst/>
                    </a:prstGeom>
                    <a:noFill/>
                    <a:ln>
                      <a:noFill/>
                    </a:ln>
                  </pic:spPr>
                </pic:pic>
              </a:graphicData>
            </a:graphic>
          </wp:inline>
        </w:drawing>
      </w:r>
    </w:p>
    <w:p>
      <w:pPr>
        <w:rPr>
          <w:rFonts w:hint="eastAsia"/>
          <w:color w:val="auto"/>
          <w:highlight w:val="none"/>
          <w:lang w:val="zh-CN"/>
        </w:rPr>
      </w:pPr>
      <w:r>
        <w:rPr>
          <w:rFonts w:hint="eastAsia"/>
          <w:color w:val="auto"/>
          <w:highlight w:val="none"/>
          <w:lang w:val="zh-CN"/>
        </w:rPr>
        <w:br w:type="page"/>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2021年船舶检验与修造管理项目</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zh-CN" w:eastAsia="zh-CN" w:bidi="ar-SA"/>
        </w:rPr>
        <w:t>支出绩效自评报告</w:t>
      </w:r>
    </w:p>
    <w:p>
      <w:pPr>
        <w:pStyle w:val="2"/>
        <w:rPr>
          <w:rFonts w:hint="eastAsia"/>
          <w:lang w:val="zh-CN" w:eastAsia="zh-CN"/>
        </w:rPr>
      </w:pPr>
    </w:p>
    <w:p>
      <w:pPr>
        <w:adjustRightInd w:val="0"/>
        <w:snapToGrid w:val="0"/>
        <w:spacing w:line="576" w:lineRule="exact"/>
        <w:ind w:firstLine="720"/>
        <w:outlineLvl w:val="1"/>
        <w:rPr>
          <w:rFonts w:hint="eastAsia" w:ascii="黑体" w:hAnsi="黑体" w:eastAsia="黑体" w:cs="黑体"/>
          <w:bCs/>
          <w:sz w:val="32"/>
          <w:szCs w:val="32"/>
          <w:lang w:val="zh-CN"/>
        </w:rPr>
      </w:pPr>
      <w:bookmarkStart w:id="119" w:name="_Toc29323"/>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bookmarkEnd w:id="119"/>
    </w:p>
    <w:p>
      <w:pPr>
        <w:numPr>
          <w:ilvl w:val="0"/>
          <w:numId w:val="8"/>
        </w:numPr>
        <w:adjustRightInd w:val="0"/>
        <w:snapToGrid w:val="0"/>
        <w:spacing w:line="576" w:lineRule="exact"/>
        <w:ind w:firstLine="720"/>
        <w:rPr>
          <w:rFonts w:hint="eastAsia" w:ascii="华文楷体" w:hAnsi="华文楷体" w:eastAsia="华文楷体" w:cs="华文楷体"/>
          <w:sz w:val="32"/>
          <w:szCs w:val="32"/>
        </w:rPr>
      </w:pPr>
      <w:r>
        <w:rPr>
          <w:rFonts w:hint="eastAsia" w:ascii="华文楷体" w:hAnsi="华文楷体" w:eastAsia="华文楷体" w:cs="华文楷体"/>
          <w:sz w:val="32"/>
          <w:szCs w:val="32"/>
        </w:rPr>
        <w:t>项目基本情况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zh-CN"/>
        </w:rPr>
        <w:t>项目主管</w:t>
      </w:r>
      <w:r>
        <w:rPr>
          <w:rFonts w:hint="eastAsia" w:ascii="仿宋_GB2312" w:hAnsi="宋体" w:eastAsia="仿宋_GB2312"/>
          <w:sz w:val="32"/>
          <w:szCs w:val="32"/>
          <w:lang w:val="en-US" w:eastAsia="zh-CN"/>
        </w:rPr>
        <w:t>部门</w:t>
      </w:r>
      <w:r>
        <w:rPr>
          <w:rFonts w:hint="eastAsia" w:ascii="仿宋_GB2312" w:hAnsi="宋体" w:eastAsia="仿宋_GB2312"/>
          <w:sz w:val="32"/>
          <w:szCs w:val="32"/>
          <w:lang w:val="zh-CN"/>
        </w:rPr>
        <w:t>实施该项目。</w:t>
      </w:r>
      <w:r>
        <w:rPr>
          <w:rFonts w:hint="eastAsia" w:ascii="仿宋_GB2312" w:hAnsi="宋体" w:eastAsia="仿宋_GB2312"/>
          <w:sz w:val="32"/>
          <w:szCs w:val="32"/>
          <w:lang w:val="en-US" w:eastAsia="zh-CN"/>
        </w:rPr>
        <w:t>根据工作职能职责申报项目资金。项目资金仅对船舶方面的工作费用进行报销。项目资金专款专用。</w:t>
      </w:r>
    </w:p>
    <w:p>
      <w:pPr>
        <w:numPr>
          <w:ilvl w:val="0"/>
          <w:numId w:val="8"/>
        </w:numPr>
        <w:adjustRightInd w:val="0"/>
        <w:snapToGrid w:val="0"/>
        <w:spacing w:line="576" w:lineRule="exact"/>
        <w:ind w:firstLine="720"/>
        <w:rPr>
          <w:rFonts w:hint="eastAsia" w:ascii="华文楷体" w:hAnsi="华文楷体" w:eastAsia="华文楷体" w:cs="华文楷体"/>
          <w:sz w:val="32"/>
          <w:szCs w:val="32"/>
          <w:lang w:val="zh-CN"/>
        </w:rPr>
      </w:pPr>
      <w:r>
        <w:rPr>
          <w:rFonts w:hint="eastAsia" w:ascii="华文楷体" w:hAnsi="华文楷体" w:eastAsia="华文楷体" w:cs="华文楷体"/>
          <w:sz w:val="32"/>
          <w:szCs w:val="32"/>
          <w:lang w:val="zh-CN"/>
        </w:rPr>
        <w:t>项目绩效目标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1.</w:t>
      </w:r>
      <w:r>
        <w:rPr>
          <w:rFonts w:hint="eastAsia" w:ascii="仿宋_GB2312" w:hAnsi="宋体" w:eastAsia="仿宋_GB2312"/>
          <w:sz w:val="32"/>
          <w:szCs w:val="32"/>
          <w:lang w:val="zh-CN"/>
        </w:rPr>
        <w:t>完成全市船舶建造检验、营运检验、船舶设计图纸审查工作，加强对船舶修造企业业务指导，严把船舶建造和检验关确保船舶建造质量。积极与市农业农村局对接，梳理渔船检验相关业务，加强渔船检验人员适任制资格培训考试工作，确保渔船检验业务平稳有序地开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2.船舶检验&gt;=433艘；新建船舶设计图及建造检查=实际新增船舶数；加强渔船检验人员适任制资格培训考试工作&gt;=2次；全年2021年1月-12月；运输成本</w:t>
      </w:r>
      <w:r>
        <w:rPr>
          <w:rFonts w:hint="eastAsia" w:ascii="仿宋_GB2312" w:hAnsi="宋体" w:eastAsia="仿宋_GB2312"/>
          <w:sz w:val="32"/>
          <w:szCs w:val="32"/>
          <w:lang w:val="en-US" w:eastAsia="zh-CN"/>
        </w:rPr>
        <w:tab/>
      </w:r>
      <w:r>
        <w:rPr>
          <w:rFonts w:hint="eastAsia" w:ascii="仿宋_GB2312" w:hAnsi="宋体" w:eastAsia="仿宋_GB2312"/>
          <w:sz w:val="32"/>
          <w:szCs w:val="32"/>
          <w:lang w:val="en-US" w:eastAsia="zh-CN"/>
        </w:rPr>
        <w:t>&gt;=下降15%；运输时间&gt;=降低20%；运量增加</w:t>
      </w:r>
      <w:r>
        <w:rPr>
          <w:rFonts w:hint="eastAsia" w:ascii="仿宋_GB2312" w:hAnsi="宋体" w:eastAsia="仿宋_GB2312"/>
          <w:sz w:val="32"/>
          <w:szCs w:val="32"/>
          <w:lang w:val="en-US" w:eastAsia="zh-CN"/>
        </w:rPr>
        <w:tab/>
      </w:r>
      <w:r>
        <w:rPr>
          <w:rFonts w:hint="eastAsia" w:ascii="仿宋_GB2312" w:hAnsi="宋体" w:eastAsia="仿宋_GB2312"/>
          <w:sz w:val="32"/>
          <w:szCs w:val="32"/>
          <w:lang w:val="en-US" w:eastAsia="zh-CN"/>
        </w:rPr>
        <w:t>&gt;30%；货物装卸时间缩短=2倍；新能源船舶图纸设计、审批工作；新能源渡船和充电桩设施的试点建造工作； 满意度指标</w:t>
      </w:r>
      <w:r>
        <w:rPr>
          <w:rFonts w:hint="eastAsia" w:ascii="仿宋_GB2312" w:hAnsi="宋体" w:eastAsia="仿宋_GB2312"/>
          <w:sz w:val="32"/>
          <w:szCs w:val="32"/>
          <w:lang w:val="en-US" w:eastAsia="zh-CN"/>
        </w:rPr>
        <w:tab/>
      </w:r>
      <w:r>
        <w:rPr>
          <w:rFonts w:hint="eastAsia" w:ascii="仿宋_GB2312" w:hAnsi="宋体" w:eastAsia="仿宋_GB2312"/>
          <w:sz w:val="32"/>
          <w:szCs w:val="32"/>
          <w:lang w:val="en-US" w:eastAsia="zh-CN"/>
        </w:rPr>
        <w:t>&gt;=95%。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项目申报内容与具体实施内容相符、申报目标合理可行。</w:t>
      </w:r>
    </w:p>
    <w:p>
      <w:pPr>
        <w:numPr>
          <w:ilvl w:val="0"/>
          <w:numId w:val="8"/>
        </w:numPr>
        <w:adjustRightInd w:val="0"/>
        <w:snapToGrid w:val="0"/>
        <w:spacing w:line="576" w:lineRule="exact"/>
        <w:ind w:firstLine="720"/>
        <w:rPr>
          <w:rFonts w:hint="eastAsia" w:ascii="华文楷体" w:hAnsi="华文楷体" w:eastAsia="华文楷体" w:cs="华文楷体"/>
          <w:sz w:val="32"/>
          <w:szCs w:val="32"/>
          <w:lang w:val="zh-CN"/>
        </w:rPr>
      </w:pPr>
      <w:r>
        <w:rPr>
          <w:rFonts w:hint="eastAsia" w:ascii="华文楷体" w:hAnsi="华文楷体" w:eastAsia="华文楷体" w:cs="华文楷体"/>
          <w:sz w:val="32"/>
          <w:szCs w:val="32"/>
          <w:lang w:val="zh-CN"/>
        </w:rPr>
        <w:t>项目自评步骤及方法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sz w:val="32"/>
          <w:szCs w:val="32"/>
          <w:lang w:val="zh-CN" w:eastAsia="zh-CN"/>
        </w:rPr>
      </w:pPr>
      <w:r>
        <w:rPr>
          <w:rFonts w:hint="eastAsia" w:ascii="仿宋_GB2312" w:hAnsi="宋体" w:eastAsia="仿宋_GB2312" w:cs="Times New Roman"/>
          <w:sz w:val="32"/>
          <w:szCs w:val="32"/>
          <w:lang w:val="zh-CN" w:eastAsia="zh-CN"/>
        </w:rPr>
        <w:t>业务科室对照《2022年市级专项预算项目支出绩效评价指标体系》，完善相关指标并进行自评打分。</w:t>
      </w:r>
    </w:p>
    <w:p>
      <w:pPr>
        <w:numPr>
          <w:ilvl w:val="0"/>
          <w:numId w:val="9"/>
        </w:numPr>
        <w:adjustRightInd w:val="0"/>
        <w:snapToGrid w:val="0"/>
        <w:spacing w:line="576" w:lineRule="exact"/>
        <w:ind w:firstLine="720"/>
        <w:outlineLvl w:val="1"/>
        <w:rPr>
          <w:rFonts w:hint="eastAsia" w:ascii="黑体" w:hAnsi="黑体" w:eastAsia="黑体" w:cs="黑体"/>
          <w:bCs/>
          <w:sz w:val="32"/>
          <w:szCs w:val="32"/>
        </w:rPr>
      </w:pPr>
      <w:bookmarkStart w:id="120" w:name="_Toc25920"/>
      <w:r>
        <w:rPr>
          <w:rFonts w:hint="eastAsia" w:ascii="黑体" w:hAnsi="黑体" w:eastAsia="黑体" w:cs="黑体"/>
          <w:bCs/>
          <w:sz w:val="32"/>
          <w:szCs w:val="32"/>
        </w:rPr>
        <w:t>项目资金申报及使用情况</w:t>
      </w:r>
      <w:bookmarkEnd w:id="120"/>
    </w:p>
    <w:p>
      <w:pPr>
        <w:keepNext w:val="0"/>
        <w:keepLines w:val="0"/>
        <w:pageBreakBefore w:val="0"/>
        <w:widowControl w:val="0"/>
        <w:numPr>
          <w:ilvl w:val="0"/>
          <w:numId w:val="1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rPr>
      </w:pPr>
      <w:r>
        <w:rPr>
          <w:rFonts w:hint="eastAsia" w:ascii="楷体_GB2312" w:hAnsi="宋体" w:eastAsia="楷体_GB2312" w:cs="Times New Roman"/>
          <w:b w:val="0"/>
          <w:bCs w:val="0"/>
          <w:sz w:val="32"/>
          <w:szCs w:val="32"/>
          <w:lang w:val="zh-CN"/>
        </w:rPr>
        <w:t>项目资金申报及批复情况。</w:t>
      </w:r>
      <w:r>
        <w:rPr>
          <w:rFonts w:hint="eastAsia" w:ascii="仿宋_GB2312" w:hAnsi="宋体" w:eastAsia="仿宋_GB2312"/>
          <w:sz w:val="32"/>
          <w:szCs w:val="32"/>
          <w:lang w:val="zh-CN"/>
        </w:rPr>
        <w:t>项目资金申报</w:t>
      </w:r>
      <w:r>
        <w:rPr>
          <w:rFonts w:hint="eastAsia" w:ascii="仿宋_GB2312" w:hAnsi="宋体" w:eastAsia="仿宋_GB2312"/>
          <w:sz w:val="32"/>
          <w:szCs w:val="32"/>
        </w:rPr>
        <w:t>5万元</w:t>
      </w:r>
      <w:r>
        <w:rPr>
          <w:rFonts w:hint="eastAsia" w:ascii="仿宋_GB2312" w:hAnsi="宋体" w:eastAsia="仿宋_GB2312"/>
          <w:sz w:val="32"/>
          <w:szCs w:val="32"/>
          <w:lang w:val="zh-CN"/>
        </w:rPr>
        <w:t>、</w:t>
      </w:r>
      <w:r>
        <w:rPr>
          <w:rFonts w:hint="eastAsia" w:ascii="仿宋_GB2312" w:hAnsi="宋体" w:eastAsia="仿宋_GB2312"/>
          <w:sz w:val="32"/>
          <w:szCs w:val="32"/>
        </w:rPr>
        <w:t>财政</w:t>
      </w:r>
      <w:r>
        <w:rPr>
          <w:rFonts w:hint="eastAsia" w:ascii="仿宋_GB2312" w:hAnsi="宋体" w:eastAsia="仿宋_GB2312"/>
          <w:sz w:val="32"/>
          <w:szCs w:val="32"/>
          <w:lang w:val="zh-CN"/>
        </w:rPr>
        <w:t>批复</w:t>
      </w:r>
      <w:r>
        <w:rPr>
          <w:rFonts w:hint="eastAsia" w:ascii="仿宋_GB2312" w:hAnsi="宋体" w:eastAsia="仿宋_GB2312"/>
          <w:sz w:val="32"/>
          <w:szCs w:val="32"/>
        </w:rPr>
        <w:t>5万元。</w:t>
      </w:r>
    </w:p>
    <w:p>
      <w:pPr>
        <w:keepNext w:val="0"/>
        <w:keepLines w:val="0"/>
        <w:pageBreakBefore w:val="0"/>
        <w:widowControl w:val="0"/>
        <w:numPr>
          <w:ilvl w:val="0"/>
          <w:numId w:val="10"/>
        </w:numPr>
        <w:kinsoku/>
        <w:wordWrap/>
        <w:overflowPunct/>
        <w:topLinePunct w:val="0"/>
        <w:autoSpaceDE/>
        <w:autoSpaceDN/>
        <w:bidi w:val="0"/>
        <w:adjustRightInd w:val="0"/>
        <w:snapToGrid w:val="0"/>
        <w:spacing w:line="576" w:lineRule="exact"/>
        <w:ind w:firstLine="640" w:firstLineChars="200"/>
        <w:textAlignment w:val="auto"/>
        <w:rPr>
          <w:rFonts w:hint="eastAsia" w:ascii="华文楷体" w:hAnsi="华文楷体" w:eastAsia="华文楷体" w:cs="华文楷体"/>
          <w:b w:val="0"/>
          <w:bCs w:val="0"/>
          <w:sz w:val="32"/>
          <w:szCs w:val="32"/>
          <w:lang w:val="zh-CN"/>
        </w:rPr>
      </w:pPr>
      <w:r>
        <w:rPr>
          <w:rFonts w:hint="eastAsia" w:ascii="华文楷体" w:hAnsi="华文楷体" w:eastAsia="华文楷体" w:cs="华文楷体"/>
          <w:b w:val="0"/>
          <w:bCs w:val="0"/>
          <w:sz w:val="32"/>
          <w:szCs w:val="32"/>
          <w:lang w:val="zh-CN"/>
        </w:rPr>
        <w:t>资金计划、到位及使用情况</w:t>
      </w:r>
    </w:p>
    <w:p>
      <w:pPr>
        <w:keepNext w:val="0"/>
        <w:keepLines w:val="0"/>
        <w:pageBreakBefore w:val="0"/>
        <w:widowControl w:val="0"/>
        <w:numPr>
          <w:ilvl w:val="0"/>
          <w:numId w:val="11"/>
        </w:numPr>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zh-CN"/>
        </w:rPr>
        <w:t>资金计划及到位。</w:t>
      </w:r>
      <w:r>
        <w:rPr>
          <w:rFonts w:hint="eastAsia" w:ascii="仿宋_GB2312" w:hAnsi="宋体" w:eastAsia="仿宋_GB2312" w:cs="Times New Roman"/>
          <w:sz w:val="32"/>
          <w:szCs w:val="32"/>
          <w:lang w:val="zh-CN" w:eastAsia="zh-CN"/>
        </w:rPr>
        <w:t>该项目资金计划5万元项目资金申报5万元，财政批复5万元，截止评价时点实际到位5万元，为本级财政拨款资金，资金到位率100%。</w:t>
      </w:r>
    </w:p>
    <w:p>
      <w:pPr>
        <w:keepNext w:val="0"/>
        <w:keepLines w:val="0"/>
        <w:pageBreakBefore w:val="0"/>
        <w:widowControl w:val="0"/>
        <w:numPr>
          <w:ilvl w:val="0"/>
          <w:numId w:val="11"/>
        </w:numPr>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zh-CN"/>
        </w:rPr>
        <w:t>资金使用。</w:t>
      </w:r>
      <w:r>
        <w:rPr>
          <w:rFonts w:hint="eastAsia" w:ascii="仿宋_GB2312" w:hAnsi="宋体" w:eastAsia="仿宋_GB2312" w:cs="Times New Roman"/>
          <w:sz w:val="32"/>
          <w:szCs w:val="32"/>
          <w:lang w:val="en-US" w:eastAsia="zh-CN"/>
        </w:rPr>
        <w:t>已全部使用完毕，</w:t>
      </w:r>
      <w:r>
        <w:rPr>
          <w:rFonts w:hint="eastAsia" w:ascii="仿宋_GB2312" w:hAnsi="宋体" w:eastAsia="仿宋_GB2312"/>
          <w:sz w:val="32"/>
          <w:szCs w:val="32"/>
          <w:lang w:val="zh-CN"/>
        </w:rPr>
        <w:t>支付依据合规合法，资金支付与预算相符。</w:t>
      </w:r>
    </w:p>
    <w:p>
      <w:pPr>
        <w:adjustRightInd w:val="0"/>
        <w:snapToGrid w:val="0"/>
        <w:spacing w:line="576" w:lineRule="exact"/>
        <w:ind w:firstLine="720"/>
        <w:rPr>
          <w:rFonts w:hint="eastAsia" w:ascii="华文楷体" w:hAnsi="华文楷体" w:eastAsia="华文楷体" w:cs="华文楷体"/>
          <w:b w:val="0"/>
          <w:bCs w:val="0"/>
          <w:sz w:val="32"/>
          <w:szCs w:val="32"/>
          <w:lang w:val="zh-CN"/>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val="zh-CN"/>
        </w:rPr>
        <w:t>）项目财务管理情况。</w:t>
      </w:r>
      <w:r>
        <w:rPr>
          <w:rFonts w:hint="eastAsia" w:ascii="仿宋_GB2312" w:hAnsi="宋体" w:eastAsia="仿宋_GB2312"/>
          <w:sz w:val="32"/>
          <w:szCs w:val="32"/>
          <w:lang w:val="zh-CN"/>
        </w:rPr>
        <w:t>项目会计核算及账务处理</w:t>
      </w:r>
      <w:r>
        <w:rPr>
          <w:rFonts w:hint="eastAsia" w:ascii="仿宋_GB2312" w:hAnsi="宋体" w:eastAsia="仿宋_GB2312"/>
          <w:sz w:val="32"/>
          <w:szCs w:val="32"/>
        </w:rPr>
        <w:t>按照《预算法》《单位内控制度》</w:t>
      </w:r>
      <w:r>
        <w:rPr>
          <w:rFonts w:hint="eastAsia" w:ascii="仿宋_GB2312" w:hAnsi="宋体" w:eastAsia="仿宋_GB2312"/>
          <w:sz w:val="32"/>
          <w:szCs w:val="32"/>
          <w:lang w:val="zh-CN"/>
        </w:rPr>
        <w:t>等相关</w:t>
      </w:r>
      <w:r>
        <w:rPr>
          <w:rFonts w:hint="eastAsia" w:ascii="仿宋_GB2312" w:hAnsi="宋体" w:eastAsia="仿宋_GB2312"/>
          <w:sz w:val="32"/>
          <w:szCs w:val="32"/>
        </w:rPr>
        <w:t>规定，</w:t>
      </w:r>
      <w:r>
        <w:rPr>
          <w:rFonts w:hint="eastAsia" w:ascii="仿宋_GB2312" w:hAnsi="宋体" w:eastAsia="仿宋_GB2312"/>
          <w:sz w:val="32"/>
          <w:szCs w:val="32"/>
          <w:lang w:val="zh-CN"/>
        </w:rPr>
        <w:t>严格执行财务管理制度、财务处理及时、会计核算规范。</w:t>
      </w:r>
    </w:p>
    <w:p>
      <w:pPr>
        <w:adjustRightInd w:val="0"/>
        <w:snapToGrid w:val="0"/>
        <w:spacing w:line="576" w:lineRule="exact"/>
        <w:ind w:firstLine="720"/>
        <w:outlineLvl w:val="1"/>
        <w:rPr>
          <w:rFonts w:hint="eastAsia" w:ascii="黑体" w:hAnsi="黑体" w:eastAsia="黑体" w:cs="黑体"/>
          <w:bCs/>
          <w:sz w:val="32"/>
          <w:szCs w:val="32"/>
        </w:rPr>
      </w:pPr>
      <w:bookmarkStart w:id="121" w:name="_Toc17752"/>
      <w:r>
        <w:rPr>
          <w:rFonts w:hint="eastAsia" w:ascii="黑体" w:hAnsi="黑体" w:eastAsia="黑体" w:cs="黑体"/>
          <w:bCs/>
          <w:sz w:val="32"/>
          <w:szCs w:val="32"/>
          <w:lang w:val="en-US" w:eastAsia="zh-CN"/>
        </w:rPr>
        <w:t>三、</w:t>
      </w:r>
      <w:r>
        <w:rPr>
          <w:rFonts w:hint="eastAsia" w:ascii="黑体" w:hAnsi="黑体" w:eastAsia="黑体" w:cs="黑体"/>
          <w:bCs/>
          <w:sz w:val="32"/>
          <w:szCs w:val="32"/>
        </w:rPr>
        <w:t>项目实施及管理情况</w:t>
      </w:r>
      <w:bookmarkEnd w:id="121"/>
    </w:p>
    <w:p>
      <w:pPr>
        <w:adjustRightInd w:val="0"/>
        <w:snapToGrid w:val="0"/>
        <w:spacing w:line="576" w:lineRule="exact"/>
        <w:ind w:firstLine="720"/>
        <w:rPr>
          <w:rFonts w:hint="eastAsia" w:ascii="仿宋_GB2312" w:hAnsi="宋体" w:eastAsia="仿宋_GB2312"/>
          <w:sz w:val="32"/>
          <w:szCs w:val="32"/>
          <w:lang w:val="en-US" w:eastAsia="zh-CN"/>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一</w:t>
      </w:r>
      <w:r>
        <w:rPr>
          <w:rFonts w:hint="eastAsia" w:ascii="楷体_GB2312" w:hAnsi="楷体_GB2312" w:eastAsia="楷体_GB2312" w:cs="楷体_GB2312"/>
          <w:bCs/>
          <w:sz w:val="32"/>
          <w:szCs w:val="32"/>
          <w:lang w:val="zh-CN"/>
        </w:rPr>
        <w:t>）项目组织架构及实施流程。</w:t>
      </w:r>
      <w:r>
        <w:rPr>
          <w:rFonts w:hint="eastAsia" w:ascii="仿宋_GB2312" w:hAnsi="宋体" w:eastAsia="仿宋_GB2312"/>
          <w:sz w:val="32"/>
          <w:szCs w:val="32"/>
          <w:lang w:val="en-US" w:eastAsia="zh-CN"/>
        </w:rPr>
        <w:t>由船检科牵头，对全市船舶进行检验与修造开展专项工作。</w:t>
      </w:r>
      <w:r>
        <w:rPr>
          <w:rFonts w:hint="eastAsia" w:ascii="仿宋_GB2312" w:hAnsi="宋体" w:eastAsia="仿宋_GB2312"/>
          <w:sz w:val="32"/>
          <w:szCs w:val="32"/>
          <w:lang w:val="zh-CN"/>
        </w:rPr>
        <w:t>该经费项目主要用于船舶检验与修造管理专项工作经费项目支出。</w:t>
      </w:r>
    </w:p>
    <w:p>
      <w:pPr>
        <w:adjustRightInd w:val="0"/>
        <w:snapToGrid w:val="0"/>
        <w:spacing w:line="576" w:lineRule="exact"/>
        <w:ind w:firstLine="720"/>
        <w:rPr>
          <w:rFonts w:hint="eastAsia" w:ascii="仿宋_GB2312" w:hAnsi="宋体" w:eastAsia="仿宋_GB2312"/>
          <w:sz w:val="32"/>
          <w:szCs w:val="32"/>
          <w:lang w:val="zh-CN"/>
        </w:rPr>
      </w:pPr>
      <w:r>
        <w:rPr>
          <w:rFonts w:hint="eastAsia" w:ascii="楷体_GB2312" w:hAnsi="楷体_GB2312" w:eastAsia="楷体_GB2312" w:cs="楷体_GB2312"/>
          <w:bCs/>
          <w:sz w:val="32"/>
          <w:szCs w:val="32"/>
          <w:lang w:val="zh-CN"/>
        </w:rPr>
        <w:t>（二）项目管理情况。</w:t>
      </w:r>
      <w:r>
        <w:rPr>
          <w:rFonts w:hint="eastAsia" w:ascii="仿宋_GB2312" w:hAnsi="宋体" w:eastAsia="仿宋_GB2312" w:cs="Times New Roman"/>
          <w:b w:val="0"/>
          <w:bCs w:val="0"/>
          <w:sz w:val="32"/>
          <w:szCs w:val="32"/>
          <w:lang w:val="en-US" w:eastAsia="zh-CN"/>
        </w:rPr>
        <w:t>按照《预算法》对项目进行预算公开，每季度进行绩效项目分析。</w:t>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（三）项目监管情况。</w:t>
      </w:r>
      <w:r>
        <w:rPr>
          <w:rFonts w:hint="eastAsia" w:ascii="仿宋_GB2312" w:hAnsi="宋体" w:eastAsia="仿宋_GB2312"/>
          <w:sz w:val="32"/>
          <w:szCs w:val="32"/>
          <w:lang w:val="zh-CN"/>
        </w:rPr>
        <w:t>该经费项目主要用于船舶检验与修造管理专项工作经费项目支出。</w:t>
      </w:r>
      <w:r>
        <w:rPr>
          <w:rFonts w:hint="eastAsia" w:ascii="仿宋_GB2312" w:hAnsi="宋体" w:eastAsia="仿宋_GB2312"/>
          <w:sz w:val="32"/>
          <w:szCs w:val="32"/>
          <w:lang w:val="en-US" w:eastAsia="zh-CN"/>
        </w:rPr>
        <w:t>每月通过中心主任办公会对项目进度情况进行通报，</w:t>
      </w:r>
      <w:r>
        <w:rPr>
          <w:rFonts w:hint="eastAsia" w:ascii="仿宋_GB2312" w:hAnsi="宋体" w:eastAsia="仿宋_GB2312"/>
          <w:sz w:val="32"/>
          <w:szCs w:val="32"/>
          <w:lang w:val="zh-CN"/>
        </w:rPr>
        <w:t>截止评价日，基本完成了资金的申报、审核、支付流程。截止评价时点项目资金的实际支出</w:t>
      </w:r>
      <w:r>
        <w:rPr>
          <w:rFonts w:hint="eastAsia" w:ascii="仿宋_GB2312" w:hAnsi="宋体" w:eastAsia="仿宋_GB2312"/>
          <w:sz w:val="32"/>
          <w:szCs w:val="32"/>
        </w:rPr>
        <w:t>5万元</w:t>
      </w:r>
      <w:r>
        <w:rPr>
          <w:rFonts w:hint="eastAsia" w:ascii="仿宋_GB2312" w:hAnsi="宋体" w:eastAsia="仿宋_GB2312"/>
          <w:sz w:val="32"/>
          <w:szCs w:val="32"/>
          <w:lang w:val="zh-CN"/>
        </w:rPr>
        <w:t>，主要用于船舶检验与修造管理专项工作经费项目支出。支付依据合规合法，资金支付与预算相符。</w:t>
      </w:r>
    </w:p>
    <w:p>
      <w:pPr>
        <w:adjustRightInd w:val="0"/>
        <w:snapToGrid w:val="0"/>
        <w:spacing w:line="576" w:lineRule="exact"/>
        <w:ind w:firstLine="720"/>
        <w:outlineLvl w:val="1"/>
        <w:rPr>
          <w:rFonts w:hint="eastAsia" w:ascii="黑体" w:hAnsi="黑体" w:eastAsia="黑体" w:cs="黑体"/>
          <w:bCs/>
          <w:sz w:val="32"/>
          <w:szCs w:val="32"/>
          <w:lang w:val="zh-CN"/>
        </w:rPr>
      </w:pPr>
      <w:bookmarkStart w:id="122" w:name="_Toc29659"/>
      <w:r>
        <w:rPr>
          <w:rFonts w:hint="eastAsia" w:ascii="黑体" w:hAnsi="黑体" w:eastAsia="黑体" w:cs="黑体"/>
          <w:bCs/>
          <w:sz w:val="32"/>
          <w:szCs w:val="32"/>
          <w:lang w:val="en-US" w:eastAsia="zh-CN"/>
        </w:rPr>
        <w:t>四</w:t>
      </w:r>
      <w:r>
        <w:rPr>
          <w:rFonts w:hint="eastAsia" w:ascii="黑体" w:hAnsi="黑体" w:eastAsia="黑体" w:cs="黑体"/>
          <w:bCs/>
          <w:sz w:val="32"/>
          <w:szCs w:val="32"/>
        </w:rPr>
        <w:t>、项目绩效情况</w:t>
      </w:r>
      <w:bookmarkEnd w:id="122"/>
      <w:r>
        <w:rPr>
          <w:rFonts w:hint="eastAsia" w:ascii="黑体" w:hAnsi="黑体" w:eastAsia="黑体" w:cs="黑体"/>
          <w:bCs/>
          <w:sz w:val="32"/>
          <w:szCs w:val="32"/>
          <w:lang w:val="zh-CN"/>
        </w:rPr>
        <w:tab/>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（一）项目完成情况。</w:t>
      </w:r>
    </w:p>
    <w:p>
      <w:pPr>
        <w:adjustRightInd w:val="0"/>
        <w:snapToGrid w:val="0"/>
        <w:spacing w:line="576" w:lineRule="exact"/>
        <w:ind w:firstLine="720"/>
        <w:rPr>
          <w:rFonts w:hint="eastAsia" w:ascii="仿宋_GB2312" w:hAnsi="宋体" w:eastAsia="仿宋_GB2312"/>
          <w:sz w:val="32"/>
          <w:szCs w:val="32"/>
          <w:lang w:val="zh-CN"/>
        </w:rPr>
      </w:pPr>
      <w:r>
        <w:rPr>
          <w:rFonts w:hint="eastAsia" w:ascii="仿宋_GB2312" w:eastAsia="仿宋_GB2312"/>
          <w:sz w:val="32"/>
          <w:szCs w:val="32"/>
        </w:rPr>
        <w:t>认真把好船舶安全源头关，完成新建船舶图纸审查12套，完成船舶建造检验9艘、营运检验138艘，完成渔船检验57艘，完成“兴川江”8号、9号两艘千吨级多用途货船倾斜及试航实验、系泊实验，完成嘉陵江流域最大运输船舶的建造检验工作。</w:t>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val="zh-CN"/>
        </w:rPr>
        <w:t>）项目效益情况。</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填补了川东北大型船舶检验空白，全省船检工作现场会、全省船检业务培训会先后在我市召开。</w:t>
      </w:r>
    </w:p>
    <w:p>
      <w:pPr>
        <w:spacing w:line="576" w:lineRule="exact"/>
        <w:ind w:firstLine="640" w:firstLineChars="200"/>
        <w:outlineLvl w:val="1"/>
        <w:rPr>
          <w:rFonts w:hint="eastAsia" w:ascii="黑体" w:hAnsi="黑体" w:eastAsia="黑体" w:cs="黑体"/>
          <w:bCs/>
          <w:sz w:val="32"/>
          <w:szCs w:val="32"/>
        </w:rPr>
      </w:pPr>
      <w:bookmarkStart w:id="123" w:name="_Toc21922"/>
      <w:r>
        <w:rPr>
          <w:rFonts w:hint="eastAsia" w:ascii="黑体" w:hAnsi="黑体" w:eastAsia="黑体" w:cs="黑体"/>
          <w:bCs/>
          <w:sz w:val="32"/>
          <w:szCs w:val="32"/>
          <w:lang w:val="en-US" w:eastAsia="zh-CN"/>
        </w:rPr>
        <w:t>五</w:t>
      </w:r>
      <w:r>
        <w:rPr>
          <w:rFonts w:hint="eastAsia" w:ascii="黑体" w:hAnsi="黑体" w:eastAsia="黑体" w:cs="黑体"/>
          <w:bCs/>
          <w:sz w:val="32"/>
          <w:szCs w:val="32"/>
        </w:rPr>
        <w:t>、问题及建议</w:t>
      </w:r>
      <w:bookmarkEnd w:id="123"/>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sz w:val="32"/>
          <w:szCs w:val="32"/>
          <w:lang w:val="zh-CN"/>
        </w:rPr>
      </w:pPr>
      <w:r>
        <w:rPr>
          <w:rFonts w:hint="eastAsia" w:ascii="楷体_GB2312" w:hAnsi="楷体_GB2312" w:eastAsia="楷体_GB2312" w:cs="楷体_GB2312"/>
          <w:bCs/>
          <w:sz w:val="32"/>
          <w:szCs w:val="32"/>
          <w:lang w:val="zh-CN"/>
        </w:rPr>
        <w:t>（一）评价结论。</w:t>
      </w:r>
      <w:r>
        <w:rPr>
          <w:rFonts w:hint="eastAsia" w:ascii="仿宋_GB2312" w:hAnsi="宋体" w:eastAsia="仿宋_GB2312" w:cs="Times New Roman"/>
          <w:sz w:val="32"/>
          <w:szCs w:val="32"/>
          <w:lang w:val="en-US" w:eastAsia="zh-CN"/>
        </w:rPr>
        <w:t>此专项资金解决了部分船检师外出进行船检以及调研工作的差旅费、工作必要开支，保障了该项工作能基本完成。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highlight w:val="yellow"/>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lang w:val="zh-CN"/>
        </w:rPr>
        <w:t>）存在的问题。</w:t>
      </w:r>
      <w:r>
        <w:rPr>
          <w:rFonts w:hint="eastAsia" w:ascii="仿宋_GB2312" w:hAnsi="宋体" w:eastAsia="仿宋_GB2312"/>
          <w:sz w:val="32"/>
          <w:szCs w:val="32"/>
        </w:rPr>
        <w:t>中心承担了全市船舶建造检验及20米以上大船营运检验职责，加之2020年市农业农村局渔船检验职责全部转隶至我中心船舶检验机构，中心船舶检验工作任务重、压力大，而中心目前仅有验船师2名，远远无法满足全市船舶检验工作需要，有可能导致船舶脱检、迟检。</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olor w:val="auto"/>
          <w:sz w:val="44"/>
          <w:szCs w:val="44"/>
          <w:highlight w:val="none"/>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val="zh-CN"/>
        </w:rPr>
        <w:t>）相关建议。</w:t>
      </w:r>
      <w:r>
        <w:rPr>
          <w:rFonts w:hint="eastAsia" w:ascii="仿宋_GB2312" w:hAnsi="宋体" w:eastAsia="仿宋_GB2312"/>
          <w:sz w:val="32"/>
          <w:szCs w:val="32"/>
        </w:rPr>
        <w:t>增加相关福利待遇，激励职工考取注册验船师资格，化解验船师短缺矛盾。</w:t>
      </w:r>
      <w:r>
        <w:rPr>
          <w:rFonts w:hint="eastAsia" w:ascii="黑体" w:hAnsi="黑体" w:eastAsia="黑体"/>
          <w:color w:val="auto"/>
          <w:sz w:val="44"/>
          <w:szCs w:val="44"/>
          <w:highlight w:val="none"/>
        </w:rPr>
        <w:br w:type="page"/>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r>
        <w:drawing>
          <wp:anchor distT="0" distB="0" distL="114935" distR="114935" simplePos="0" relativeHeight="251665408" behindDoc="0" locked="0" layoutInCell="1" allowOverlap="1">
            <wp:simplePos x="0" y="0"/>
            <wp:positionH relativeFrom="column">
              <wp:posOffset>41910</wp:posOffset>
            </wp:positionH>
            <wp:positionV relativeFrom="paragraph">
              <wp:posOffset>93980</wp:posOffset>
            </wp:positionV>
            <wp:extent cx="5269230" cy="6055360"/>
            <wp:effectExtent l="0" t="0" r="3810" b="10160"/>
            <wp:wrapTopAndBottom/>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7"/>
                    <pic:cNvPicPr>
                      <a:picLocks noChangeAspect="1"/>
                    </pic:cNvPicPr>
                  </pic:nvPicPr>
                  <pic:blipFill>
                    <a:blip r:embed="rId14"/>
                    <a:stretch>
                      <a:fillRect/>
                    </a:stretch>
                  </pic:blipFill>
                  <pic:spPr>
                    <a:xfrm>
                      <a:off x="0" y="0"/>
                      <a:ext cx="5269230" cy="6055360"/>
                    </a:xfrm>
                    <a:prstGeom prst="rect">
                      <a:avLst/>
                    </a:prstGeom>
                    <a:noFill/>
                    <a:ln>
                      <a:noFill/>
                    </a:ln>
                  </pic:spPr>
                </pic:pic>
              </a:graphicData>
            </a:graphic>
          </wp:anchor>
        </w:drawing>
      </w:r>
      <w:r>
        <w:rPr>
          <w:rFonts w:hint="eastAsia" w:ascii="黑体" w:hAnsi="黑体" w:eastAsia="黑体"/>
          <w:color w:val="auto"/>
          <w:sz w:val="44"/>
          <w:szCs w:val="44"/>
          <w:highlight w:val="none"/>
        </w:rPr>
        <w:br w:type="page"/>
      </w:r>
      <w:r>
        <w:rPr>
          <w:rFonts w:hint="eastAsia" w:ascii="方正小标宋简体" w:hAnsi="方正小标宋简体" w:eastAsia="方正小标宋简体" w:cs="方正小标宋简体"/>
          <w:color w:val="auto"/>
          <w:kern w:val="2"/>
          <w:sz w:val="40"/>
          <w:szCs w:val="40"/>
          <w:highlight w:val="none"/>
          <w:lang w:val="en-US" w:eastAsia="zh-CN" w:bidi="ar-SA"/>
        </w:rPr>
        <w:t>2021年嘉陵江数字航道平台运行维护项目</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zh-CN" w:eastAsia="zh-CN" w:bidi="ar-SA"/>
        </w:rPr>
        <w:t>支出绩效自评报告</w:t>
      </w:r>
    </w:p>
    <w:p>
      <w:pPr>
        <w:rPr>
          <w:rFonts w:hint="eastAsia" w:ascii="黑体" w:hAnsi="黑体" w:eastAsia="黑体" w:cs="黑体"/>
          <w:bCs/>
          <w:sz w:val="32"/>
          <w:szCs w:val="32"/>
        </w:rPr>
      </w:pPr>
    </w:p>
    <w:p>
      <w:pPr>
        <w:outlineLvl w:val="1"/>
        <w:rPr>
          <w:rFonts w:hint="eastAsia" w:ascii="黑体" w:hAnsi="黑体" w:eastAsia="黑体" w:cs="黑体"/>
          <w:bCs/>
          <w:sz w:val="32"/>
          <w:szCs w:val="32"/>
          <w:lang w:val="zh-CN"/>
        </w:rPr>
      </w:pPr>
      <w:bookmarkStart w:id="124" w:name="_Toc6987"/>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bookmarkEnd w:id="124"/>
    </w:p>
    <w:p>
      <w:pPr>
        <w:numPr>
          <w:ilvl w:val="0"/>
          <w:numId w:val="12"/>
        </w:numPr>
        <w:adjustRightInd w:val="0"/>
        <w:snapToGrid w:val="0"/>
        <w:spacing w:line="576" w:lineRule="exact"/>
        <w:ind w:firstLine="720"/>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lang w:val="zh-CN"/>
        </w:rPr>
        <w:t>项目基本情况。</w:t>
      </w:r>
      <w:r>
        <w:rPr>
          <w:rFonts w:hint="eastAsia" w:ascii="仿宋_GB2312" w:hAnsi="仿宋_GB2312" w:eastAsia="仿宋_GB2312" w:cs="仿宋_GB2312"/>
          <w:sz w:val="32"/>
          <w:szCs w:val="32"/>
          <w:lang w:val="en-US" w:eastAsia="zh-CN"/>
        </w:rPr>
        <w:t>该项目由主管部门自主实施，是根据工作职能职责设立，项目资金全部专款专用于</w:t>
      </w:r>
      <w:r>
        <w:rPr>
          <w:rFonts w:hint="eastAsia" w:ascii="仿宋_GB2312" w:hAnsi="仿宋_GB2312" w:eastAsia="仿宋_GB2312" w:cs="仿宋_GB2312"/>
          <w:sz w:val="32"/>
          <w:szCs w:val="32"/>
        </w:rPr>
        <w:t>嘉陵江数字航道平台运行维护</w:t>
      </w:r>
      <w:r>
        <w:rPr>
          <w:rFonts w:hint="eastAsia" w:ascii="仿宋_GB2312" w:hAnsi="仿宋_GB2312" w:eastAsia="仿宋_GB2312" w:cs="仿宋_GB2312"/>
          <w:sz w:val="32"/>
          <w:szCs w:val="32"/>
          <w:lang w:eastAsia="zh-CN"/>
        </w:rPr>
        <w:t>。</w:t>
      </w:r>
    </w:p>
    <w:p>
      <w:pPr>
        <w:numPr>
          <w:ilvl w:val="0"/>
          <w:numId w:val="12"/>
        </w:numPr>
        <w:adjustRightInd w:val="0"/>
        <w:snapToGrid w:val="0"/>
        <w:spacing w:line="576" w:lineRule="exact"/>
        <w:ind w:firstLine="720"/>
        <w:rPr>
          <w:rFonts w:hint="eastAsia" w:ascii="仿宋_GB2312" w:hAnsi="宋体" w:eastAsia="仿宋_GB2312"/>
          <w:sz w:val="32"/>
          <w:szCs w:val="32"/>
          <w:lang w:val="zh-CN"/>
        </w:rPr>
      </w:pPr>
      <w:r>
        <w:rPr>
          <w:rFonts w:hint="eastAsia" w:ascii="楷体_GB2312" w:hAnsi="楷体_GB2312" w:eastAsia="楷体_GB2312" w:cs="楷体_GB2312"/>
          <w:bCs/>
          <w:sz w:val="32"/>
          <w:szCs w:val="32"/>
          <w:lang w:val="zh-CN"/>
        </w:rPr>
        <w:t>项目绩效目标。</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zh-CN"/>
        </w:rPr>
        <w:t>实现嘉陵江高等级航道可视化，管养科学化，为航道管养提供科学依据，为船舶企业和船主提供清晰可见的嘉陵江电子航道图，优化船舶过闸安检互认机制，达到“一次认证全江通行”，为建设成渝地区北向重要门户枢纽和生态康养“后花园”贡献广元水运力量。</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航道监控=15处、码头监控=5处、水位监测=4处、通航建筑物及船闸=3处；拟定全市通航水域信息化建设、维护规划</w:t>
      </w:r>
      <w:r>
        <w:rPr>
          <w:rFonts w:hint="eastAsia" w:ascii="仿宋_GB2312" w:hAnsi="宋体" w:eastAsia="仿宋_GB2312"/>
          <w:sz w:val="32"/>
          <w:szCs w:val="32"/>
          <w:lang w:val="zh-CN"/>
        </w:rPr>
        <w:tab/>
      </w:r>
      <w:r>
        <w:rPr>
          <w:rFonts w:hint="eastAsia" w:ascii="仿宋_GB2312" w:hAnsi="宋体" w:eastAsia="仿宋_GB2312"/>
          <w:sz w:val="32"/>
          <w:szCs w:val="32"/>
          <w:lang w:val="zh-CN"/>
        </w:rPr>
        <w:t>=100%；实现通航水域“全方位覆盖”的现代化水上交通信息化综合管理，提升航道及通航建筑物通行效率，全面服务于航运事业发展=100%、对两个港口作业区、三个通航建筑物及亭子湖、白龙湖、升钟水库等重点区域的信息化设施建设维护进行专项督导=8处；全年</w:t>
      </w:r>
      <w:r>
        <w:rPr>
          <w:rFonts w:hint="eastAsia" w:ascii="仿宋_GB2312" w:hAnsi="宋体" w:eastAsia="仿宋_GB2312"/>
          <w:sz w:val="32"/>
          <w:szCs w:val="32"/>
          <w:lang w:val="zh-CN"/>
        </w:rPr>
        <w:tab/>
      </w:r>
      <w:r>
        <w:rPr>
          <w:rFonts w:hint="eastAsia" w:ascii="仿宋_GB2312" w:hAnsi="宋体" w:eastAsia="仿宋_GB2312"/>
          <w:sz w:val="32"/>
          <w:szCs w:val="32"/>
          <w:lang w:val="zh-CN"/>
        </w:rPr>
        <w:t>2021年1月-12月；平台运行及维护费用</w:t>
      </w:r>
      <w:r>
        <w:rPr>
          <w:rFonts w:hint="eastAsia" w:ascii="仿宋_GB2312" w:hAnsi="宋体" w:eastAsia="仿宋_GB2312"/>
          <w:sz w:val="32"/>
          <w:szCs w:val="32"/>
          <w:lang w:val="zh-CN"/>
        </w:rPr>
        <w:tab/>
      </w:r>
      <w:r>
        <w:rPr>
          <w:rFonts w:hint="eastAsia" w:ascii="仿宋_GB2312" w:hAnsi="宋体" w:eastAsia="仿宋_GB2312"/>
          <w:sz w:val="32"/>
          <w:szCs w:val="32"/>
          <w:lang w:val="zh-CN"/>
        </w:rPr>
        <w:t>&lt;=12.31万元；落实信息化建设维护工作，提高信息化维护监管能力，为成渝经济圈协同发展贡献广元水运力量；服务对象满意度</w:t>
      </w:r>
      <w:r>
        <w:rPr>
          <w:rFonts w:hint="eastAsia" w:ascii="仿宋_GB2312" w:hAnsi="宋体" w:eastAsia="仿宋_GB2312"/>
          <w:sz w:val="32"/>
          <w:szCs w:val="32"/>
          <w:lang w:val="zh-CN"/>
        </w:rPr>
        <w:tab/>
      </w:r>
      <w:r>
        <w:rPr>
          <w:rFonts w:hint="eastAsia" w:ascii="仿宋_GB2312" w:hAnsi="宋体" w:eastAsia="仿宋_GB2312"/>
          <w:sz w:val="32"/>
          <w:szCs w:val="32"/>
          <w:lang w:val="zh-CN"/>
        </w:rPr>
        <w:t>&gt;=90%。</w:t>
      </w:r>
    </w:p>
    <w:p>
      <w:pPr>
        <w:keepNext w:val="0"/>
        <w:keepLines w:val="0"/>
        <w:pageBreakBefore w:val="0"/>
        <w:widowControl w:val="0"/>
        <w:numPr>
          <w:ilvl w:val="0"/>
          <w:numId w:val="13"/>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项目申报内容与具体实施内容相符、申报目标合理可行。</w:t>
      </w:r>
    </w:p>
    <w:p>
      <w:pPr>
        <w:numPr>
          <w:ilvl w:val="0"/>
          <w:numId w:val="12"/>
        </w:numPr>
        <w:adjustRightInd w:val="0"/>
        <w:snapToGrid w:val="0"/>
        <w:spacing w:line="576" w:lineRule="exact"/>
        <w:ind w:firstLine="720"/>
        <w:rPr>
          <w:rFonts w:hint="eastAsia" w:ascii="仿宋_GB2312" w:hAnsi="宋体" w:eastAsia="仿宋_GB2312" w:cs="Times New Roman"/>
          <w:sz w:val="32"/>
          <w:szCs w:val="32"/>
          <w:lang w:val="zh-CN" w:eastAsia="zh-CN"/>
        </w:rPr>
      </w:pPr>
      <w:r>
        <w:rPr>
          <w:rFonts w:hint="eastAsia" w:ascii="楷体_GB2312" w:hAnsi="楷体_GB2312" w:eastAsia="楷体_GB2312" w:cs="楷体_GB2312"/>
          <w:bCs/>
          <w:sz w:val="32"/>
          <w:szCs w:val="32"/>
          <w:lang w:val="zh-CN"/>
        </w:rPr>
        <w:t>项目自评步骤及方法。</w:t>
      </w:r>
      <w:r>
        <w:rPr>
          <w:rFonts w:hint="eastAsia" w:ascii="仿宋_GB2312" w:hAnsi="宋体" w:eastAsia="仿宋_GB2312" w:cs="Times New Roman"/>
          <w:sz w:val="32"/>
          <w:szCs w:val="32"/>
          <w:lang w:val="zh-CN" w:eastAsia="zh-CN"/>
        </w:rPr>
        <w:t>业务科室对照《2022年市级专项预算项目支出绩效评价指标体系》，完善相关指标并进行自评打分。</w:t>
      </w:r>
    </w:p>
    <w:p>
      <w:pPr>
        <w:adjustRightInd w:val="0"/>
        <w:snapToGrid w:val="0"/>
        <w:spacing w:line="576" w:lineRule="exact"/>
        <w:ind w:firstLine="720"/>
        <w:outlineLvl w:val="1"/>
        <w:rPr>
          <w:rFonts w:hint="eastAsia" w:ascii="黑体" w:hAnsi="黑体" w:eastAsia="黑体" w:cs="黑体"/>
          <w:bCs/>
          <w:sz w:val="32"/>
          <w:szCs w:val="32"/>
        </w:rPr>
      </w:pPr>
      <w:bookmarkStart w:id="125" w:name="_Toc12417"/>
      <w:r>
        <w:rPr>
          <w:rFonts w:hint="eastAsia" w:ascii="黑体" w:hAnsi="黑体" w:eastAsia="黑体" w:cs="黑体"/>
          <w:bCs/>
          <w:sz w:val="32"/>
          <w:szCs w:val="32"/>
        </w:rPr>
        <w:t>二、项目实施及管理情况</w:t>
      </w:r>
      <w:bookmarkEnd w:id="125"/>
    </w:p>
    <w:p>
      <w:pPr>
        <w:adjustRightInd w:val="0"/>
        <w:snapToGrid w:val="0"/>
        <w:spacing w:line="576" w:lineRule="exact"/>
        <w:ind w:firstLine="720"/>
        <w:rPr>
          <w:rFonts w:hint="eastAsia" w:ascii="仿宋_GB2312" w:hAnsi="宋体" w:eastAsia="仿宋_GB2312" w:cs="Times New Roman"/>
          <w:sz w:val="32"/>
          <w:szCs w:val="32"/>
          <w:lang w:val="zh-CN"/>
        </w:rPr>
      </w:pPr>
      <w:r>
        <w:rPr>
          <w:rFonts w:hint="eastAsia" w:ascii="楷体_GB2312" w:hAnsi="楷体_GB2312" w:eastAsia="楷体_GB2312" w:cs="楷体_GB2312"/>
          <w:bCs/>
          <w:sz w:val="32"/>
          <w:szCs w:val="32"/>
          <w:lang w:val="zh-CN"/>
        </w:rPr>
        <w:t>（一）项目资金申报及批复情况。</w:t>
      </w:r>
      <w:r>
        <w:rPr>
          <w:rFonts w:hint="eastAsia" w:ascii="仿宋_GB2312" w:hAnsi="宋体" w:eastAsia="仿宋_GB2312" w:cs="Times New Roman"/>
          <w:sz w:val="32"/>
          <w:szCs w:val="32"/>
          <w:lang w:val="zh-CN"/>
        </w:rPr>
        <w:t>项目资金申报7.31万元、财政批复7.31万元。</w:t>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lang w:val="zh-CN"/>
        </w:rPr>
        <w:t>）资金计划、到位及使用情况。</w:t>
      </w:r>
    </w:p>
    <w:p>
      <w:pPr>
        <w:adjustRightInd w:val="0"/>
        <w:snapToGrid w:val="0"/>
        <w:spacing w:line="576" w:lineRule="exact"/>
        <w:ind w:firstLine="720"/>
        <w:rPr>
          <w:rFonts w:hint="eastAsia" w:ascii="仿宋_GB2312" w:hAnsi="宋体" w:eastAsia="仿宋_GB2312"/>
          <w:sz w:val="32"/>
          <w:szCs w:val="32"/>
        </w:rPr>
      </w:pPr>
      <w:r>
        <w:rPr>
          <w:rFonts w:hint="eastAsia" w:ascii="仿宋_GB2312" w:hAnsi="宋体" w:eastAsia="仿宋_GB2312"/>
          <w:sz w:val="32"/>
          <w:szCs w:val="32"/>
          <w:lang w:val="zh-CN"/>
        </w:rPr>
        <w:t>1．资金计划及到位。该项目资金计划</w:t>
      </w:r>
      <w:r>
        <w:rPr>
          <w:rFonts w:hint="eastAsia" w:ascii="仿宋_GB2312" w:hAnsi="宋体" w:eastAsia="仿宋_GB2312"/>
          <w:sz w:val="32"/>
          <w:szCs w:val="32"/>
        </w:rPr>
        <w:t>7.31万元，</w:t>
      </w:r>
      <w:r>
        <w:rPr>
          <w:rFonts w:hint="eastAsia" w:ascii="仿宋_GB2312" w:hAnsi="宋体" w:eastAsia="仿宋_GB2312"/>
          <w:sz w:val="32"/>
          <w:szCs w:val="32"/>
          <w:lang w:val="zh-CN"/>
        </w:rPr>
        <w:t>截止评价时点实际到位</w:t>
      </w:r>
      <w:r>
        <w:rPr>
          <w:rFonts w:hint="eastAsia" w:ascii="仿宋_GB2312" w:hAnsi="宋体" w:eastAsia="仿宋_GB2312"/>
          <w:sz w:val="32"/>
          <w:szCs w:val="32"/>
        </w:rPr>
        <w:t>7.31万元</w:t>
      </w:r>
      <w:r>
        <w:rPr>
          <w:rFonts w:hint="eastAsia" w:ascii="仿宋_GB2312" w:hAnsi="宋体" w:eastAsia="仿宋_GB2312"/>
          <w:sz w:val="32"/>
          <w:szCs w:val="32"/>
          <w:lang w:val="zh-CN"/>
        </w:rPr>
        <w:t>，</w:t>
      </w:r>
      <w:r>
        <w:rPr>
          <w:rStyle w:val="30"/>
          <w:rFonts w:ascii="仿宋_GB2312" w:hAnsi="宋体" w:eastAsia="仿宋_GB2312"/>
          <w:sz w:val="32"/>
          <w:szCs w:val="32"/>
        </w:rPr>
        <w:t>为本级财政拨款资金</w:t>
      </w:r>
      <w:r>
        <w:rPr>
          <w:rStyle w:val="30"/>
          <w:rFonts w:hint="eastAsia" w:ascii="仿宋_GB2312" w:hAnsi="宋体" w:eastAsia="仿宋_GB2312"/>
          <w:sz w:val="32"/>
          <w:szCs w:val="32"/>
        </w:rPr>
        <w:t>，</w:t>
      </w:r>
      <w:r>
        <w:rPr>
          <w:rFonts w:hint="eastAsia" w:ascii="仿宋_GB2312" w:hAnsi="宋体" w:eastAsia="仿宋_GB2312"/>
          <w:sz w:val="32"/>
          <w:szCs w:val="32"/>
          <w:lang w:val="zh-CN"/>
        </w:rPr>
        <w:t>资金到位率</w:t>
      </w:r>
      <w:r>
        <w:rPr>
          <w:rFonts w:hint="eastAsia" w:ascii="仿宋_GB2312" w:hAnsi="宋体" w:eastAsia="仿宋_GB2312"/>
          <w:sz w:val="32"/>
          <w:szCs w:val="32"/>
        </w:rPr>
        <w:t>100%。</w:t>
      </w:r>
    </w:p>
    <w:p>
      <w:pPr>
        <w:adjustRightInd w:val="0"/>
        <w:snapToGrid w:val="0"/>
        <w:spacing w:line="576"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2．资金使用。截止评价时点项目资金的实际支出</w:t>
      </w:r>
      <w:r>
        <w:rPr>
          <w:rFonts w:hint="eastAsia" w:ascii="仿宋_GB2312" w:hAnsi="宋体" w:eastAsia="仿宋_GB2312"/>
          <w:sz w:val="32"/>
          <w:szCs w:val="32"/>
        </w:rPr>
        <w:t>7.31万元</w:t>
      </w:r>
      <w:r>
        <w:rPr>
          <w:rFonts w:hint="eastAsia" w:ascii="仿宋_GB2312" w:hAnsi="宋体" w:eastAsia="仿宋_GB2312"/>
          <w:sz w:val="32"/>
          <w:szCs w:val="32"/>
          <w:lang w:val="zh-CN"/>
        </w:rPr>
        <w:t>，主要用于嘉陵江数字航道平台运行维护项目支出。支付依据合规合法，资金支付与预算相符。</w:t>
      </w:r>
    </w:p>
    <w:p>
      <w:pPr>
        <w:adjustRightInd w:val="0"/>
        <w:snapToGrid w:val="0"/>
        <w:spacing w:line="576" w:lineRule="exact"/>
        <w:ind w:firstLine="720"/>
        <w:rPr>
          <w:rFonts w:hint="eastAsia" w:ascii="仿宋_GB2312" w:hAnsi="宋体" w:eastAsia="仿宋_GB2312"/>
          <w:sz w:val="32"/>
          <w:szCs w:val="32"/>
          <w:lang w:val="zh-CN"/>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val="zh-CN"/>
        </w:rPr>
        <w:t>）项目财务管理情况。</w:t>
      </w:r>
      <w:r>
        <w:rPr>
          <w:rFonts w:hint="eastAsia" w:ascii="仿宋_GB2312" w:hAnsi="宋体" w:eastAsia="仿宋_GB2312"/>
          <w:sz w:val="32"/>
          <w:szCs w:val="32"/>
          <w:lang w:val="zh-CN"/>
        </w:rPr>
        <w:t>项目会计核算及账务处理</w:t>
      </w:r>
      <w:r>
        <w:rPr>
          <w:rFonts w:hint="eastAsia" w:ascii="仿宋_GB2312" w:hAnsi="宋体" w:eastAsia="仿宋_GB2312"/>
          <w:sz w:val="32"/>
          <w:szCs w:val="32"/>
        </w:rPr>
        <w:t>按照《预算法》《单位内控制度》</w:t>
      </w:r>
      <w:r>
        <w:rPr>
          <w:rFonts w:hint="eastAsia" w:ascii="仿宋_GB2312" w:hAnsi="宋体" w:eastAsia="仿宋_GB2312"/>
          <w:sz w:val="32"/>
          <w:szCs w:val="32"/>
          <w:lang w:val="zh-CN"/>
        </w:rPr>
        <w:t>等相关</w:t>
      </w:r>
      <w:r>
        <w:rPr>
          <w:rFonts w:hint="eastAsia" w:ascii="仿宋_GB2312" w:hAnsi="宋体" w:eastAsia="仿宋_GB2312"/>
          <w:sz w:val="32"/>
          <w:szCs w:val="32"/>
        </w:rPr>
        <w:t>规定，</w:t>
      </w:r>
      <w:r>
        <w:rPr>
          <w:rFonts w:hint="eastAsia" w:ascii="仿宋_GB2312" w:hAnsi="宋体" w:eastAsia="仿宋_GB2312"/>
          <w:sz w:val="32"/>
          <w:szCs w:val="32"/>
          <w:lang w:val="zh-CN"/>
        </w:rPr>
        <w:t>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1"/>
        <w:rPr>
          <w:rFonts w:ascii="黑体" w:hAnsi="宋体" w:eastAsia="黑体" w:cs="Times New Roman"/>
          <w:b w:val="0"/>
          <w:bCs w:val="0"/>
          <w:sz w:val="32"/>
          <w:szCs w:val="32"/>
        </w:rPr>
      </w:pPr>
      <w:bookmarkStart w:id="126" w:name="_Toc2240"/>
      <w:r>
        <w:rPr>
          <w:rFonts w:hint="eastAsia" w:ascii="黑体" w:hAnsi="宋体" w:eastAsia="黑体" w:cs="Times New Roman"/>
          <w:b w:val="0"/>
          <w:bCs w:val="0"/>
          <w:sz w:val="32"/>
          <w:szCs w:val="32"/>
        </w:rPr>
        <w:t>三、项目实施及管理情况</w:t>
      </w:r>
      <w:bookmarkEnd w:id="126"/>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宋体" w:eastAsia="楷体_GB2312" w:cs="Times New Roman"/>
          <w:b w:val="0"/>
          <w:bCs w:val="0"/>
          <w:sz w:val="32"/>
          <w:szCs w:val="32"/>
          <w:lang w:val="zh-CN"/>
        </w:rPr>
        <w:t>（一）项目组织架构及实施流程。</w:t>
      </w:r>
      <w:r>
        <w:rPr>
          <w:rFonts w:hint="eastAsia" w:ascii="楷体_GB2312" w:hAnsi="宋体" w:eastAsia="楷体_GB2312" w:cs="Times New Roman"/>
          <w:b w:val="0"/>
          <w:bCs w:val="0"/>
          <w:sz w:val="32"/>
          <w:szCs w:val="32"/>
          <w:lang w:val="en-US" w:eastAsia="zh-CN"/>
        </w:rPr>
        <w:t>该项目由信息科牵头实施，</w:t>
      </w:r>
      <w:r>
        <w:rPr>
          <w:rFonts w:hint="eastAsia" w:ascii="仿宋_GB2312" w:hAnsi="宋体" w:eastAsia="仿宋_GB2312"/>
          <w:sz w:val="32"/>
          <w:szCs w:val="32"/>
          <w:lang w:val="zh-CN"/>
        </w:rPr>
        <w:t>经费项目用于嘉陵江数字航道平台运行维护项目支出。截止评价日，基本完成了资金的申报、审核、支付流程。</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宋体" w:eastAsia="楷体_GB2312" w:cs="Times New Roman"/>
          <w:b w:val="0"/>
          <w:bCs w:val="0"/>
          <w:sz w:val="32"/>
          <w:szCs w:val="32"/>
          <w:lang w:val="en-US" w:eastAsia="zh-CN"/>
        </w:rPr>
      </w:pPr>
      <w:r>
        <w:rPr>
          <w:rFonts w:hint="eastAsia" w:ascii="楷体_GB2312" w:hAnsi="宋体" w:eastAsia="楷体_GB2312" w:cs="Times New Roman"/>
          <w:b w:val="0"/>
          <w:bCs w:val="0"/>
          <w:sz w:val="32"/>
          <w:szCs w:val="32"/>
          <w:lang w:val="zh-CN"/>
        </w:rPr>
        <w:t>（二）项目管理情况。</w:t>
      </w:r>
      <w:r>
        <w:rPr>
          <w:rFonts w:hint="eastAsia" w:ascii="仿宋_GB2312" w:hAnsi="宋体" w:eastAsia="仿宋_GB2312" w:cs="Times New Roman"/>
          <w:b w:val="0"/>
          <w:bCs w:val="0"/>
          <w:sz w:val="32"/>
          <w:szCs w:val="32"/>
          <w:lang w:val="en-US" w:eastAsia="zh-CN"/>
        </w:rPr>
        <w:t>按照《预算法》对项目进行预算公开，每季度进行绩效项目分析。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b w:val="0"/>
          <w:bCs w:val="0"/>
          <w:sz w:val="32"/>
          <w:szCs w:val="32"/>
          <w:lang w:val="zh-CN"/>
        </w:rPr>
      </w:pPr>
      <w:r>
        <w:rPr>
          <w:rFonts w:hint="eastAsia" w:ascii="楷体_GB2312" w:hAnsi="宋体" w:eastAsia="楷体_GB2312" w:cs="Times New Roman"/>
          <w:b w:val="0"/>
          <w:bCs w:val="0"/>
          <w:sz w:val="32"/>
          <w:szCs w:val="32"/>
          <w:lang w:val="zh-CN"/>
        </w:rPr>
        <w:t>（三）项目监管情况。</w:t>
      </w:r>
      <w:r>
        <w:rPr>
          <w:rFonts w:hint="eastAsia" w:ascii="仿宋_GB2312" w:hAnsi="宋体" w:eastAsia="仿宋_GB2312" w:cs="Times New Roman"/>
          <w:b w:val="0"/>
          <w:bCs w:val="0"/>
          <w:sz w:val="32"/>
          <w:szCs w:val="32"/>
          <w:lang w:val="zh-CN"/>
        </w:rPr>
        <w:t>通过中心主任办公会每月通报项目进展情况，及时对项目实施进行督促，实现了项目与计划基本相符。</w:t>
      </w:r>
    </w:p>
    <w:p>
      <w:pPr>
        <w:adjustRightInd w:val="0"/>
        <w:snapToGrid w:val="0"/>
        <w:spacing w:line="576" w:lineRule="exact"/>
        <w:ind w:firstLine="720"/>
        <w:outlineLvl w:val="1"/>
        <w:rPr>
          <w:rFonts w:hint="eastAsia" w:ascii="黑体" w:hAnsi="黑体" w:eastAsia="黑体" w:cs="黑体"/>
          <w:bCs/>
          <w:sz w:val="32"/>
          <w:szCs w:val="32"/>
          <w:lang w:val="zh-CN"/>
        </w:rPr>
      </w:pPr>
      <w:bookmarkStart w:id="127" w:name="_Toc6417"/>
      <w:r>
        <w:rPr>
          <w:rFonts w:hint="eastAsia" w:ascii="黑体" w:hAnsi="黑体" w:eastAsia="黑体" w:cs="黑体"/>
          <w:bCs/>
          <w:sz w:val="32"/>
          <w:szCs w:val="32"/>
          <w:lang w:val="en-US" w:eastAsia="zh-CN"/>
        </w:rPr>
        <w:t>四</w:t>
      </w:r>
      <w:r>
        <w:rPr>
          <w:rFonts w:hint="eastAsia" w:ascii="黑体" w:hAnsi="黑体" w:eastAsia="黑体" w:cs="黑体"/>
          <w:bCs/>
          <w:sz w:val="32"/>
          <w:szCs w:val="32"/>
        </w:rPr>
        <w:t>、项目绩效情况</w:t>
      </w:r>
      <w:bookmarkEnd w:id="127"/>
      <w:r>
        <w:rPr>
          <w:rFonts w:hint="eastAsia" w:ascii="黑体" w:hAnsi="黑体" w:eastAsia="黑体" w:cs="黑体"/>
          <w:bCs/>
          <w:sz w:val="32"/>
          <w:szCs w:val="32"/>
          <w:lang w:val="zh-CN"/>
        </w:rPr>
        <w:tab/>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（一）项目完成情况。</w:t>
      </w:r>
    </w:p>
    <w:p>
      <w:pPr>
        <w:adjustRightInd w:val="0"/>
        <w:snapToGrid w:val="0"/>
        <w:spacing w:line="576"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实现通航水域“全方位覆盖”的现代化水上交通信息化综合管理，提升航道及通航建筑物通行效率，全面服务于航运事业发展。对两个港口作业区、三个通航建筑物及亭子湖、白龙湖、升钟水库等重点区域的信息化设施建设维护进行专项督导。</w:t>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val="zh-CN"/>
        </w:rPr>
        <w:t>）项目效益情况。</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实现嘉陵江高等级航道及渡口、码头、船闸等港口航道设施可视化，管养科学化，为航道管养提供科学依据，落实信息化建设维护工作，提高信息化维护监管能力，为建设成渝地区北向重要门户枢纽和生态康养“后花园”贡献广元水运力量。</w:t>
      </w:r>
    </w:p>
    <w:p>
      <w:pPr>
        <w:spacing w:line="576" w:lineRule="exact"/>
        <w:ind w:firstLine="640" w:firstLineChars="200"/>
        <w:outlineLvl w:val="1"/>
        <w:rPr>
          <w:rFonts w:hint="eastAsia" w:ascii="黑体" w:hAnsi="黑体" w:eastAsia="黑体" w:cs="黑体"/>
          <w:bCs/>
          <w:sz w:val="32"/>
          <w:szCs w:val="32"/>
        </w:rPr>
      </w:pPr>
      <w:bookmarkStart w:id="128" w:name="_Toc15073"/>
      <w:r>
        <w:rPr>
          <w:rFonts w:hint="eastAsia" w:ascii="黑体" w:hAnsi="黑体" w:eastAsia="黑体" w:cs="黑体"/>
          <w:bCs/>
          <w:sz w:val="32"/>
          <w:szCs w:val="32"/>
          <w:lang w:val="en-US" w:eastAsia="zh-CN"/>
        </w:rPr>
        <w:t>五</w:t>
      </w:r>
      <w:r>
        <w:rPr>
          <w:rFonts w:hint="eastAsia" w:ascii="黑体" w:hAnsi="黑体" w:eastAsia="黑体" w:cs="黑体"/>
          <w:bCs/>
          <w:sz w:val="32"/>
          <w:szCs w:val="32"/>
        </w:rPr>
        <w:t>、问题及建议</w:t>
      </w:r>
      <w:bookmarkEnd w:id="128"/>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en-US" w:eastAsia="zh-CN"/>
        </w:rPr>
      </w:pPr>
      <w:r>
        <w:rPr>
          <w:rFonts w:hint="eastAsia" w:ascii="楷体_GB2312" w:hAnsi="宋体" w:eastAsia="楷体_GB2312" w:cs="Times New Roman"/>
          <w:b w:val="0"/>
          <w:bCs w:val="0"/>
          <w:sz w:val="32"/>
          <w:szCs w:val="32"/>
          <w:lang w:val="zh-CN"/>
        </w:rPr>
        <w:t>（一）评价结论。</w:t>
      </w:r>
      <w:r>
        <w:rPr>
          <w:rFonts w:hint="eastAsia" w:ascii="仿宋_GB2312" w:hAnsi="宋体" w:eastAsia="仿宋_GB2312"/>
          <w:sz w:val="32"/>
          <w:szCs w:val="32"/>
          <w:lang w:val="en-US" w:eastAsia="zh-CN"/>
        </w:rPr>
        <w:t>信息化建设项目随着专业化、一体化的发展，在航道管养上提供了科学依据，将管养效率大大提高，该项目的可持续运行十分有必要。</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lang w:val="zh-CN"/>
        </w:rPr>
        <w:t>）存在的问题。</w:t>
      </w:r>
      <w:r>
        <w:rPr>
          <w:rFonts w:hint="eastAsia" w:ascii="仿宋_GB2312" w:hAnsi="宋体" w:eastAsia="仿宋_GB2312"/>
          <w:sz w:val="32"/>
          <w:szCs w:val="32"/>
        </w:rPr>
        <w:t>信息化建设不仅需要硬件设备支撑，建设好该项目的同时更需要培养专业人员加以应用，才能发挥其实际价值，目前急缺专业操作维护人员。</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val="zh-CN"/>
        </w:rPr>
        <w:t>）相关建议。</w:t>
      </w:r>
      <w:r>
        <w:rPr>
          <w:rFonts w:hint="eastAsia" w:ascii="仿宋_GB2312" w:hAnsi="宋体" w:eastAsia="仿宋_GB2312"/>
          <w:sz w:val="32"/>
          <w:szCs w:val="32"/>
        </w:rPr>
        <w:t>配套相关专业人员培训费用。</w:t>
      </w:r>
    </w:p>
    <w:p>
      <w:pPr>
        <w:rPr>
          <w:rFonts w:hint="eastAsia" w:ascii="仿宋_GB2312" w:hAnsi="宋体" w:eastAsia="仿宋_GB2312"/>
          <w:sz w:val="32"/>
          <w:szCs w:val="32"/>
        </w:rPr>
      </w:pPr>
      <w:r>
        <w:rPr>
          <w:rFonts w:hint="eastAsia" w:ascii="仿宋_GB2312" w:hAnsi="宋体" w:eastAsia="仿宋_GB2312"/>
          <w:sz w:val="32"/>
          <w:szCs w:val="32"/>
        </w:rPr>
        <w:br w:type="page"/>
      </w:r>
    </w:p>
    <w:p>
      <w:pPr>
        <w:rPr>
          <w:rFonts w:hint="eastAsia"/>
        </w:rPr>
      </w:pPr>
    </w:p>
    <w:p>
      <w:pPr>
        <w:pStyle w:val="2"/>
        <w:rPr>
          <w:rFonts w:hint="eastAsia"/>
        </w:rPr>
      </w:pPr>
      <w:r>
        <w:drawing>
          <wp:inline distT="0" distB="0" distL="114300" distR="114300">
            <wp:extent cx="5267325" cy="7472680"/>
            <wp:effectExtent l="0" t="0" r="5715" b="1016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5"/>
                    <a:stretch>
                      <a:fillRect/>
                    </a:stretch>
                  </pic:blipFill>
                  <pic:spPr>
                    <a:xfrm>
                      <a:off x="0" y="0"/>
                      <a:ext cx="5267325" cy="74726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r>
        <w:rPr>
          <w:rFonts w:hint="eastAsia"/>
        </w:rPr>
        <w:br w:type="page"/>
      </w:r>
      <w:r>
        <w:rPr>
          <w:rFonts w:hint="eastAsia" w:ascii="方正小标宋简体" w:hAnsi="方正小标宋简体" w:eastAsia="方正小标宋简体" w:cs="方正小标宋简体"/>
          <w:color w:val="auto"/>
          <w:kern w:val="2"/>
          <w:sz w:val="40"/>
          <w:szCs w:val="40"/>
          <w:highlight w:val="none"/>
          <w:lang w:val="en-US" w:eastAsia="zh-CN" w:bidi="ar-SA"/>
        </w:rPr>
        <w:t>2021年嘉陵江上石盘至两江口航道养护工程</w:t>
      </w:r>
    </w:p>
    <w:p>
      <w:pPr>
        <w:keepNext w:val="0"/>
        <w:keepLines w:val="0"/>
        <w:pageBreakBefore w:val="0"/>
        <w:widowControl w:val="0"/>
        <w:kinsoku/>
        <w:wordWrap/>
        <w:overflowPunct/>
        <w:topLinePunct w:val="0"/>
        <w:autoSpaceDE/>
        <w:autoSpaceDN/>
        <w:bidi w:val="0"/>
        <w:spacing w:line="600" w:lineRule="exact"/>
        <w:jc w:val="center"/>
        <w:textAlignment w:val="auto"/>
        <w:outlineLvl w:val="1"/>
        <w:rPr>
          <w:rFonts w:hint="eastAsia" w:ascii="方正小标宋简体" w:hAnsi="方正小标宋简体" w:eastAsia="方正小标宋简体" w:cs="方正小标宋简体"/>
          <w:color w:val="auto"/>
          <w:kern w:val="2"/>
          <w:sz w:val="40"/>
          <w:szCs w:val="40"/>
          <w:highlight w:val="none"/>
          <w:lang w:val="zh-CN" w:eastAsia="zh-CN" w:bidi="ar-SA"/>
        </w:rPr>
      </w:pPr>
      <w:bookmarkStart w:id="129" w:name="_Toc17239"/>
      <w:r>
        <w:rPr>
          <w:rFonts w:hint="eastAsia" w:ascii="方正小标宋简体" w:hAnsi="方正小标宋简体" w:eastAsia="方正小标宋简体" w:cs="方正小标宋简体"/>
          <w:color w:val="auto"/>
          <w:kern w:val="2"/>
          <w:sz w:val="40"/>
          <w:szCs w:val="40"/>
          <w:highlight w:val="none"/>
          <w:lang w:val="en-US" w:eastAsia="zh-CN" w:bidi="ar-SA"/>
        </w:rPr>
        <w:t>项目</w:t>
      </w:r>
      <w:r>
        <w:rPr>
          <w:rFonts w:hint="eastAsia" w:ascii="方正小标宋简体" w:hAnsi="方正小标宋简体" w:eastAsia="方正小标宋简体" w:cs="方正小标宋简体"/>
          <w:color w:val="auto"/>
          <w:kern w:val="2"/>
          <w:sz w:val="40"/>
          <w:szCs w:val="40"/>
          <w:highlight w:val="none"/>
          <w:lang w:val="zh-CN" w:eastAsia="zh-CN" w:bidi="ar-SA"/>
        </w:rPr>
        <w:t>支出绩效自评报告</w:t>
      </w:r>
      <w:bookmarkEnd w:id="129"/>
    </w:p>
    <w:p>
      <w:pPr>
        <w:rPr>
          <w:rFonts w:hint="eastAsia"/>
        </w:rPr>
      </w:pPr>
    </w:p>
    <w:p>
      <w:pPr>
        <w:adjustRightInd w:val="0"/>
        <w:snapToGrid w:val="0"/>
        <w:spacing w:line="576" w:lineRule="exact"/>
        <w:ind w:firstLine="720"/>
        <w:outlineLvl w:val="1"/>
        <w:rPr>
          <w:rFonts w:hint="eastAsia" w:ascii="黑体" w:hAnsi="黑体" w:eastAsia="黑体" w:cs="黑体"/>
          <w:bCs/>
          <w:sz w:val="32"/>
          <w:szCs w:val="32"/>
          <w:lang w:val="zh-CN"/>
        </w:rPr>
      </w:pPr>
      <w:bookmarkStart w:id="130" w:name="_Toc28087"/>
      <w:r>
        <w:rPr>
          <w:rFonts w:hint="eastAsia" w:ascii="黑体" w:hAnsi="黑体" w:eastAsia="黑体" w:cs="黑体"/>
          <w:bCs/>
          <w:sz w:val="32"/>
          <w:szCs w:val="32"/>
        </w:rPr>
        <w:t>一、</w:t>
      </w:r>
      <w:r>
        <w:rPr>
          <w:rFonts w:hint="eastAsia" w:ascii="黑体" w:hAnsi="黑体" w:eastAsia="黑体" w:cs="黑体"/>
          <w:bCs/>
          <w:sz w:val="32"/>
          <w:szCs w:val="32"/>
          <w:lang w:val="zh-CN"/>
        </w:rPr>
        <w:t>项目概况</w:t>
      </w:r>
      <w:bookmarkEnd w:id="130"/>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default" w:ascii="仿宋_GB2312" w:hAnsi="宋体" w:eastAsia="仿宋_GB2312"/>
          <w:sz w:val="32"/>
          <w:szCs w:val="32"/>
          <w:lang w:val="en-US" w:eastAsia="zh-CN"/>
        </w:rPr>
      </w:pPr>
      <w:r>
        <w:rPr>
          <w:rFonts w:hint="eastAsia" w:ascii="楷体_GB2312" w:hAnsi="宋体" w:eastAsia="楷体_GB2312" w:cs="Times New Roman"/>
          <w:b w:val="0"/>
          <w:bCs w:val="0"/>
          <w:sz w:val="32"/>
          <w:szCs w:val="32"/>
          <w:lang w:val="zh-CN"/>
        </w:rPr>
        <w:t>（一）项目基本情况。</w:t>
      </w:r>
      <w:r>
        <w:rPr>
          <w:rFonts w:hint="eastAsia" w:ascii="仿宋_GB2312" w:hAnsi="宋体" w:eastAsia="仿宋_GB2312"/>
          <w:sz w:val="32"/>
          <w:szCs w:val="32"/>
          <w:lang w:val="zh-CN"/>
        </w:rPr>
        <w:t>项目主管</w:t>
      </w:r>
      <w:r>
        <w:rPr>
          <w:rFonts w:hint="eastAsia" w:ascii="仿宋_GB2312" w:hAnsi="宋体" w:eastAsia="仿宋_GB2312"/>
          <w:sz w:val="32"/>
          <w:szCs w:val="32"/>
          <w:lang w:val="en-US" w:eastAsia="zh-CN"/>
        </w:rPr>
        <w:t>部门</w:t>
      </w:r>
      <w:r>
        <w:rPr>
          <w:rFonts w:hint="eastAsia" w:ascii="仿宋_GB2312" w:hAnsi="宋体" w:eastAsia="仿宋_GB2312"/>
          <w:sz w:val="32"/>
          <w:szCs w:val="32"/>
          <w:lang w:val="zh-CN"/>
        </w:rPr>
        <w:t>实施该项目。</w:t>
      </w:r>
      <w:r>
        <w:rPr>
          <w:rFonts w:hint="eastAsia" w:ascii="仿宋_GB2312" w:hAnsi="宋体" w:eastAsia="仿宋_GB2312"/>
          <w:sz w:val="32"/>
          <w:szCs w:val="32"/>
          <w:lang w:val="en-US" w:eastAsia="zh-CN"/>
        </w:rPr>
        <w:t>根据高等级航道养护管理职能职责申报项目资金。项目资金仅对</w:t>
      </w:r>
      <w:r>
        <w:rPr>
          <w:rFonts w:hint="eastAsia" w:ascii="仿宋_GB2312" w:hAnsi="仿宋_GB2312" w:eastAsia="仿宋_GB2312" w:cs="仿宋_GB2312"/>
          <w:sz w:val="32"/>
          <w:szCs w:val="32"/>
        </w:rPr>
        <w:t>2021年嘉陵江上石盘至两江口航道养护工程项目</w:t>
      </w:r>
      <w:r>
        <w:rPr>
          <w:rFonts w:hint="eastAsia" w:ascii="仿宋_GB2312" w:hAnsi="仿宋_GB2312" w:eastAsia="仿宋_GB2312" w:cs="仿宋_GB2312"/>
          <w:sz w:val="32"/>
          <w:szCs w:val="32"/>
          <w:lang w:val="en-US" w:eastAsia="zh-CN"/>
        </w:rPr>
        <w:t>支出，做到</w:t>
      </w:r>
      <w:r>
        <w:rPr>
          <w:rFonts w:hint="eastAsia" w:ascii="仿宋_GB2312" w:hAnsi="宋体" w:eastAsia="仿宋_GB2312"/>
          <w:sz w:val="32"/>
          <w:szCs w:val="32"/>
          <w:lang w:val="en-US" w:eastAsia="zh-CN"/>
        </w:rPr>
        <w:t>项目资金专款专用。</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宋体" w:eastAsia="楷体_GB2312" w:cs="Times New Roman"/>
          <w:b w:val="0"/>
          <w:bCs w:val="0"/>
          <w:sz w:val="32"/>
          <w:szCs w:val="32"/>
          <w:lang w:val="zh-CN"/>
        </w:rPr>
      </w:pPr>
      <w:r>
        <w:rPr>
          <w:rFonts w:hint="eastAsia" w:ascii="楷体_GB2312" w:hAnsi="宋体" w:eastAsia="楷体_GB2312" w:cs="Times New Roman"/>
          <w:b w:val="0"/>
          <w:bCs w:val="0"/>
          <w:sz w:val="32"/>
          <w:szCs w:val="32"/>
          <w:lang w:val="zh-CN"/>
        </w:rPr>
        <w:t>（二）项目绩效目标。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sz w:val="32"/>
          <w:szCs w:val="32"/>
          <w:lang w:val="zh-CN"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val="zh-CN" w:eastAsia="zh-CN"/>
        </w:rPr>
        <w:t>对嘉陵江上石盘至两江口航道进行疏浚，保障航道通航尺度，确保航道通畅。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sz w:val="32"/>
          <w:szCs w:val="32"/>
          <w:lang w:val="zh-CN" w:eastAsia="zh-CN"/>
        </w:rPr>
      </w:pP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lang w:val="zh-CN" w:eastAsia="zh-CN"/>
        </w:rPr>
        <w:t>疏浚长度7000</w:t>
      </w:r>
      <w:r>
        <w:rPr>
          <w:rFonts w:hint="eastAsia" w:ascii="仿宋_GB2312" w:hAnsi="宋体" w:eastAsia="仿宋_GB2312" w:cs="Times New Roman"/>
          <w:sz w:val="32"/>
          <w:szCs w:val="32"/>
          <w:lang w:val="en-US" w:eastAsia="zh-CN"/>
        </w:rPr>
        <w:t>米</w:t>
      </w:r>
      <w:r>
        <w:rPr>
          <w:rFonts w:hint="eastAsia" w:ascii="仿宋_GB2312" w:hAnsi="宋体" w:eastAsia="仿宋_GB2312" w:cs="Times New Roman"/>
          <w:sz w:val="32"/>
          <w:szCs w:val="32"/>
          <w:lang w:val="zh-CN" w:eastAsia="zh-CN"/>
        </w:rPr>
        <w:t>=507786m³、4处丁坝=9278m³、满足航道通航尺度1.0×24×130m（水深×直线段宽度（双线）×弯曲半径）；2021年度完成项目建设=60天；严格控制在预算范围内883万元&lt;=883万元；保障船舶正常通行100吨级船舶；控制施工对水环境的影响、缩短工期；保障航道畅通=100%；船舶业主满意度&gt;=90%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sz w:val="32"/>
          <w:szCs w:val="32"/>
          <w:lang w:val="zh-CN" w:eastAsia="zh-CN"/>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lang w:val="zh-CN" w:eastAsia="zh-CN"/>
        </w:rPr>
        <w:t>项目申报内容与具体实施内容相符、申报目标合理可行。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sz w:val="32"/>
          <w:szCs w:val="32"/>
          <w:lang w:val="zh-CN" w:eastAsia="zh-CN"/>
        </w:rPr>
      </w:pPr>
      <w:r>
        <w:rPr>
          <w:rFonts w:hint="eastAsia" w:ascii="楷体_GB2312" w:hAnsi="宋体" w:eastAsia="楷体_GB2312" w:cs="Times New Roman"/>
          <w:b w:val="0"/>
          <w:bCs w:val="0"/>
          <w:sz w:val="32"/>
          <w:szCs w:val="32"/>
          <w:lang w:val="zh-CN"/>
        </w:rPr>
        <w:t>（三）项目自评步骤及方法。</w:t>
      </w:r>
      <w:r>
        <w:rPr>
          <w:rFonts w:hint="eastAsia" w:ascii="仿宋_GB2312" w:hAnsi="宋体" w:eastAsia="仿宋_GB2312" w:cs="Times New Roman"/>
          <w:sz w:val="32"/>
          <w:szCs w:val="32"/>
          <w:lang w:val="zh-CN" w:eastAsia="zh-CN"/>
        </w:rPr>
        <w:t>业务科室对照《2022年市级专项预算项目支出绩效评价指标体系》完善相关指标并进行自评打分。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1"/>
        <w:rPr>
          <w:rFonts w:ascii="黑体" w:hAnsi="宋体" w:eastAsia="黑体" w:cs="Times New Roman"/>
          <w:b w:val="0"/>
          <w:bCs w:val="0"/>
          <w:sz w:val="32"/>
          <w:szCs w:val="32"/>
        </w:rPr>
      </w:pPr>
      <w:bookmarkStart w:id="131" w:name="_Toc15103"/>
      <w:r>
        <w:rPr>
          <w:rFonts w:hint="eastAsia" w:ascii="黑体" w:hAnsi="宋体" w:eastAsia="黑体" w:cs="Times New Roman"/>
          <w:b w:val="0"/>
          <w:bCs w:val="0"/>
          <w:sz w:val="32"/>
          <w:szCs w:val="32"/>
        </w:rPr>
        <w:t>二、项目资金申报及使用情况</w:t>
      </w:r>
      <w:bookmarkEnd w:id="131"/>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楷体_GB2312" w:hAnsi="宋体" w:eastAsia="楷体_GB2312" w:cs="Times New Roman"/>
          <w:b w:val="0"/>
          <w:bCs w:val="0"/>
          <w:sz w:val="32"/>
          <w:szCs w:val="32"/>
          <w:lang w:val="zh-CN"/>
        </w:rPr>
      </w:pPr>
      <w:r>
        <w:rPr>
          <w:rFonts w:hint="eastAsia" w:ascii="楷体_GB2312" w:hAnsi="宋体" w:eastAsia="楷体_GB2312" w:cs="Times New Roman"/>
          <w:b w:val="0"/>
          <w:bCs w:val="0"/>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b w:val="0"/>
          <w:bCs w:val="0"/>
          <w:sz w:val="32"/>
          <w:szCs w:val="32"/>
          <w:lang w:val="zh-CN"/>
        </w:rPr>
      </w:pPr>
      <w:r>
        <w:rPr>
          <w:rFonts w:hint="eastAsia" w:ascii="仿宋_GB2312" w:hAnsi="宋体" w:eastAsia="仿宋_GB2312" w:cs="Times New Roman"/>
          <w:b w:val="0"/>
          <w:bCs w:val="0"/>
          <w:sz w:val="32"/>
          <w:szCs w:val="32"/>
          <w:lang w:val="zh-CN"/>
        </w:rPr>
        <w:t>项目资金申报883万元、财政批复883万元。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b w:val="0"/>
          <w:bCs w:val="0"/>
          <w:sz w:val="32"/>
          <w:szCs w:val="32"/>
          <w:lang w:val="zh-CN"/>
        </w:rPr>
      </w:pPr>
      <w:r>
        <w:rPr>
          <w:rFonts w:hint="eastAsia" w:ascii="楷体_GB2312" w:hAnsi="宋体" w:eastAsia="楷体_GB2312" w:cs="Times New Roman"/>
          <w:b w:val="0"/>
          <w:bCs w:val="0"/>
          <w:sz w:val="32"/>
          <w:szCs w:val="32"/>
          <w:lang w:val="zh-CN"/>
        </w:rPr>
        <w:t>（二）资金计划、到位及使用情况。</w:t>
      </w:r>
    </w:p>
    <w:p>
      <w:pPr>
        <w:adjustRightInd w:val="0"/>
        <w:snapToGrid w:val="0"/>
        <w:spacing w:line="576" w:lineRule="exact"/>
        <w:ind w:firstLine="720"/>
        <w:rPr>
          <w:rFonts w:hint="eastAsia" w:ascii="仿宋_GB2312" w:hAnsi="宋体" w:eastAsia="仿宋_GB2312" w:cs="Times New Roman"/>
          <w:sz w:val="32"/>
          <w:szCs w:val="32"/>
        </w:rPr>
      </w:pPr>
      <w:r>
        <w:rPr>
          <w:rFonts w:hint="eastAsia" w:ascii="仿宋_GB2312" w:hAnsi="宋体" w:eastAsia="仿宋_GB2312" w:cs="Times New Roman"/>
          <w:sz w:val="32"/>
          <w:szCs w:val="32"/>
          <w:lang w:val="zh-CN"/>
        </w:rPr>
        <w:t>1．资金计划及到位。该项目资金计划</w:t>
      </w:r>
      <w:r>
        <w:rPr>
          <w:rFonts w:hint="eastAsia" w:ascii="仿宋_GB2312" w:hAnsi="宋体" w:eastAsia="仿宋_GB2312" w:cs="Times New Roman"/>
          <w:sz w:val="32"/>
          <w:szCs w:val="32"/>
        </w:rPr>
        <w:t>883万元，</w:t>
      </w:r>
      <w:r>
        <w:rPr>
          <w:rFonts w:hint="eastAsia" w:ascii="仿宋_GB2312" w:hAnsi="宋体" w:eastAsia="仿宋_GB2312" w:cs="Times New Roman"/>
          <w:sz w:val="32"/>
          <w:szCs w:val="32"/>
          <w:lang w:val="zh-CN"/>
        </w:rPr>
        <w:t>截止评价时点实际到位</w:t>
      </w:r>
      <w:r>
        <w:rPr>
          <w:rFonts w:hint="eastAsia" w:ascii="仿宋_GB2312" w:hAnsi="宋体" w:eastAsia="仿宋_GB2312" w:cs="Times New Roman"/>
          <w:sz w:val="32"/>
          <w:szCs w:val="32"/>
        </w:rPr>
        <w:t>883万元</w:t>
      </w:r>
      <w:r>
        <w:rPr>
          <w:rFonts w:hint="eastAsia" w:ascii="仿宋_GB2312" w:hAnsi="宋体" w:eastAsia="仿宋_GB2312" w:cs="Times New Roman"/>
          <w:sz w:val="32"/>
          <w:szCs w:val="32"/>
          <w:lang w:val="zh-CN"/>
        </w:rPr>
        <w:t>，</w:t>
      </w:r>
      <w:r>
        <w:rPr>
          <w:rStyle w:val="30"/>
          <w:rFonts w:ascii="仿宋_GB2312" w:hAnsi="宋体" w:eastAsia="仿宋_GB2312" w:cs="Times New Roman"/>
          <w:sz w:val="32"/>
          <w:szCs w:val="32"/>
        </w:rPr>
        <w:t>为</w:t>
      </w:r>
      <w:r>
        <w:rPr>
          <w:rStyle w:val="30"/>
          <w:rFonts w:hint="eastAsia" w:ascii="仿宋_GB2312" w:hAnsi="宋体" w:eastAsia="仿宋_GB2312" w:cs="Times New Roman"/>
          <w:sz w:val="32"/>
          <w:szCs w:val="32"/>
        </w:rPr>
        <w:t>省级</w:t>
      </w:r>
      <w:r>
        <w:rPr>
          <w:rStyle w:val="30"/>
          <w:rFonts w:ascii="仿宋_GB2312" w:hAnsi="宋体" w:eastAsia="仿宋_GB2312" w:cs="Times New Roman"/>
          <w:sz w:val="32"/>
          <w:szCs w:val="32"/>
        </w:rPr>
        <w:t>财政拨款资金</w:t>
      </w:r>
      <w:r>
        <w:rPr>
          <w:rStyle w:val="30"/>
          <w:rFonts w:hint="eastAsia" w:ascii="仿宋_GB2312" w:hAnsi="宋体" w:eastAsia="仿宋_GB2312" w:cs="Times New Roman"/>
          <w:sz w:val="32"/>
          <w:szCs w:val="32"/>
        </w:rPr>
        <w:t>，</w:t>
      </w:r>
      <w:r>
        <w:rPr>
          <w:rFonts w:hint="eastAsia" w:ascii="仿宋_GB2312" w:hAnsi="宋体" w:eastAsia="仿宋_GB2312" w:cs="Times New Roman"/>
          <w:sz w:val="32"/>
          <w:szCs w:val="32"/>
          <w:lang w:val="zh-CN"/>
        </w:rPr>
        <w:t>资金到位率</w:t>
      </w:r>
      <w:r>
        <w:rPr>
          <w:rFonts w:hint="eastAsia" w:ascii="仿宋_GB2312" w:hAnsi="宋体" w:eastAsia="仿宋_GB2312" w:cs="Times New Roman"/>
          <w:sz w:val="32"/>
          <w:szCs w:val="32"/>
        </w:rPr>
        <w:t>100%。</w:t>
      </w:r>
    </w:p>
    <w:p>
      <w:pPr>
        <w:adjustRightInd w:val="0"/>
        <w:snapToGrid w:val="0"/>
        <w:spacing w:line="576" w:lineRule="exact"/>
        <w:ind w:firstLine="720"/>
        <w:rPr>
          <w:rFonts w:hint="eastAsia" w:ascii="仿宋_GB2312" w:hAnsi="宋体" w:eastAsia="仿宋_GB2312" w:cs="Times New Roman"/>
          <w:sz w:val="32"/>
          <w:szCs w:val="32"/>
          <w:lang w:val="zh-CN"/>
        </w:rPr>
      </w:pPr>
      <w:r>
        <w:rPr>
          <w:rFonts w:hint="eastAsia" w:ascii="仿宋_GB2312" w:hAnsi="宋体" w:eastAsia="仿宋_GB2312" w:cs="Times New Roman"/>
          <w:sz w:val="32"/>
          <w:szCs w:val="32"/>
          <w:lang w:val="zh-CN"/>
        </w:rPr>
        <w:t>2．资金使用。截止评价时点项目资金的实际支出</w:t>
      </w:r>
      <w:r>
        <w:rPr>
          <w:rFonts w:hint="eastAsia" w:ascii="仿宋_GB2312" w:hAnsi="宋体" w:eastAsia="仿宋_GB2312" w:cs="Times New Roman"/>
          <w:sz w:val="32"/>
          <w:szCs w:val="32"/>
        </w:rPr>
        <w:t>883万元</w:t>
      </w:r>
      <w:r>
        <w:rPr>
          <w:rFonts w:hint="eastAsia" w:ascii="仿宋_GB2312" w:hAnsi="宋体" w:eastAsia="仿宋_GB2312" w:cs="Times New Roman"/>
          <w:sz w:val="32"/>
          <w:szCs w:val="32"/>
          <w:lang w:val="zh-CN"/>
        </w:rPr>
        <w:t>，主要用于嘉陵江上石盘至两江口航道</w:t>
      </w:r>
      <w:r>
        <w:rPr>
          <w:rFonts w:hint="eastAsia" w:ascii="仿宋_GB2312" w:hAnsi="宋体" w:eastAsia="仿宋_GB2312" w:cs="Times New Roman"/>
          <w:sz w:val="32"/>
          <w:szCs w:val="32"/>
        </w:rPr>
        <w:t>养护</w:t>
      </w:r>
      <w:r>
        <w:rPr>
          <w:rFonts w:hint="eastAsia" w:ascii="仿宋_GB2312" w:hAnsi="宋体" w:eastAsia="仿宋_GB2312" w:cs="Times New Roman"/>
          <w:sz w:val="32"/>
          <w:szCs w:val="32"/>
          <w:lang w:val="zh-CN"/>
        </w:rPr>
        <w:t>支出。支付依据合规合法，资金支付与预算相符。</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楷体_GB2312" w:hAnsi="宋体" w:eastAsia="楷体_GB2312" w:cs="Times New Roman"/>
          <w:b w:val="0"/>
          <w:bCs w:val="0"/>
          <w:sz w:val="32"/>
          <w:szCs w:val="32"/>
          <w:lang w:val="zh-CN"/>
        </w:rPr>
      </w:pPr>
      <w:r>
        <w:rPr>
          <w:rFonts w:hint="eastAsia" w:ascii="楷体_GB2312" w:hAnsi="宋体" w:eastAsia="楷体_GB2312" w:cs="Times New Roman"/>
          <w:b w:val="0"/>
          <w:bCs w:val="0"/>
          <w:sz w:val="32"/>
          <w:szCs w:val="32"/>
          <w:lang w:val="zh-CN"/>
        </w:rPr>
        <w:t>（三）项目财务管理情况。</w:t>
      </w:r>
    </w:p>
    <w:p>
      <w:pPr>
        <w:adjustRightInd w:val="0"/>
        <w:snapToGrid w:val="0"/>
        <w:spacing w:line="576"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项目会计核算及账务处理</w:t>
      </w:r>
      <w:r>
        <w:rPr>
          <w:rFonts w:hint="eastAsia" w:ascii="仿宋_GB2312" w:hAnsi="宋体" w:eastAsia="仿宋_GB2312"/>
          <w:sz w:val="32"/>
          <w:szCs w:val="32"/>
        </w:rPr>
        <w:t>按照《预算法》《单位内控制度》</w:t>
      </w:r>
      <w:r>
        <w:rPr>
          <w:rFonts w:hint="eastAsia" w:ascii="仿宋_GB2312" w:hAnsi="宋体" w:eastAsia="仿宋_GB2312"/>
          <w:sz w:val="32"/>
          <w:szCs w:val="32"/>
          <w:lang w:val="zh-CN"/>
        </w:rPr>
        <w:t>等相关</w:t>
      </w:r>
      <w:r>
        <w:rPr>
          <w:rFonts w:hint="eastAsia" w:ascii="仿宋_GB2312" w:hAnsi="宋体" w:eastAsia="仿宋_GB2312"/>
          <w:sz w:val="32"/>
          <w:szCs w:val="32"/>
        </w:rPr>
        <w:t>规定，</w:t>
      </w:r>
      <w:r>
        <w:rPr>
          <w:rFonts w:hint="eastAsia" w:ascii="仿宋_GB2312" w:hAnsi="宋体" w:eastAsia="仿宋_GB2312"/>
          <w:sz w:val="32"/>
          <w:szCs w:val="32"/>
          <w:lang w:val="zh-CN"/>
        </w:rPr>
        <w:t>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1"/>
        <w:rPr>
          <w:rFonts w:ascii="黑体" w:hAnsi="宋体" w:eastAsia="黑体" w:cs="Times New Roman"/>
          <w:b w:val="0"/>
          <w:bCs w:val="0"/>
          <w:sz w:val="32"/>
          <w:szCs w:val="32"/>
        </w:rPr>
      </w:pPr>
      <w:bookmarkStart w:id="132" w:name="_Toc26332"/>
      <w:r>
        <w:rPr>
          <w:rFonts w:hint="eastAsia" w:ascii="黑体" w:hAnsi="宋体" w:eastAsia="黑体" w:cs="Times New Roman"/>
          <w:b w:val="0"/>
          <w:bCs w:val="0"/>
          <w:sz w:val="32"/>
          <w:szCs w:val="32"/>
        </w:rPr>
        <w:t>三、项目实施及管理情况</w:t>
      </w:r>
      <w:bookmarkEnd w:id="132"/>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宋体" w:eastAsia="楷体_GB2312" w:cs="Times New Roman"/>
          <w:b w:val="0"/>
          <w:bCs w:val="0"/>
          <w:sz w:val="32"/>
          <w:szCs w:val="32"/>
          <w:lang w:val="zh-CN"/>
        </w:rPr>
        <w:t>（一）项目组织架构及实施流程。</w:t>
      </w:r>
      <w:r>
        <w:rPr>
          <w:rFonts w:hint="eastAsia" w:ascii="仿宋_GB2312" w:hAnsi="仿宋_GB2312" w:eastAsia="仿宋_GB2312" w:cs="仿宋_GB2312"/>
          <w:sz w:val="32"/>
          <w:szCs w:val="32"/>
          <w:lang w:val="en-US" w:eastAsia="zh-CN"/>
        </w:rPr>
        <w:t>由港口科牵头，</w:t>
      </w:r>
      <w:r>
        <w:rPr>
          <w:rFonts w:hint="eastAsia" w:ascii="仿宋_GB2312" w:hAnsi="仿宋_GB2312" w:eastAsia="仿宋_GB2312" w:cs="仿宋_GB2312"/>
          <w:sz w:val="32"/>
          <w:szCs w:val="32"/>
          <w:lang w:val="en-US" w:eastAsia="zh-CN"/>
        </w:rPr>
        <w:t>项目主管部门在实施该项目。项目资金由省级补助资金构成。资金分配属于专款专用</w:t>
      </w:r>
      <w:r>
        <w:rPr>
          <w:rFonts w:hint="eastAsia" w:ascii="仿宋_GB2312" w:hAnsi="宋体" w:eastAsia="仿宋_GB2312" w:cs="Times New Roman"/>
          <w:sz w:val="32"/>
          <w:szCs w:val="32"/>
          <w:lang w:val="zh-CN"/>
        </w:rPr>
        <w:t>于嘉陵江上石盘至两江口航道</w:t>
      </w:r>
      <w:r>
        <w:rPr>
          <w:rFonts w:hint="eastAsia" w:ascii="仿宋_GB2312" w:hAnsi="宋体" w:eastAsia="仿宋_GB2312" w:cs="Times New Roman"/>
          <w:sz w:val="32"/>
          <w:szCs w:val="32"/>
        </w:rPr>
        <w:t>养护</w:t>
      </w:r>
      <w:r>
        <w:rPr>
          <w:rFonts w:hint="eastAsia" w:ascii="仿宋_GB2312" w:hAnsi="宋体" w:eastAsia="仿宋_GB2312" w:cs="Times New Roman"/>
          <w:sz w:val="32"/>
          <w:szCs w:val="32"/>
          <w:lang w:val="zh-CN"/>
        </w:rPr>
        <w:t>支出。截止评价日，基本完成了资金的申报、审核、支付流程。</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b w:val="0"/>
          <w:bCs w:val="0"/>
          <w:sz w:val="32"/>
          <w:szCs w:val="32"/>
          <w:lang w:val="zh-CN"/>
        </w:rPr>
      </w:pPr>
      <w:r>
        <w:rPr>
          <w:rFonts w:hint="eastAsia" w:ascii="楷体_GB2312" w:hAnsi="宋体" w:eastAsia="楷体_GB2312" w:cs="Times New Roman"/>
          <w:b w:val="0"/>
          <w:bCs w:val="0"/>
          <w:sz w:val="32"/>
          <w:szCs w:val="32"/>
          <w:lang w:val="zh-CN"/>
        </w:rPr>
        <w:t>（二）项目管理情况。</w:t>
      </w:r>
      <w:r>
        <w:rPr>
          <w:rFonts w:hint="eastAsia" w:ascii="仿宋_GB2312" w:hAnsi="宋体" w:eastAsia="仿宋_GB2312" w:cs="Times New Roman"/>
          <w:b w:val="0"/>
          <w:bCs w:val="0"/>
          <w:sz w:val="32"/>
          <w:szCs w:val="32"/>
          <w:lang w:val="en-US" w:eastAsia="zh-CN"/>
        </w:rPr>
        <w:t>按照《预算法》对项目进行预算公开，每季度进行绩效项目分析。</w:t>
      </w:r>
    </w:p>
    <w:p>
      <w:pPr>
        <w:adjustRightInd w:val="0"/>
        <w:snapToGrid w:val="0"/>
        <w:spacing w:line="576" w:lineRule="exact"/>
        <w:ind w:firstLine="720"/>
        <w:rPr>
          <w:rFonts w:ascii="仿宋_GB2312" w:hAnsi="宋体" w:eastAsia="仿宋_GB2312" w:cs="Times New Roman"/>
          <w:b w:val="0"/>
          <w:bCs w:val="0"/>
          <w:sz w:val="32"/>
          <w:szCs w:val="32"/>
          <w:lang w:val="zh-CN"/>
        </w:rPr>
      </w:pPr>
      <w:r>
        <w:rPr>
          <w:rFonts w:hint="eastAsia" w:ascii="楷体_GB2312" w:hAnsi="宋体" w:eastAsia="楷体_GB2312" w:cs="Times New Roman"/>
          <w:b w:val="0"/>
          <w:bCs w:val="0"/>
          <w:sz w:val="32"/>
          <w:szCs w:val="32"/>
          <w:lang w:val="zh-CN"/>
        </w:rPr>
        <w:t>（三）项目监管情况。</w:t>
      </w:r>
      <w:r>
        <w:rPr>
          <w:rFonts w:hint="eastAsia" w:ascii="仿宋_GB2312" w:hAnsi="宋体" w:eastAsia="仿宋_GB2312"/>
          <w:sz w:val="32"/>
          <w:szCs w:val="32"/>
          <w:lang w:val="en-US" w:eastAsia="zh-CN"/>
        </w:rPr>
        <w:t>每月通过中心主任办公会对项目进度情况进行通报，</w:t>
      </w:r>
      <w:r>
        <w:rPr>
          <w:rFonts w:hint="eastAsia" w:ascii="仿宋_GB2312" w:hAnsi="宋体" w:eastAsia="仿宋_GB2312"/>
          <w:sz w:val="32"/>
          <w:szCs w:val="32"/>
          <w:lang w:val="zh-CN"/>
        </w:rPr>
        <w:t>截止评价日，基本完成了资金的申报、审核、支付流程。截止评价时点项目资金的实际支出</w:t>
      </w:r>
      <w:r>
        <w:rPr>
          <w:rFonts w:hint="eastAsia" w:ascii="仿宋_GB2312" w:hAnsi="宋体" w:eastAsia="仿宋_GB2312"/>
          <w:sz w:val="32"/>
          <w:szCs w:val="32"/>
          <w:lang w:val="en-US" w:eastAsia="zh-CN"/>
        </w:rPr>
        <w:t>883</w:t>
      </w:r>
      <w:r>
        <w:rPr>
          <w:rFonts w:hint="eastAsia" w:ascii="仿宋_GB2312" w:hAnsi="宋体" w:eastAsia="仿宋_GB2312"/>
          <w:sz w:val="32"/>
          <w:szCs w:val="32"/>
        </w:rPr>
        <w:t>万元</w:t>
      </w:r>
      <w:r>
        <w:rPr>
          <w:rFonts w:hint="eastAsia" w:ascii="仿宋_GB2312" w:hAnsi="宋体" w:eastAsia="仿宋_GB2312"/>
          <w:sz w:val="32"/>
          <w:szCs w:val="32"/>
          <w:lang w:val="zh-CN"/>
        </w:rPr>
        <w:t>，支付依据合规合法，资金支付与预算相符。</w:t>
      </w:r>
    </w:p>
    <w:p>
      <w:pPr>
        <w:adjustRightInd w:val="0"/>
        <w:snapToGrid w:val="0"/>
        <w:spacing w:line="576" w:lineRule="exact"/>
        <w:ind w:firstLine="720"/>
        <w:outlineLvl w:val="1"/>
        <w:rPr>
          <w:rFonts w:hint="eastAsia" w:ascii="黑体" w:hAnsi="黑体" w:eastAsia="黑体" w:cs="黑体"/>
          <w:bCs/>
          <w:sz w:val="32"/>
          <w:szCs w:val="32"/>
          <w:lang w:val="zh-CN"/>
        </w:rPr>
      </w:pPr>
      <w:bookmarkStart w:id="133" w:name="_Toc32089"/>
      <w:r>
        <w:rPr>
          <w:rFonts w:hint="eastAsia" w:ascii="黑体" w:hAnsi="黑体" w:eastAsia="黑体" w:cs="黑体"/>
          <w:bCs/>
          <w:sz w:val="32"/>
          <w:szCs w:val="32"/>
          <w:lang w:val="en-US" w:eastAsia="zh-CN"/>
        </w:rPr>
        <w:t>四</w:t>
      </w:r>
      <w:r>
        <w:rPr>
          <w:rFonts w:hint="eastAsia" w:ascii="黑体" w:hAnsi="黑体" w:eastAsia="黑体" w:cs="黑体"/>
          <w:bCs/>
          <w:sz w:val="32"/>
          <w:szCs w:val="32"/>
        </w:rPr>
        <w:t>、项目绩效情况</w:t>
      </w:r>
      <w:bookmarkEnd w:id="133"/>
      <w:r>
        <w:rPr>
          <w:rFonts w:hint="eastAsia" w:ascii="黑体" w:hAnsi="黑体" w:eastAsia="黑体" w:cs="黑体"/>
          <w:bCs/>
          <w:sz w:val="32"/>
          <w:szCs w:val="32"/>
          <w:lang w:val="zh-CN"/>
        </w:rPr>
        <w:tab/>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（一）项目完成情况。</w:t>
      </w:r>
    </w:p>
    <w:p>
      <w:pPr>
        <w:adjustRightInd w:val="0"/>
        <w:snapToGrid w:val="0"/>
        <w:spacing w:line="576" w:lineRule="exact"/>
        <w:ind w:firstLine="720"/>
        <w:rPr>
          <w:rFonts w:hint="eastAsia" w:ascii="仿宋_GB2312" w:hAnsi="宋体" w:eastAsia="仿宋_GB2312"/>
          <w:sz w:val="32"/>
          <w:szCs w:val="32"/>
          <w:lang w:val="zh-CN"/>
        </w:rPr>
      </w:pPr>
      <w:r>
        <w:rPr>
          <w:rFonts w:hint="eastAsia" w:ascii="仿宋_GB2312" w:hAnsi="宋体" w:eastAsia="仿宋_GB2312"/>
          <w:sz w:val="32"/>
          <w:szCs w:val="32"/>
        </w:rPr>
        <w:t>2021年度完成项目建设，</w:t>
      </w:r>
      <w:r>
        <w:rPr>
          <w:rFonts w:hint="eastAsia" w:ascii="仿宋_GB2312" w:hAnsi="宋体" w:eastAsia="仿宋_GB2312"/>
          <w:sz w:val="32"/>
          <w:szCs w:val="32"/>
          <w:lang w:val="zh-CN"/>
        </w:rPr>
        <w:t>疏浚长度7000米507786m³，4处丁坝9278m³，满足航道通航尺度1.0×24×130m（水深×直线段宽度（双线）×弯曲半径）。</w:t>
      </w:r>
      <w:r>
        <w:rPr>
          <w:rFonts w:hint="eastAsia" w:ascii="仿宋_GB2312" w:eastAsia="仿宋_GB2312"/>
          <w:sz w:val="32"/>
          <w:szCs w:val="32"/>
        </w:rPr>
        <w:t>控制施工对水环境的影响，保障100吨级船舶正常通行。</w:t>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val="zh-CN"/>
        </w:rPr>
        <w:t>）项目效益情况。</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以高质量航道管养为目标，严格按照《航道养护技术规范》、《内河航道绿色养护技术指南》，坚持管养并重、突出重点、分类维护、保障畅通的原则，全面加强了航道、航标、船艇、整治建筑物的维护管理。</w:t>
      </w:r>
    </w:p>
    <w:p>
      <w:pPr>
        <w:spacing w:line="576" w:lineRule="exact"/>
        <w:ind w:firstLine="640" w:firstLineChars="200"/>
        <w:outlineLvl w:val="1"/>
        <w:rPr>
          <w:rFonts w:hint="eastAsia" w:ascii="黑体" w:hAnsi="黑体" w:eastAsia="黑体" w:cs="黑体"/>
          <w:bCs/>
          <w:sz w:val="32"/>
          <w:szCs w:val="32"/>
        </w:rPr>
      </w:pPr>
      <w:bookmarkStart w:id="134" w:name="_Toc11282"/>
      <w:r>
        <w:rPr>
          <w:rFonts w:hint="eastAsia" w:ascii="黑体" w:hAnsi="黑体" w:eastAsia="黑体" w:cs="黑体"/>
          <w:bCs/>
          <w:sz w:val="32"/>
          <w:szCs w:val="32"/>
          <w:lang w:val="en-US" w:eastAsia="zh-CN"/>
        </w:rPr>
        <w:t>五</w:t>
      </w:r>
      <w:r>
        <w:rPr>
          <w:rFonts w:hint="eastAsia" w:ascii="黑体" w:hAnsi="黑体" w:eastAsia="黑体" w:cs="黑体"/>
          <w:bCs/>
          <w:sz w:val="32"/>
          <w:szCs w:val="32"/>
        </w:rPr>
        <w:t>、问题及建议</w:t>
      </w:r>
      <w:bookmarkEnd w:id="134"/>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sz w:val="32"/>
          <w:szCs w:val="32"/>
          <w:lang w:val="zh-CN"/>
        </w:rPr>
      </w:pPr>
      <w:r>
        <w:rPr>
          <w:rFonts w:hint="eastAsia" w:ascii="楷体_GB2312" w:hAnsi="宋体" w:eastAsia="楷体_GB2312" w:cs="Times New Roman"/>
          <w:b w:val="0"/>
          <w:bCs w:val="0"/>
          <w:sz w:val="32"/>
          <w:szCs w:val="32"/>
          <w:lang w:val="zh-CN"/>
        </w:rPr>
        <w:t>（一）评价结论。</w:t>
      </w:r>
      <w:r>
        <w:rPr>
          <w:rFonts w:hint="eastAsia" w:ascii="仿宋_GB2312" w:hAnsi="宋体" w:eastAsia="仿宋_GB2312" w:cs="Times New Roman"/>
          <w:sz w:val="32"/>
          <w:szCs w:val="32"/>
          <w:lang w:val="en-US" w:eastAsia="zh-CN"/>
        </w:rPr>
        <w:t>该项目属于先实施再申报的应急抢险维护管理工程，具有很多不可控因素，如实施时间不可控、项目金额不可控、资金到位不可控等。</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sz w:val="32"/>
          <w:szCs w:val="32"/>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二</w:t>
      </w:r>
      <w:r>
        <w:rPr>
          <w:rFonts w:hint="eastAsia" w:ascii="楷体_GB2312" w:hAnsi="楷体_GB2312" w:eastAsia="楷体_GB2312" w:cs="楷体_GB2312"/>
          <w:bCs/>
          <w:sz w:val="32"/>
          <w:szCs w:val="32"/>
          <w:lang w:val="zh-CN"/>
        </w:rPr>
        <w:t>）存在的问题。</w:t>
      </w:r>
      <w:r>
        <w:rPr>
          <w:rFonts w:hint="eastAsia" w:ascii="仿宋_GB2312" w:hAnsi="宋体" w:eastAsia="仿宋_GB2312"/>
          <w:sz w:val="32"/>
          <w:szCs w:val="32"/>
        </w:rPr>
        <w:t>高等级航道占比较低，需要加强高等级航道建设、养护相关申报。</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lang w:val="en-US" w:eastAsia="zh-CN"/>
        </w:rPr>
        <w:t>三</w:t>
      </w:r>
      <w:r>
        <w:rPr>
          <w:rFonts w:hint="eastAsia" w:ascii="楷体_GB2312" w:hAnsi="楷体_GB2312" w:eastAsia="楷体_GB2312" w:cs="楷体_GB2312"/>
          <w:bCs/>
          <w:sz w:val="32"/>
          <w:szCs w:val="32"/>
          <w:lang w:val="zh-CN"/>
        </w:rPr>
        <w:t>）相关建议。</w:t>
      </w:r>
      <w:r>
        <w:rPr>
          <w:rFonts w:hint="eastAsia" w:ascii="仿宋_GB2312" w:hAnsi="宋体" w:eastAsia="仿宋_GB2312"/>
          <w:sz w:val="32"/>
          <w:szCs w:val="32"/>
        </w:rPr>
        <w:t>集中力量，集聚资源，补齐水运发展短板，挖掘水运发展潜力，进一步发展高等级航道建设。</w:t>
      </w:r>
    </w:p>
    <w:p>
      <w:pPr>
        <w:rPr>
          <w:rFonts w:hint="eastAsia"/>
        </w:rPr>
      </w:pPr>
      <w:r>
        <w:rPr>
          <w:rFonts w:hint="eastAsia"/>
        </w:rPr>
        <w:br w:type="page"/>
      </w:r>
    </w:p>
    <w:p>
      <w:r>
        <w:drawing>
          <wp:inline distT="0" distB="0" distL="114300" distR="114300">
            <wp:extent cx="5273675" cy="4605020"/>
            <wp:effectExtent l="0" t="0" r="14605" b="12700"/>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pic:cNvPicPr>
                      <a:picLocks noChangeAspect="1"/>
                    </pic:cNvPicPr>
                  </pic:nvPicPr>
                  <pic:blipFill>
                    <a:blip r:embed="rId16"/>
                    <a:stretch>
                      <a:fillRect/>
                    </a:stretch>
                  </pic:blipFill>
                  <pic:spPr>
                    <a:xfrm>
                      <a:off x="0" y="0"/>
                      <a:ext cx="5273675" cy="4605020"/>
                    </a:xfrm>
                    <a:prstGeom prst="rect">
                      <a:avLst/>
                    </a:prstGeom>
                    <a:noFill/>
                    <a:ln>
                      <a:noFill/>
                    </a:ln>
                  </pic:spPr>
                </pic:pic>
              </a:graphicData>
            </a:graphic>
          </wp:inline>
        </w:drawing>
      </w:r>
    </w:p>
    <w:p>
      <w:r>
        <w:br w:type="page"/>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en-US" w:eastAsia="zh-CN" w:bidi="ar-SA"/>
        </w:rPr>
      </w:pPr>
      <w:r>
        <w:rPr>
          <w:rFonts w:hint="eastAsia" w:ascii="方正小标宋简体" w:hAnsi="方正小标宋简体" w:eastAsia="方正小标宋简体" w:cs="方正小标宋简体"/>
          <w:color w:val="auto"/>
          <w:kern w:val="2"/>
          <w:sz w:val="40"/>
          <w:szCs w:val="40"/>
          <w:highlight w:val="none"/>
          <w:lang w:val="en-US" w:eastAsia="zh-CN" w:bidi="ar-SA"/>
        </w:rPr>
        <w:t>2021年病退职工护理费项目</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auto"/>
          <w:kern w:val="2"/>
          <w:sz w:val="40"/>
          <w:szCs w:val="40"/>
          <w:highlight w:val="none"/>
          <w:lang w:val="zh-CN" w:eastAsia="zh-CN" w:bidi="ar-SA"/>
        </w:rPr>
      </w:pPr>
      <w:r>
        <w:rPr>
          <w:rFonts w:hint="eastAsia" w:ascii="方正小标宋简体" w:hAnsi="方正小标宋简体" w:eastAsia="方正小标宋简体" w:cs="方正小标宋简体"/>
          <w:color w:val="auto"/>
          <w:kern w:val="2"/>
          <w:sz w:val="40"/>
          <w:szCs w:val="40"/>
          <w:highlight w:val="none"/>
          <w:lang w:val="zh-CN" w:eastAsia="zh-CN" w:bidi="ar-SA"/>
        </w:rPr>
        <w:t>支出绩效自评报告</w:t>
      </w: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1"/>
        <w:rPr>
          <w:rFonts w:ascii="黑体" w:hAnsi="宋体" w:eastAsia="黑体" w:cs="Times New Roman"/>
          <w:b w:val="0"/>
          <w:bCs w:val="0"/>
          <w:sz w:val="32"/>
          <w:szCs w:val="32"/>
          <w:lang w:val="zh-CN"/>
        </w:rPr>
      </w:pPr>
      <w:bookmarkStart w:id="135" w:name="_Toc18440"/>
      <w:r>
        <w:rPr>
          <w:rFonts w:hint="eastAsia" w:ascii="黑体" w:hAnsi="宋体" w:eastAsia="黑体" w:cs="Times New Roman"/>
          <w:b w:val="0"/>
          <w:bCs w:val="0"/>
          <w:sz w:val="32"/>
          <w:szCs w:val="32"/>
        </w:rPr>
        <w:t>一、</w:t>
      </w:r>
      <w:r>
        <w:rPr>
          <w:rFonts w:hint="eastAsia" w:ascii="黑体" w:hAnsi="宋体" w:eastAsia="黑体" w:cs="Times New Roman"/>
          <w:b w:val="0"/>
          <w:bCs w:val="0"/>
          <w:sz w:val="32"/>
          <w:szCs w:val="32"/>
          <w:lang w:val="zh-CN"/>
        </w:rPr>
        <w:t>项目概况</w:t>
      </w:r>
      <w:bookmarkEnd w:id="135"/>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楷体_GB2312" w:hAnsi="宋体" w:eastAsia="楷体_GB2312" w:cs="Times New Roman"/>
          <w:b w:val="0"/>
          <w:bCs w:val="0"/>
          <w:sz w:val="32"/>
          <w:szCs w:val="32"/>
          <w:lang w:val="zh-CN"/>
        </w:rPr>
      </w:pPr>
      <w:r>
        <w:rPr>
          <w:rFonts w:hint="eastAsia" w:ascii="楷体_GB2312" w:hAnsi="宋体" w:eastAsia="楷体_GB2312" w:cs="Times New Roman"/>
          <w:b w:val="0"/>
          <w:bCs w:val="0"/>
          <w:sz w:val="32"/>
          <w:szCs w:val="32"/>
          <w:lang w:val="zh-CN"/>
        </w:rPr>
        <w:t>（一）项目基本情况。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b w:val="0"/>
          <w:bCs w:val="0"/>
          <w:sz w:val="32"/>
          <w:szCs w:val="32"/>
          <w:lang w:val="zh-CN"/>
        </w:rPr>
      </w:pPr>
      <w:r>
        <w:rPr>
          <w:rFonts w:hint="eastAsia" w:ascii="仿宋_GB2312" w:hAnsi="宋体" w:eastAsia="仿宋_GB2312" w:cs="Times New Roman"/>
          <w:b w:val="0"/>
          <w:bCs w:val="0"/>
          <w:sz w:val="32"/>
          <w:szCs w:val="32"/>
          <w:lang w:val="zh-CN"/>
        </w:rPr>
        <w:t>项目主管部门实施该项目。根据</w:t>
      </w:r>
      <w:r>
        <w:rPr>
          <w:rFonts w:hint="eastAsia" w:ascii="仿宋_GB2312" w:hAnsi="宋体" w:eastAsia="仿宋_GB2312" w:cs="Times New Roman"/>
          <w:b w:val="0"/>
          <w:bCs w:val="0"/>
          <w:sz w:val="32"/>
          <w:szCs w:val="32"/>
          <w:lang w:val="en-US" w:eastAsia="zh-CN"/>
        </w:rPr>
        <w:t>病退职工诉求向归口科室请示纳入专项</w:t>
      </w:r>
      <w:r>
        <w:rPr>
          <w:rFonts w:hint="eastAsia" w:ascii="仿宋_GB2312" w:hAnsi="宋体" w:eastAsia="仿宋_GB2312" w:cs="Times New Roman"/>
          <w:b w:val="0"/>
          <w:bCs w:val="0"/>
          <w:sz w:val="32"/>
          <w:szCs w:val="32"/>
          <w:lang w:val="zh-CN"/>
        </w:rPr>
        <w:t>申报项目资金。项目资金专款专用仅对</w:t>
      </w:r>
      <w:r>
        <w:rPr>
          <w:rFonts w:hint="eastAsia" w:ascii="仿宋_GB2312" w:hAnsi="宋体" w:eastAsia="仿宋_GB2312" w:cs="Times New Roman"/>
          <w:b w:val="0"/>
          <w:bCs w:val="0"/>
          <w:sz w:val="32"/>
          <w:szCs w:val="32"/>
          <w:lang w:val="en-US" w:eastAsia="zh-CN"/>
        </w:rPr>
        <w:t>病退职工支出</w:t>
      </w:r>
      <w:r>
        <w:rPr>
          <w:rFonts w:hint="eastAsia" w:ascii="仿宋_GB2312" w:hAnsi="宋体" w:eastAsia="仿宋_GB2312" w:cs="Times New Roman"/>
          <w:b w:val="0"/>
          <w:bCs w:val="0"/>
          <w:sz w:val="32"/>
          <w:szCs w:val="32"/>
          <w:lang w:val="zh-CN"/>
        </w:rPr>
        <w:t>。</w:t>
      </w:r>
    </w:p>
    <w:p>
      <w:pPr>
        <w:keepNext w:val="0"/>
        <w:keepLines w:val="0"/>
        <w:pageBreakBefore w:val="0"/>
        <w:widowControl w:val="0"/>
        <w:numPr>
          <w:ilvl w:val="0"/>
          <w:numId w:val="14"/>
        </w:numPr>
        <w:kinsoku/>
        <w:wordWrap/>
        <w:overflowPunct/>
        <w:topLinePunct w:val="0"/>
        <w:autoSpaceDE/>
        <w:autoSpaceDN/>
        <w:bidi w:val="0"/>
        <w:adjustRightInd w:val="0"/>
        <w:snapToGrid w:val="0"/>
        <w:spacing w:line="576" w:lineRule="exact"/>
        <w:ind w:firstLine="640" w:firstLineChars="200"/>
        <w:textAlignment w:val="auto"/>
        <w:rPr>
          <w:rFonts w:hint="eastAsia" w:ascii="楷体_GB2312" w:hAnsi="宋体" w:eastAsia="楷体_GB2312" w:cs="Times New Roman"/>
          <w:b w:val="0"/>
          <w:bCs w:val="0"/>
          <w:sz w:val="32"/>
          <w:szCs w:val="32"/>
          <w:lang w:val="zh-CN"/>
        </w:rPr>
      </w:pPr>
      <w:r>
        <w:rPr>
          <w:rFonts w:hint="eastAsia" w:ascii="楷体_GB2312" w:hAnsi="宋体" w:eastAsia="楷体_GB2312" w:cs="Times New Roman"/>
          <w:b w:val="0"/>
          <w:bCs w:val="0"/>
          <w:sz w:val="32"/>
          <w:szCs w:val="32"/>
          <w:lang w:val="zh-CN"/>
        </w:rPr>
        <w:t>项目绩效目标。</w:t>
      </w:r>
    </w:p>
    <w:p>
      <w:pPr>
        <w:keepNext w:val="0"/>
        <w:keepLines w:val="0"/>
        <w:pageBreakBefore w:val="0"/>
        <w:widowControl w:val="0"/>
        <w:numPr>
          <w:ilvl w:val="0"/>
          <w:numId w:val="15"/>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按照市中级人民法院关于刘欣生活费用补贴的司法建议，给予病退职工刘欣4000元/月生活补贴，全年一次性6000元租房补贴，保障职工权益，消除不稳定因素。</w:t>
      </w:r>
    </w:p>
    <w:p>
      <w:pPr>
        <w:keepNext w:val="0"/>
        <w:keepLines w:val="0"/>
        <w:pageBreakBefore w:val="0"/>
        <w:widowControl w:val="0"/>
        <w:numPr>
          <w:ilvl w:val="0"/>
          <w:numId w:val="15"/>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cs="Times New Roman"/>
          <w:b w:val="0"/>
          <w:bCs w:val="0"/>
          <w:sz w:val="32"/>
          <w:szCs w:val="32"/>
          <w:lang w:val="zh-CN"/>
        </w:rPr>
        <w:t>项目主要内容：护理病退职工=1人、保障全年生活=1人；及时签订护工合同2021年3月31日前；及时按照合同金额支付护理费用</w:t>
      </w:r>
      <w:r>
        <w:rPr>
          <w:rFonts w:hint="eastAsia" w:ascii="仿宋_GB2312" w:hAnsi="宋体" w:eastAsia="仿宋_GB2312" w:cs="Times New Roman"/>
          <w:b w:val="0"/>
          <w:bCs w:val="0"/>
          <w:sz w:val="32"/>
          <w:szCs w:val="32"/>
          <w:lang w:val="zh-CN"/>
        </w:rPr>
        <w:tab/>
      </w:r>
      <w:r>
        <w:rPr>
          <w:rFonts w:hint="eastAsia" w:ascii="仿宋_GB2312" w:hAnsi="宋体" w:eastAsia="仿宋_GB2312" w:cs="Times New Roman"/>
          <w:b w:val="0"/>
          <w:bCs w:val="0"/>
          <w:sz w:val="32"/>
          <w:szCs w:val="32"/>
          <w:lang w:val="zh-CN"/>
        </w:rPr>
        <w:t>12月30日前；每个月4000元生活补贴，全年一次性6000元租房补贴=5.4万元；保障职工权益，维护社会稳定；持续保障职工生活；职工满意度&gt;=95%。</w:t>
      </w:r>
    </w:p>
    <w:p>
      <w:pPr>
        <w:keepNext w:val="0"/>
        <w:keepLines w:val="0"/>
        <w:pageBreakBefore w:val="0"/>
        <w:widowControl w:val="0"/>
        <w:numPr>
          <w:ilvl w:val="0"/>
          <w:numId w:val="15"/>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项目申报内容与具体实施内容相符、申报目标合理可行。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楷体_GB2312" w:hAnsi="宋体" w:eastAsia="楷体_GB2312" w:cs="Times New Roman"/>
          <w:b w:val="0"/>
          <w:bCs w:val="0"/>
          <w:sz w:val="32"/>
          <w:szCs w:val="32"/>
          <w:lang w:val="zh-CN"/>
        </w:rPr>
      </w:pPr>
      <w:r>
        <w:rPr>
          <w:rFonts w:hint="eastAsia" w:ascii="楷体_GB2312" w:hAnsi="宋体" w:eastAsia="楷体_GB2312" w:cs="Times New Roman"/>
          <w:b w:val="0"/>
          <w:bCs w:val="0"/>
          <w:sz w:val="32"/>
          <w:szCs w:val="32"/>
          <w:lang w:val="zh-CN"/>
        </w:rPr>
        <w:t>（三）项目自评步骤及方法。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cs="Times New Roman"/>
          <w:sz w:val="32"/>
          <w:szCs w:val="32"/>
          <w:lang w:val="zh-CN" w:eastAsia="zh-CN"/>
        </w:rPr>
        <w:t>业务科室对照《2022年市级专项预算项目支出绩效评价指标体系》，完善相关指标并进行自评打分。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1"/>
        <w:rPr>
          <w:rFonts w:ascii="黑体" w:hAnsi="宋体" w:eastAsia="黑体" w:cs="Times New Roman"/>
          <w:b w:val="0"/>
          <w:bCs w:val="0"/>
          <w:sz w:val="32"/>
          <w:szCs w:val="32"/>
        </w:rPr>
      </w:pPr>
      <w:bookmarkStart w:id="136" w:name="_Toc16309"/>
      <w:r>
        <w:rPr>
          <w:rFonts w:hint="eastAsia" w:ascii="黑体" w:hAnsi="宋体" w:eastAsia="黑体" w:cs="Times New Roman"/>
          <w:b w:val="0"/>
          <w:bCs w:val="0"/>
          <w:sz w:val="32"/>
          <w:szCs w:val="32"/>
        </w:rPr>
        <w:t>二、项目资金申报及使用情况</w:t>
      </w:r>
      <w:bookmarkEnd w:id="136"/>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楷体_GB2312" w:hAnsi="宋体" w:eastAsia="楷体_GB2312" w:cs="Times New Roman"/>
          <w:b w:val="0"/>
          <w:bCs w:val="0"/>
          <w:sz w:val="32"/>
          <w:szCs w:val="32"/>
          <w:lang w:val="zh-CN"/>
        </w:rPr>
      </w:pPr>
      <w:r>
        <w:rPr>
          <w:rFonts w:hint="eastAsia" w:ascii="楷体_GB2312" w:hAnsi="宋体" w:eastAsia="楷体_GB2312" w:cs="Times New Roman"/>
          <w:b w:val="0"/>
          <w:bCs w:val="0"/>
          <w:sz w:val="32"/>
          <w:szCs w:val="32"/>
          <w:lang w:val="zh-CN"/>
        </w:rPr>
        <w:t>（一）项目资金申报及批复情况。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b w:val="0"/>
          <w:bCs w:val="0"/>
          <w:sz w:val="32"/>
          <w:szCs w:val="32"/>
          <w:lang w:val="zh-CN"/>
        </w:rPr>
      </w:pPr>
      <w:r>
        <w:rPr>
          <w:rFonts w:hint="eastAsia" w:ascii="仿宋_GB2312" w:hAnsi="宋体" w:eastAsia="仿宋_GB2312" w:cs="Times New Roman"/>
          <w:b w:val="0"/>
          <w:bCs w:val="0"/>
          <w:sz w:val="32"/>
          <w:szCs w:val="32"/>
          <w:lang w:val="zh-CN"/>
        </w:rPr>
        <w:t>项目资金申报5.4万元、财政批复5.4万元。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b w:val="0"/>
          <w:bCs w:val="0"/>
          <w:sz w:val="32"/>
          <w:szCs w:val="32"/>
          <w:lang w:val="zh-CN"/>
        </w:rPr>
      </w:pPr>
      <w:r>
        <w:rPr>
          <w:rFonts w:hint="eastAsia" w:ascii="楷体_GB2312" w:hAnsi="宋体" w:eastAsia="楷体_GB2312" w:cs="Times New Roman"/>
          <w:b w:val="0"/>
          <w:bCs w:val="0"/>
          <w:sz w:val="32"/>
          <w:szCs w:val="32"/>
          <w:lang w:val="zh-CN"/>
        </w:rPr>
        <w:t>（二）资金计划、到位及使用情况（可用表格形式反映）。</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1．资金计划及到位。该项目资金计划5.4万元，截止评价时点实际到位5.4万元，为本级财政拨款资金。</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b w:val="0"/>
          <w:bCs w:val="0"/>
          <w:sz w:val="32"/>
          <w:szCs w:val="32"/>
          <w:lang w:val="zh-CN"/>
        </w:rPr>
      </w:pPr>
      <w:r>
        <w:rPr>
          <w:rFonts w:hint="eastAsia" w:ascii="仿宋_GB2312" w:hAnsi="仿宋_GB2312" w:eastAsia="仿宋_GB2312" w:cs="仿宋_GB2312"/>
          <w:b w:val="0"/>
          <w:bCs w:val="0"/>
          <w:sz w:val="32"/>
          <w:szCs w:val="32"/>
          <w:lang w:val="zh-CN"/>
        </w:rPr>
        <w:t>2．资金使用。截止评价时点项目资金的实际支出5.4万元，主要用于病退职工刘欣生活补贴4.8万，全年一次性租房补贴0.6万元。支付依据合规合法，资金支付与预算相符，无虚列支出、挤占、挪用、转移财政资金行为。</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楷体_GB2312" w:hAnsi="宋体" w:eastAsia="楷体_GB2312" w:cs="Times New Roman"/>
          <w:b w:val="0"/>
          <w:bCs w:val="0"/>
          <w:sz w:val="32"/>
          <w:szCs w:val="32"/>
          <w:lang w:val="zh-CN"/>
        </w:rPr>
      </w:pPr>
      <w:r>
        <w:rPr>
          <w:rFonts w:hint="eastAsia" w:ascii="楷体_GB2312" w:hAnsi="宋体" w:eastAsia="楷体_GB2312" w:cs="Times New Roman"/>
          <w:b w:val="0"/>
          <w:bCs w:val="0"/>
          <w:sz w:val="32"/>
          <w:szCs w:val="32"/>
          <w:lang w:val="zh-CN"/>
        </w:rPr>
        <w:t>（三）项目财务管理情况。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sz w:val="32"/>
          <w:szCs w:val="32"/>
          <w:lang w:val="zh-CN"/>
        </w:rPr>
      </w:pPr>
      <w:r>
        <w:rPr>
          <w:rFonts w:hint="eastAsia" w:ascii="仿宋_GB2312" w:hAnsi="宋体" w:eastAsia="仿宋_GB2312"/>
          <w:sz w:val="32"/>
          <w:szCs w:val="32"/>
          <w:lang w:val="zh-CN"/>
        </w:rPr>
        <w:t>项目会计核算及账务处理</w:t>
      </w:r>
      <w:r>
        <w:rPr>
          <w:rFonts w:hint="eastAsia" w:ascii="仿宋_GB2312" w:hAnsi="宋体" w:eastAsia="仿宋_GB2312"/>
          <w:sz w:val="32"/>
          <w:szCs w:val="32"/>
        </w:rPr>
        <w:t>按照《预算法》《单位内控制度》</w:t>
      </w:r>
      <w:r>
        <w:rPr>
          <w:rFonts w:hint="eastAsia" w:ascii="仿宋_GB2312" w:hAnsi="宋体" w:eastAsia="仿宋_GB2312"/>
          <w:sz w:val="32"/>
          <w:szCs w:val="32"/>
          <w:lang w:val="zh-CN"/>
        </w:rPr>
        <w:t>等相关</w:t>
      </w:r>
      <w:r>
        <w:rPr>
          <w:rFonts w:hint="eastAsia" w:ascii="仿宋_GB2312" w:hAnsi="宋体" w:eastAsia="仿宋_GB2312"/>
          <w:sz w:val="32"/>
          <w:szCs w:val="32"/>
        </w:rPr>
        <w:t>规定，</w:t>
      </w:r>
      <w:r>
        <w:rPr>
          <w:rFonts w:hint="eastAsia" w:ascii="仿宋_GB2312" w:hAnsi="宋体" w:eastAsia="仿宋_GB2312"/>
          <w:sz w:val="32"/>
          <w:szCs w:val="32"/>
          <w:lang w:val="zh-CN"/>
        </w:rPr>
        <w:t>严格执行财务管理制度、财务处理及时、会计核算规范。</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outlineLvl w:val="1"/>
        <w:rPr>
          <w:rFonts w:ascii="黑体" w:hAnsi="宋体" w:eastAsia="黑体" w:cs="Times New Roman"/>
          <w:b w:val="0"/>
          <w:bCs w:val="0"/>
          <w:sz w:val="32"/>
          <w:szCs w:val="32"/>
        </w:rPr>
      </w:pPr>
      <w:bookmarkStart w:id="137" w:name="_Toc27184"/>
      <w:r>
        <w:rPr>
          <w:rFonts w:hint="eastAsia" w:ascii="黑体" w:hAnsi="宋体" w:eastAsia="黑体" w:cs="Times New Roman"/>
          <w:b w:val="0"/>
          <w:bCs w:val="0"/>
          <w:sz w:val="32"/>
          <w:szCs w:val="32"/>
        </w:rPr>
        <w:t>三、项目实施及管理情况</w:t>
      </w:r>
      <w:bookmarkEnd w:id="137"/>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楷体_GB2312" w:hAnsi="宋体" w:eastAsia="楷体_GB2312" w:cs="Times New Roman"/>
          <w:b w:val="0"/>
          <w:bCs w:val="0"/>
          <w:sz w:val="32"/>
          <w:szCs w:val="32"/>
          <w:lang w:val="zh-CN"/>
        </w:rPr>
      </w:pPr>
      <w:r>
        <w:rPr>
          <w:rFonts w:hint="eastAsia" w:ascii="楷体_GB2312" w:hAnsi="宋体" w:eastAsia="楷体_GB2312" w:cs="Times New Roman"/>
          <w:b w:val="0"/>
          <w:bCs w:val="0"/>
          <w:sz w:val="32"/>
          <w:szCs w:val="32"/>
          <w:lang w:val="zh-CN"/>
        </w:rPr>
        <w:t>（一）项目组织架构及实施流程。</w:t>
      </w:r>
      <w:r>
        <w:rPr>
          <w:rFonts w:hint="eastAsia" w:ascii="仿宋_GB2312" w:hAnsi="宋体" w:eastAsia="仿宋_GB2312"/>
          <w:sz w:val="32"/>
          <w:szCs w:val="32"/>
          <w:lang w:val="en-US" w:eastAsia="zh-CN"/>
        </w:rPr>
        <w:t>该项目由人事科牵头，</w:t>
      </w:r>
      <w:r>
        <w:rPr>
          <w:rFonts w:hint="eastAsia" w:ascii="仿宋_GB2312" w:hAnsi="宋体" w:eastAsia="仿宋_GB2312"/>
          <w:sz w:val="32"/>
          <w:szCs w:val="32"/>
          <w:lang w:val="zh-CN"/>
        </w:rPr>
        <w:t>经费项目主要用于</w:t>
      </w:r>
      <w:r>
        <w:rPr>
          <w:rFonts w:hint="eastAsia" w:ascii="仿宋_GB2312" w:hAnsi="宋体" w:eastAsia="仿宋_GB2312"/>
          <w:sz w:val="32"/>
          <w:szCs w:val="32"/>
        </w:rPr>
        <w:t>病退职工刘欣生活补贴4.8万元，全年一次性租房补贴0.6万元</w:t>
      </w:r>
      <w:r>
        <w:rPr>
          <w:rFonts w:hint="eastAsia" w:ascii="仿宋_GB2312" w:hAnsi="宋体" w:eastAsia="仿宋_GB2312"/>
          <w:sz w:val="32"/>
          <w:szCs w:val="32"/>
          <w:lang w:val="zh-CN"/>
        </w:rPr>
        <w:t>，截止评价日，基本完成了资金的申报、审核、支付流程。</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ascii="仿宋_GB2312" w:hAnsi="宋体" w:eastAsia="仿宋_GB2312" w:cs="Times New Roman"/>
          <w:b w:val="0"/>
          <w:bCs w:val="0"/>
          <w:sz w:val="32"/>
          <w:szCs w:val="32"/>
          <w:lang w:val="zh-CN"/>
        </w:rPr>
      </w:pPr>
      <w:r>
        <w:rPr>
          <w:rFonts w:hint="eastAsia" w:ascii="楷体_GB2312" w:hAnsi="宋体" w:eastAsia="楷体_GB2312" w:cs="Times New Roman"/>
          <w:b w:val="0"/>
          <w:bCs w:val="0"/>
          <w:sz w:val="32"/>
          <w:szCs w:val="32"/>
          <w:lang w:val="zh-CN"/>
        </w:rPr>
        <w:t>（二）项目管理情况。</w:t>
      </w:r>
      <w:r>
        <w:rPr>
          <w:rFonts w:hint="eastAsia" w:ascii="仿宋_GB2312" w:hAnsi="宋体" w:eastAsia="仿宋_GB2312" w:cs="Times New Roman"/>
          <w:b w:val="0"/>
          <w:bCs w:val="0"/>
          <w:sz w:val="32"/>
          <w:szCs w:val="32"/>
          <w:lang w:val="zh-CN"/>
        </w:rPr>
        <w:t>按照《预算法》对项目进行预算公开，每季度进行绩效项目分析。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宋体" w:eastAsia="仿宋_GB2312" w:cs="Times New Roman"/>
          <w:b w:val="0"/>
          <w:bCs w:val="0"/>
          <w:sz w:val="32"/>
          <w:szCs w:val="32"/>
          <w:lang w:val="zh-CN"/>
        </w:rPr>
      </w:pPr>
      <w:r>
        <w:rPr>
          <w:rFonts w:hint="eastAsia" w:ascii="楷体_GB2312" w:hAnsi="宋体" w:eastAsia="楷体_GB2312" w:cs="Times New Roman"/>
          <w:b w:val="0"/>
          <w:bCs w:val="0"/>
          <w:sz w:val="32"/>
          <w:szCs w:val="32"/>
          <w:lang w:val="zh-CN"/>
        </w:rPr>
        <w:t>（三）项目监管情况。</w:t>
      </w:r>
      <w:r>
        <w:rPr>
          <w:rFonts w:hint="eastAsia" w:ascii="仿宋_GB2312" w:hAnsi="宋体" w:eastAsia="仿宋_GB2312" w:cs="Times New Roman"/>
          <w:b w:val="0"/>
          <w:bCs w:val="0"/>
          <w:sz w:val="32"/>
          <w:szCs w:val="32"/>
          <w:lang w:val="zh-CN"/>
        </w:rPr>
        <w:t>通过中心主任办公会每月通报项目进展情况，及时对项目实施进行督促，实现了项目与计划基本相符。</w:t>
      </w:r>
    </w:p>
    <w:p>
      <w:pPr>
        <w:adjustRightInd w:val="0"/>
        <w:snapToGrid w:val="0"/>
        <w:spacing w:line="576" w:lineRule="exact"/>
        <w:ind w:firstLine="720"/>
        <w:outlineLvl w:val="1"/>
        <w:rPr>
          <w:rFonts w:hint="eastAsia" w:ascii="黑体" w:hAnsi="黑体" w:eastAsia="黑体" w:cs="黑体"/>
          <w:bCs/>
          <w:sz w:val="32"/>
          <w:szCs w:val="32"/>
          <w:lang w:val="zh-CN"/>
        </w:rPr>
      </w:pPr>
      <w:bookmarkStart w:id="138" w:name="_Toc6568"/>
      <w:r>
        <w:rPr>
          <w:rFonts w:hint="eastAsia" w:ascii="黑体" w:hAnsi="黑体" w:eastAsia="黑体" w:cs="黑体"/>
          <w:bCs/>
          <w:sz w:val="32"/>
          <w:szCs w:val="32"/>
          <w:lang w:val="en-US" w:eastAsia="zh-CN"/>
        </w:rPr>
        <w:t>四</w:t>
      </w:r>
      <w:r>
        <w:rPr>
          <w:rFonts w:hint="eastAsia" w:ascii="黑体" w:hAnsi="黑体" w:eastAsia="黑体" w:cs="黑体"/>
          <w:bCs/>
          <w:sz w:val="32"/>
          <w:szCs w:val="32"/>
        </w:rPr>
        <w:t>、项目绩效情况</w:t>
      </w:r>
      <w:bookmarkEnd w:id="138"/>
      <w:r>
        <w:rPr>
          <w:rFonts w:hint="eastAsia" w:ascii="黑体" w:hAnsi="黑体" w:eastAsia="黑体" w:cs="黑体"/>
          <w:bCs/>
          <w:sz w:val="32"/>
          <w:szCs w:val="32"/>
          <w:lang w:val="zh-CN"/>
        </w:rPr>
        <w:tab/>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（一）项目完成情况。</w:t>
      </w:r>
    </w:p>
    <w:p>
      <w:pPr>
        <w:spacing w:line="576"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zh-CN"/>
        </w:rPr>
        <w:t>保障护理病退职工</w:t>
      </w:r>
      <w:r>
        <w:rPr>
          <w:rFonts w:hint="eastAsia" w:ascii="仿宋_GB2312" w:hAnsi="宋体" w:eastAsia="仿宋_GB2312"/>
          <w:sz w:val="32"/>
          <w:szCs w:val="32"/>
        </w:rPr>
        <w:t>刘欣</w:t>
      </w:r>
      <w:r>
        <w:rPr>
          <w:rFonts w:hint="eastAsia" w:ascii="仿宋_GB2312" w:hAnsi="宋体" w:eastAsia="仿宋_GB2312"/>
          <w:sz w:val="32"/>
          <w:szCs w:val="32"/>
          <w:lang w:val="zh-CN"/>
        </w:rPr>
        <w:t>全年生活</w:t>
      </w:r>
      <w:r>
        <w:rPr>
          <w:rFonts w:hint="eastAsia" w:ascii="仿宋_GB2312" w:hAnsi="宋体" w:eastAsia="仿宋_GB2312"/>
          <w:sz w:val="32"/>
          <w:szCs w:val="32"/>
        </w:rPr>
        <w:t>补贴4.8万元，按照季度支付护理费用及租房补贴。</w:t>
      </w:r>
    </w:p>
    <w:p>
      <w:pPr>
        <w:adjustRightInd w:val="0"/>
        <w:snapToGrid w:val="0"/>
        <w:spacing w:line="576" w:lineRule="exact"/>
        <w:ind w:firstLine="720"/>
        <w:rPr>
          <w:rFonts w:hint="eastAsia"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w:t>
      </w: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val="zh-CN"/>
        </w:rPr>
        <w:t>）项目效益情况。</w:t>
      </w:r>
    </w:p>
    <w:p>
      <w:pPr>
        <w:spacing w:line="576"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rPr>
        <w:t>该项目</w:t>
      </w:r>
      <w:r>
        <w:rPr>
          <w:rFonts w:hint="eastAsia" w:ascii="仿宋_GB2312" w:hAnsi="宋体" w:eastAsia="仿宋_GB2312"/>
          <w:sz w:val="32"/>
          <w:szCs w:val="32"/>
          <w:lang w:val="zh-CN"/>
        </w:rPr>
        <w:t>保障</w:t>
      </w:r>
      <w:r>
        <w:rPr>
          <w:rFonts w:hint="eastAsia" w:ascii="仿宋_GB2312" w:hAnsi="宋体" w:eastAsia="仿宋_GB2312"/>
          <w:sz w:val="32"/>
          <w:szCs w:val="32"/>
        </w:rPr>
        <w:t>了</w:t>
      </w:r>
      <w:r>
        <w:rPr>
          <w:rFonts w:hint="eastAsia" w:ascii="仿宋_GB2312" w:hAnsi="宋体" w:eastAsia="仿宋_GB2312"/>
          <w:sz w:val="32"/>
          <w:szCs w:val="32"/>
          <w:lang w:val="zh-CN"/>
        </w:rPr>
        <w:t>职工权益，消除了不稳定因素。</w:t>
      </w:r>
    </w:p>
    <w:p>
      <w:pPr>
        <w:spacing w:line="576" w:lineRule="exact"/>
        <w:ind w:firstLine="640" w:firstLineChars="200"/>
        <w:outlineLvl w:val="1"/>
        <w:rPr>
          <w:rFonts w:hint="eastAsia" w:ascii="黑体" w:hAnsi="黑体" w:eastAsia="黑体" w:cs="黑体"/>
          <w:bCs/>
          <w:sz w:val="32"/>
          <w:szCs w:val="32"/>
        </w:rPr>
      </w:pPr>
      <w:bookmarkStart w:id="139" w:name="_Toc5173"/>
      <w:r>
        <w:rPr>
          <w:rFonts w:hint="eastAsia" w:ascii="黑体" w:hAnsi="黑体" w:eastAsia="黑体" w:cs="黑体"/>
          <w:bCs/>
          <w:sz w:val="32"/>
          <w:szCs w:val="32"/>
          <w:lang w:val="en-US" w:eastAsia="zh-CN"/>
        </w:rPr>
        <w:t>五</w:t>
      </w:r>
      <w:r>
        <w:rPr>
          <w:rFonts w:hint="eastAsia" w:ascii="黑体" w:hAnsi="黑体" w:eastAsia="黑体" w:cs="黑体"/>
          <w:bCs/>
          <w:sz w:val="32"/>
          <w:szCs w:val="32"/>
        </w:rPr>
        <w:t>、问题及建议</w:t>
      </w:r>
      <w:bookmarkEnd w:id="139"/>
    </w:p>
    <w:p>
      <w:pPr>
        <w:adjustRightInd w:val="0"/>
        <w:snapToGrid w:val="0"/>
        <w:spacing w:line="576" w:lineRule="exact"/>
        <w:ind w:firstLine="720"/>
        <w:rPr>
          <w:rFonts w:hint="default" w:ascii="楷体_GB2312" w:hAnsi="楷体_GB2312" w:eastAsia="仿宋_GB2312" w:cs="楷体_GB2312"/>
          <w:bCs/>
          <w:sz w:val="32"/>
          <w:szCs w:val="32"/>
          <w:lang w:val="en-US" w:eastAsia="zh-CN"/>
        </w:rPr>
      </w:pPr>
      <w:r>
        <w:rPr>
          <w:rFonts w:hint="eastAsia" w:ascii="楷体_GB2312" w:hAnsi="楷体_GB2312" w:eastAsia="楷体_GB2312" w:cs="楷体_GB2312"/>
          <w:bCs/>
          <w:sz w:val="32"/>
          <w:szCs w:val="32"/>
          <w:lang w:val="zh-CN"/>
        </w:rPr>
        <w:t>（一）评价结论。</w:t>
      </w:r>
      <w:r>
        <w:rPr>
          <w:rFonts w:hint="eastAsia" w:ascii="仿宋_GB2312" w:hAnsi="宋体" w:eastAsia="仿宋_GB2312"/>
          <w:sz w:val="32"/>
          <w:szCs w:val="32"/>
          <w:lang w:val="en-US" w:eastAsia="zh-CN"/>
        </w:rPr>
        <w:t>该项目的实施保障了职工的权益，通过专项资金保障了职工护理及租房的切实需求。</w:t>
      </w:r>
    </w:p>
    <w:p>
      <w:pPr>
        <w:adjustRightInd w:val="0"/>
        <w:snapToGrid w:val="0"/>
        <w:spacing w:line="576" w:lineRule="exact"/>
        <w:ind w:firstLine="720"/>
        <w:rPr>
          <w:rFonts w:hint="eastAsia" w:ascii="仿宋_GB2312" w:hAnsi="宋体" w:eastAsia="仿宋_GB2312"/>
          <w:sz w:val="32"/>
          <w:szCs w:val="32"/>
        </w:rPr>
      </w:pPr>
      <w:r>
        <w:rPr>
          <w:rFonts w:hint="eastAsia" w:ascii="楷体_GB2312" w:hAnsi="楷体_GB2312" w:eastAsia="楷体_GB2312" w:cs="楷体_GB2312"/>
          <w:bCs/>
          <w:sz w:val="32"/>
          <w:szCs w:val="32"/>
          <w:lang w:val="zh-CN"/>
        </w:rPr>
        <w:t>（一）存在的问题。</w:t>
      </w:r>
      <w:r>
        <w:rPr>
          <w:rFonts w:hint="eastAsia" w:ascii="仿宋_GB2312" w:hAnsi="宋体" w:eastAsia="仿宋_GB2312"/>
          <w:sz w:val="32"/>
          <w:szCs w:val="32"/>
        </w:rPr>
        <w:t>随着疫情防控的常态化形势，物价及生活成本的增高，相应的租房和护工费用逐年上升，该项目既定的费用和职工诉求有一定的差距。</w:t>
      </w:r>
    </w:p>
    <w:p>
      <w:pPr>
        <w:adjustRightInd w:val="0"/>
        <w:snapToGrid w:val="0"/>
        <w:spacing w:line="576" w:lineRule="exact"/>
        <w:ind w:firstLine="720"/>
        <w:rPr>
          <w:rFonts w:hint="eastAsia" w:ascii="楷体_GB2312" w:hAnsi="楷体_GB2312" w:eastAsia="楷体_GB2312" w:cs="楷体_GB2312"/>
          <w:sz w:val="32"/>
          <w:szCs w:val="32"/>
        </w:rPr>
      </w:pPr>
      <w:r>
        <w:rPr>
          <w:rFonts w:hint="eastAsia" w:ascii="楷体_GB2312" w:hAnsi="楷体_GB2312" w:eastAsia="楷体_GB2312" w:cs="楷体_GB2312"/>
          <w:bCs/>
          <w:sz w:val="32"/>
          <w:szCs w:val="32"/>
          <w:lang w:val="zh-CN"/>
        </w:rPr>
        <w:t>（二）相关建议。</w:t>
      </w:r>
      <w:r>
        <w:rPr>
          <w:rFonts w:hint="eastAsia" w:ascii="仿宋_GB2312" w:hAnsi="宋体" w:eastAsia="仿宋_GB2312"/>
          <w:sz w:val="32"/>
          <w:szCs w:val="32"/>
        </w:rPr>
        <w:t>经考察、测算，结合物价等因素，建议按比例逐年提高该职工生活补贴及租房补贴。</w:t>
      </w:r>
    </w:p>
    <w:p>
      <w:pPr>
        <w:rPr>
          <w:rFonts w:hint="eastAsia"/>
        </w:rPr>
      </w:pPr>
      <w:r>
        <w:rPr>
          <w:rFonts w:hint="eastAsia"/>
        </w:rPr>
        <w:br w:type="page"/>
      </w:r>
      <w:r>
        <w:drawing>
          <wp:inline distT="0" distB="0" distL="114300" distR="114300">
            <wp:extent cx="5270500" cy="4757420"/>
            <wp:effectExtent l="0" t="0" r="2540" b="12700"/>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pic:cNvPicPr>
                      <a:picLocks noChangeAspect="1"/>
                    </pic:cNvPicPr>
                  </pic:nvPicPr>
                  <pic:blipFill>
                    <a:blip r:embed="rId17"/>
                    <a:stretch>
                      <a:fillRect/>
                    </a:stretch>
                  </pic:blipFill>
                  <pic:spPr>
                    <a:xfrm>
                      <a:off x="0" y="0"/>
                      <a:ext cx="5270500" cy="4757420"/>
                    </a:xfrm>
                    <a:prstGeom prst="rect">
                      <a:avLst/>
                    </a:prstGeom>
                    <a:noFill/>
                    <a:ln>
                      <a:noFill/>
                    </a:ln>
                  </pic:spPr>
                </pic:pic>
              </a:graphicData>
            </a:graphic>
          </wp:inline>
        </w:drawing>
      </w:r>
    </w:p>
    <w:p>
      <w:pPr>
        <w:pStyle w:val="2"/>
        <w:rPr>
          <w:rFonts w:hint="eastAsia"/>
        </w:rPr>
      </w:pPr>
    </w:p>
    <w:p>
      <w:pPr>
        <w:spacing w:line="600" w:lineRule="exact"/>
        <w:jc w:val="center"/>
        <w:outlineLvl w:val="0"/>
        <w:rPr>
          <w:rFonts w:hint="eastAsia" w:ascii="仿宋" w:hAnsi="仿宋" w:eastAsia="仿宋"/>
          <w:b w:val="0"/>
          <w:color w:val="auto"/>
          <w:highlight w:val="none"/>
        </w:rPr>
      </w:pPr>
      <w:bookmarkStart w:id="140" w:name="_Toc2213"/>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88"/>
      <w:bookmarkEnd w:id="113"/>
      <w:bookmarkEnd w:id="140"/>
      <w:bookmarkStart w:id="141" w:name="_Toc15396619"/>
    </w:p>
    <w:p>
      <w:pPr>
        <w:pStyle w:val="4"/>
        <w:rPr>
          <w:rFonts w:ascii="仿宋" w:hAnsi="仿宋" w:eastAsia="仿宋"/>
          <w:color w:val="auto"/>
          <w:highlight w:val="none"/>
        </w:rPr>
      </w:pPr>
      <w:bookmarkStart w:id="142" w:name="_Toc16960"/>
      <w:bookmarkStart w:id="143" w:name="_Toc32507"/>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141"/>
      <w:bookmarkEnd w:id="142"/>
      <w:bookmarkEnd w:id="143"/>
    </w:p>
    <w:p>
      <w:pPr>
        <w:pStyle w:val="4"/>
        <w:rPr>
          <w:rFonts w:ascii="仿宋" w:hAnsi="仿宋" w:eastAsia="仿宋"/>
          <w:color w:val="auto"/>
          <w:highlight w:val="none"/>
        </w:rPr>
      </w:pPr>
      <w:bookmarkStart w:id="144" w:name="_Toc15396620"/>
      <w:bookmarkStart w:id="145" w:name="_Toc18204"/>
      <w:bookmarkStart w:id="146" w:name="_Toc26728"/>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144"/>
      <w:bookmarkEnd w:id="145"/>
      <w:bookmarkEnd w:id="146"/>
    </w:p>
    <w:p>
      <w:pPr>
        <w:pStyle w:val="4"/>
        <w:rPr>
          <w:rFonts w:ascii="仿宋" w:hAnsi="仿宋" w:eastAsia="仿宋"/>
          <w:color w:val="auto"/>
          <w:highlight w:val="none"/>
        </w:rPr>
      </w:pPr>
      <w:bookmarkStart w:id="147" w:name="_Toc5494"/>
      <w:bookmarkStart w:id="148" w:name="_Toc43"/>
      <w:bookmarkStart w:id="149"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147"/>
      <w:bookmarkEnd w:id="148"/>
      <w:bookmarkEnd w:id="149"/>
    </w:p>
    <w:p>
      <w:pPr>
        <w:pStyle w:val="4"/>
        <w:rPr>
          <w:rFonts w:ascii="仿宋" w:hAnsi="仿宋" w:eastAsia="仿宋"/>
          <w:b w:val="0"/>
          <w:color w:val="auto"/>
          <w:highlight w:val="none"/>
        </w:rPr>
      </w:pPr>
      <w:bookmarkStart w:id="150" w:name="_Toc15396622"/>
      <w:bookmarkStart w:id="151" w:name="_Toc10249"/>
      <w:bookmarkStart w:id="152" w:name="_Toc32191"/>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150"/>
      <w:bookmarkEnd w:id="151"/>
      <w:bookmarkEnd w:id="152"/>
    </w:p>
    <w:p>
      <w:pPr>
        <w:pStyle w:val="4"/>
        <w:rPr>
          <w:rStyle w:val="25"/>
          <w:rFonts w:ascii="仿宋" w:hAnsi="仿宋" w:eastAsia="仿宋"/>
          <w:b w:val="0"/>
          <w:bCs w:val="0"/>
          <w:color w:val="auto"/>
          <w:highlight w:val="none"/>
        </w:rPr>
      </w:pPr>
      <w:bookmarkStart w:id="153" w:name="_Toc31102"/>
      <w:bookmarkStart w:id="154" w:name="_Toc13368"/>
      <w:bookmarkStart w:id="155"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153"/>
      <w:bookmarkEnd w:id="154"/>
      <w:bookmarkEnd w:id="155"/>
      <w:bookmarkStart w:id="156" w:name="_Toc15396624"/>
    </w:p>
    <w:p>
      <w:pPr>
        <w:pStyle w:val="4"/>
        <w:rPr>
          <w:rFonts w:ascii="仿宋" w:hAnsi="仿宋" w:eastAsia="仿宋"/>
          <w:color w:val="auto"/>
          <w:highlight w:val="none"/>
        </w:rPr>
      </w:pPr>
      <w:bookmarkStart w:id="157" w:name="_Toc18879"/>
      <w:bookmarkStart w:id="158" w:name="_Toc9058"/>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156"/>
      <w:bookmarkEnd w:id="157"/>
      <w:bookmarkEnd w:id="158"/>
    </w:p>
    <w:p>
      <w:pPr>
        <w:pStyle w:val="4"/>
        <w:rPr>
          <w:rFonts w:ascii="仿宋" w:hAnsi="仿宋" w:eastAsia="仿宋"/>
          <w:color w:val="auto"/>
          <w:highlight w:val="none"/>
        </w:rPr>
      </w:pPr>
      <w:bookmarkStart w:id="159" w:name="_Toc7842"/>
      <w:bookmarkStart w:id="160" w:name="_Toc2438"/>
      <w:bookmarkStart w:id="161"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159"/>
      <w:bookmarkEnd w:id="160"/>
      <w:bookmarkEnd w:id="161"/>
    </w:p>
    <w:p>
      <w:pPr>
        <w:pStyle w:val="4"/>
        <w:rPr>
          <w:rFonts w:ascii="仿宋" w:hAnsi="仿宋" w:eastAsia="仿宋"/>
          <w:color w:val="auto"/>
          <w:highlight w:val="none"/>
        </w:rPr>
      </w:pPr>
      <w:bookmarkStart w:id="162" w:name="_Toc1803"/>
      <w:bookmarkStart w:id="163" w:name="_Toc15396626"/>
      <w:bookmarkStart w:id="164" w:name="_Toc1931"/>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162"/>
      <w:bookmarkEnd w:id="163"/>
      <w:bookmarkEnd w:id="164"/>
    </w:p>
    <w:p>
      <w:pPr>
        <w:pStyle w:val="4"/>
        <w:rPr>
          <w:rFonts w:ascii="仿宋" w:hAnsi="仿宋" w:eastAsia="仿宋"/>
          <w:color w:val="auto"/>
          <w:highlight w:val="none"/>
        </w:rPr>
      </w:pPr>
      <w:bookmarkStart w:id="165" w:name="_Toc23072"/>
      <w:bookmarkStart w:id="166" w:name="_Toc30846"/>
      <w:bookmarkStart w:id="167"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165"/>
      <w:bookmarkEnd w:id="166"/>
      <w:bookmarkEnd w:id="167"/>
    </w:p>
    <w:p>
      <w:pPr>
        <w:pStyle w:val="4"/>
        <w:rPr>
          <w:rFonts w:ascii="仿宋" w:hAnsi="仿宋" w:eastAsia="仿宋"/>
          <w:color w:val="auto"/>
          <w:highlight w:val="none"/>
        </w:rPr>
      </w:pPr>
      <w:bookmarkStart w:id="168" w:name="_Toc19993"/>
      <w:bookmarkStart w:id="169" w:name="_Toc15396628"/>
      <w:bookmarkStart w:id="170" w:name="_Toc11878"/>
      <w:r>
        <w:rPr>
          <w:rStyle w:val="25"/>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般公共预算财政拨款“三公”经费支出决算表</w:t>
      </w:r>
      <w:bookmarkEnd w:id="168"/>
      <w:bookmarkEnd w:id="169"/>
      <w:bookmarkEnd w:id="170"/>
      <w:bookmarkStart w:id="182" w:name="_GoBack"/>
      <w:bookmarkEnd w:id="182"/>
    </w:p>
    <w:p>
      <w:pPr>
        <w:pStyle w:val="4"/>
        <w:rPr>
          <w:rFonts w:ascii="仿宋" w:hAnsi="仿宋" w:eastAsia="仿宋"/>
          <w:color w:val="auto"/>
          <w:highlight w:val="none"/>
        </w:rPr>
      </w:pPr>
      <w:bookmarkStart w:id="171" w:name="_Toc15396629"/>
      <w:bookmarkStart w:id="172" w:name="_Toc5247"/>
      <w:bookmarkStart w:id="173" w:name="_Toc30644"/>
      <w:r>
        <w:rPr>
          <w:rStyle w:val="25"/>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171"/>
      <w:bookmarkEnd w:id="172"/>
      <w:bookmarkEnd w:id="173"/>
    </w:p>
    <w:p>
      <w:pPr>
        <w:pStyle w:val="4"/>
        <w:rPr>
          <w:rFonts w:ascii="仿宋" w:hAnsi="仿宋" w:eastAsia="仿宋"/>
          <w:color w:val="auto"/>
          <w:highlight w:val="none"/>
        </w:rPr>
      </w:pPr>
      <w:bookmarkStart w:id="174" w:name="_Toc2773"/>
      <w:bookmarkStart w:id="175" w:name="_Toc15323"/>
      <w:bookmarkStart w:id="176" w:name="_Toc15396630"/>
      <w:r>
        <w:rPr>
          <w:rStyle w:val="25"/>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府性基金预算财政拨款“三公”经费支出决算表</w:t>
      </w:r>
      <w:bookmarkEnd w:id="174"/>
      <w:bookmarkEnd w:id="175"/>
      <w:bookmarkEnd w:id="176"/>
    </w:p>
    <w:p>
      <w:pPr>
        <w:pStyle w:val="4"/>
        <w:rPr>
          <w:rStyle w:val="25"/>
          <w:rFonts w:hint="eastAsia" w:ascii="仿宋" w:hAnsi="仿宋" w:eastAsia="仿宋"/>
          <w:b w:val="0"/>
          <w:bCs w:val="0"/>
          <w:color w:val="auto"/>
          <w:highlight w:val="none"/>
        </w:rPr>
      </w:pPr>
      <w:bookmarkStart w:id="177" w:name="_Toc1"/>
      <w:bookmarkStart w:id="178" w:name="_Toc15396631"/>
      <w:bookmarkStart w:id="179" w:name="_Toc9615"/>
      <w:r>
        <w:rPr>
          <w:rStyle w:val="25"/>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177"/>
      <w:bookmarkEnd w:id="178"/>
      <w:bookmarkEnd w:id="179"/>
    </w:p>
    <w:p>
      <w:pPr>
        <w:rPr>
          <w:rFonts w:hint="eastAsia" w:eastAsia="仿宋"/>
          <w:color w:val="auto"/>
          <w:highlight w:val="none"/>
          <w:lang w:eastAsia="zh-CN"/>
        </w:rPr>
      </w:pPr>
      <w:bookmarkStart w:id="180" w:name="_Toc25027"/>
      <w:bookmarkStart w:id="181" w:name="_Toc6856"/>
      <w:r>
        <w:rPr>
          <w:rStyle w:val="25"/>
          <w:rFonts w:hint="eastAsia" w:ascii="仿宋" w:hAnsi="仿宋" w:eastAsia="仿宋"/>
          <w:b w:val="0"/>
          <w:bCs w:val="0"/>
          <w:color w:val="auto"/>
          <w:highlight w:val="none"/>
          <w:lang w:eastAsia="zh-CN"/>
        </w:rPr>
        <w:t>十四、国有资本经营预算财政拨款支出决算表</w:t>
      </w:r>
      <w:bookmarkEnd w:id="180"/>
      <w:bookmarkEnd w:id="18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A1F69E-501F-4FC7-BCF7-94D15FCA52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3631550F-23A5-48AD-91D2-47CC9BBEA507}"/>
  </w:font>
  <w:font w:name="仿宋_GB2312">
    <w:panose1 w:val="02010609030101010101"/>
    <w:charset w:val="86"/>
    <w:family w:val="modern"/>
    <w:pitch w:val="default"/>
    <w:sig w:usb0="00000001" w:usb1="080E0000" w:usb2="00000000" w:usb3="00000000" w:csb0="00040000" w:csb1="00000000"/>
    <w:embedRegular r:id="rId3" w:fontKey="{B777FCED-9423-49AF-852A-A3A1D68CCE89}"/>
  </w:font>
  <w:font w:name="仿宋">
    <w:panose1 w:val="02010609060101010101"/>
    <w:charset w:val="86"/>
    <w:family w:val="auto"/>
    <w:pitch w:val="default"/>
    <w:sig w:usb0="800002BF" w:usb1="38CF7CFA" w:usb2="00000016" w:usb3="00000000" w:csb0="00040001" w:csb1="00000000"/>
    <w:embedRegular r:id="rId4" w:fontKey="{6393227E-0FB8-4861-BA80-FBB6C31F1A1D}"/>
  </w:font>
  <w:font w:name="方正小标宋简体">
    <w:panose1 w:val="02000000000000000000"/>
    <w:charset w:val="86"/>
    <w:family w:val="script"/>
    <w:pitch w:val="default"/>
    <w:sig w:usb0="00000001" w:usb1="08000000" w:usb2="00000000" w:usb3="00000000" w:csb0="00040000" w:csb1="00000000"/>
    <w:embedRegular r:id="rId5" w:fontKey="{11DEDAC6-C06E-4361-B6B4-320CA818DF6C}"/>
  </w:font>
  <w:font w:name="楷体_GB2312">
    <w:altName w:val="楷体"/>
    <w:panose1 w:val="02010609030101010101"/>
    <w:charset w:val="86"/>
    <w:family w:val="auto"/>
    <w:pitch w:val="default"/>
    <w:sig w:usb0="00000000" w:usb1="00000000" w:usb2="00000000" w:usb3="00000000" w:csb0="00040000" w:csb1="00000000"/>
    <w:embedRegular r:id="rId6" w:fontKey="{9D0BC497-9264-4D8B-9630-7B6F1F0C2A7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embedRegular r:id="rId7" w:fontKey="{3B92B486-D6CF-4337-B3EC-016E758128D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4751F"/>
    <w:multiLevelType w:val="singleLevel"/>
    <w:tmpl w:val="B1C4751F"/>
    <w:lvl w:ilvl="0" w:tentative="0">
      <w:start w:val="1"/>
      <w:numFmt w:val="decimal"/>
      <w:lvlText w:val="%1."/>
      <w:lvlJc w:val="left"/>
      <w:pPr>
        <w:tabs>
          <w:tab w:val="left" w:pos="312"/>
        </w:tabs>
      </w:pPr>
    </w:lvl>
  </w:abstractNum>
  <w:abstractNum w:abstractNumId="1">
    <w:nsid w:val="BDDD1B19"/>
    <w:multiLevelType w:val="singleLevel"/>
    <w:tmpl w:val="BDDD1B19"/>
    <w:lvl w:ilvl="0" w:tentative="0">
      <w:start w:val="1"/>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rPr>
    </w:lvl>
  </w:abstractNum>
  <w:abstractNum w:abstractNumId="3">
    <w:nsid w:val="DD7C13A2"/>
    <w:multiLevelType w:val="singleLevel"/>
    <w:tmpl w:val="DD7C13A2"/>
    <w:lvl w:ilvl="0" w:tentative="0">
      <w:start w:val="1"/>
      <w:numFmt w:val="chineseCounting"/>
      <w:suff w:val="nothing"/>
      <w:lvlText w:val="（%1）"/>
      <w:lvlJc w:val="left"/>
      <w:rPr>
        <w:rFonts w:hint="eastAsia"/>
      </w:rPr>
    </w:lvl>
  </w:abstractNum>
  <w:abstractNum w:abstractNumId="4">
    <w:nsid w:val="E2FA047D"/>
    <w:multiLevelType w:val="singleLevel"/>
    <w:tmpl w:val="E2FA047D"/>
    <w:lvl w:ilvl="0" w:tentative="0">
      <w:start w:val="3"/>
      <w:numFmt w:val="chineseCounting"/>
      <w:suff w:val="space"/>
      <w:lvlText w:val="第%1部分"/>
      <w:lvlJc w:val="left"/>
      <w:rPr>
        <w:rFonts w:hint="eastAsia"/>
      </w:rPr>
    </w:lvl>
  </w:abstractNum>
  <w:abstractNum w:abstractNumId="5">
    <w:nsid w:val="E5B6B421"/>
    <w:multiLevelType w:val="singleLevel"/>
    <w:tmpl w:val="E5B6B421"/>
    <w:lvl w:ilvl="0" w:tentative="0">
      <w:start w:val="2"/>
      <w:numFmt w:val="chineseCounting"/>
      <w:suff w:val="nothing"/>
      <w:lvlText w:val="（%1）"/>
      <w:lvlJc w:val="left"/>
      <w:rPr>
        <w:rFonts w:hint="eastAsia"/>
      </w:rPr>
    </w:lvl>
  </w:abstractNum>
  <w:abstractNum w:abstractNumId="6">
    <w:nsid w:val="E94CA8EB"/>
    <w:multiLevelType w:val="singleLevel"/>
    <w:tmpl w:val="E94CA8EB"/>
    <w:lvl w:ilvl="0" w:tentative="0">
      <w:start w:val="1"/>
      <w:numFmt w:val="chineseCounting"/>
      <w:suff w:val="nothing"/>
      <w:lvlText w:val="（%1）"/>
      <w:lvlJc w:val="left"/>
      <w:rPr>
        <w:rFonts w:hint="eastAsia"/>
      </w:rPr>
    </w:lvl>
  </w:abstractNum>
  <w:abstractNum w:abstractNumId="7">
    <w:nsid w:val="F54C7F29"/>
    <w:multiLevelType w:val="singleLevel"/>
    <w:tmpl w:val="F54C7F29"/>
    <w:lvl w:ilvl="0" w:tentative="0">
      <w:start w:val="1"/>
      <w:numFmt w:val="decimal"/>
      <w:lvlText w:val="%1."/>
      <w:lvlJc w:val="left"/>
      <w:pPr>
        <w:tabs>
          <w:tab w:val="left" w:pos="312"/>
        </w:tabs>
      </w:pPr>
    </w:lvl>
  </w:abstractNum>
  <w:abstractNum w:abstractNumId="8">
    <w:nsid w:val="072543AB"/>
    <w:multiLevelType w:val="singleLevel"/>
    <w:tmpl w:val="072543AB"/>
    <w:lvl w:ilvl="0" w:tentative="0">
      <w:start w:val="1"/>
      <w:numFmt w:val="chineseCounting"/>
      <w:suff w:val="nothing"/>
      <w:lvlText w:val="（%1）"/>
      <w:lvlJc w:val="left"/>
      <w:rPr>
        <w:rFonts w:hint="eastAsia"/>
      </w:rPr>
    </w:lvl>
  </w:abstractNum>
  <w:abstractNum w:abstractNumId="9">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16D7C99E"/>
    <w:multiLevelType w:val="singleLevel"/>
    <w:tmpl w:val="16D7C99E"/>
    <w:lvl w:ilvl="0" w:tentative="0">
      <w:start w:val="2"/>
      <w:numFmt w:val="chineseCounting"/>
      <w:suff w:val="nothing"/>
      <w:lvlText w:val="（%1）"/>
      <w:lvlJc w:val="left"/>
      <w:rPr>
        <w:rFonts w:hint="eastAsia"/>
      </w:rPr>
    </w:lvl>
  </w:abstractNum>
  <w:abstractNum w:abstractNumId="11">
    <w:nsid w:val="3182DF4D"/>
    <w:multiLevelType w:val="singleLevel"/>
    <w:tmpl w:val="3182DF4D"/>
    <w:lvl w:ilvl="0" w:tentative="0">
      <w:start w:val="1"/>
      <w:numFmt w:val="decimal"/>
      <w:lvlText w:val="%1."/>
      <w:lvlJc w:val="left"/>
      <w:pPr>
        <w:tabs>
          <w:tab w:val="left" w:pos="312"/>
        </w:tabs>
      </w:pPr>
    </w:lvl>
  </w:abstractNum>
  <w:abstractNum w:abstractNumId="12">
    <w:nsid w:val="4DB33FCE"/>
    <w:multiLevelType w:val="singleLevel"/>
    <w:tmpl w:val="4DB33FCE"/>
    <w:lvl w:ilvl="0" w:tentative="0">
      <w:start w:val="1"/>
      <w:numFmt w:val="decimal"/>
      <w:lvlText w:val="%1."/>
      <w:lvlJc w:val="left"/>
      <w:pPr>
        <w:tabs>
          <w:tab w:val="left" w:pos="312"/>
        </w:tabs>
      </w:pPr>
    </w:lvl>
  </w:abstractNum>
  <w:abstractNum w:abstractNumId="13">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14">
    <w:nsid w:val="77AD4344"/>
    <w:multiLevelType w:val="singleLevel"/>
    <w:tmpl w:val="77AD4344"/>
    <w:lvl w:ilvl="0" w:tentative="0">
      <w:start w:val="2"/>
      <w:numFmt w:val="chineseCounting"/>
      <w:suff w:val="nothing"/>
      <w:lvlText w:val="%1、"/>
      <w:lvlJc w:val="left"/>
      <w:rPr>
        <w:rFonts w:hint="eastAsia"/>
      </w:rPr>
    </w:lvl>
  </w:abstractNum>
  <w:num w:numId="1">
    <w:abstractNumId w:val="13"/>
  </w:num>
  <w:num w:numId="2">
    <w:abstractNumId w:val="9"/>
  </w:num>
  <w:num w:numId="3">
    <w:abstractNumId w:val="2"/>
  </w:num>
  <w:num w:numId="4">
    <w:abstractNumId w:val="4"/>
  </w:num>
  <w:num w:numId="5">
    <w:abstractNumId w:val="3"/>
  </w:num>
  <w:num w:numId="6">
    <w:abstractNumId w:val="11"/>
  </w:num>
  <w:num w:numId="7">
    <w:abstractNumId w:val="5"/>
  </w:num>
  <w:num w:numId="8">
    <w:abstractNumId w:val="1"/>
  </w:num>
  <w:num w:numId="9">
    <w:abstractNumId w:val="14"/>
  </w:num>
  <w:num w:numId="10">
    <w:abstractNumId w:val="8"/>
  </w:num>
  <w:num w:numId="11">
    <w:abstractNumId w:val="0"/>
  </w:num>
  <w:num w:numId="12">
    <w:abstractNumId w:val="6"/>
  </w:num>
  <w:num w:numId="13">
    <w:abstractNumId w:val="7"/>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Yjg1ZTRmYTA1NTMyNmYzODdlOTFjNjcyOTI1Nj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66E0107"/>
    <w:rsid w:val="07996F6E"/>
    <w:rsid w:val="083D5445"/>
    <w:rsid w:val="0A2032A3"/>
    <w:rsid w:val="0E50572B"/>
    <w:rsid w:val="0FC63369"/>
    <w:rsid w:val="101860EC"/>
    <w:rsid w:val="10C055FF"/>
    <w:rsid w:val="118107EC"/>
    <w:rsid w:val="12557610"/>
    <w:rsid w:val="13D50BC4"/>
    <w:rsid w:val="16BB723D"/>
    <w:rsid w:val="192763DB"/>
    <w:rsid w:val="1BE8440E"/>
    <w:rsid w:val="1D155CEE"/>
    <w:rsid w:val="21EC253C"/>
    <w:rsid w:val="23860B96"/>
    <w:rsid w:val="240371BF"/>
    <w:rsid w:val="29FD04D3"/>
    <w:rsid w:val="2A6E5CF6"/>
    <w:rsid w:val="2A9443F2"/>
    <w:rsid w:val="2C8A61B5"/>
    <w:rsid w:val="2DF04E50"/>
    <w:rsid w:val="2F674690"/>
    <w:rsid w:val="310E0365"/>
    <w:rsid w:val="319F7F4E"/>
    <w:rsid w:val="3344697A"/>
    <w:rsid w:val="359F7AA1"/>
    <w:rsid w:val="36AA5135"/>
    <w:rsid w:val="37E16F03"/>
    <w:rsid w:val="3804163C"/>
    <w:rsid w:val="3C3F589D"/>
    <w:rsid w:val="3D98207C"/>
    <w:rsid w:val="3F735C35"/>
    <w:rsid w:val="44E268DA"/>
    <w:rsid w:val="484557A6"/>
    <w:rsid w:val="4A627F82"/>
    <w:rsid w:val="4A860659"/>
    <w:rsid w:val="4B4F25DA"/>
    <w:rsid w:val="4BE068DB"/>
    <w:rsid w:val="4D577224"/>
    <w:rsid w:val="4EAB630A"/>
    <w:rsid w:val="4ECE2238"/>
    <w:rsid w:val="518E20DE"/>
    <w:rsid w:val="564C1734"/>
    <w:rsid w:val="5AF92295"/>
    <w:rsid w:val="5CD71FC4"/>
    <w:rsid w:val="5F2345A8"/>
    <w:rsid w:val="617B69D3"/>
    <w:rsid w:val="66376316"/>
    <w:rsid w:val="6C4A05C8"/>
    <w:rsid w:val="6E7E3605"/>
    <w:rsid w:val="6FF5CC65"/>
    <w:rsid w:val="715C0E4B"/>
    <w:rsid w:val="72734D90"/>
    <w:rsid w:val="73AD73D5"/>
    <w:rsid w:val="73B6EB34"/>
    <w:rsid w:val="760F2EB8"/>
    <w:rsid w:val="77170105"/>
    <w:rsid w:val="79EE5BA4"/>
    <w:rsid w:val="7A894339"/>
    <w:rsid w:val="7D59139D"/>
    <w:rsid w:val="7EEF11D3"/>
    <w:rsid w:val="7FA30C79"/>
    <w:rsid w:val="7FC96657"/>
    <w:rsid w:val="D8D6DB89"/>
    <w:rsid w:val="DB6F4CAB"/>
    <w:rsid w:val="DF6F9789"/>
    <w:rsid w:val="DFEF1E4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NormalCharacter"/>
    <w:qFormat/>
    <w:uiPriority w:val="0"/>
    <w:rPr>
      <w:rFonts w:ascii="Times New Roman" w:hAnsi="Times New Roman"/>
      <w:kern w:val="2"/>
      <w:sz w:val="21"/>
      <w:szCs w:val="24"/>
      <w:lang w:val="en-US" w:eastAsia="zh-CN" w:bidi="ar-SA"/>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5.emf"/><Relationship Id="rId16" Type="http://schemas.openxmlformats.org/officeDocument/2006/relationships/image" Target="media/image4.emf"/><Relationship Id="rId15" Type="http://schemas.openxmlformats.org/officeDocument/2006/relationships/image" Target="media/image3.emf"/><Relationship Id="rId14" Type="http://schemas.openxmlformats.org/officeDocument/2006/relationships/image" Target="media/image2.emf"/><Relationship Id="rId13" Type="http://schemas.openxmlformats.org/officeDocument/2006/relationships/image" Target="media/image1.emf"/><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a:t>
            </a:r>
          </a:p>
        </c:rich>
      </c:tx>
      <c:layout>
        <c:manualLayout>
          <c:xMode val="edge"/>
          <c:yMode val="edge"/>
          <c:x val="0.423"/>
          <c:y val="0.0215"/>
        </c:manualLayout>
      </c:layout>
      <c:overlay val="0"/>
      <c:spPr>
        <a:noFill/>
        <a:ln>
          <a:noFill/>
        </a:ln>
        <a:effectLst/>
      </c:spPr>
    </c:title>
    <c:autoTitleDeleted val="0"/>
    <c:plotArea>
      <c:layout>
        <c:manualLayout>
          <c:layoutTarget val="inner"/>
          <c:xMode val="edge"/>
          <c:yMode val="edge"/>
          <c:x val="0.05495"/>
          <c:y val="0.00587659157688541"/>
          <c:w val="0.8938"/>
          <c:h val="0.667267384916748"/>
        </c:manualLayout>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c:f>
              <c:strCache>
                <c:ptCount val="1"/>
                <c:pt idx="0">
                  <c:v>收、支决算总计</c:v>
                </c:pt>
              </c:strCache>
            </c:strRef>
          </c:cat>
          <c:val>
            <c:numRef>
              <c:f>Sheet1!$B$2</c:f>
              <c:numCache>
                <c:formatCode>General</c:formatCode>
                <c:ptCount val="1"/>
                <c:pt idx="0">
                  <c:v>6249.6</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c:f>
              <c:strCache>
                <c:ptCount val="1"/>
                <c:pt idx="0">
                  <c:v>收、支决算总计</c:v>
                </c:pt>
              </c:strCache>
            </c:strRef>
          </c:cat>
          <c:val>
            <c:numRef>
              <c:f>Sheet1!$C$2</c:f>
              <c:numCache>
                <c:formatCode>General</c:formatCode>
                <c:ptCount val="1"/>
                <c:pt idx="0">
                  <c:v>5241.74</c:v>
                </c:pt>
              </c:numCache>
            </c:numRef>
          </c:val>
        </c:ser>
        <c:dLbls>
          <c:showLegendKey val="0"/>
          <c:showVal val="0"/>
          <c:showCatName val="0"/>
          <c:showSerName val="0"/>
          <c:showPercent val="0"/>
          <c:showBubbleSize val="0"/>
        </c:dLbls>
        <c:gapWidth val="219"/>
        <c:overlap val="-27"/>
        <c:axId val="485947442"/>
        <c:axId val="928127757"/>
      </c:barChart>
      <c:catAx>
        <c:axId val="48594744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127757"/>
        <c:crosses val="autoZero"/>
        <c:auto val="1"/>
        <c:lblAlgn val="ctr"/>
        <c:lblOffset val="100"/>
        <c:noMultiLvlLbl val="0"/>
      </c:catAx>
      <c:valAx>
        <c:axId val="928127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594744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2586.29</c:v>
                </c:pt>
                <c:pt idx="1">
                  <c:v>199.19</c:v>
                </c:pt>
                <c:pt idx="2">
                  <c:v>440.99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1714.23</c:v>
                </c:pt>
                <c:pt idx="1">
                  <c:v>1992.53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c:f>
              <c:strCache>
                <c:ptCount val="1"/>
                <c:pt idx="0">
                  <c:v>财政拨款收、支决算总计</c:v>
                </c:pt>
              </c:strCache>
            </c:strRef>
          </c:cat>
          <c:val>
            <c:numRef>
              <c:f>Sheet1!$B$2</c:f>
              <c:numCache>
                <c:formatCode>General</c:formatCode>
                <c:ptCount val="1"/>
                <c:pt idx="0">
                  <c:v>2429.26</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c:f>
              <c:strCache>
                <c:ptCount val="1"/>
                <c:pt idx="0">
                  <c:v>财政拨款收、支决算总计</c:v>
                </c:pt>
              </c:strCache>
            </c:strRef>
          </c:cat>
          <c:val>
            <c:numRef>
              <c:f>Sheet1!$C$2</c:f>
              <c:numCache>
                <c:formatCode>General</c:formatCode>
                <c:ptCount val="1"/>
                <c:pt idx="0">
                  <c:v>3222.31</c:v>
                </c:pt>
              </c:numCache>
            </c:numRef>
          </c:val>
        </c:ser>
        <c:dLbls>
          <c:showLegendKey val="0"/>
          <c:showVal val="0"/>
          <c:showCatName val="0"/>
          <c:showSerName val="0"/>
          <c:showPercent val="0"/>
          <c:showBubbleSize val="0"/>
        </c:dLbls>
        <c:gapWidth val="219"/>
        <c:overlap val="-27"/>
        <c:axId val="604672808"/>
        <c:axId val="143057683"/>
      </c:barChart>
      <c:catAx>
        <c:axId val="6046728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3057683"/>
        <c:crosses val="autoZero"/>
        <c:auto val="1"/>
        <c:lblAlgn val="ctr"/>
        <c:lblOffset val="100"/>
        <c:noMultiLvlLbl val="0"/>
      </c:catAx>
      <c:valAx>
        <c:axId val="1430576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46728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c:f>
              <c:strCache>
                <c:ptCount val="1"/>
                <c:pt idx="0">
                  <c:v>一般公共预算财政拨款支出决算</c:v>
                </c:pt>
              </c:strCache>
            </c:strRef>
          </c:cat>
          <c:val>
            <c:numRef>
              <c:f>Sheet1!$B$2</c:f>
              <c:numCache>
                <c:formatCode>General</c:formatCode>
                <c:ptCount val="1"/>
                <c:pt idx="0">
                  <c:v>1895.47</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c:f>
              <c:strCache>
                <c:ptCount val="1"/>
                <c:pt idx="0">
                  <c:v>一般公共预算财政拨款支出决算</c:v>
                </c:pt>
              </c:strCache>
            </c:strRef>
          </c:cat>
          <c:val>
            <c:numRef>
              <c:f>Sheet1!$C$2</c:f>
              <c:numCache>
                <c:formatCode>General</c:formatCode>
                <c:ptCount val="1"/>
                <c:pt idx="0">
                  <c:v>2859.12</c:v>
                </c:pt>
              </c:numCache>
            </c:numRef>
          </c:val>
        </c:ser>
        <c:dLbls>
          <c:showLegendKey val="0"/>
          <c:showVal val="0"/>
          <c:showCatName val="0"/>
          <c:showSerName val="0"/>
          <c:showPercent val="0"/>
          <c:showBubbleSize val="0"/>
        </c:dLbls>
        <c:gapWidth val="219"/>
        <c:overlap val="-27"/>
        <c:axId val="435003646"/>
        <c:axId val="669062268"/>
      </c:barChart>
      <c:catAx>
        <c:axId val="43500364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9062268"/>
        <c:crosses val="autoZero"/>
        <c:auto val="1"/>
        <c:lblAlgn val="ctr"/>
        <c:lblOffset val="100"/>
        <c:noMultiLvlLbl val="0"/>
      </c:catAx>
      <c:valAx>
        <c:axId val="6690622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500364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社会保障和就业（类）</c:v>
                </c:pt>
                <c:pt idx="1">
                  <c:v>卫生健康（类）</c:v>
                </c:pt>
                <c:pt idx="2">
                  <c:v>交通运输（类）</c:v>
                </c:pt>
                <c:pt idx="3">
                  <c:v>住房保障（类）</c:v>
                </c:pt>
              </c:strCache>
            </c:strRef>
          </c:cat>
          <c:val>
            <c:numRef>
              <c:f>Sheet1!$B$2:$B$5</c:f>
              <c:numCache>
                <c:formatCode>General</c:formatCode>
                <c:ptCount val="4"/>
                <c:pt idx="0">
                  <c:v>200.59</c:v>
                </c:pt>
                <c:pt idx="1">
                  <c:v>58.3</c:v>
                </c:pt>
                <c:pt idx="2">
                  <c:v>2489.17</c:v>
                </c:pt>
                <c:pt idx="3">
                  <c:v>111.07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7.15</c:v>
                </c:pt>
                <c:pt idx="2">
                  <c:v>1.63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52</Pages>
  <Words>17699</Words>
  <Characters>18880</Characters>
  <Lines>61</Lines>
  <Paragraphs>17</Paragraphs>
  <TotalTime>156</TotalTime>
  <ScaleCrop>false</ScaleCrop>
  <LinksUpToDate>false</LinksUpToDate>
  <CharactersWithSpaces>19022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a 俊俊</cp:lastModifiedBy>
  <cp:lastPrinted>2022-08-09T01:11:00Z</cp:lastPrinted>
  <dcterms:modified xsi:type="dcterms:W3CDTF">2022-09-19T17:18:52Z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4FE38FBA5CD74D28B6CAC78C7CD676A5</vt:lpwstr>
  </property>
</Properties>
</file>