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eastAsia="方正小标宋简体"/>
          <w:color w:val="000000"/>
          <w:sz w:val="72"/>
          <w:szCs w:val="72"/>
        </w:rPr>
      </w:pPr>
      <w:bookmarkStart w:id="0" w:name="_Toc15306267"/>
    </w:p>
    <w:p>
      <w:pPr>
        <w:spacing w:line="600" w:lineRule="exact"/>
        <w:jc w:val="center"/>
        <w:outlineLvl w:val="0"/>
        <w:rPr>
          <w:rFonts w:hint="eastAsia" w:ascii="方正小标宋简体" w:eastAsia="方正小标宋简体"/>
          <w:color w:val="000000"/>
          <w:sz w:val="72"/>
          <w:szCs w:val="72"/>
        </w:rPr>
      </w:pPr>
    </w:p>
    <w:p>
      <w:pPr>
        <w:spacing w:line="600" w:lineRule="exact"/>
        <w:jc w:val="center"/>
        <w:outlineLvl w:val="0"/>
        <w:rPr>
          <w:rFonts w:hint="eastAsia" w:ascii="方正小标宋简体" w:eastAsia="方正小标宋简体"/>
          <w:color w:val="000000"/>
          <w:sz w:val="72"/>
          <w:szCs w:val="72"/>
        </w:rPr>
      </w:pPr>
    </w:p>
    <w:p>
      <w:pPr>
        <w:spacing w:line="600" w:lineRule="exact"/>
        <w:jc w:val="center"/>
        <w:outlineLvl w:val="0"/>
        <w:rPr>
          <w:rFonts w:hint="eastAsia" w:ascii="方正小标宋简体" w:eastAsia="方正小标宋简体"/>
          <w:color w:val="000000"/>
          <w:sz w:val="72"/>
          <w:szCs w:val="72"/>
        </w:rPr>
      </w:pPr>
    </w:p>
    <w:p>
      <w:pPr>
        <w:spacing w:line="360" w:lineRule="auto"/>
        <w:jc w:val="center"/>
        <w:outlineLvl w:val="0"/>
        <w:rPr>
          <w:rFonts w:hint="eastAsia" w:ascii="方正小标宋简体" w:eastAsia="方正小标宋简体"/>
          <w:color w:val="000000"/>
          <w:sz w:val="72"/>
          <w:szCs w:val="72"/>
        </w:rPr>
      </w:pPr>
      <w:bookmarkStart w:id="1" w:name="_Toc15377425"/>
      <w:bookmarkStart w:id="2" w:name="_Toc15378441"/>
      <w:bookmarkStart w:id="3" w:name="_Toc15396475"/>
      <w:bookmarkStart w:id="4" w:name="_Toc15377193"/>
      <w:bookmarkStart w:id="5" w:name="_Toc97792481"/>
      <w:bookmarkStart w:id="6" w:name="_Toc15396597"/>
      <w:r>
        <w:rPr>
          <w:rFonts w:hint="eastAsia" w:ascii="黑体" w:eastAsia="黑体"/>
          <w:color w:val="000000"/>
          <w:sz w:val="72"/>
          <w:szCs w:val="72"/>
        </w:rPr>
        <w:t>2020</w:t>
      </w:r>
      <w:r>
        <w:rPr>
          <w:rFonts w:hint="eastAsia" w:ascii="方正小标宋简体" w:eastAsia="方正小标宋简体"/>
          <w:color w:val="000000"/>
          <w:sz w:val="72"/>
          <w:szCs w:val="72"/>
        </w:rPr>
        <w:t>年度</w:t>
      </w:r>
      <w:bookmarkEnd w:id="1"/>
      <w:bookmarkEnd w:id="2"/>
      <w:bookmarkEnd w:id="3"/>
      <w:bookmarkEnd w:id="4"/>
      <w:bookmarkEnd w:id="5"/>
      <w:bookmarkEnd w:id="6"/>
    </w:p>
    <w:p>
      <w:pPr>
        <w:spacing w:line="360" w:lineRule="auto"/>
        <w:jc w:val="center"/>
        <w:outlineLvl w:val="0"/>
        <w:rPr>
          <w:rFonts w:hint="eastAsia" w:ascii="方正小标宋简体" w:eastAsia="方正小标宋简体"/>
          <w:color w:val="000000"/>
          <w:sz w:val="72"/>
          <w:szCs w:val="72"/>
        </w:rPr>
      </w:pPr>
      <w:bookmarkStart w:id="7" w:name="_Toc15377426"/>
      <w:bookmarkStart w:id="8" w:name="_Toc15377194"/>
      <w:bookmarkStart w:id="9" w:name="_Toc15378442"/>
      <w:bookmarkStart w:id="10" w:name="_Toc97792482"/>
      <w:bookmarkStart w:id="11" w:name="_Toc15396598"/>
      <w:bookmarkStart w:id="12" w:name="_Toc15396476"/>
      <w:r>
        <w:rPr>
          <w:rFonts w:hint="eastAsia" w:ascii="方正小标宋简体" w:eastAsia="方正小标宋简体"/>
          <w:color w:val="000000"/>
          <w:sz w:val="72"/>
          <w:szCs w:val="72"/>
        </w:rPr>
        <w:t>广元市</w:t>
      </w:r>
      <w:bookmarkEnd w:id="0"/>
      <w:bookmarkStart w:id="13" w:name="_Toc15306268"/>
      <w:r>
        <w:rPr>
          <w:rFonts w:hint="eastAsia" w:ascii="方正小标宋简体" w:eastAsia="方正小标宋简体"/>
          <w:color w:val="000000"/>
          <w:sz w:val="72"/>
          <w:szCs w:val="72"/>
        </w:rPr>
        <w:t>道路运输管理局</w:t>
      </w:r>
    </w:p>
    <w:p>
      <w:pPr>
        <w:spacing w:line="360" w:lineRule="auto"/>
        <w:jc w:val="center"/>
        <w:outlineLvl w:val="0"/>
        <w:rPr>
          <w:rFonts w:hint="eastAsia" w:ascii="方正小标宋简体" w:eastAsia="方正小标宋简体"/>
          <w:color w:val="000000"/>
          <w:sz w:val="72"/>
          <w:szCs w:val="72"/>
        </w:rPr>
      </w:pPr>
      <w:r>
        <w:rPr>
          <w:rFonts w:hint="eastAsia" w:ascii="方正小标宋简体" w:eastAsia="方正小标宋简体"/>
          <w:color w:val="000000"/>
          <w:sz w:val="72"/>
          <w:szCs w:val="72"/>
        </w:rPr>
        <w:t>决算</w:t>
      </w:r>
      <w:bookmarkEnd w:id="7"/>
      <w:bookmarkEnd w:id="8"/>
      <w:bookmarkEnd w:id="9"/>
      <w:bookmarkEnd w:id="10"/>
      <w:bookmarkEnd w:id="11"/>
      <w:bookmarkEnd w:id="12"/>
      <w:bookmarkEnd w:id="13"/>
    </w:p>
    <w:p>
      <w:pPr>
        <w:pStyle w:val="14"/>
        <w:tabs>
          <w:tab w:val="right" w:leader="dot" w:pos="8306"/>
        </w:tabs>
        <w:rPr>
          <w:rFonts w:hint="eastAsia" w:ascii="方正仿宋_GBK" w:eastAsia="方正仿宋_GBK"/>
        </w:rPr>
        <w:sectPr>
          <w:headerReference r:id="rId5" w:type="default"/>
          <w:pgSz w:w="11906" w:h="16838"/>
          <w:pgMar w:top="1440" w:right="1800" w:bottom="1440" w:left="1800" w:header="851" w:footer="992" w:gutter="0"/>
          <w:pgNumType w:start="1"/>
          <w:cols w:space="720" w:num="1"/>
          <w:titlePg/>
          <w:docGrid w:type="lines" w:linePitch="312" w:charSpace="0"/>
        </w:sectPr>
      </w:pPr>
      <w:bookmarkStart w:id="108" w:name="_GoBack"/>
      <w:bookmarkEnd w:id="108"/>
    </w:p>
    <w:p>
      <w:pPr>
        <w:widowControl/>
        <w:jc w:val="center"/>
        <w:rPr>
          <w:rFonts w:ascii="黑体" w:hAnsi="黑体" w:eastAsia="黑体"/>
          <w:color w:val="000000"/>
          <w:sz w:val="48"/>
          <w:szCs w:val="48"/>
        </w:rPr>
      </w:pPr>
      <w:bookmarkStart w:id="14" w:name="_Toc15377196"/>
      <w:bookmarkStart w:id="15" w:name="_Toc15396599"/>
      <w:bookmarkStart w:id="16" w:name="_Toc97792483"/>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4"/>
        <w:rPr>
          <w:rFonts w:hint="eastAsia" w:ascii="方正仿宋_GBK" w:eastAsia="方正仿宋_GBK"/>
        </w:rPr>
      </w:pPr>
      <w:r>
        <w:rPr>
          <w:rFonts w:hint="eastAsia"/>
        </w:rPr>
        <w:t>公开时间：</w:t>
      </w:r>
      <w:r>
        <w:t>2021</w:t>
      </w:r>
      <w:r>
        <w:rPr>
          <w:rFonts w:hint="eastAsia"/>
        </w:rPr>
        <w:t xml:space="preserve">年 </w:t>
      </w:r>
      <w:r>
        <w:rPr>
          <w:rFonts w:hint="default"/>
        </w:rPr>
        <w:t>9</w:t>
      </w:r>
      <w:r>
        <w:rPr>
          <w:rFonts w:hint="eastAsia"/>
        </w:rPr>
        <w:t>月</w:t>
      </w:r>
      <w:r>
        <w:rPr>
          <w:rFonts w:hint="default"/>
        </w:rPr>
        <w:t>2</w:t>
      </w:r>
      <w:r>
        <w:rPr>
          <w:rFonts w:hint="eastAsia"/>
          <w:lang w:val="en-US" w:eastAsia="zh-CN"/>
        </w:rPr>
        <w:t>9</w:t>
      </w:r>
      <w:r>
        <w:rPr>
          <w:rFonts w:hint="eastAsia"/>
        </w:rPr>
        <w:t>日</w:t>
      </w:r>
    </w:p>
    <w:p>
      <w:pPr>
        <w:pStyle w:val="14"/>
        <w:tabs>
          <w:tab w:val="right" w:leader="dot" w:pos="8306"/>
        </w:tabs>
        <w:rPr>
          <w:rFonts w:hint="eastAsia" w:ascii="方正仿宋_GBK" w:eastAsia="方正仿宋_GBK"/>
        </w:rPr>
      </w:pPr>
    </w:p>
    <w:p>
      <w:pPr>
        <w:pStyle w:val="14"/>
        <w:tabs>
          <w:tab w:val="right" w:leader="dot" w:pos="8306"/>
        </w:tabs>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TOC \o "1-2" \h \u </w:instrText>
      </w:r>
      <w:r>
        <w:rPr>
          <w:rFonts w:hint="eastAsia" w:ascii="仿宋" w:hAnsi="Tahoma" w:eastAsia="仿宋" w:cstheme="minorBidi"/>
          <w:kern w:val="0"/>
          <w:sz w:val="28"/>
          <w:szCs w:val="28"/>
          <w:lang w:val="en-US" w:eastAsia="zh-CN" w:bidi="ar-SA"/>
        </w:rPr>
        <w:fldChar w:fldCharType="separate"/>
      </w:r>
      <w:r>
        <w:rPr>
          <w:rFonts w:hint="eastAsia" w:ascii="黑体" w:hAnsi="黑体" w:eastAsia="黑体" w:cs="黑体"/>
          <w:kern w:val="0"/>
          <w:sz w:val="28"/>
          <w:szCs w:val="28"/>
          <w:lang w:val="en-US" w:eastAsia="zh-CN" w:bidi="ar-SA"/>
        </w:rPr>
        <w:fldChar w:fldCharType="begin"/>
      </w:r>
      <w:r>
        <w:rPr>
          <w:rFonts w:hint="eastAsia" w:ascii="黑体" w:hAnsi="黑体" w:eastAsia="黑体" w:cs="黑体"/>
          <w:kern w:val="0"/>
          <w:sz w:val="28"/>
          <w:szCs w:val="28"/>
          <w:lang w:val="en-US" w:eastAsia="zh-CN" w:bidi="ar-SA"/>
        </w:rPr>
        <w:instrText xml:space="preserve"> HYPERLINK \l "_Toc97792483" </w:instrText>
      </w:r>
      <w:r>
        <w:rPr>
          <w:rFonts w:hint="eastAsia" w:ascii="黑体" w:hAnsi="黑体" w:eastAsia="黑体" w:cs="黑体"/>
          <w:kern w:val="0"/>
          <w:sz w:val="28"/>
          <w:szCs w:val="28"/>
          <w:lang w:val="en-US" w:eastAsia="zh-CN" w:bidi="ar-SA"/>
        </w:rPr>
        <w:fldChar w:fldCharType="separate"/>
      </w:r>
      <w:r>
        <w:rPr>
          <w:rFonts w:hint="eastAsia" w:ascii="黑体" w:hAnsi="黑体" w:eastAsia="黑体" w:cs="黑体"/>
          <w:kern w:val="0"/>
          <w:sz w:val="28"/>
          <w:szCs w:val="28"/>
          <w:lang w:val="en-US" w:eastAsia="zh-CN" w:bidi="ar-SA"/>
        </w:rPr>
        <w:t>第一部分 部门概况</w:t>
      </w:r>
      <w:r>
        <w:rPr>
          <w:rFonts w:hint="eastAsia" w:ascii="黑体" w:hAnsi="黑体" w:eastAsia="黑体" w:cs="黑体"/>
          <w:kern w:val="0"/>
          <w:sz w:val="28"/>
          <w:szCs w:val="28"/>
          <w:lang w:val="en-US" w:eastAsia="zh-CN" w:bidi="ar-SA"/>
        </w:rPr>
        <w:tab/>
      </w:r>
      <w:r>
        <w:rPr>
          <w:rFonts w:hint="eastAsia" w:ascii="黑体" w:hAnsi="黑体" w:eastAsia="黑体" w:cs="黑体"/>
          <w:kern w:val="0"/>
          <w:sz w:val="28"/>
          <w:szCs w:val="28"/>
          <w:lang w:val="en-US" w:eastAsia="zh-CN" w:bidi="ar-SA"/>
        </w:rPr>
        <w:t>1</w:t>
      </w:r>
      <w:r>
        <w:rPr>
          <w:rFonts w:hint="eastAsia" w:ascii="黑体" w:hAnsi="黑体" w:eastAsia="黑体" w:cs="黑体"/>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"_Toc97792484"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一、基本职能及主要工作</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"_Toc97792485"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二、机构设置</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5</w:t>
      </w:r>
      <w:r>
        <w:rPr>
          <w:rFonts w:hint="eastAsia" w:ascii="仿宋" w:hAnsi="Tahoma" w:eastAsia="仿宋" w:cstheme="minorBidi"/>
          <w:kern w:val="0"/>
          <w:sz w:val="28"/>
          <w:szCs w:val="28"/>
          <w:lang w:val="en-US" w:eastAsia="zh-CN" w:bidi="ar-SA"/>
        </w:rPr>
        <w:fldChar w:fldCharType="end"/>
      </w:r>
    </w:p>
    <w:p>
      <w:pPr>
        <w:pStyle w:val="14"/>
        <w:tabs>
          <w:tab w:val="right" w:leader="dot" w:pos="8306"/>
        </w:tabs>
        <w:rPr>
          <w:rFonts w:hint="eastAsia" w:ascii="仿宋" w:hAnsi="Tahoma" w:eastAsia="仿宋" w:cstheme="minorBidi"/>
          <w:kern w:val="0"/>
          <w:sz w:val="28"/>
          <w:szCs w:val="28"/>
          <w:lang w:val="en-US" w:eastAsia="zh-CN" w:bidi="ar-SA"/>
        </w:rPr>
      </w:pPr>
      <w:r>
        <w:rPr>
          <w:rFonts w:hint="eastAsia" w:ascii="黑体" w:hAnsi="黑体" w:eastAsia="黑体" w:cs="黑体"/>
          <w:kern w:val="0"/>
          <w:sz w:val="28"/>
          <w:szCs w:val="28"/>
          <w:lang w:val="en-US" w:eastAsia="zh-CN" w:bidi="ar-SA"/>
        </w:rPr>
        <w:fldChar w:fldCharType="begin"/>
      </w:r>
      <w:r>
        <w:rPr>
          <w:rFonts w:hint="eastAsia" w:ascii="黑体" w:hAnsi="黑体" w:eastAsia="黑体" w:cs="黑体"/>
          <w:kern w:val="0"/>
          <w:sz w:val="28"/>
          <w:szCs w:val="28"/>
          <w:lang w:val="en-US" w:eastAsia="zh-CN" w:bidi="ar-SA"/>
        </w:rPr>
        <w:instrText xml:space="preserve"> HYPERLINK \l "_Toc97792486" </w:instrText>
      </w:r>
      <w:r>
        <w:rPr>
          <w:rFonts w:hint="eastAsia" w:ascii="黑体" w:hAnsi="黑体" w:eastAsia="黑体" w:cs="黑体"/>
          <w:kern w:val="0"/>
          <w:sz w:val="28"/>
          <w:szCs w:val="28"/>
          <w:lang w:val="en-US" w:eastAsia="zh-CN" w:bidi="ar-SA"/>
        </w:rPr>
        <w:fldChar w:fldCharType="separate"/>
      </w:r>
      <w:r>
        <w:rPr>
          <w:rFonts w:hint="eastAsia" w:ascii="黑体" w:hAnsi="黑体" w:eastAsia="黑体" w:cs="黑体"/>
          <w:kern w:val="0"/>
          <w:sz w:val="28"/>
          <w:szCs w:val="28"/>
          <w:lang w:val="en-US" w:eastAsia="zh-CN" w:bidi="ar-SA"/>
        </w:rPr>
        <w:t>第二部分 2020年度部门决算情况说明</w:t>
      </w:r>
      <w:r>
        <w:rPr>
          <w:rFonts w:hint="eastAsia" w:ascii="黑体" w:hAnsi="黑体" w:eastAsia="黑体" w:cs="黑体"/>
          <w:kern w:val="0"/>
          <w:sz w:val="28"/>
          <w:szCs w:val="28"/>
          <w:lang w:val="en-US" w:eastAsia="zh-CN" w:bidi="ar-SA"/>
        </w:rPr>
        <w:tab/>
      </w:r>
      <w:r>
        <w:rPr>
          <w:rFonts w:hint="default" w:ascii="黑体" w:hAnsi="黑体" w:eastAsia="黑体" w:cs="黑体"/>
          <w:kern w:val="0"/>
          <w:sz w:val="28"/>
          <w:szCs w:val="28"/>
          <w:lang w:eastAsia="zh-CN" w:bidi="ar-SA"/>
        </w:rPr>
        <w:t>6</w:t>
      </w:r>
      <w:r>
        <w:rPr>
          <w:rFonts w:hint="eastAsia" w:ascii="黑体" w:hAnsi="黑体" w:eastAsia="黑体" w:cs="黑体"/>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"_Toc97792487"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一、收入支出决算总体情况说明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6</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"_Toc97792488"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二、收入决算情况说明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6</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"_Toc97792491"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三、支出决算情况说明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7</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eastAsia"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"_Toc97792494"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四、财政拨款收入支出决算总体情况说明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8</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default" w:ascii="仿宋" w:hAnsi="Tahoma" w:eastAsia="仿宋" w:cstheme="minorBidi"/>
          <w:kern w:val="0"/>
          <w:sz w:val="28"/>
          <w:szCs w:val="28"/>
          <w:lang w:val="en-US"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"_Toc97792495"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五、一般公共预算财政拨款支出决算情况说明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eastAsia="zh-CN" w:bidi="ar-SA"/>
        </w:rPr>
        <w:t>8</w:t>
      </w:r>
      <w:r>
        <w:rPr>
          <w:rFonts w:hint="eastAsia" w:ascii="仿宋" w:hAnsi="Tahoma" w:eastAsia="仿宋" w:cstheme="minorBidi"/>
          <w:kern w:val="0"/>
          <w:sz w:val="28"/>
          <w:szCs w:val="28"/>
          <w:lang w:val="en-US" w:eastAsia="zh-CN" w:bidi="ar-SA"/>
        </w:rPr>
        <w:fldChar w:fldCharType="end"/>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"_Toc97792496"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六、一般公共预算财政拨款基本支出决算情况说明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"_Toc97792497"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七、“三公”经费财政拨款支出决算情况说明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2</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"_Toc97792498"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八、政府性基金预算支出决算情况说明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3</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"_Toc97792499"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九、国有资本经营预算支出决算情况说明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3</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"_Toc97792500"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十、其他重要事项的情况说明</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1</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3</w:t>
      </w:r>
    </w:p>
    <w:p>
      <w:pPr>
        <w:pStyle w:val="14"/>
        <w:tabs>
          <w:tab w:val="right" w:leader="dot" w:pos="8306"/>
        </w:tabs>
        <w:rPr>
          <w:rFonts w:hint="default" w:ascii="黑体" w:hAnsi="黑体" w:eastAsia="黑体" w:cs="黑体"/>
          <w:kern w:val="0"/>
          <w:sz w:val="28"/>
          <w:szCs w:val="28"/>
          <w:lang w:eastAsia="zh-CN" w:bidi="ar-SA"/>
        </w:rPr>
      </w:pPr>
      <w:r>
        <w:rPr>
          <w:rFonts w:hint="eastAsia" w:ascii="黑体" w:hAnsi="黑体" w:eastAsia="黑体" w:cs="黑体"/>
          <w:kern w:val="0"/>
          <w:sz w:val="28"/>
          <w:szCs w:val="28"/>
          <w:lang w:val="en-US" w:eastAsia="zh-CN" w:bidi="ar-SA"/>
        </w:rPr>
        <w:fldChar w:fldCharType="begin"/>
      </w:r>
      <w:r>
        <w:rPr>
          <w:rFonts w:hint="eastAsia" w:ascii="黑体" w:hAnsi="黑体" w:eastAsia="黑体" w:cs="黑体"/>
          <w:kern w:val="0"/>
          <w:sz w:val="28"/>
          <w:szCs w:val="28"/>
          <w:lang w:val="en-US" w:eastAsia="zh-CN" w:bidi="ar-SA"/>
        </w:rPr>
        <w:instrText xml:space="preserve"> HYPERLINK \l "_Toc97792501" </w:instrText>
      </w:r>
      <w:r>
        <w:rPr>
          <w:rFonts w:hint="eastAsia" w:ascii="黑体" w:hAnsi="黑体" w:eastAsia="黑体" w:cs="黑体"/>
          <w:kern w:val="0"/>
          <w:sz w:val="28"/>
          <w:szCs w:val="28"/>
          <w:lang w:val="en-US" w:eastAsia="zh-CN" w:bidi="ar-SA"/>
        </w:rPr>
        <w:fldChar w:fldCharType="separate"/>
      </w:r>
      <w:r>
        <w:rPr>
          <w:rFonts w:hint="eastAsia" w:ascii="黑体" w:hAnsi="黑体" w:eastAsia="黑体" w:cs="黑体"/>
          <w:kern w:val="0"/>
          <w:sz w:val="28"/>
          <w:szCs w:val="28"/>
          <w:lang w:val="en-US" w:eastAsia="zh-CN" w:bidi="ar-SA"/>
        </w:rPr>
        <w:t>第三部分  名词解释</w:t>
      </w:r>
      <w:r>
        <w:rPr>
          <w:rFonts w:hint="eastAsia" w:ascii="黑体" w:hAnsi="黑体" w:eastAsia="黑体" w:cs="黑体"/>
          <w:kern w:val="0"/>
          <w:sz w:val="28"/>
          <w:szCs w:val="28"/>
          <w:lang w:val="en-US" w:eastAsia="zh-CN" w:bidi="ar-SA"/>
        </w:rPr>
        <w:tab/>
      </w:r>
      <w:r>
        <w:rPr>
          <w:rFonts w:hint="eastAsia" w:ascii="黑体" w:hAnsi="黑体" w:eastAsia="黑体" w:cs="黑体"/>
          <w:kern w:val="0"/>
          <w:sz w:val="28"/>
          <w:szCs w:val="28"/>
          <w:lang w:val="en-US" w:eastAsia="zh-CN" w:bidi="ar-SA"/>
        </w:rPr>
        <w:fldChar w:fldCharType="end"/>
      </w:r>
      <w:r>
        <w:rPr>
          <w:rFonts w:hint="eastAsia" w:ascii="黑体" w:hAnsi="黑体" w:eastAsia="黑体" w:cs="黑体"/>
          <w:kern w:val="0"/>
          <w:sz w:val="28"/>
          <w:szCs w:val="28"/>
          <w:lang w:val="en-US" w:eastAsia="zh-CN" w:bidi="ar-SA"/>
        </w:rPr>
        <w:t>2</w:t>
      </w:r>
      <w:r>
        <w:rPr>
          <w:rFonts w:hint="default" w:ascii="黑体" w:hAnsi="黑体" w:eastAsia="黑体" w:cs="黑体"/>
          <w:kern w:val="0"/>
          <w:sz w:val="28"/>
          <w:szCs w:val="28"/>
          <w:lang w:eastAsia="zh-CN" w:bidi="ar-SA"/>
        </w:rPr>
        <w:t>5</w:t>
      </w:r>
    </w:p>
    <w:p>
      <w:pPr>
        <w:pStyle w:val="14"/>
        <w:tabs>
          <w:tab w:val="right" w:leader="dot" w:pos="8306"/>
        </w:tabs>
        <w:rPr>
          <w:rFonts w:hint="default" w:ascii="黑体" w:hAnsi="黑体" w:eastAsia="黑体" w:cs="黑体"/>
          <w:kern w:val="0"/>
          <w:sz w:val="28"/>
          <w:szCs w:val="28"/>
          <w:lang w:eastAsia="zh-CN" w:bidi="ar-SA"/>
        </w:rPr>
      </w:pPr>
      <w:r>
        <w:rPr>
          <w:rFonts w:hint="eastAsia" w:ascii="黑体" w:hAnsi="黑体" w:eastAsia="黑体" w:cs="黑体"/>
          <w:kern w:val="0"/>
          <w:sz w:val="28"/>
          <w:szCs w:val="28"/>
          <w:lang w:val="en-US" w:eastAsia="zh-CN" w:bidi="ar-SA"/>
        </w:rPr>
        <w:fldChar w:fldCharType="begin"/>
      </w:r>
      <w:r>
        <w:rPr>
          <w:rFonts w:hint="eastAsia" w:ascii="黑体" w:hAnsi="黑体" w:eastAsia="黑体" w:cs="黑体"/>
          <w:kern w:val="0"/>
          <w:sz w:val="28"/>
          <w:szCs w:val="28"/>
          <w:lang w:val="en-US" w:eastAsia="zh-CN" w:bidi="ar-SA"/>
        </w:rPr>
        <w:instrText xml:space="preserve"> HYPERLINK \l "_Toc97792502" </w:instrText>
      </w:r>
      <w:r>
        <w:rPr>
          <w:rFonts w:hint="eastAsia" w:ascii="黑体" w:hAnsi="黑体" w:eastAsia="黑体" w:cs="黑体"/>
          <w:kern w:val="0"/>
          <w:sz w:val="28"/>
          <w:szCs w:val="28"/>
          <w:lang w:val="en-US" w:eastAsia="zh-CN" w:bidi="ar-SA"/>
        </w:rPr>
        <w:fldChar w:fldCharType="separate"/>
      </w:r>
      <w:r>
        <w:rPr>
          <w:rFonts w:hint="eastAsia" w:ascii="黑体" w:hAnsi="黑体" w:eastAsia="黑体" w:cs="黑体"/>
          <w:kern w:val="0"/>
          <w:sz w:val="28"/>
          <w:szCs w:val="28"/>
          <w:lang w:val="en-US" w:eastAsia="zh-CN" w:bidi="ar-SA"/>
        </w:rPr>
        <w:t>第四部分 附件</w:t>
      </w:r>
      <w:r>
        <w:rPr>
          <w:rFonts w:hint="eastAsia" w:ascii="黑体" w:hAnsi="黑体" w:eastAsia="黑体" w:cs="黑体"/>
          <w:kern w:val="0"/>
          <w:sz w:val="28"/>
          <w:szCs w:val="28"/>
          <w:lang w:val="en-US" w:eastAsia="zh-CN" w:bidi="ar-SA"/>
        </w:rPr>
        <w:tab/>
      </w:r>
      <w:r>
        <w:rPr>
          <w:rFonts w:hint="eastAsia" w:ascii="黑体" w:hAnsi="黑体" w:eastAsia="黑体" w:cs="黑体"/>
          <w:kern w:val="0"/>
          <w:sz w:val="28"/>
          <w:szCs w:val="28"/>
          <w:lang w:val="en-US" w:eastAsia="zh-CN" w:bidi="ar-SA"/>
        </w:rPr>
        <w:fldChar w:fldCharType="end"/>
      </w:r>
      <w:r>
        <w:rPr>
          <w:rFonts w:hint="default" w:ascii="黑体" w:hAnsi="黑体" w:eastAsia="黑体" w:cs="黑体"/>
          <w:kern w:val="0"/>
          <w:sz w:val="28"/>
          <w:szCs w:val="28"/>
          <w:lang w:eastAsia="zh-CN" w:bidi="ar-SA"/>
        </w:rPr>
        <w:t>28</w:t>
      </w:r>
    </w:p>
    <w:p>
      <w:pPr>
        <w:pStyle w:val="14"/>
        <w:tabs>
          <w:tab w:val="right" w:leader="dot" w:pos="8306"/>
        </w:tabs>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"_Toc97792503"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附件1</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end"/>
      </w:r>
      <w:r>
        <w:rPr>
          <w:rFonts w:hint="default" w:hAnsi="Tahoma" w:cstheme="minorBidi"/>
          <w:kern w:val="0"/>
          <w:sz w:val="28"/>
          <w:szCs w:val="28"/>
          <w:lang w:eastAsia="zh-CN" w:bidi="ar-SA"/>
        </w:rPr>
        <w:t>28</w:t>
      </w:r>
    </w:p>
    <w:p>
      <w:pPr>
        <w:pStyle w:val="14"/>
        <w:tabs>
          <w:tab w:val="right" w:leader="dot" w:pos="8306"/>
        </w:tabs>
        <w:rPr>
          <w:rFonts w:hint="default" w:ascii="黑体" w:hAnsi="黑体" w:eastAsia="黑体" w:cs="黑体"/>
          <w:kern w:val="0"/>
          <w:sz w:val="28"/>
          <w:szCs w:val="28"/>
          <w:lang w:eastAsia="zh-CN" w:bidi="ar-SA"/>
        </w:rPr>
      </w:pPr>
      <w:r>
        <w:rPr>
          <w:rFonts w:hint="eastAsia" w:ascii="黑体" w:hAnsi="黑体" w:eastAsia="黑体" w:cs="黑体"/>
          <w:kern w:val="0"/>
          <w:sz w:val="28"/>
          <w:szCs w:val="28"/>
          <w:lang w:val="en-US" w:eastAsia="zh-CN" w:bidi="ar-SA"/>
        </w:rPr>
        <w:fldChar w:fldCharType="begin"/>
      </w:r>
      <w:r>
        <w:rPr>
          <w:rFonts w:hint="eastAsia" w:ascii="黑体" w:hAnsi="黑体" w:eastAsia="黑体" w:cs="黑体"/>
          <w:kern w:val="0"/>
          <w:sz w:val="28"/>
          <w:szCs w:val="28"/>
          <w:lang w:val="en-US" w:eastAsia="zh-CN" w:bidi="ar-SA"/>
        </w:rPr>
        <w:instrText xml:space="preserve"> HYPERLINK \l "_Toc97792504" </w:instrText>
      </w:r>
      <w:r>
        <w:rPr>
          <w:rFonts w:hint="eastAsia" w:ascii="黑体" w:hAnsi="黑体" w:eastAsia="黑体" w:cs="黑体"/>
          <w:kern w:val="0"/>
          <w:sz w:val="28"/>
          <w:szCs w:val="28"/>
          <w:lang w:val="en-US" w:eastAsia="zh-CN" w:bidi="ar-SA"/>
        </w:rPr>
        <w:fldChar w:fldCharType="separate"/>
      </w:r>
      <w:r>
        <w:rPr>
          <w:rFonts w:hint="eastAsia" w:ascii="黑体" w:hAnsi="黑体" w:eastAsia="黑体" w:cs="黑体"/>
          <w:kern w:val="0"/>
          <w:sz w:val="28"/>
          <w:szCs w:val="28"/>
          <w:lang w:val="en-US" w:eastAsia="zh-CN" w:bidi="ar-SA"/>
        </w:rPr>
        <w:t>第五部分 附表</w:t>
      </w:r>
      <w:r>
        <w:rPr>
          <w:rFonts w:hint="eastAsia" w:ascii="黑体" w:hAnsi="黑体" w:eastAsia="黑体" w:cs="黑体"/>
          <w:kern w:val="0"/>
          <w:sz w:val="28"/>
          <w:szCs w:val="28"/>
          <w:lang w:val="en-US" w:eastAsia="zh-CN" w:bidi="ar-SA"/>
        </w:rPr>
        <w:tab/>
      </w:r>
      <w:r>
        <w:rPr>
          <w:rFonts w:hint="eastAsia" w:ascii="黑体" w:hAnsi="黑体" w:eastAsia="黑体" w:cs="黑体"/>
          <w:kern w:val="0"/>
          <w:sz w:val="28"/>
          <w:szCs w:val="28"/>
          <w:lang w:val="en-US" w:eastAsia="zh-CN" w:bidi="ar-SA"/>
        </w:rPr>
        <w:t>3</w:t>
      </w:r>
      <w:r>
        <w:rPr>
          <w:rFonts w:hint="eastAsia" w:ascii="黑体" w:hAnsi="黑体" w:eastAsia="黑体" w:cs="黑体"/>
          <w:kern w:val="0"/>
          <w:sz w:val="28"/>
          <w:szCs w:val="28"/>
          <w:lang w:val="en-US" w:eastAsia="zh-CN" w:bidi="ar-SA"/>
        </w:rPr>
        <w:fldChar w:fldCharType="end"/>
      </w:r>
      <w:r>
        <w:rPr>
          <w:rFonts w:hint="default" w:ascii="黑体" w:hAnsi="黑体" w:eastAsia="黑体" w:cs="黑体"/>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"_Toc97792505"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一、收入支出决算总表</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"_Toc97792506"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二、收入决算表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val="en-US" w:eastAsia="zh-CN" w:bidi="ar-SA"/>
        </w:rPr>
        <w:t>3</w:t>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"_Toc97792507"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三、支出决算表</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"_Toc97792508"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四、财政拨款收入支出决算总表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PageRef _Toc97792508 \h</w:instrText>
      </w:r>
      <w:r>
        <w:rPr>
          <w:rFonts w:hint="eastAsia" w:ascii="仿宋" w:hAnsi="Tahoma" w:eastAsia="仿宋" w:cstheme="minorBidi"/>
          <w:kern w:val="0"/>
          <w:sz w:val="28"/>
          <w:szCs w:val="28"/>
          <w:lang w:val="en-US" w:eastAsia="zh-CN" w:bidi="ar-SA"/>
        </w:rPr>
        <w:fldChar w:fldCharType="separate"/>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"_Toc97792509"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五、财政拨款支出决算明细表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val="en-US" w:eastAsia="zh-CN" w:bidi="ar-SA"/>
        </w:rPr>
        <w:t>3</w:t>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"_Toc97792510"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六、一般公共预算财政拨款支出决算表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val="en-US" w:eastAsia="zh-CN" w:bidi="ar-SA"/>
        </w:rPr>
        <w:t>3</w:t>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"_Toc97792511"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七、一般公共预算财政拨款支出决算明细表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val="en-US" w:eastAsia="zh-CN" w:bidi="ar-SA"/>
        </w:rPr>
        <w:t>3</w:t>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"_Toc97792512"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八、一般公共预算财政拨款基本支出决算表</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"_Toc97792513"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九、一般公共预算财政拨款项目支出决算表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PageRef _Toc97792513 \h</w:instrText>
      </w:r>
      <w:r>
        <w:rPr>
          <w:rFonts w:hint="eastAsia" w:ascii="仿宋" w:hAnsi="Tahoma" w:eastAsia="仿宋" w:cstheme="minorBidi"/>
          <w:kern w:val="0"/>
          <w:sz w:val="28"/>
          <w:szCs w:val="28"/>
          <w:lang w:val="en-US" w:eastAsia="zh-CN" w:bidi="ar-SA"/>
        </w:rPr>
        <w:fldChar w:fldCharType="separate"/>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"_Toc97792514"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十、一般公共预算财政拨款“三公”经费支出决算表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PageRef _Toc97792514 \h</w:instrText>
      </w:r>
      <w:r>
        <w:rPr>
          <w:rFonts w:hint="eastAsia" w:ascii="仿宋" w:hAnsi="Tahoma" w:eastAsia="仿宋" w:cstheme="minorBidi"/>
          <w:kern w:val="0"/>
          <w:sz w:val="28"/>
          <w:szCs w:val="28"/>
          <w:lang w:val="en-US" w:eastAsia="zh-CN" w:bidi="ar-SA"/>
        </w:rPr>
        <w:fldChar w:fldCharType="separate"/>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"_Toc97792515"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十一、政府性基金预算财政拨款收入支出决算表</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"_Toc97792516"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十二、政府性基金预算财政拨款“三公”经费支出决算表</w:t>
      </w:r>
      <w:r>
        <w:rPr>
          <w:rFonts w:hint="eastAsia" w:ascii="仿宋" w:hAnsi="Tahoma" w:eastAsia="仿宋" w:cstheme="minorBidi"/>
          <w:kern w:val="0"/>
          <w:sz w:val="28"/>
          <w:szCs w:val="28"/>
          <w:lang w:val="en-US" w:eastAsia="zh-CN" w:bidi="ar-SA"/>
        </w:rPr>
        <w:tab/>
      </w: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PageRef _Toc97792516 \h</w:instrText>
      </w:r>
      <w:r>
        <w:rPr>
          <w:rFonts w:hint="eastAsia" w:ascii="仿宋" w:hAnsi="Tahoma" w:eastAsia="仿宋" w:cstheme="minorBidi"/>
          <w:kern w:val="0"/>
          <w:sz w:val="28"/>
          <w:szCs w:val="28"/>
          <w:lang w:val="en-US" w:eastAsia="zh-CN" w:bidi="ar-SA"/>
        </w:rPr>
        <w:fldChar w:fldCharType="separate"/>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Pr>
        <w:pStyle w:val="16"/>
        <w:tabs>
          <w:tab w:val="right" w:leader="dot" w:pos="8306"/>
        </w:tabs>
        <w:ind w:left="440"/>
        <w:rPr>
          <w:rFonts w:hint="default" w:ascii="仿宋" w:hAnsi="Tahoma" w:eastAsia="仿宋" w:cstheme="minorBidi"/>
          <w:kern w:val="0"/>
          <w:sz w:val="28"/>
          <w:szCs w:val="28"/>
          <w:lang w:eastAsia="zh-CN" w:bidi="ar-SA"/>
        </w:rPr>
      </w:pPr>
      <w:r>
        <w:rPr>
          <w:rFonts w:hint="eastAsia" w:ascii="仿宋" w:hAnsi="Tahoma" w:eastAsia="仿宋" w:cstheme="minorBidi"/>
          <w:kern w:val="0"/>
          <w:sz w:val="28"/>
          <w:szCs w:val="28"/>
          <w:lang w:val="en-US" w:eastAsia="zh-CN" w:bidi="ar-SA"/>
        </w:rPr>
        <w:fldChar w:fldCharType="begin"/>
      </w:r>
      <w:r>
        <w:rPr>
          <w:rFonts w:hint="eastAsia" w:ascii="仿宋" w:hAnsi="Tahoma" w:eastAsia="仿宋" w:cstheme="minorBidi"/>
          <w:kern w:val="0"/>
          <w:sz w:val="28"/>
          <w:szCs w:val="28"/>
          <w:lang w:val="en-US" w:eastAsia="zh-CN" w:bidi="ar-SA"/>
        </w:rPr>
        <w:instrText xml:space="preserve"> HYPERLINK \l "_Toc97792517" </w:instrText>
      </w:r>
      <w:r>
        <w:rPr>
          <w:rFonts w:hint="eastAsia" w:ascii="仿宋" w:hAnsi="Tahoma" w:eastAsia="仿宋" w:cstheme="minorBidi"/>
          <w:kern w:val="0"/>
          <w:sz w:val="28"/>
          <w:szCs w:val="28"/>
          <w:lang w:val="en-US" w:eastAsia="zh-CN" w:bidi="ar-SA"/>
        </w:rPr>
        <w:fldChar w:fldCharType="separate"/>
      </w:r>
      <w:r>
        <w:rPr>
          <w:rFonts w:hint="eastAsia" w:ascii="仿宋" w:hAnsi="Tahoma" w:eastAsia="仿宋" w:cstheme="minorBidi"/>
          <w:kern w:val="0"/>
          <w:sz w:val="28"/>
          <w:szCs w:val="28"/>
          <w:lang w:val="en-US" w:eastAsia="zh-CN" w:bidi="ar-SA"/>
        </w:rPr>
        <w:t>十三、国有资本经营预算财政拨款支出决算表</w:t>
      </w:r>
      <w:r>
        <w:rPr>
          <w:rFonts w:hint="eastAsia" w:ascii="仿宋" w:hAnsi="Tahoma" w:eastAsia="仿宋" w:cstheme="minorBidi"/>
          <w:kern w:val="0"/>
          <w:sz w:val="28"/>
          <w:szCs w:val="28"/>
          <w:lang w:val="en-US" w:eastAsia="zh-CN" w:bidi="ar-SA"/>
        </w:rPr>
        <w:tab/>
      </w:r>
      <w:r>
        <w:rPr>
          <w:rFonts w:hint="default" w:ascii="仿宋" w:hAnsi="Tahoma" w:eastAsia="仿宋" w:cstheme="minorBidi"/>
          <w:kern w:val="0"/>
          <w:sz w:val="28"/>
          <w:szCs w:val="28"/>
          <w:lang w:val="en-US" w:eastAsia="zh-CN" w:bidi="ar-SA"/>
        </w:rPr>
        <w:t>3</w:t>
      </w:r>
      <w:r>
        <w:rPr>
          <w:rFonts w:hint="eastAsia" w:ascii="仿宋" w:hAnsi="Tahoma" w:eastAsia="仿宋" w:cstheme="minorBidi"/>
          <w:kern w:val="0"/>
          <w:sz w:val="28"/>
          <w:szCs w:val="28"/>
          <w:lang w:val="en-US" w:eastAsia="zh-CN" w:bidi="ar-SA"/>
        </w:rPr>
        <w:fldChar w:fldCharType="end"/>
      </w:r>
      <w:r>
        <w:rPr>
          <w:rFonts w:hint="eastAsia" w:ascii="仿宋" w:hAnsi="Tahoma" w:eastAsia="仿宋" w:cstheme="minorBidi"/>
          <w:kern w:val="0"/>
          <w:sz w:val="28"/>
          <w:szCs w:val="28"/>
          <w:lang w:val="en-US" w:eastAsia="zh-CN" w:bidi="ar-SA"/>
        </w:rPr>
        <w:fldChar w:fldCharType="end"/>
      </w:r>
      <w:r>
        <w:rPr>
          <w:rFonts w:hint="default" w:ascii="仿宋" w:hAnsi="Tahoma" w:eastAsia="仿宋" w:cstheme="minorBidi"/>
          <w:kern w:val="0"/>
          <w:sz w:val="28"/>
          <w:szCs w:val="28"/>
          <w:lang w:eastAsia="zh-CN" w:bidi="ar-SA"/>
        </w:rPr>
        <w:t>1</w:t>
      </w:r>
    </w:p>
    <w:p/>
    <w:p/>
    <w:p/>
    <w:p/>
    <w:p/>
    <w:p/>
    <w:p/>
    <w:p/>
    <w:p/>
    <w:p/>
    <w:p/>
    <w:p/>
    <w:p/>
    <w:p>
      <w:pPr>
        <w:pStyle w:val="3"/>
        <w:jc w:val="center"/>
        <w:rPr>
          <w:rFonts w:hint="eastAsia" w:ascii="黑体" w:eastAsia="黑体"/>
          <w:b w:val="0"/>
        </w:rPr>
        <w:sectPr>
          <w:footerReference r:id="rId7" w:type="first"/>
          <w:footerReference r:id="rId6" w:type="default"/>
          <w:pgSz w:w="11906" w:h="16838"/>
          <w:pgMar w:top="1440" w:right="1800" w:bottom="1440" w:left="1800" w:header="851" w:footer="992" w:gutter="0"/>
          <w:pgNumType w:fmt="decimal" w:start="1"/>
          <w:cols w:space="720" w:num="1"/>
          <w:docGrid w:type="lines" w:linePitch="312" w:charSpace="0"/>
        </w:sectPr>
      </w:pPr>
    </w:p>
    <w:p>
      <w:pPr>
        <w:pStyle w:val="3"/>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b w:val="0"/>
          <w:sz w:val="44"/>
          <w:szCs w:val="44"/>
        </w:rPr>
        <w:t xml:space="preserve">第一部分 </w:t>
      </w:r>
      <w:r>
        <w:rPr>
          <w:rStyle w:val="25"/>
          <w:rFonts w:hint="eastAsia" w:ascii="方正小标宋简体" w:hAnsi="方正小标宋简体" w:eastAsia="方正小标宋简体" w:cs="方正小标宋简体"/>
          <w:b w:val="0"/>
          <w:bCs w:val="0"/>
          <w:sz w:val="44"/>
          <w:szCs w:val="44"/>
        </w:rPr>
        <w:t>部门概况</w:t>
      </w:r>
      <w:bookmarkEnd w:id="14"/>
      <w:bookmarkEnd w:id="15"/>
      <w:bookmarkEnd w:id="16"/>
    </w:p>
    <w:p>
      <w:pPr>
        <w:pStyle w:val="4"/>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17" w:name="_Toc97792484"/>
      <w:bookmarkStart w:id="18" w:name="_Toc15377197"/>
      <w:bookmarkStart w:id="19" w:name="_Toc15396600"/>
      <w:r>
        <w:rPr>
          <w:rFonts w:hint="eastAsia" w:ascii="黑体" w:hAnsi="黑体" w:eastAsia="黑体" w:cs="黑体"/>
          <w:b w:val="0"/>
          <w:bCs/>
          <w:color w:val="000000"/>
          <w:kern w:val="0"/>
          <w:sz w:val="32"/>
          <w:szCs w:val="32"/>
          <w:lang w:val="en-US" w:eastAsia="zh-CN" w:bidi="ar-SA"/>
        </w:rPr>
        <w:t>一、基本职能及主要工作</w:t>
      </w:r>
      <w:bookmarkEnd w:id="17"/>
      <w:bookmarkEnd w:id="18"/>
      <w:bookmarkEnd w:id="19"/>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楷体_GB2312" w:hAnsi="楷体_GB2312" w:eastAsia="楷体_GB2312" w:cs="楷体_GB2312"/>
          <w:sz w:val="32"/>
          <w:szCs w:val="32"/>
          <w:lang w:val="en-US" w:eastAsia="zh-CN" w:bidi="ar-SA"/>
        </w:rPr>
      </w:pPr>
      <w:bookmarkStart w:id="20" w:name="_Toc15377198"/>
      <w:bookmarkStart w:id="21" w:name="_Toc15378445"/>
      <w:r>
        <w:rPr>
          <w:rFonts w:hint="eastAsia" w:ascii="楷体_GB2312" w:hAnsi="楷体_GB2312" w:eastAsia="楷体_GB2312" w:cs="楷体_GB2312"/>
          <w:sz w:val="32"/>
          <w:szCs w:val="32"/>
          <w:lang w:val="en-US" w:eastAsia="zh-CN" w:bidi="ar-SA"/>
        </w:rPr>
        <w:t>（一）主要职能</w:t>
      </w:r>
      <w:bookmarkEnd w:id="20"/>
      <w:bookmarkEnd w:id="21"/>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val="en-US" w:eastAsia="zh-CN" w:bidi="ar-SA"/>
        </w:rPr>
        <w:t>贯</w:t>
      </w:r>
      <w:r>
        <w:rPr>
          <w:rFonts w:hint="eastAsia" w:ascii="仿宋" w:hAnsi="Tahoma" w:eastAsia="仿宋" w:cstheme="minorBidi"/>
          <w:sz w:val="32"/>
          <w:szCs w:val="32"/>
          <w:lang w:val="en-US" w:eastAsia="zh-CN" w:bidi="ar-SA"/>
        </w:rPr>
        <w:t>彻执行国家、省、市有关道路运输行业管理的法律、法规和方针、政策</w:t>
      </w:r>
      <w:r>
        <w:rPr>
          <w:rFonts w:hint="default" w:ascii="仿宋" w:hAnsi="Tahoma" w:eastAsia="仿宋" w:cstheme="minorBidi"/>
          <w:sz w:val="32"/>
          <w:szCs w:val="32"/>
          <w:lang w:eastAsia="zh-CN" w:bidi="ar-SA"/>
        </w:rPr>
        <w:t>；</w:t>
      </w:r>
      <w:r>
        <w:rPr>
          <w:rFonts w:hint="eastAsia" w:ascii="仿宋" w:hAnsi="Tahoma" w:eastAsia="仿宋" w:cstheme="minorBidi"/>
          <w:sz w:val="32"/>
          <w:szCs w:val="32"/>
          <w:lang w:val="en-US" w:eastAsia="zh-CN" w:bidi="ar-SA"/>
        </w:rPr>
        <w:t>依法承担全市道路运输行业管理权限内的道路运输经营行政审批事项</w:t>
      </w:r>
      <w:r>
        <w:rPr>
          <w:rFonts w:hint="default" w:ascii="仿宋" w:hAnsi="Tahoma" w:eastAsia="仿宋" w:cstheme="minorBidi"/>
          <w:sz w:val="32"/>
          <w:szCs w:val="32"/>
          <w:lang w:eastAsia="zh-CN" w:bidi="ar-SA"/>
        </w:rPr>
        <w:t>；</w:t>
      </w:r>
      <w:r>
        <w:rPr>
          <w:rFonts w:hint="eastAsia" w:ascii="仿宋" w:hAnsi="Tahoma" w:eastAsia="仿宋" w:cstheme="minorBidi"/>
          <w:sz w:val="32"/>
          <w:szCs w:val="32"/>
          <w:lang w:val="en-US" w:eastAsia="zh-CN" w:bidi="ar-SA"/>
        </w:rPr>
        <w:t>承担道路旅客运输、货物运输、站场运营、汽车出入境运输、机动车维修与综合性能检测、机动车驾驶员培训，以及城市公共交通、城市地铁和轨道交通运营、出租汽车、汽车租赁、物流市场、车辆超限超载运输管理等工作</w:t>
      </w:r>
      <w:r>
        <w:rPr>
          <w:rFonts w:hint="default" w:ascii="仿宋" w:hAnsi="Tahoma" w:eastAsia="仿宋" w:cstheme="minorBidi"/>
          <w:sz w:val="32"/>
          <w:szCs w:val="32"/>
          <w:lang w:eastAsia="zh-CN" w:bidi="ar-SA"/>
        </w:rPr>
        <w:t>；</w:t>
      </w:r>
      <w:r>
        <w:rPr>
          <w:rFonts w:hint="eastAsia" w:ascii="仿宋" w:hAnsi="Tahoma" w:eastAsia="仿宋" w:cstheme="minorBidi"/>
          <w:sz w:val="32"/>
          <w:szCs w:val="32"/>
          <w:lang w:val="en-US" w:eastAsia="zh-CN" w:bidi="ar-SA"/>
        </w:rPr>
        <w:t>负责全市道路运输企业、运输市场的监督、管理和指导工作，依法查处道路运输违法违规经营行为</w:t>
      </w:r>
      <w:r>
        <w:rPr>
          <w:rFonts w:hint="default" w:ascii="仿宋" w:hAnsi="Tahoma" w:eastAsia="仿宋" w:cstheme="minorBidi"/>
          <w:sz w:val="32"/>
          <w:szCs w:val="32"/>
          <w:lang w:eastAsia="zh-CN" w:bidi="ar-SA"/>
        </w:rPr>
        <w:t>；</w:t>
      </w:r>
      <w:r>
        <w:rPr>
          <w:rFonts w:hint="eastAsia" w:ascii="仿宋" w:hAnsi="Tahoma" w:eastAsia="仿宋" w:cstheme="minorBidi"/>
          <w:sz w:val="32"/>
          <w:szCs w:val="32"/>
          <w:lang w:val="en-US" w:eastAsia="zh-CN" w:bidi="ar-SA"/>
        </w:rPr>
        <w:t>负</w:t>
      </w:r>
      <w:r>
        <w:rPr>
          <w:rFonts w:hint="default" w:ascii="仿宋" w:hAnsi="Tahoma" w:eastAsia="仿宋" w:cstheme="minorBidi"/>
          <w:sz w:val="32"/>
          <w:szCs w:val="32"/>
          <w:lang w:eastAsia="zh-CN" w:bidi="ar-SA"/>
        </w:rPr>
        <w:t>责</w:t>
      </w:r>
      <w:r>
        <w:rPr>
          <w:rFonts w:hint="eastAsia" w:ascii="仿宋" w:hAnsi="Tahoma" w:eastAsia="仿宋" w:cstheme="minorBidi"/>
          <w:sz w:val="32"/>
          <w:szCs w:val="32"/>
          <w:lang w:val="en-US" w:eastAsia="zh-CN" w:bidi="ar-SA"/>
        </w:rPr>
        <w:t>组织重要、紧急物资运输和战备、应急等特种运输工作</w:t>
      </w:r>
      <w:r>
        <w:rPr>
          <w:rFonts w:hint="default" w:ascii="仿宋" w:hAnsi="Tahoma" w:eastAsia="仿宋" w:cstheme="minorBidi"/>
          <w:sz w:val="32"/>
          <w:szCs w:val="32"/>
          <w:lang w:eastAsia="zh-CN" w:bidi="ar-SA"/>
        </w:rPr>
        <w:t>；</w:t>
      </w:r>
      <w:r>
        <w:rPr>
          <w:rFonts w:hint="eastAsia" w:ascii="仿宋" w:hAnsi="Tahoma" w:eastAsia="仿宋" w:cstheme="minorBidi"/>
          <w:sz w:val="32"/>
          <w:szCs w:val="32"/>
          <w:lang w:val="en-US" w:eastAsia="zh-CN" w:bidi="ar-SA"/>
        </w:rPr>
        <w:t>负</w:t>
      </w:r>
      <w:r>
        <w:rPr>
          <w:rFonts w:hint="default" w:ascii="仿宋" w:hAnsi="Tahoma" w:eastAsia="仿宋" w:cstheme="minorBidi"/>
          <w:sz w:val="32"/>
          <w:szCs w:val="32"/>
          <w:lang w:eastAsia="zh-CN" w:bidi="ar-SA"/>
        </w:rPr>
        <w:t>责</w:t>
      </w:r>
      <w:r>
        <w:rPr>
          <w:rFonts w:hint="eastAsia" w:ascii="仿宋" w:hAnsi="Tahoma" w:eastAsia="仿宋" w:cstheme="minorBidi"/>
          <w:sz w:val="32"/>
          <w:szCs w:val="32"/>
          <w:lang w:val="en-US" w:eastAsia="zh-CN" w:bidi="ar-SA"/>
        </w:rPr>
        <w:t>全市道路运输客货运输站场建设的安全、工程质量监管工作。</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楷体_GB2312" w:hAnsi="楷体_GB2312" w:eastAsia="楷体_GB2312" w:cs="楷体_GB2312"/>
          <w:sz w:val="32"/>
          <w:szCs w:val="32"/>
          <w:lang w:val="en-US" w:eastAsia="zh-CN" w:bidi="ar-SA"/>
        </w:rPr>
      </w:pPr>
      <w:bookmarkStart w:id="22" w:name="_Toc15378446"/>
      <w:bookmarkStart w:id="23" w:name="_Toc15377199"/>
      <w:r>
        <w:rPr>
          <w:rFonts w:hint="eastAsia" w:ascii="楷体_GB2312" w:hAnsi="楷体_GB2312" w:eastAsia="楷体_GB2312" w:cs="楷体_GB2312"/>
          <w:sz w:val="32"/>
          <w:szCs w:val="32"/>
          <w:lang w:val="en-US" w:eastAsia="zh-CN" w:bidi="ar-SA"/>
        </w:rPr>
        <w:t>（二）2020年重点工作完成情况</w:t>
      </w:r>
      <w:bookmarkEnd w:id="22"/>
      <w:bookmarkEnd w:id="23"/>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eastAsia" w:ascii="仿宋" w:hAnsi="Tahoma" w:eastAsia="仿宋" w:cstheme="minorBidi"/>
          <w:sz w:val="32"/>
          <w:szCs w:val="32"/>
          <w:lang w:val="en-US" w:eastAsia="zh-CN" w:bidi="ar-SA"/>
        </w:rPr>
        <w:t>2021年，全市运管机构将紧紧围绕“加快建设川陕甘结合部区域中心城市”“打造四川北向东出桥头堡”“建设进出川门户型综合交通枢纽”目标，加快推进现代道路运输体系建设。</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1.</w:t>
      </w:r>
      <w:r>
        <w:rPr>
          <w:rFonts w:hint="eastAsia" w:ascii="仿宋" w:hAnsi="Tahoma" w:eastAsia="仿宋" w:cstheme="minorBidi"/>
          <w:sz w:val="32"/>
          <w:szCs w:val="32"/>
          <w:lang w:val="en-US" w:eastAsia="zh-CN" w:bidi="ar-SA"/>
        </w:rPr>
        <w:t>加快推进道路运输基础设施建设。建成剑阁下寺高客站、苍溪庙垭高客站；开工建设雪峰客运枢纽站、广元交通物流港二期工程、龙潭货运物流枢纽站以及5-10个乡镇综合运输服务站；续建广元高铁快运物流基地；加快朝天七盘关高客站、青川姚渡高客站、广元盘龙机场客运枢纽站前期工作。</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2.</w:t>
      </w:r>
      <w:r>
        <w:rPr>
          <w:rFonts w:hint="eastAsia" w:ascii="仿宋" w:hAnsi="Tahoma" w:eastAsia="仿宋" w:cstheme="minorBidi"/>
          <w:sz w:val="32"/>
          <w:szCs w:val="32"/>
          <w:lang w:val="en-US" w:eastAsia="zh-CN" w:bidi="ar-SA"/>
        </w:rPr>
        <w:t>加快道路旅客运输调结构转方式。长途干线客运实行车辆高档化、服务商务化，增强乘客安全、便捷、舒适的出行体验。具备条件的中短途客运实现车辆小型化、发班公交化。大力发展多层次、多元化、个性化出行需求的包车客运、预约客运和定制客运。推动公路运输与铁路运输、航空运输、水路运输、城市公交运输的一体规划、一体建设、一体发展“零距离换乘”。改造升级汽车站、旅客集散中心的旅游信息服务系统和标识引导系统，增强旅游产品推介、特色商品售卖、租车自驾以及游购娱等旅游服务功能。加强道路运输与民航、铁路、水路运输的接续接驳，构建“快进漫游”旅游运输体系，4A以上景区全部开通旅游专线或旅游直通车；开通各景区景点以及历史人文线、红色文化线、风情小镇、特色村寨等特色旅游线路、定制旅游线路，大力培育和发展“运游结合”产品，实现旅游运输深度融合。以加强乡村道路运输基础设施建设、优化资源配置、实现公共服务均等化为抓手，以全市全域创建“四好农村路”和全域实施乡村客运“金通工程”为载体，在全市全面实现道路运输领域城乡统筹、城乡融合、城乡一体。</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3.</w:t>
      </w:r>
      <w:r>
        <w:rPr>
          <w:rFonts w:hint="eastAsia" w:ascii="仿宋" w:hAnsi="Tahoma" w:eastAsia="仿宋" w:cstheme="minorBidi"/>
          <w:sz w:val="32"/>
          <w:szCs w:val="32"/>
          <w:lang w:val="en-US" w:eastAsia="zh-CN" w:bidi="ar-SA"/>
        </w:rPr>
        <w:t>加快城市公共交通运输高质量发展。制定公交优先发展实施意见，落实公交用地、资金、路权等方面的优先保障。加强市区、郊区和同城化区域公交一体化发展。规划城市轨道网、公交网、慢行网“三网融合”，在市、县（区）两级城市建成区和具备条件的重点镇，加快构建以大容量、低消耗大型公交车为主体，以高档次、高效率巡游出租车、网络预约出租车为辅助，以灵活、方便的共享汽车、共享单车、共享自行车为补充，多种公共交通方式有效衔接、互为补充的综合公共交通服务体系。努力提高城市公交覆盖率和通达深度，2021年公交出行分担率要达到35%。支持城市公交向郊区延伸覆盖，支持农村客运和城际间干线客运实行公交化改造，实现城市公交、城际公交和农村公交全面协调有序发展。加快落实公交发展优先和公交路权优先、信号优先，全面提高公共交通的通达率、准点率和便捷性、舒适性、安全性。</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4.</w:t>
      </w:r>
      <w:r>
        <w:rPr>
          <w:rFonts w:hint="eastAsia" w:ascii="仿宋" w:hAnsi="Tahoma" w:eastAsia="仿宋" w:cstheme="minorBidi"/>
          <w:sz w:val="32"/>
          <w:szCs w:val="32"/>
          <w:lang w:val="en-US" w:eastAsia="zh-CN" w:bidi="ar-SA"/>
        </w:rPr>
        <w:t>加快道路货运物流行业转型升级。在加快转型升级、发展多式联运、推广智慧物流、培育市场主体等方面使长劲。主动适应“大循环、双循环”经济发展形势和“大枢纽、大通道、大网络”物流发展趋势，在培育物流新模式新业态、加快物流组织方式、优化物流设施节点等方面下功夫，加快我市物流行业、物流企业转型升级，2021年，全市道路货物运输周转量增速要保持全省前7位。大力发展公、铁、水、航等多式联运。应用现代物流、智慧物流先进技术，积极发展“互联网+”“服务区+”、网络货运、冷链物流等新业态，进一步实现货运物流降本增效，积极引导传统货运向现代物流转型升级。充分运用市场化手段，着力培育一批成长性好、集约程度高、市场吸纳能力强的货运物流企业。培育或引进1家在全国有较强竞争力的大型龙头骨干货运物流企业。大力推进城市绿色配送。规范城市配送运输经营活动，完善城市配送运输体系，推进城市配送节能减排，优化城市配送车辆便利通行政策，减少城市交通拥堵，推广应用新能源城市配送车辆，形成集约高效的城市货运配送组织链条，促进货运物流业快速健康发展。</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5.</w:t>
      </w:r>
      <w:r>
        <w:rPr>
          <w:rFonts w:hint="eastAsia" w:ascii="仿宋" w:hAnsi="Tahoma" w:eastAsia="仿宋" w:cstheme="minorBidi"/>
          <w:sz w:val="32"/>
          <w:szCs w:val="32"/>
          <w:lang w:val="en-US" w:eastAsia="zh-CN" w:bidi="ar-SA"/>
        </w:rPr>
        <w:t>加快道路运输综合保障服务体系建设。加强道路运输管理服务的智能化、信息化、数字化建设，做到精确管理、精准监督、精细服务。加强“电子政务”建设，全面推行“最多跑一次”“一网查”“一窗办”“一卡通”，进一步简政提速、优化服务。全市道路运输系统政风行风、行政效能、营商环境、群众满意度等方面的评价要争取处于省、市先进行列。加快建立道路运输领域信用管理平台和信用管理办法，健全联合惩戒机制，全面构建“一处失信、处处受限”的信用惩戒格局。把生态环保和可持续发展理念贯穿道路运输发展全领域全过程，严格污染防治，加快装备技术升级，大力推广应用新能源、清洁能源。2021年，全市城市公共交通工具新能源、清洁能源比例要达到100%；城市物流配送新能源、清洁能源车辆比例要达到70%左右，争取创建“全国绿色配送试点城市”。</w:t>
      </w:r>
    </w:p>
    <w:p>
      <w:pPr>
        <w:pStyle w:val="9"/>
        <w:keepNext w:val="0"/>
        <w:keepLines w:val="0"/>
        <w:pageBreakBefore w:val="0"/>
        <w:widowControl w:val="0"/>
        <w:kinsoku/>
        <w:wordWrap/>
        <w:overflowPunct/>
        <w:topLinePunct w:val="0"/>
        <w:autoSpaceDE/>
        <w:autoSpaceDN/>
        <w:bidi w:val="0"/>
        <w:adjustRightInd w:val="0"/>
        <w:snapToGrid w:val="0"/>
        <w:spacing w:beforeLines="0" w:after="0" w:line="560" w:lineRule="exact"/>
        <w:ind w:firstLine="665" w:firstLineChars="208"/>
        <w:textAlignment w:val="auto"/>
        <w:outlineLvl w:val="2"/>
        <w:rPr>
          <w:rFonts w:hint="eastAsia" w:ascii="仿宋" w:hAnsi="Tahoma" w:eastAsia="仿宋" w:cstheme="minorBidi"/>
          <w:sz w:val="32"/>
          <w:szCs w:val="32"/>
          <w:lang w:val="en-US" w:eastAsia="zh-CN" w:bidi="ar-SA"/>
        </w:rPr>
      </w:pPr>
      <w:r>
        <w:rPr>
          <w:rFonts w:hint="default" w:ascii="仿宋" w:hAnsi="Tahoma" w:eastAsia="仿宋" w:cstheme="minorBidi"/>
          <w:sz w:val="32"/>
          <w:szCs w:val="32"/>
          <w:lang w:eastAsia="zh-CN" w:bidi="ar-SA"/>
        </w:rPr>
        <w:t>6.</w:t>
      </w:r>
      <w:r>
        <w:rPr>
          <w:rFonts w:hint="eastAsia" w:ascii="仿宋" w:hAnsi="Tahoma" w:eastAsia="仿宋" w:cstheme="minorBidi"/>
          <w:sz w:val="32"/>
          <w:szCs w:val="32"/>
          <w:lang w:val="en-US" w:eastAsia="zh-CN" w:bidi="ar-SA"/>
        </w:rPr>
        <w:t>加快道路运输监管治理体系建设。全面落实“党政同责、一岗双责、齐抓共管、失职追责”的安全生产要求，全面建立“以责任制为龙头、以清单制为载体、以双控为基础、以科技为支撑”的安全监管体系。2021年全市道路运输安全生产形势确保持续向好，各项事故指标低于控制数，不发生群死群伤恶性安全生产责任事故。全面落实“属地管理、条块联动，平战结合、常态应急”的应急工作要求，不断完善应急处置体系机制，全面提升应对紧急、复杂、突发情况的能力和防灾、减灾、抗灾能力。不断完善道路运输监管治理的制度规范、技术标准体系，做到有章可循、有据可依。要切实加强道路运输全领域、全过程、全链条监管，不留盲区、死角。要持续加大投入尤其是信息科技方面的投入，不断提升道路运输监管治理的信息科技水平。要加强道路运输工具尤其是“两客一危”等重点营运车辆主动智能防控等关键技术装备，做到“科技强安”。要健全道路运输风险分级管控、隐患排查治理双重预防机制，有效防控重大风险和系统性风险。</w:t>
      </w:r>
    </w:p>
    <w:p>
      <w:pPr>
        <w:pStyle w:val="4"/>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24" w:name="_Toc15396601"/>
      <w:bookmarkStart w:id="25" w:name="_Toc97792485"/>
      <w:bookmarkStart w:id="26" w:name="_Toc15377200"/>
      <w:r>
        <w:rPr>
          <w:rFonts w:hint="eastAsia" w:ascii="黑体" w:hAnsi="黑体" w:eastAsia="黑体" w:cs="黑体"/>
          <w:b w:val="0"/>
          <w:bCs/>
          <w:color w:val="000000"/>
          <w:kern w:val="0"/>
          <w:sz w:val="32"/>
          <w:szCs w:val="32"/>
          <w:lang w:val="en-US" w:eastAsia="zh-CN" w:bidi="ar-SA"/>
        </w:rPr>
        <w:t>二、机构设置</w:t>
      </w:r>
      <w:bookmarkEnd w:id="24"/>
      <w:bookmarkEnd w:id="25"/>
      <w:bookmarkEnd w:id="2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广元市道路运输管理局内设机构12个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室、统计财务科、人事监察科、政策法规科（挂行政审批科牌子）、客运管理科、货运物流管理科、城市公共交通管理科、车辆技术维修管理科、培训管理科、安全监督管理科、道路运输站场建设管理科、道路运输稽查支队（下设一大队、二大队、三大队）。</w:t>
      </w:r>
    </w:p>
    <w:p>
      <w:pPr>
        <w:pageBreakBefore w:val="0"/>
        <w:kinsoku/>
        <w:wordWrap/>
        <w:overflowPunct/>
        <w:topLinePunct w:val="0"/>
        <w:autoSpaceDE/>
        <w:autoSpaceDN/>
        <w:bidi w:val="0"/>
        <w:spacing w:after="0" w:line="576" w:lineRule="exact"/>
        <w:ind w:firstLine="800" w:firstLineChars="250"/>
        <w:textAlignment w:val="auto"/>
        <w:rPr>
          <w:rFonts w:hint="eastAsia" w:ascii="仿宋" w:eastAsia="仿宋"/>
          <w:sz w:val="32"/>
          <w:szCs w:val="32"/>
          <w:lang w:val="en-US" w:eastAsia="zh-CN"/>
        </w:rPr>
      </w:pPr>
    </w:p>
    <w:p>
      <w:pPr>
        <w:pStyle w:val="9"/>
        <w:pageBreakBefore w:val="0"/>
        <w:kinsoku/>
        <w:wordWrap/>
        <w:overflowPunct/>
        <w:topLinePunct w:val="0"/>
        <w:autoSpaceDE/>
        <w:autoSpaceDN/>
        <w:bidi w:val="0"/>
        <w:adjustRightInd w:val="0"/>
        <w:snapToGrid w:val="0"/>
        <w:spacing w:beforeLines="0" w:after="0" w:line="576" w:lineRule="exact"/>
        <w:ind w:firstLine="665" w:firstLineChars="208"/>
        <w:textAlignment w:val="auto"/>
        <w:rPr>
          <w:rFonts w:hint="eastAsia" w:ascii="仿宋" w:eastAsia="仿宋"/>
          <w:color w:val="000000"/>
          <w:sz w:val="32"/>
          <w:szCs w:val="32"/>
        </w:rPr>
      </w:pPr>
    </w:p>
    <w:p>
      <w:pPr>
        <w:rPr>
          <w:rFonts w:hint="eastAsia" w:ascii="仿宋" w:eastAsia="仿宋"/>
          <w:color w:val="000000"/>
          <w:sz w:val="32"/>
          <w:szCs w:val="32"/>
        </w:rPr>
      </w:pPr>
      <w:r>
        <w:rPr>
          <w:rFonts w:hint="eastAsia" w:ascii="仿宋" w:eastAsia="仿宋"/>
          <w:color w:val="000000"/>
          <w:sz w:val="32"/>
          <w:szCs w:val="32"/>
        </w:rPr>
        <w:br w:type="page"/>
      </w:r>
    </w:p>
    <w:p>
      <w:pPr>
        <w:pStyle w:val="3"/>
        <w:pageBreakBefore w:val="0"/>
        <w:kinsoku/>
        <w:wordWrap/>
        <w:overflowPunct/>
        <w:topLinePunct w:val="0"/>
        <w:autoSpaceDE/>
        <w:autoSpaceDN/>
        <w:bidi w:val="0"/>
        <w:spacing w:line="576" w:lineRule="exact"/>
        <w:ind w:right="440"/>
        <w:jc w:val="right"/>
        <w:textAlignment w:val="auto"/>
        <w:rPr>
          <w:rFonts w:hint="eastAsia" w:ascii="方正小标宋简体" w:hAnsi="方正小标宋简体" w:eastAsia="方正小标宋简体" w:cs="方正小标宋简体"/>
        </w:rPr>
      </w:pPr>
      <w:bookmarkStart w:id="27" w:name="_Toc97792486"/>
      <w:bookmarkStart w:id="28" w:name="_Toc15396602"/>
      <w:bookmarkStart w:id="29" w:name="_Toc15377204"/>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5"/>
          <w:rFonts w:hint="eastAsia" w:ascii="方正小标宋简体" w:hAnsi="方正小标宋简体" w:eastAsia="方正小标宋简体" w:cs="方正小标宋简体"/>
          <w:b w:val="0"/>
          <w:bCs w:val="0"/>
        </w:rPr>
        <w:t>2020年度部门决算情况说明</w:t>
      </w:r>
      <w:bookmarkEnd w:id="27"/>
      <w:bookmarkEnd w:id="28"/>
      <w:bookmarkEnd w:id="29"/>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30" w:name="_Toc15396603"/>
      <w:bookmarkStart w:id="31" w:name="_Toc15377205"/>
      <w:bookmarkStart w:id="32" w:name="_Toc97792487"/>
      <w:r>
        <w:rPr>
          <w:rFonts w:hint="default" w:ascii="黑体" w:hAnsi="黑体" w:eastAsia="黑体" w:cs="黑体"/>
          <w:b w:val="0"/>
          <w:bCs/>
          <w:color w:val="000000"/>
          <w:kern w:val="0"/>
          <w:sz w:val="32"/>
          <w:szCs w:val="32"/>
          <w:lang w:val="en-US" w:eastAsia="zh-CN" w:bidi="ar-SA"/>
        </w:rPr>
        <w:t>一、</w:t>
      </w:r>
      <w:r>
        <w:rPr>
          <w:rFonts w:hint="eastAsia" w:ascii="黑体" w:hAnsi="黑体" w:eastAsia="黑体" w:cs="黑体"/>
          <w:b w:val="0"/>
          <w:bCs/>
          <w:color w:val="000000"/>
          <w:kern w:val="0"/>
          <w:sz w:val="32"/>
          <w:szCs w:val="32"/>
          <w:lang w:val="en-US" w:eastAsia="zh-CN" w:bidi="ar-SA"/>
        </w:rPr>
        <w:t>收入支出决算总体情况说明</w:t>
      </w:r>
      <w:bookmarkEnd w:id="30"/>
      <w:bookmarkEnd w:id="31"/>
      <w:bookmarkEnd w:id="32"/>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2020年度收、支总计</w:t>
      </w:r>
      <w:r>
        <w:rPr>
          <w:rFonts w:hint="default" w:ascii="仿宋" w:eastAsia="仿宋"/>
          <w:color w:val="000000"/>
          <w:sz w:val="32"/>
          <w:szCs w:val="32"/>
        </w:rPr>
        <w:t>1016.09</w:t>
      </w:r>
      <w:r>
        <w:rPr>
          <w:rFonts w:hint="eastAsia" w:ascii="仿宋" w:eastAsia="仿宋"/>
          <w:color w:val="000000"/>
          <w:sz w:val="32"/>
          <w:szCs w:val="32"/>
        </w:rPr>
        <w:t>万元。与2019年相比，收</w:t>
      </w:r>
      <w:r>
        <w:rPr>
          <w:rFonts w:hint="default" w:ascii="仿宋" w:eastAsia="仿宋"/>
          <w:color w:val="000000"/>
          <w:sz w:val="32"/>
          <w:szCs w:val="32"/>
        </w:rPr>
        <w:t>、支总计</w:t>
      </w:r>
      <w:r>
        <w:rPr>
          <w:rFonts w:hint="eastAsia" w:ascii="仿宋" w:eastAsia="仿宋"/>
          <w:color w:val="000000"/>
          <w:sz w:val="32"/>
          <w:szCs w:val="32"/>
        </w:rPr>
        <w:t>减少</w:t>
      </w:r>
      <w:r>
        <w:rPr>
          <w:rFonts w:hint="default" w:ascii="仿宋" w:eastAsia="仿宋"/>
          <w:color w:val="000000"/>
          <w:sz w:val="32"/>
          <w:szCs w:val="32"/>
        </w:rPr>
        <w:t>361.02</w:t>
      </w:r>
      <w:r>
        <w:rPr>
          <w:rFonts w:hint="eastAsia" w:ascii="仿宋" w:eastAsia="仿宋"/>
          <w:color w:val="000000"/>
          <w:sz w:val="32"/>
          <w:szCs w:val="32"/>
        </w:rPr>
        <w:t>万元，下降</w:t>
      </w:r>
      <w:r>
        <w:rPr>
          <w:rFonts w:hint="default" w:ascii="仿宋" w:eastAsia="仿宋"/>
          <w:color w:val="000000"/>
          <w:sz w:val="32"/>
          <w:szCs w:val="32"/>
        </w:rPr>
        <w:t>26.22</w:t>
      </w:r>
      <w:r>
        <w:rPr>
          <w:rFonts w:hint="eastAsia" w:ascii="仿宋" w:eastAsia="仿宋"/>
          <w:color w:val="000000"/>
          <w:sz w:val="32"/>
          <w:szCs w:val="32"/>
        </w:rPr>
        <w:t>%。主要变动原因是预算指标减少。</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center"/>
        <w:textAlignment w:val="auto"/>
        <w:rPr>
          <w:rFonts w:hint="eastAsia" w:ascii="仿宋" w:eastAsia="仿宋"/>
          <w:color w:val="000000"/>
          <w:sz w:val="32"/>
          <w:szCs w:val="32"/>
          <w:highlight w:val="none"/>
        </w:rPr>
      </w:pPr>
      <w:r>
        <w:rPr>
          <w:rFonts w:hint="eastAsia" w:ascii="仿宋" w:eastAsia="仿宋"/>
          <w:color w:val="000000"/>
          <w:sz w:val="32"/>
          <w:szCs w:val="32"/>
          <w:highlight w:val="none"/>
        </w:rPr>
        <w:t>（图1：收、支决算总计变动情况图）</w:t>
      </w:r>
    </w:p>
    <w:p>
      <w:pPr>
        <w:ind w:firstLine="640" w:firstLineChars="200"/>
        <w:rPr>
          <w:rFonts w:hint="eastAsia"/>
        </w:rPr>
      </w:pPr>
      <w:r>
        <w:rPr>
          <w:rFonts w:hint="eastAsia" w:ascii="仿宋_GB2312" w:eastAsia="仿宋_GB2312"/>
          <w:color w:val="000000"/>
          <w:sz w:val="32"/>
          <w:szCs w:val="32"/>
        </w:rPr>
        <w:drawing>
          <wp:inline distT="0" distB="0" distL="0" distR="0">
            <wp:extent cx="4264660" cy="3018790"/>
            <wp:effectExtent l="4445" t="5080" r="1714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33" w:name="_Toc97792488"/>
      <w:bookmarkStart w:id="34" w:name="_Toc15396604"/>
      <w:bookmarkStart w:id="35" w:name="_Toc15377206"/>
      <w:r>
        <w:rPr>
          <w:rFonts w:hint="default" w:ascii="黑体" w:hAnsi="黑体" w:eastAsia="黑体" w:cs="黑体"/>
          <w:b w:val="0"/>
          <w:bCs/>
          <w:color w:val="000000"/>
          <w:kern w:val="0"/>
          <w:sz w:val="32"/>
          <w:szCs w:val="32"/>
          <w:lang w:val="en-US" w:eastAsia="zh-CN" w:bidi="ar-SA"/>
        </w:rPr>
        <w:t>二、</w:t>
      </w:r>
      <w:r>
        <w:rPr>
          <w:rFonts w:hint="eastAsia" w:ascii="黑体" w:hAnsi="黑体" w:eastAsia="黑体" w:cs="黑体"/>
          <w:b w:val="0"/>
          <w:bCs/>
          <w:color w:val="000000"/>
          <w:kern w:val="0"/>
          <w:sz w:val="32"/>
          <w:szCs w:val="32"/>
          <w:lang w:val="en-US" w:eastAsia="zh-CN" w:bidi="ar-SA"/>
        </w:rPr>
        <w:t>收入决算情况说明</w:t>
      </w:r>
      <w:bookmarkEnd w:id="33"/>
      <w:bookmarkEnd w:id="34"/>
      <w:bookmarkEnd w:id="35"/>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outlineLvl w:val="1"/>
        <w:rPr>
          <w:rFonts w:hint="eastAsia" w:ascii="仿宋" w:eastAsia="仿宋"/>
          <w:color w:val="000000"/>
          <w:sz w:val="32"/>
          <w:szCs w:val="32"/>
        </w:rPr>
      </w:pPr>
      <w:bookmarkStart w:id="36" w:name="_Toc97792489"/>
      <w:r>
        <w:rPr>
          <w:rFonts w:hint="eastAsia" w:ascii="仿宋" w:eastAsia="仿宋"/>
          <w:color w:val="000000"/>
          <w:sz w:val="32"/>
          <w:szCs w:val="32"/>
        </w:rPr>
        <w:t>2020年本年收入合计976.44万元，其中：一般公共预算财政拨款收入975.70万元，占99.92%；其他收入0.74万元，占0.08%。</w:t>
      </w:r>
      <w:bookmarkEnd w:id="36"/>
    </w:p>
    <w:p>
      <w:pPr>
        <w:pageBreakBefore w:val="0"/>
        <w:kinsoku/>
        <w:wordWrap/>
        <w:overflowPunct/>
        <w:topLinePunct w:val="0"/>
        <w:autoSpaceDE/>
        <w:autoSpaceDN/>
        <w:bidi w:val="0"/>
        <w:spacing w:line="576" w:lineRule="exact"/>
        <w:ind w:firstLine="640" w:firstLineChars="200"/>
        <w:jc w:val="center"/>
        <w:textAlignment w:val="auto"/>
        <w:outlineLvl w:val="1"/>
        <w:rPr>
          <w:rFonts w:hint="eastAsia" w:ascii="仿宋" w:eastAsia="仿宋"/>
          <w:color w:val="000000"/>
          <w:sz w:val="32"/>
          <w:szCs w:val="32"/>
        </w:rPr>
      </w:pPr>
      <w:r>
        <w:rPr>
          <w:rFonts w:hint="eastAsia" w:ascii="仿宋" w:eastAsia="仿宋"/>
          <w:color w:val="000000"/>
          <w:sz w:val="32"/>
          <w:szCs w:val="32"/>
        </w:rPr>
        <w:t>（图2：收入决算结构图）</w:t>
      </w:r>
    </w:p>
    <w:p>
      <w:pPr>
        <w:ind w:firstLine="640" w:firstLineChars="200"/>
        <w:jc w:val="center"/>
        <w:rPr>
          <w:rFonts w:hint="eastAsia" w:ascii="仿宋" w:eastAsia="仿宋"/>
          <w:color w:val="000000"/>
          <w:sz w:val="32"/>
          <w:szCs w:val="32"/>
        </w:rPr>
      </w:pPr>
      <w:r>
        <w:rPr>
          <w:rFonts w:hint="eastAsia" w:ascii="仿宋" w:eastAsia="仿宋"/>
          <w:color w:val="000000"/>
          <w:sz w:val="32"/>
          <w:szCs w:val="32"/>
        </w:rPr>
        <w:drawing>
          <wp:inline distT="0" distB="0" distL="0" distR="0">
            <wp:extent cx="4518025" cy="2980690"/>
            <wp:effectExtent l="5080" t="4445" r="1079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37" w:name="_Toc15377207"/>
      <w:bookmarkStart w:id="38" w:name="_Toc15396605"/>
      <w:bookmarkStart w:id="39" w:name="_Toc97792491"/>
      <w:r>
        <w:rPr>
          <w:rFonts w:hint="default" w:ascii="黑体" w:hAnsi="黑体" w:eastAsia="黑体" w:cs="黑体"/>
          <w:b w:val="0"/>
          <w:bCs/>
          <w:color w:val="000000"/>
          <w:kern w:val="0"/>
          <w:sz w:val="32"/>
          <w:szCs w:val="32"/>
          <w:lang w:val="en-US" w:eastAsia="zh-CN" w:bidi="ar-SA"/>
        </w:rPr>
        <w:t>三、</w:t>
      </w:r>
      <w:r>
        <w:rPr>
          <w:rFonts w:hint="eastAsia" w:ascii="黑体" w:hAnsi="黑体" w:eastAsia="黑体" w:cs="黑体"/>
          <w:b w:val="0"/>
          <w:bCs/>
          <w:color w:val="000000"/>
          <w:kern w:val="0"/>
          <w:sz w:val="32"/>
          <w:szCs w:val="32"/>
          <w:lang w:val="en-US" w:eastAsia="zh-CN" w:bidi="ar-SA"/>
        </w:rPr>
        <w:t>支出决算情况说明</w:t>
      </w:r>
      <w:bookmarkEnd w:id="37"/>
      <w:bookmarkEnd w:id="38"/>
      <w:bookmarkEnd w:id="39"/>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outlineLvl w:val="1"/>
        <w:rPr>
          <w:rFonts w:hint="eastAsia" w:ascii="仿宋" w:eastAsia="仿宋"/>
          <w:color w:val="000000"/>
          <w:sz w:val="32"/>
          <w:szCs w:val="32"/>
        </w:rPr>
      </w:pPr>
      <w:bookmarkStart w:id="40" w:name="_Toc97792492"/>
      <w:r>
        <w:rPr>
          <w:rFonts w:hint="eastAsia" w:ascii="仿宋" w:eastAsia="仿宋"/>
          <w:color w:val="000000"/>
          <w:sz w:val="32"/>
          <w:szCs w:val="32"/>
        </w:rPr>
        <w:t>2020年本年支出合计</w:t>
      </w:r>
      <w:r>
        <w:rPr>
          <w:rFonts w:hint="eastAsia" w:ascii="仿宋" w:eastAsia="仿宋"/>
          <w:color w:val="000000"/>
          <w:sz w:val="32"/>
          <w:szCs w:val="32"/>
          <w:lang w:val="en-US" w:eastAsia="zh-CN"/>
        </w:rPr>
        <w:t>999.41</w:t>
      </w:r>
      <w:r>
        <w:rPr>
          <w:rFonts w:hint="eastAsia" w:ascii="仿宋" w:eastAsia="仿宋"/>
          <w:color w:val="000000"/>
          <w:sz w:val="32"/>
          <w:szCs w:val="32"/>
        </w:rPr>
        <w:t>万元，其中：基本支出</w:t>
      </w:r>
      <w:r>
        <w:rPr>
          <w:rFonts w:hint="eastAsia" w:ascii="仿宋" w:eastAsia="仿宋"/>
          <w:color w:val="000000"/>
          <w:sz w:val="32"/>
          <w:szCs w:val="32"/>
          <w:lang w:val="en-US" w:eastAsia="zh-CN"/>
        </w:rPr>
        <w:t>849.05</w:t>
      </w:r>
      <w:r>
        <w:rPr>
          <w:rFonts w:hint="eastAsia" w:ascii="仿宋" w:eastAsia="仿宋"/>
          <w:color w:val="000000"/>
          <w:sz w:val="32"/>
          <w:szCs w:val="32"/>
        </w:rPr>
        <w:t>万元，占</w:t>
      </w:r>
      <w:r>
        <w:rPr>
          <w:rFonts w:hint="eastAsia" w:ascii="仿宋" w:eastAsia="仿宋"/>
          <w:color w:val="000000"/>
          <w:sz w:val="32"/>
          <w:szCs w:val="32"/>
          <w:lang w:val="en-US" w:eastAsia="zh-CN"/>
        </w:rPr>
        <w:t>84.96</w:t>
      </w:r>
      <w:r>
        <w:rPr>
          <w:rFonts w:hint="eastAsia" w:ascii="仿宋" w:eastAsia="仿宋"/>
          <w:color w:val="000000"/>
          <w:sz w:val="32"/>
          <w:szCs w:val="32"/>
        </w:rPr>
        <w:t>%；项目支出</w:t>
      </w:r>
      <w:r>
        <w:rPr>
          <w:rFonts w:hint="eastAsia" w:ascii="仿宋" w:eastAsia="仿宋"/>
          <w:color w:val="000000"/>
          <w:sz w:val="32"/>
          <w:szCs w:val="32"/>
          <w:lang w:val="en-US" w:eastAsia="zh-CN"/>
        </w:rPr>
        <w:t>150.36</w:t>
      </w:r>
      <w:r>
        <w:rPr>
          <w:rFonts w:hint="eastAsia" w:ascii="仿宋" w:eastAsia="仿宋"/>
          <w:color w:val="000000"/>
          <w:sz w:val="32"/>
          <w:szCs w:val="32"/>
        </w:rPr>
        <w:t>万元，</w:t>
      </w:r>
      <w:r>
        <w:rPr>
          <w:rFonts w:hint="default" w:ascii="仿宋" w:eastAsia="仿宋"/>
          <w:color w:val="000000"/>
          <w:sz w:val="32"/>
          <w:szCs w:val="32"/>
        </w:rPr>
        <w:t>占</w:t>
      </w:r>
      <w:r>
        <w:rPr>
          <w:rFonts w:hint="eastAsia" w:ascii="仿宋" w:eastAsia="仿宋"/>
          <w:color w:val="000000"/>
          <w:sz w:val="32"/>
          <w:szCs w:val="32"/>
          <w:lang w:val="en-US" w:eastAsia="zh-CN"/>
        </w:rPr>
        <w:t>15.04</w:t>
      </w:r>
      <w:r>
        <w:rPr>
          <w:rFonts w:hint="eastAsia" w:ascii="仿宋" w:eastAsia="仿宋"/>
          <w:color w:val="000000"/>
          <w:sz w:val="32"/>
          <w:szCs w:val="32"/>
        </w:rPr>
        <w:t>%</w:t>
      </w:r>
      <w:bookmarkEnd w:id="40"/>
      <w:r>
        <w:rPr>
          <w:rFonts w:hint="eastAsia" w:ascii="仿宋" w:eastAsia="仿宋"/>
          <w:color w:val="000000"/>
          <w:sz w:val="32"/>
          <w:szCs w:val="32"/>
          <w:lang w:eastAsia="zh-CN"/>
        </w:rPr>
        <w:t>。</w:t>
      </w:r>
    </w:p>
    <w:p>
      <w:pPr>
        <w:spacing w:line="600" w:lineRule="exact"/>
        <w:ind w:firstLine="640" w:firstLineChars="200"/>
        <w:jc w:val="center"/>
        <w:rPr>
          <w:rFonts w:hint="eastAsia" w:ascii="黑体" w:eastAsia="黑体"/>
          <w:color w:val="000000"/>
          <w:sz w:val="32"/>
          <w:szCs w:val="32"/>
        </w:rPr>
      </w:pPr>
      <w:r>
        <w:rPr>
          <w:rFonts w:hint="eastAsia" w:ascii="仿宋" w:eastAsia="仿宋"/>
          <w:color w:val="000000"/>
          <w:sz w:val="32"/>
          <w:szCs w:val="32"/>
        </w:rPr>
        <w:t>（图3：支出决算结构图）</w:t>
      </w:r>
      <w:bookmarkStart w:id="41" w:name="_Toc15377208"/>
      <w:bookmarkStart w:id="42" w:name="_Toc15396606"/>
      <w:bookmarkStart w:id="43" w:name="_Toc97792494"/>
    </w:p>
    <w:p>
      <w:pPr>
        <w:ind w:firstLine="640" w:firstLineChars="200"/>
        <w:outlineLvl w:val="1"/>
        <w:rPr>
          <w:rFonts w:hint="eastAsia" w:ascii="黑体" w:eastAsia="黑体"/>
          <w:color w:val="000000"/>
          <w:sz w:val="32"/>
          <w:szCs w:val="32"/>
        </w:rPr>
      </w:pPr>
      <w:r>
        <w:rPr>
          <w:rFonts w:hint="eastAsia" w:ascii="黑体" w:eastAsia="黑体"/>
          <w:color w:val="000000"/>
          <w:sz w:val="32"/>
          <w:szCs w:val="32"/>
        </w:rPr>
        <w:drawing>
          <wp:inline distT="0" distB="0" distL="0" distR="0">
            <wp:extent cx="4221480" cy="2781300"/>
            <wp:effectExtent l="4445" t="4445" r="2222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outlineLvl w:val="1"/>
        <w:rPr>
          <w:rFonts w:hint="eastAsia" w:ascii="黑体" w:eastAsia="黑体"/>
          <w:color w:val="000000"/>
          <w:sz w:val="32"/>
          <w:szCs w:val="32"/>
        </w:rPr>
      </w:pP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四、财政拨款收入支出决算总体情况说明</w:t>
      </w:r>
      <w:bookmarkEnd w:id="41"/>
      <w:bookmarkEnd w:id="42"/>
      <w:bookmarkEnd w:id="43"/>
    </w:p>
    <w:p>
      <w:pPr>
        <w:keepNext w:val="0"/>
        <w:keepLines w:val="0"/>
        <w:pageBreakBefore w:val="0"/>
        <w:widowControl/>
        <w:kinsoku/>
        <w:wordWrap/>
        <w:overflowPunct/>
        <w:topLinePunct w:val="0"/>
        <w:autoSpaceDE/>
        <w:autoSpaceDN/>
        <w:bidi w:val="0"/>
        <w:adjustRightInd w:val="0"/>
        <w:snapToGrid w:val="0"/>
        <w:spacing w:after="0" w:line="576" w:lineRule="exact"/>
        <w:ind w:firstLine="640"/>
        <w:textAlignment w:val="auto"/>
        <w:rPr>
          <w:rFonts w:hint="default" w:ascii="仿宋" w:eastAsia="仿宋"/>
          <w:color w:val="000000"/>
          <w:sz w:val="32"/>
          <w:szCs w:val="32"/>
        </w:rPr>
      </w:pPr>
      <w:r>
        <w:rPr>
          <w:rFonts w:hint="eastAsia" w:ascii="仿宋" w:eastAsia="仿宋"/>
          <w:color w:val="000000"/>
          <w:sz w:val="32"/>
          <w:szCs w:val="32"/>
        </w:rPr>
        <w:t>2020年财政拨款收、支总计</w:t>
      </w:r>
      <w:r>
        <w:rPr>
          <w:rFonts w:hint="default" w:ascii="仿宋" w:eastAsia="仿宋"/>
          <w:color w:val="000000"/>
          <w:sz w:val="32"/>
          <w:szCs w:val="32"/>
          <w:lang w:eastAsia="zh-CN"/>
        </w:rPr>
        <w:t>1011</w:t>
      </w:r>
      <w:r>
        <w:rPr>
          <w:rFonts w:hint="eastAsia" w:ascii="仿宋" w:eastAsia="仿宋"/>
          <w:color w:val="000000"/>
          <w:sz w:val="32"/>
          <w:szCs w:val="32"/>
        </w:rPr>
        <w:t>万元。与2019年相比，财政拨款收</w:t>
      </w:r>
      <w:r>
        <w:rPr>
          <w:rFonts w:hint="default" w:ascii="仿宋" w:eastAsia="仿宋"/>
          <w:color w:val="000000"/>
          <w:sz w:val="32"/>
          <w:szCs w:val="32"/>
        </w:rPr>
        <w:t>、支</w:t>
      </w:r>
      <w:r>
        <w:rPr>
          <w:rFonts w:hint="eastAsia" w:ascii="仿宋" w:eastAsia="仿宋"/>
          <w:color w:val="000000"/>
          <w:sz w:val="32"/>
          <w:szCs w:val="32"/>
        </w:rPr>
        <w:t>总计减少</w:t>
      </w:r>
      <w:r>
        <w:rPr>
          <w:rFonts w:hint="default" w:ascii="仿宋" w:eastAsia="仿宋"/>
          <w:color w:val="000000"/>
          <w:sz w:val="32"/>
          <w:szCs w:val="32"/>
        </w:rPr>
        <w:t>208.86</w:t>
      </w:r>
      <w:r>
        <w:rPr>
          <w:rFonts w:hint="eastAsia" w:ascii="仿宋" w:eastAsia="仿宋"/>
          <w:color w:val="000000"/>
          <w:sz w:val="32"/>
          <w:szCs w:val="32"/>
        </w:rPr>
        <w:t>万元，下降</w:t>
      </w:r>
      <w:r>
        <w:rPr>
          <w:rFonts w:hint="default" w:ascii="仿宋" w:eastAsia="仿宋"/>
          <w:color w:val="000000"/>
          <w:sz w:val="32"/>
          <w:szCs w:val="32"/>
        </w:rPr>
        <w:t>17.12</w:t>
      </w:r>
      <w:r>
        <w:rPr>
          <w:rFonts w:hint="eastAsia" w:ascii="仿宋" w:eastAsia="仿宋"/>
          <w:color w:val="000000"/>
          <w:sz w:val="32"/>
          <w:szCs w:val="32"/>
        </w:rPr>
        <w:t>%。主要变动原因是</w:t>
      </w:r>
      <w:r>
        <w:rPr>
          <w:rFonts w:hint="default" w:ascii="仿宋" w:eastAsia="仿宋"/>
          <w:color w:val="000000"/>
          <w:sz w:val="32"/>
          <w:szCs w:val="32"/>
        </w:rPr>
        <w:t>厉行节约，压减经费。</w:t>
      </w:r>
    </w:p>
    <w:p>
      <w:pPr>
        <w:pageBreakBefore w:val="0"/>
        <w:kinsoku/>
        <w:wordWrap/>
        <w:overflowPunct/>
        <w:topLinePunct w:val="0"/>
        <w:autoSpaceDE/>
        <w:autoSpaceDN/>
        <w:bidi w:val="0"/>
        <w:spacing w:line="576" w:lineRule="exact"/>
        <w:ind w:firstLine="640" w:firstLineChars="200"/>
        <w:jc w:val="center"/>
        <w:textAlignment w:val="auto"/>
        <w:rPr>
          <w:rFonts w:hint="eastAsia" w:ascii="仿宋" w:eastAsia="仿宋"/>
          <w:b/>
          <w:color w:val="00B050"/>
          <w:sz w:val="32"/>
          <w:szCs w:val="32"/>
          <w:highlight w:val="none"/>
        </w:rPr>
      </w:pPr>
      <w:r>
        <w:rPr>
          <w:rFonts w:hint="eastAsia" w:ascii="仿宋" w:eastAsia="仿宋"/>
          <w:color w:val="000000"/>
          <w:sz w:val="32"/>
          <w:szCs w:val="32"/>
          <w:highlight w:val="none"/>
        </w:rPr>
        <w:t>（图4：财政拨款收、支决算总计变动情况）</w:t>
      </w:r>
    </w:p>
    <w:p>
      <w:pPr>
        <w:rPr>
          <w:rFonts w:hint="eastAsia" w:ascii="仿宋_GB2312" w:eastAsia="仿宋_GB2312"/>
          <w:color w:val="000000"/>
          <w:sz w:val="32"/>
          <w:szCs w:val="32"/>
        </w:rPr>
      </w:pPr>
      <w:r>
        <w:rPr>
          <w:rFonts w:hint="eastAsia" w:ascii="仿宋_GB2312" w:eastAsia="仿宋_GB2312"/>
          <w:color w:val="000000"/>
          <w:sz w:val="32"/>
          <w:szCs w:val="32"/>
        </w:rPr>
        <w:drawing>
          <wp:inline distT="0" distB="0" distL="0" distR="0">
            <wp:extent cx="5236845" cy="3020060"/>
            <wp:effectExtent l="4445" t="4445" r="1651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44" w:name="_Toc15396607"/>
      <w:bookmarkStart w:id="45" w:name="_Toc15377209"/>
      <w:bookmarkStart w:id="46" w:name="_Toc97792495"/>
      <w:r>
        <w:rPr>
          <w:rFonts w:hint="eastAsia" w:ascii="黑体" w:hAnsi="黑体" w:eastAsia="黑体" w:cs="黑体"/>
          <w:b w:val="0"/>
          <w:bCs/>
          <w:color w:val="000000"/>
          <w:kern w:val="0"/>
          <w:sz w:val="32"/>
          <w:szCs w:val="32"/>
          <w:lang w:val="en-US" w:eastAsia="zh-CN" w:bidi="ar-SA"/>
        </w:rPr>
        <w:t>五、一般公共预算财政拨款支出决算情况说明</w:t>
      </w:r>
      <w:bookmarkEnd w:id="44"/>
      <w:bookmarkEnd w:id="45"/>
      <w:bookmarkEnd w:id="46"/>
    </w:p>
    <w:p>
      <w:pPr>
        <w:pStyle w:val="9"/>
        <w:keepNext w:val="0"/>
        <w:keepLines w:val="0"/>
        <w:pageBreakBefore w:val="0"/>
        <w:widowControl w:val="0"/>
        <w:kinsoku/>
        <w:wordWrap/>
        <w:overflowPunct/>
        <w:topLinePunct w:val="0"/>
        <w:autoSpaceDE/>
        <w:autoSpaceDN/>
        <w:bidi w:val="0"/>
        <w:adjustRightInd w:val="0"/>
        <w:snapToGrid w:val="0"/>
        <w:spacing w:beforeLines="0" w:after="0" w:line="576" w:lineRule="exact"/>
        <w:ind w:firstLine="665" w:firstLineChars="208"/>
        <w:textAlignment w:val="auto"/>
        <w:outlineLvl w:val="2"/>
        <w:rPr>
          <w:rFonts w:hint="default" w:ascii="楷体_GB2312" w:hAnsi="楷体_GB2312" w:eastAsia="楷体_GB2312" w:cs="楷体_GB2312"/>
          <w:sz w:val="32"/>
          <w:szCs w:val="32"/>
          <w:lang w:val="en-US" w:eastAsia="zh-CN" w:bidi="ar-SA"/>
        </w:rPr>
      </w:pPr>
      <w:bookmarkStart w:id="47" w:name="_Toc15377210"/>
      <w:r>
        <w:rPr>
          <w:rFonts w:hint="eastAsia" w:ascii="楷体_GB2312" w:hAnsi="楷体_GB2312" w:eastAsia="楷体_GB2312" w:cs="楷体_GB2312"/>
          <w:sz w:val="32"/>
          <w:szCs w:val="32"/>
          <w:lang w:val="en-US" w:eastAsia="zh-CN" w:bidi="ar-SA"/>
        </w:rPr>
        <w:t>（一）一般公共预算财政拨款支出决算总体情况</w:t>
      </w:r>
      <w:bookmarkEnd w:id="47"/>
      <w:r>
        <w:rPr>
          <w:rFonts w:hint="default" w:ascii="楷体_GB2312" w:hAnsi="楷体_GB2312" w:eastAsia="楷体_GB2312" w:cs="楷体_GB231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default" w:ascii="仿宋" w:eastAsia="仿宋"/>
          <w:color w:val="000000"/>
          <w:sz w:val="32"/>
          <w:szCs w:val="32"/>
        </w:rPr>
      </w:pPr>
      <w:r>
        <w:rPr>
          <w:rFonts w:hint="eastAsia" w:ascii="仿宋" w:eastAsia="仿宋"/>
          <w:color w:val="000000"/>
          <w:sz w:val="32"/>
          <w:szCs w:val="32"/>
        </w:rPr>
        <w:t>2020年一般公共预算财政拨款支出995.68万元，占本年支出合计的</w:t>
      </w:r>
      <w:r>
        <w:rPr>
          <w:rFonts w:hint="eastAsia" w:ascii="仿宋" w:eastAsia="仿宋"/>
          <w:color w:val="000000"/>
          <w:sz w:val="32"/>
          <w:szCs w:val="32"/>
          <w:lang w:val="en-US" w:eastAsia="zh-CN"/>
        </w:rPr>
        <w:t>99.6</w:t>
      </w:r>
      <w:r>
        <w:rPr>
          <w:rFonts w:hint="default" w:ascii="仿宋" w:eastAsia="仿宋"/>
          <w:color w:val="000000"/>
          <w:sz w:val="32"/>
          <w:szCs w:val="32"/>
          <w:lang w:eastAsia="zh-CN"/>
        </w:rPr>
        <w:t>3</w:t>
      </w:r>
      <w:r>
        <w:rPr>
          <w:rFonts w:hint="eastAsia" w:ascii="仿宋" w:eastAsia="仿宋"/>
          <w:color w:val="000000"/>
          <w:sz w:val="32"/>
          <w:szCs w:val="32"/>
        </w:rPr>
        <w:t>%。与2019年相比，一般公共预算财政拨款减少</w:t>
      </w:r>
      <w:r>
        <w:rPr>
          <w:rFonts w:hint="default" w:ascii="仿宋" w:eastAsia="仿宋"/>
          <w:color w:val="000000"/>
          <w:sz w:val="32"/>
          <w:szCs w:val="32"/>
        </w:rPr>
        <w:t>183.34</w:t>
      </w:r>
      <w:r>
        <w:rPr>
          <w:rFonts w:hint="eastAsia" w:ascii="仿宋" w:eastAsia="仿宋"/>
          <w:color w:val="000000"/>
          <w:sz w:val="32"/>
          <w:szCs w:val="32"/>
        </w:rPr>
        <w:t>万元，下降</w:t>
      </w:r>
      <w:r>
        <w:rPr>
          <w:rFonts w:hint="default" w:ascii="仿宋" w:eastAsia="仿宋"/>
          <w:color w:val="000000"/>
          <w:sz w:val="32"/>
          <w:szCs w:val="32"/>
        </w:rPr>
        <w:t>15.55</w:t>
      </w:r>
      <w:r>
        <w:rPr>
          <w:rFonts w:hint="eastAsia" w:ascii="仿宋" w:eastAsia="仿宋"/>
          <w:color w:val="000000"/>
          <w:sz w:val="32"/>
          <w:szCs w:val="32"/>
        </w:rPr>
        <w:t>%。主要变动原因是</w:t>
      </w:r>
      <w:r>
        <w:rPr>
          <w:rFonts w:hint="default" w:ascii="仿宋" w:eastAsia="仿宋"/>
          <w:color w:val="000000"/>
          <w:sz w:val="32"/>
          <w:szCs w:val="32"/>
        </w:rPr>
        <w:t>厉行节约，压减经费。</w:t>
      </w:r>
    </w:p>
    <w:p>
      <w:pPr>
        <w:keepNext w:val="0"/>
        <w:keepLines w:val="0"/>
        <w:pageBreakBefore w:val="0"/>
        <w:widowControl/>
        <w:kinsoku/>
        <w:wordWrap/>
        <w:overflowPunct/>
        <w:topLinePunct w:val="0"/>
        <w:autoSpaceDE/>
        <w:autoSpaceDN/>
        <w:bidi w:val="0"/>
        <w:adjustRightInd w:val="0"/>
        <w:snapToGrid w:val="0"/>
        <w:spacing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（图5：一般公共预算财政拨款支出决算变动情况）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drawing>
          <wp:inline distT="0" distB="0" distL="0" distR="0">
            <wp:extent cx="4246880" cy="2595245"/>
            <wp:effectExtent l="4445" t="4445" r="15875" b="101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9"/>
        <w:keepNext w:val="0"/>
        <w:keepLines w:val="0"/>
        <w:pageBreakBefore w:val="0"/>
        <w:widowControl w:val="0"/>
        <w:kinsoku/>
        <w:wordWrap/>
        <w:overflowPunct/>
        <w:topLinePunct w:val="0"/>
        <w:autoSpaceDE/>
        <w:autoSpaceDN/>
        <w:bidi w:val="0"/>
        <w:adjustRightInd w:val="0"/>
        <w:snapToGrid w:val="0"/>
        <w:spacing w:beforeLines="0" w:after="0" w:line="576" w:lineRule="exact"/>
        <w:ind w:firstLine="665" w:firstLineChars="208"/>
        <w:textAlignment w:val="auto"/>
        <w:outlineLvl w:val="2"/>
        <w:rPr>
          <w:rFonts w:hint="eastAsia" w:ascii="楷体_GB2312" w:hAnsi="楷体_GB2312" w:eastAsia="楷体_GB2312" w:cs="楷体_GB2312"/>
          <w:sz w:val="32"/>
          <w:szCs w:val="32"/>
          <w:lang w:val="en-US" w:eastAsia="zh-CN" w:bidi="ar-SA"/>
        </w:rPr>
      </w:pPr>
      <w:bookmarkStart w:id="48" w:name="_Toc15377211"/>
      <w:r>
        <w:rPr>
          <w:rFonts w:hint="eastAsia" w:ascii="楷体_GB2312" w:hAnsi="楷体_GB2312" w:eastAsia="楷体_GB2312" w:cs="楷体_GB2312"/>
          <w:sz w:val="32"/>
          <w:szCs w:val="32"/>
          <w:lang w:val="en-US" w:eastAsia="zh-CN" w:bidi="ar-SA"/>
        </w:rPr>
        <w:t>（二）一般公共预算财政拨款支出决算结构情况</w:t>
      </w:r>
      <w:bookmarkEnd w:id="48"/>
    </w:p>
    <w:p>
      <w:pPr>
        <w:pStyle w:val="9"/>
        <w:keepNext w:val="0"/>
        <w:keepLines w:val="0"/>
        <w:pageBreakBefore w:val="0"/>
        <w:widowControl w:val="0"/>
        <w:kinsoku/>
        <w:wordWrap/>
        <w:overflowPunct/>
        <w:topLinePunct w:val="0"/>
        <w:autoSpaceDE/>
        <w:autoSpaceDN/>
        <w:bidi w:val="0"/>
        <w:adjustRightInd w:val="0"/>
        <w:snapToGrid w:val="0"/>
        <w:spacing w:beforeLines="0" w:after="0" w:line="576" w:lineRule="exact"/>
        <w:ind w:firstLine="665" w:firstLineChars="208"/>
        <w:textAlignment w:val="auto"/>
        <w:outlineLvl w:val="2"/>
        <w:rPr>
          <w:rFonts w:hint="eastAsia" w:ascii="仿宋" w:eastAsia="仿宋"/>
          <w:color w:val="000000"/>
          <w:sz w:val="32"/>
          <w:szCs w:val="32"/>
          <w:lang w:eastAsia="zh-CN"/>
        </w:rPr>
      </w:pPr>
      <w:r>
        <w:rPr>
          <w:rFonts w:hint="eastAsia" w:ascii="仿宋" w:eastAsia="仿宋"/>
          <w:color w:val="000000"/>
          <w:sz w:val="32"/>
          <w:szCs w:val="32"/>
        </w:rPr>
        <w:t>2020年一般公共预算财政拨款支出995.68万元，主要用于以下方面</w:t>
      </w:r>
      <w:r>
        <w:rPr>
          <w:rFonts w:hint="default" w:ascii="仿宋" w:eastAsia="仿宋"/>
          <w:color w:val="000000"/>
          <w:sz w:val="32"/>
          <w:szCs w:val="32"/>
        </w:rPr>
        <w:t>：</w:t>
      </w:r>
      <w:r>
        <w:rPr>
          <w:rFonts w:hint="eastAsia" w:ascii="仿宋" w:eastAsia="仿宋"/>
          <w:color w:val="000000"/>
          <w:sz w:val="32"/>
          <w:szCs w:val="32"/>
        </w:rPr>
        <w:t>社会保障和就业（类）支出69.01万元，占6.9</w:t>
      </w:r>
      <w:r>
        <w:rPr>
          <w:rFonts w:hint="eastAsia" w:ascii="仿宋" w:eastAsia="仿宋"/>
          <w:color w:val="000000"/>
          <w:sz w:val="32"/>
          <w:szCs w:val="32"/>
          <w:lang w:val="en-US" w:eastAsia="zh-CN"/>
        </w:rPr>
        <w:t>3</w:t>
      </w:r>
      <w:r>
        <w:rPr>
          <w:rFonts w:hint="eastAsia" w:ascii="仿宋" w:eastAsia="仿宋"/>
          <w:color w:val="000000"/>
          <w:sz w:val="32"/>
          <w:szCs w:val="32"/>
        </w:rPr>
        <w:t>%</w:t>
      </w:r>
      <w:r>
        <w:rPr>
          <w:rFonts w:hint="eastAsia" w:ascii="仿宋" w:eastAsia="仿宋"/>
          <w:color w:val="000000"/>
          <w:sz w:val="32"/>
          <w:szCs w:val="32"/>
          <w:lang w:val="en-US" w:eastAsia="zh-CN"/>
        </w:rPr>
        <w:t>；</w:t>
      </w:r>
      <w:r>
        <w:rPr>
          <w:rFonts w:hint="eastAsia" w:ascii="仿宋" w:eastAsia="仿宋"/>
          <w:color w:val="000000"/>
          <w:sz w:val="32"/>
          <w:szCs w:val="32"/>
        </w:rPr>
        <w:t>卫生健康</w:t>
      </w:r>
      <w:r>
        <w:rPr>
          <w:rFonts w:hint="eastAsia" w:ascii="仿宋" w:eastAsia="仿宋"/>
          <w:color w:val="000000"/>
          <w:sz w:val="32"/>
          <w:szCs w:val="32"/>
          <w:lang w:eastAsia="zh-CN"/>
        </w:rPr>
        <w:t>（</w:t>
      </w:r>
      <w:r>
        <w:rPr>
          <w:rFonts w:hint="eastAsia" w:ascii="仿宋" w:eastAsia="仿宋"/>
          <w:color w:val="000000"/>
          <w:sz w:val="32"/>
          <w:szCs w:val="32"/>
          <w:lang w:val="en-US" w:eastAsia="zh-CN"/>
        </w:rPr>
        <w:t>类</w:t>
      </w:r>
      <w:r>
        <w:rPr>
          <w:rFonts w:hint="eastAsia" w:ascii="仿宋" w:eastAsia="仿宋"/>
          <w:color w:val="000000"/>
          <w:sz w:val="32"/>
          <w:szCs w:val="32"/>
          <w:lang w:eastAsia="zh-CN"/>
        </w:rPr>
        <w:t>）</w:t>
      </w:r>
      <w:r>
        <w:rPr>
          <w:rFonts w:hint="eastAsia" w:ascii="仿宋" w:eastAsia="仿宋"/>
          <w:color w:val="000000"/>
          <w:sz w:val="32"/>
          <w:szCs w:val="32"/>
        </w:rPr>
        <w:t>支出32.57万元，占3.</w:t>
      </w:r>
      <w:r>
        <w:rPr>
          <w:rFonts w:hint="eastAsia" w:ascii="仿宋" w:eastAsia="仿宋"/>
          <w:color w:val="000000"/>
          <w:sz w:val="32"/>
          <w:szCs w:val="32"/>
          <w:lang w:val="en-US" w:eastAsia="zh-CN"/>
        </w:rPr>
        <w:t>27</w:t>
      </w:r>
      <w:r>
        <w:rPr>
          <w:rFonts w:hint="eastAsia" w:ascii="仿宋" w:eastAsia="仿宋"/>
          <w:color w:val="000000"/>
          <w:sz w:val="32"/>
          <w:szCs w:val="32"/>
        </w:rPr>
        <w:t>%；交通运输（类）支出</w:t>
      </w:r>
      <w:r>
        <w:rPr>
          <w:rFonts w:hint="eastAsia" w:ascii="仿宋" w:eastAsia="仿宋"/>
          <w:color w:val="000000"/>
          <w:sz w:val="32"/>
          <w:szCs w:val="32"/>
          <w:lang w:val="en-US" w:eastAsia="zh-CN"/>
        </w:rPr>
        <w:t>825.38</w:t>
      </w:r>
      <w:r>
        <w:rPr>
          <w:rFonts w:hint="eastAsia" w:ascii="仿宋" w:eastAsia="仿宋"/>
          <w:color w:val="000000"/>
          <w:sz w:val="32"/>
          <w:szCs w:val="32"/>
        </w:rPr>
        <w:t>万元，占</w:t>
      </w:r>
      <w:r>
        <w:rPr>
          <w:rFonts w:hint="eastAsia" w:ascii="仿宋" w:eastAsia="仿宋"/>
          <w:color w:val="000000"/>
          <w:sz w:val="32"/>
          <w:szCs w:val="32"/>
          <w:lang w:val="en-US" w:eastAsia="zh-CN"/>
        </w:rPr>
        <w:t>82.90</w:t>
      </w:r>
      <w:r>
        <w:rPr>
          <w:rFonts w:hint="eastAsia" w:ascii="仿宋" w:eastAsia="仿宋"/>
          <w:color w:val="000000"/>
          <w:sz w:val="32"/>
          <w:szCs w:val="32"/>
        </w:rPr>
        <w:t>%；住房保障</w:t>
      </w:r>
      <w:r>
        <w:rPr>
          <w:rFonts w:hint="eastAsia" w:ascii="仿宋" w:eastAsia="仿宋"/>
          <w:color w:val="000000"/>
          <w:sz w:val="32"/>
          <w:szCs w:val="32"/>
          <w:lang w:eastAsia="zh-CN"/>
        </w:rPr>
        <w:t>（</w:t>
      </w:r>
      <w:r>
        <w:rPr>
          <w:rFonts w:hint="eastAsia" w:ascii="仿宋" w:eastAsia="仿宋"/>
          <w:color w:val="000000"/>
          <w:sz w:val="32"/>
          <w:szCs w:val="32"/>
          <w:lang w:val="en-US" w:eastAsia="zh-CN"/>
        </w:rPr>
        <w:t>类</w:t>
      </w:r>
      <w:r>
        <w:rPr>
          <w:rFonts w:hint="eastAsia" w:ascii="仿宋" w:eastAsia="仿宋"/>
          <w:color w:val="000000"/>
          <w:sz w:val="32"/>
          <w:szCs w:val="32"/>
          <w:lang w:eastAsia="zh-CN"/>
        </w:rPr>
        <w:t>）</w:t>
      </w:r>
      <w:r>
        <w:rPr>
          <w:rFonts w:hint="eastAsia" w:ascii="仿宋" w:eastAsia="仿宋"/>
          <w:color w:val="000000"/>
          <w:sz w:val="32"/>
          <w:szCs w:val="32"/>
        </w:rPr>
        <w:t>支出68.72万元，占6.90%</w:t>
      </w:r>
      <w:r>
        <w:rPr>
          <w:rFonts w:hint="eastAsia" w:ascii="仿宋" w:eastAsia="仿宋"/>
          <w:color w:val="000000"/>
          <w:sz w:val="32"/>
          <w:szCs w:val="32"/>
          <w:lang w:eastAsia="zh-CN"/>
        </w:rPr>
        <w:t>。</w:t>
      </w:r>
    </w:p>
    <w:p>
      <w:pPr>
        <w:pageBreakBefore w:val="0"/>
        <w:kinsoku/>
        <w:wordWrap/>
        <w:overflowPunct/>
        <w:topLinePunct w:val="0"/>
        <w:autoSpaceDE/>
        <w:autoSpaceDN/>
        <w:bidi w:val="0"/>
        <w:spacing w:line="576" w:lineRule="exact"/>
        <w:ind w:firstLine="640" w:firstLineChars="200"/>
        <w:jc w:val="center"/>
        <w:textAlignment w:val="auto"/>
        <w:rPr>
          <w:rFonts w:hint="eastAsia" w:ascii="仿宋" w:eastAsia="仿宋"/>
          <w:color w:val="000000"/>
          <w:sz w:val="32"/>
          <w:szCs w:val="32"/>
        </w:rPr>
      </w:pPr>
      <w:r>
        <w:rPr>
          <w:rFonts w:hint="eastAsia" w:ascii="仿宋" w:eastAsia="仿宋"/>
          <w:color w:val="000000"/>
          <w:sz w:val="32"/>
          <w:szCs w:val="32"/>
        </w:rPr>
        <w:t>（图6：一般公共预算财政拨款支出决算结构）</w:t>
      </w:r>
    </w:p>
    <w:p>
      <w:pPr>
        <w:ind w:firstLine="640" w:firstLineChars="200"/>
        <w:rPr>
          <w:rFonts w:hint="eastAsia" w:ascii="仿宋" w:eastAsia="仿宋"/>
          <w:color w:val="000000"/>
          <w:sz w:val="32"/>
          <w:szCs w:val="32"/>
        </w:rPr>
      </w:pPr>
      <w:r>
        <w:rPr>
          <w:rFonts w:hint="eastAsia" w:ascii="仿宋" w:eastAsia="仿宋"/>
          <w:color w:val="000000"/>
          <w:sz w:val="32"/>
          <w:szCs w:val="32"/>
        </w:rPr>
        <w:drawing>
          <wp:inline distT="0" distB="0" distL="0" distR="0">
            <wp:extent cx="4281805" cy="2743835"/>
            <wp:effectExtent l="4445" t="4445" r="19050"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val="0"/>
        <w:snapToGrid w:val="0"/>
        <w:spacing w:beforeLines="0" w:after="0" w:line="576" w:lineRule="exact"/>
        <w:ind w:firstLine="665" w:firstLineChars="208"/>
        <w:textAlignment w:val="auto"/>
        <w:outlineLvl w:val="2"/>
        <w:rPr>
          <w:rFonts w:hint="eastAsia" w:ascii="楷体_GB2312" w:hAnsi="楷体_GB2312" w:eastAsia="楷体_GB2312" w:cs="楷体_GB2312"/>
          <w:sz w:val="32"/>
          <w:szCs w:val="32"/>
          <w:lang w:val="en-US" w:eastAsia="zh-CN" w:bidi="ar-SA"/>
        </w:rPr>
      </w:pPr>
      <w:bookmarkStart w:id="49" w:name="_Toc15377212"/>
      <w:r>
        <w:rPr>
          <w:rFonts w:hint="eastAsia" w:ascii="楷体_GB2312" w:hAnsi="楷体_GB2312" w:eastAsia="楷体_GB2312" w:cs="楷体_GB2312"/>
          <w:sz w:val="32"/>
          <w:szCs w:val="32"/>
          <w:lang w:val="en-US" w:eastAsia="zh-CN" w:bidi="ar-SA"/>
        </w:rPr>
        <w:t>（三）一般公共预算财政拨款支出决算具体情况</w:t>
      </w:r>
      <w:bookmarkEnd w:id="49"/>
    </w:p>
    <w:p>
      <w:pPr>
        <w:keepNext w:val="0"/>
        <w:keepLines w:val="0"/>
        <w:pageBreakBefore w:val="0"/>
        <w:widowControl/>
        <w:kinsoku/>
        <w:wordWrap/>
        <w:overflowPunct/>
        <w:topLinePunct w:val="0"/>
        <w:autoSpaceDE/>
        <w:autoSpaceDN/>
        <w:bidi w:val="0"/>
        <w:adjustRightInd w:val="0"/>
        <w:snapToGrid w:val="0"/>
        <w:spacing w:after="0" w:line="576" w:lineRule="exact"/>
        <w:ind w:firstLine="668" w:firstLineChars="208"/>
        <w:textAlignment w:val="auto"/>
        <w:rPr>
          <w:rFonts w:hint="eastAsia" w:ascii="仿宋" w:eastAsia="仿宋"/>
          <w:color w:val="000000"/>
          <w:sz w:val="32"/>
          <w:szCs w:val="32"/>
        </w:rPr>
      </w:pPr>
      <w:bookmarkStart w:id="50" w:name="_Toc15378460"/>
      <w:bookmarkStart w:id="51" w:name="_Toc15377444"/>
      <w:bookmarkStart w:id="52" w:name="_Toc15377213"/>
      <w:r>
        <w:rPr>
          <w:rFonts w:hint="eastAsia" w:ascii="仿宋" w:eastAsia="仿宋"/>
          <w:b/>
          <w:color w:val="000000"/>
          <w:sz w:val="32"/>
          <w:szCs w:val="32"/>
          <w:highlight w:val="none"/>
        </w:rPr>
        <w:t>2</w:t>
      </w:r>
      <w:r>
        <w:rPr>
          <w:rFonts w:hint="eastAsia" w:ascii="仿宋" w:eastAsia="仿宋"/>
          <w:color w:val="000000"/>
          <w:sz w:val="32"/>
          <w:szCs w:val="32"/>
        </w:rPr>
        <w:t>020年一般公共预算支出决算数为</w:t>
      </w:r>
      <w:r>
        <w:rPr>
          <w:rFonts w:hint="eastAsia" w:ascii="仿宋" w:eastAsia="仿宋"/>
          <w:color w:val="000000"/>
          <w:sz w:val="32"/>
          <w:szCs w:val="32"/>
          <w:lang w:val="en-US" w:eastAsia="zh-CN"/>
        </w:rPr>
        <w:t>995.68</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%。其中：</w:t>
      </w:r>
      <w:bookmarkEnd w:id="50"/>
      <w:bookmarkEnd w:id="51"/>
      <w:bookmarkEnd w:id="52"/>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1</w:t>
      </w:r>
      <w:r>
        <w:rPr>
          <w:rFonts w:hint="eastAsia" w:ascii="仿宋" w:eastAsia="仿宋"/>
          <w:color w:val="000000"/>
          <w:sz w:val="32"/>
          <w:szCs w:val="32"/>
        </w:rPr>
        <w:t>.社会保障和就业（类）行政事业单位养老支出（款）事业单位离退休（项）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1.52</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2</w:t>
      </w:r>
      <w:r>
        <w:rPr>
          <w:rFonts w:hint="eastAsia" w:ascii="仿宋" w:eastAsia="仿宋"/>
          <w:color w:val="000000"/>
          <w:sz w:val="32"/>
          <w:szCs w:val="32"/>
        </w:rPr>
        <w:t>.社会保障和就业（类）行政事业单位养老支出（款）机关事业单位基本养老保险缴费支出（项）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61.08</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3</w:t>
      </w:r>
      <w:r>
        <w:rPr>
          <w:rFonts w:hint="eastAsia" w:ascii="仿宋" w:eastAsia="仿宋"/>
          <w:color w:val="000000"/>
          <w:sz w:val="32"/>
          <w:szCs w:val="32"/>
        </w:rPr>
        <w:t>.社会保障和就业（类）行政事业单位养老支出（款） 机关事业单位职业年金缴费支出（项）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3.06</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4</w:t>
      </w:r>
      <w:r>
        <w:rPr>
          <w:rFonts w:hint="eastAsia" w:ascii="仿宋" w:eastAsia="仿宋"/>
          <w:color w:val="000000"/>
          <w:sz w:val="32"/>
          <w:szCs w:val="32"/>
        </w:rPr>
        <w:t>.社会保障和就业（类）其他社会保障和就业支（款）    其他社会保障和就业支出（项）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3.35</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5</w:t>
      </w:r>
      <w:r>
        <w:rPr>
          <w:rFonts w:hint="eastAsia" w:ascii="仿宋" w:eastAsia="仿宋"/>
          <w:color w:val="000000"/>
          <w:sz w:val="32"/>
          <w:szCs w:val="32"/>
        </w:rPr>
        <w:t>.卫生健康支出（类）行政事业单位医疗（款）事业单位医疗（项）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32.57</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6</w:t>
      </w:r>
      <w:r>
        <w:rPr>
          <w:rFonts w:hint="eastAsia" w:ascii="仿宋" w:eastAsia="仿宋"/>
          <w:color w:val="000000"/>
          <w:sz w:val="32"/>
          <w:szCs w:val="32"/>
        </w:rPr>
        <w:t>.</w:t>
      </w:r>
      <w:r>
        <w:rPr>
          <w:rFonts w:hint="default" w:ascii="仿宋" w:eastAsia="仿宋"/>
          <w:color w:val="000000"/>
          <w:sz w:val="32"/>
          <w:szCs w:val="32"/>
        </w:rPr>
        <w:t>交通运输</w:t>
      </w:r>
      <w:r>
        <w:rPr>
          <w:rFonts w:hint="eastAsia" w:ascii="仿宋" w:eastAsia="仿宋"/>
          <w:color w:val="000000"/>
          <w:sz w:val="32"/>
          <w:szCs w:val="32"/>
        </w:rPr>
        <w:t>（类）公路水路运输（款）公路运输管理（项）</w:t>
      </w:r>
      <w:r>
        <w:rPr>
          <w:rFonts w:hint="default" w:ascii="仿宋" w:eastAsia="仿宋"/>
          <w:color w:val="000000"/>
          <w:sz w:val="32"/>
          <w:szCs w:val="32"/>
        </w:rPr>
        <w:t>：</w:t>
      </w:r>
      <w:r>
        <w:rPr>
          <w:rFonts w:hint="eastAsia" w:ascii="仿宋" w:eastAsia="仿宋"/>
          <w:color w:val="000000"/>
          <w:sz w:val="32"/>
          <w:szCs w:val="32"/>
        </w:rPr>
        <w:t>支出决算为811.18万元，完成预算</w:t>
      </w:r>
      <w:r>
        <w:rPr>
          <w:rFonts w:hint="default" w:ascii="仿宋" w:eastAsia="仿宋"/>
          <w:color w:val="000000"/>
          <w:sz w:val="32"/>
          <w:szCs w:val="32"/>
        </w:rPr>
        <w:t>100</w:t>
      </w:r>
      <w:r>
        <w:rPr>
          <w:rFonts w:hint="eastAsia" w:ascii="仿宋" w:eastAsia="仿宋"/>
          <w:color w:val="000000"/>
          <w:sz w:val="32"/>
          <w:szCs w:val="32"/>
        </w:rPr>
        <w:t>%，决算数</w:t>
      </w:r>
      <w:r>
        <w:rPr>
          <w:rFonts w:hint="default" w:ascii="仿宋" w:eastAsia="仿宋"/>
          <w:color w:val="000000"/>
          <w:sz w:val="32"/>
          <w:szCs w:val="32"/>
        </w:rPr>
        <w:t>等于</w:t>
      </w:r>
      <w:r>
        <w:rPr>
          <w:rFonts w:hint="eastAsia" w:ascii="仿宋" w:eastAsia="仿宋"/>
          <w:color w:val="000000"/>
          <w:sz w:val="32"/>
          <w:szCs w:val="32"/>
        </w:rPr>
        <w:t>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7</w:t>
      </w:r>
      <w:r>
        <w:rPr>
          <w:rFonts w:hint="eastAsia" w:ascii="仿宋" w:eastAsia="仿宋"/>
          <w:color w:val="000000"/>
          <w:sz w:val="32"/>
          <w:szCs w:val="32"/>
        </w:rPr>
        <w:t>.</w:t>
      </w:r>
      <w:r>
        <w:rPr>
          <w:rFonts w:hint="default" w:ascii="仿宋" w:eastAsia="仿宋"/>
          <w:color w:val="000000"/>
          <w:sz w:val="32"/>
          <w:szCs w:val="32"/>
        </w:rPr>
        <w:t>交通运输</w:t>
      </w:r>
      <w:r>
        <w:rPr>
          <w:rFonts w:hint="eastAsia" w:ascii="仿宋" w:eastAsia="仿宋"/>
          <w:color w:val="000000"/>
          <w:sz w:val="32"/>
          <w:szCs w:val="32"/>
        </w:rPr>
        <w:t>（类）公路水路运输（款）其他公路水路运输支出（项）</w:t>
      </w:r>
      <w:r>
        <w:rPr>
          <w:rFonts w:hint="default" w:ascii="仿宋" w:eastAsia="仿宋"/>
          <w:color w:val="000000"/>
          <w:sz w:val="32"/>
          <w:szCs w:val="32"/>
        </w:rPr>
        <w:t>：</w:t>
      </w:r>
      <w:r>
        <w:rPr>
          <w:rFonts w:hint="eastAsia" w:ascii="仿宋" w:eastAsia="仿宋"/>
          <w:color w:val="000000"/>
          <w:sz w:val="32"/>
          <w:szCs w:val="32"/>
        </w:rPr>
        <w:t>支出决算为6.2</w:t>
      </w:r>
      <w:r>
        <w:rPr>
          <w:rFonts w:hint="default" w:ascii="仿宋" w:eastAsia="仿宋"/>
          <w:color w:val="000000"/>
          <w:sz w:val="32"/>
          <w:szCs w:val="32"/>
        </w:rPr>
        <w:t>0</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8</w:t>
      </w:r>
      <w:r>
        <w:rPr>
          <w:rFonts w:hint="eastAsia" w:ascii="仿宋" w:eastAsia="仿宋"/>
          <w:color w:val="000000"/>
          <w:sz w:val="32"/>
          <w:szCs w:val="32"/>
        </w:rPr>
        <w:t>.</w:t>
      </w:r>
      <w:r>
        <w:rPr>
          <w:rFonts w:hint="default" w:ascii="仿宋" w:eastAsia="仿宋"/>
          <w:color w:val="000000"/>
          <w:sz w:val="32"/>
          <w:szCs w:val="32"/>
        </w:rPr>
        <w:t>交通运输</w:t>
      </w:r>
      <w:r>
        <w:rPr>
          <w:rFonts w:hint="eastAsia" w:ascii="仿宋" w:eastAsia="仿宋"/>
          <w:color w:val="000000"/>
          <w:sz w:val="32"/>
          <w:szCs w:val="32"/>
        </w:rPr>
        <w:t>（类）其他交通运输支出（款）其他交通运输支出（项）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8</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w:t>
      </w:r>
      <w:r>
        <w:rPr>
          <w:rFonts w:hint="default" w:ascii="仿宋" w:eastAsia="仿宋"/>
          <w:color w:val="000000"/>
          <w:sz w:val="32"/>
          <w:szCs w:val="32"/>
        </w:rPr>
        <w:t>等于</w:t>
      </w:r>
      <w:r>
        <w:rPr>
          <w:rFonts w:hint="eastAsia" w:ascii="仿宋" w:eastAsia="仿宋"/>
          <w:color w:val="000000"/>
          <w:sz w:val="32"/>
          <w:szCs w:val="32"/>
        </w:rPr>
        <w:t>预算数。</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rPr>
        <w:t>9</w:t>
      </w:r>
      <w:r>
        <w:rPr>
          <w:rFonts w:hint="eastAsia" w:ascii="仿宋" w:eastAsia="仿宋"/>
          <w:color w:val="000000"/>
          <w:sz w:val="32"/>
          <w:szCs w:val="32"/>
        </w:rPr>
        <w:t>.住房保障支出（类）住房改革支出（款）住房公积金（项）</w:t>
      </w:r>
      <w:r>
        <w:rPr>
          <w:rFonts w:hint="default" w:ascii="仿宋" w:eastAsia="仿宋"/>
          <w:color w:val="000000"/>
          <w:sz w:val="32"/>
          <w:szCs w:val="32"/>
        </w:rPr>
        <w:t>：</w:t>
      </w:r>
      <w:r>
        <w:rPr>
          <w:rFonts w:hint="eastAsia" w:ascii="仿宋" w:eastAsia="仿宋"/>
          <w:color w:val="000000"/>
          <w:sz w:val="32"/>
          <w:szCs w:val="32"/>
        </w:rPr>
        <w:t>支出决算为</w:t>
      </w:r>
      <w:r>
        <w:rPr>
          <w:rFonts w:hint="default" w:ascii="仿宋" w:eastAsia="仿宋"/>
          <w:color w:val="000000"/>
          <w:sz w:val="32"/>
          <w:szCs w:val="32"/>
        </w:rPr>
        <w:t>68.72</w:t>
      </w:r>
      <w:r>
        <w:rPr>
          <w:rFonts w:hint="eastAsia" w:ascii="仿宋" w:eastAsia="仿宋"/>
          <w:color w:val="000000"/>
          <w:sz w:val="32"/>
          <w:szCs w:val="32"/>
        </w:rPr>
        <w:t>万元，完成预算</w:t>
      </w:r>
      <w:r>
        <w:rPr>
          <w:rFonts w:hint="default" w:ascii="仿宋" w:eastAsia="仿宋"/>
          <w:color w:val="000000"/>
          <w:sz w:val="32"/>
          <w:szCs w:val="32"/>
        </w:rPr>
        <w:t>100</w:t>
      </w:r>
      <w:r>
        <w:rPr>
          <w:rFonts w:hint="eastAsia" w:ascii="仿宋" w:eastAsia="仿宋"/>
          <w:color w:val="000000"/>
          <w:sz w:val="32"/>
          <w:szCs w:val="32"/>
        </w:rPr>
        <w:t>%，决算数等于预算数。</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53" w:name="_Toc15396608"/>
      <w:bookmarkStart w:id="54" w:name="_Toc15377214"/>
      <w:bookmarkStart w:id="55" w:name="_Toc97792496"/>
      <w:r>
        <w:rPr>
          <w:rFonts w:hint="eastAsia" w:ascii="黑体" w:hAnsi="黑体" w:eastAsia="黑体" w:cs="黑体"/>
          <w:b w:val="0"/>
          <w:bCs/>
          <w:color w:val="000000"/>
          <w:kern w:val="0"/>
          <w:sz w:val="32"/>
          <w:szCs w:val="32"/>
          <w:lang w:val="en-US" w:eastAsia="zh-CN" w:bidi="ar-SA"/>
        </w:rPr>
        <w:t>六、一般公共预算财政拨款基本支出决算情况说明</w:t>
      </w:r>
      <w:bookmarkEnd w:id="53"/>
      <w:bookmarkEnd w:id="54"/>
      <w:r>
        <w:rPr>
          <w:rFonts w:hint="eastAsia" w:ascii="黑体" w:hAnsi="黑体" w:eastAsia="黑体" w:cs="黑体"/>
          <w:b w:val="0"/>
          <w:bCs/>
          <w:color w:val="000000"/>
          <w:kern w:val="0"/>
          <w:sz w:val="32"/>
          <w:szCs w:val="32"/>
          <w:lang w:val="en-US" w:eastAsia="zh-CN" w:bidi="ar-SA"/>
        </w:rPr>
        <w:tab/>
      </w:r>
      <w:bookmarkEnd w:id="55"/>
    </w:p>
    <w:p>
      <w:pPr>
        <w:keepNext w:val="0"/>
        <w:keepLines w:val="0"/>
        <w:pageBreakBefore w:val="0"/>
        <w:kinsoku/>
        <w:wordWrap/>
        <w:overflowPunct/>
        <w:topLinePunct w:val="0"/>
        <w:autoSpaceDE/>
        <w:autoSpaceDN/>
        <w:bidi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2020年一般公共预算财政拨款基本支出</w:t>
      </w:r>
      <w:r>
        <w:rPr>
          <w:rFonts w:hint="eastAsia" w:ascii="仿宋" w:eastAsia="仿宋"/>
          <w:color w:val="000000"/>
          <w:sz w:val="32"/>
          <w:szCs w:val="32"/>
          <w:lang w:val="en-US" w:eastAsia="zh-CN"/>
        </w:rPr>
        <w:t>845.62</w:t>
      </w:r>
      <w:r>
        <w:rPr>
          <w:rFonts w:hint="eastAsia" w:ascii="仿宋" w:eastAsia="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after="0" w:line="576" w:lineRule="exact"/>
        <w:ind w:firstLine="665" w:firstLineChars="208"/>
        <w:textAlignment w:val="auto"/>
        <w:rPr>
          <w:rFonts w:hint="eastAsia" w:ascii="仿宋" w:eastAsia="仿宋"/>
          <w:color w:val="000000" w:themeColor="text1"/>
          <w:sz w:val="32"/>
          <w:szCs w:val="32"/>
          <w:lang w:eastAsia="zh-CN"/>
          <w14:textFill>
            <w14:solidFill>
              <w14:schemeClr w14:val="tx1"/>
            </w14:solidFill>
          </w14:textFill>
        </w:rPr>
      </w:pPr>
      <w:r>
        <w:rPr>
          <w:rFonts w:hint="eastAsia" w:ascii="仿宋" w:eastAsia="仿宋"/>
          <w:color w:val="000000"/>
          <w:sz w:val="32"/>
          <w:szCs w:val="32"/>
          <w:lang w:val="en-US" w:eastAsia="zh-CN"/>
        </w:rPr>
        <w:t>工资福利支出673.37</w:t>
      </w:r>
      <w:r>
        <w:rPr>
          <w:rFonts w:hint="eastAsia" w:ascii="仿宋" w:eastAsia="仿宋"/>
          <w:color w:val="000000"/>
          <w:sz w:val="32"/>
          <w:szCs w:val="32"/>
        </w:rPr>
        <w:t>万元，主要包括：</w:t>
      </w:r>
      <w:r>
        <w:rPr>
          <w:rFonts w:hint="eastAsia" w:ascii="仿宋" w:eastAsia="仿宋"/>
          <w:color w:val="000000" w:themeColor="text1"/>
          <w:sz w:val="32"/>
          <w:szCs w:val="32"/>
          <w14:textFill>
            <w14:solidFill>
              <w14:schemeClr w14:val="tx1"/>
            </w14:solidFill>
          </w14:textFill>
        </w:rPr>
        <w:t>基本工资、津贴补贴、奖金、伙食补助费、绩效工资、机关事业单位基本养老保险缴费、职业年金缴费、</w:t>
      </w:r>
      <w:r>
        <w:rPr>
          <w:rFonts w:hint="default" w:ascii="仿宋" w:eastAsia="仿宋"/>
          <w:color w:val="000000" w:themeColor="text1"/>
          <w:sz w:val="32"/>
          <w:szCs w:val="32"/>
          <w14:textFill>
            <w14:solidFill>
              <w14:schemeClr w14:val="tx1"/>
            </w14:solidFill>
          </w14:textFill>
        </w:rPr>
        <w:t>职工基本医疗保险缴费</w:t>
      </w:r>
      <w:r>
        <w:rPr>
          <w:rFonts w:hint="eastAsia" w:ascii="仿宋" w:eastAsia="仿宋"/>
          <w:color w:val="000000" w:themeColor="text1"/>
          <w:sz w:val="32"/>
          <w:szCs w:val="32"/>
          <w14:textFill>
            <w14:solidFill>
              <w14:schemeClr w14:val="tx1"/>
            </w14:solidFill>
          </w14:textFill>
        </w:rPr>
        <w:t>、</w:t>
      </w:r>
      <w:r>
        <w:rPr>
          <w:rFonts w:hint="default" w:ascii="仿宋" w:eastAsia="仿宋"/>
          <w:color w:val="000000" w:themeColor="text1"/>
          <w:sz w:val="32"/>
          <w:szCs w:val="32"/>
          <w14:textFill>
            <w14:solidFill>
              <w14:schemeClr w14:val="tx1"/>
            </w14:solidFill>
          </w14:textFill>
        </w:rPr>
        <w:t>公务员医疗补助缴费</w:t>
      </w:r>
      <w:r>
        <w:rPr>
          <w:rFonts w:hint="eastAsia" w:ascii="仿宋" w:eastAsia="仿宋"/>
          <w:color w:val="000000" w:themeColor="text1"/>
          <w:sz w:val="32"/>
          <w:szCs w:val="32"/>
          <w14:textFill>
            <w14:solidFill>
              <w14:schemeClr w14:val="tx1"/>
            </w14:solidFill>
          </w14:textFill>
        </w:rPr>
        <w:t>、</w:t>
      </w:r>
      <w:r>
        <w:rPr>
          <w:rFonts w:hint="default" w:ascii="仿宋" w:eastAsia="仿宋"/>
          <w:color w:val="000000" w:themeColor="text1"/>
          <w:sz w:val="32"/>
          <w:szCs w:val="32"/>
          <w14:textFill>
            <w14:solidFill>
              <w14:schemeClr w14:val="tx1"/>
            </w14:solidFill>
          </w14:textFill>
        </w:rPr>
        <w:t>其他社会保障缴费、住房公积金、医疗费、其他工资福利支出</w:t>
      </w:r>
      <w:r>
        <w:rPr>
          <w:rFonts w:hint="eastAsia" w:ascii="仿宋" w:eastAsia="仿宋"/>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after="0" w:line="576" w:lineRule="exact"/>
        <w:ind w:firstLine="665" w:firstLineChars="208"/>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sz w:val="32"/>
          <w:szCs w:val="32"/>
          <w:lang w:val="en-US" w:eastAsia="zh-CN"/>
        </w:rPr>
        <w:t>商品和服务支出</w:t>
      </w:r>
      <w:r>
        <w:rPr>
          <w:rFonts w:hint="eastAsia" w:ascii="仿宋" w:eastAsia="仿宋"/>
          <w:color w:val="000000"/>
          <w:sz w:val="32"/>
          <w:szCs w:val="32"/>
        </w:rPr>
        <w:t>158.94万元，主要包括：</w:t>
      </w:r>
      <w:r>
        <w:rPr>
          <w:rFonts w:hint="eastAsia" w:ascii="仿宋" w:eastAsia="仿宋"/>
          <w:color w:val="000000" w:themeColor="text1"/>
          <w:sz w:val="32"/>
          <w:szCs w:val="32"/>
          <w14:textFill>
            <w14:solidFill>
              <w14:schemeClr w14:val="tx1"/>
            </w14:solidFill>
          </w14:textFill>
        </w:rPr>
        <w:t>办公费、印刷费、咨询费、手续费、水费、电费、邮电费、取暖费、物业管理费、差旅费、因公出国（境）费用、维修（护）费、租赁费、会议费、培训费、公务接待费、</w:t>
      </w:r>
      <w:r>
        <w:rPr>
          <w:rFonts w:hint="default" w:ascii="仿宋" w:eastAsia="仿宋"/>
          <w:color w:val="000000" w:themeColor="text1"/>
          <w:sz w:val="32"/>
          <w:szCs w:val="32"/>
          <w14:textFill>
            <w14:solidFill>
              <w14:schemeClr w14:val="tx1"/>
            </w14:solidFill>
          </w14:textFill>
        </w:rPr>
        <w:t>专用材料费、被装购置费</w:t>
      </w:r>
      <w:r>
        <w:rPr>
          <w:rFonts w:hint="eastAsia" w:ascii="仿宋" w:eastAsia="仿宋"/>
          <w:color w:val="000000" w:themeColor="text1"/>
          <w:sz w:val="32"/>
          <w:szCs w:val="32"/>
          <w14:textFill>
            <w14:solidFill>
              <w14:schemeClr w14:val="tx1"/>
            </w14:solidFill>
          </w14:textFill>
        </w:rPr>
        <w:t>、</w:t>
      </w:r>
      <w:r>
        <w:rPr>
          <w:rFonts w:hint="default" w:ascii="仿宋" w:eastAsia="仿宋"/>
          <w:color w:val="000000" w:themeColor="text1"/>
          <w:sz w:val="32"/>
          <w:szCs w:val="32"/>
          <w14:textFill>
            <w14:solidFill>
              <w14:schemeClr w14:val="tx1"/>
            </w14:solidFill>
          </w14:textFill>
        </w:rPr>
        <w:t>专用燃料费、劳务费、委托业务费、公会经费、福利费、公务用车运行维护费、其他交通费用、税金及附加费用、其他商品和服务支出</w:t>
      </w:r>
      <w:r>
        <w:rPr>
          <w:rFonts w:hint="eastAsia" w:ascii="仿宋" w:eastAsia="仿宋"/>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after="0" w:line="576" w:lineRule="exact"/>
        <w:ind w:firstLine="665" w:firstLineChars="208"/>
        <w:textAlignment w:val="auto"/>
        <w:rPr>
          <w:rFonts w:hint="eastAsia" w:ascii="仿宋" w:eastAsia="仿宋"/>
          <w:b/>
          <w:color w:val="FF0000"/>
          <w:sz w:val="32"/>
          <w:szCs w:val="32"/>
        </w:rPr>
      </w:pPr>
      <w:r>
        <w:rPr>
          <w:rFonts w:hint="default" w:ascii="仿宋" w:eastAsia="仿宋"/>
          <w:color w:val="000000" w:themeColor="text1"/>
          <w:sz w:val="32"/>
          <w:szCs w:val="32"/>
          <w14:textFill>
            <w14:solidFill>
              <w14:schemeClr w14:val="tx1"/>
            </w14:solidFill>
          </w14:textFill>
        </w:rPr>
        <w:t>对个人和家庭的补助支出</w:t>
      </w:r>
      <w:r>
        <w:rPr>
          <w:rFonts w:hint="eastAsia" w:ascii="仿宋" w:eastAsia="仿宋"/>
          <w:color w:val="000000" w:themeColor="text1"/>
          <w:sz w:val="32"/>
          <w:szCs w:val="32"/>
          <w:lang w:val="en-US" w:eastAsia="zh-CN"/>
          <w14:textFill>
            <w14:solidFill>
              <w14:schemeClr w14:val="tx1"/>
            </w14:solidFill>
          </w14:textFill>
        </w:rPr>
        <w:t>13.33万元，主要包括：</w:t>
      </w:r>
      <w:r>
        <w:rPr>
          <w:rFonts w:hint="default" w:ascii="仿宋" w:eastAsia="仿宋"/>
          <w:color w:val="000000" w:themeColor="text1"/>
          <w:sz w:val="32"/>
          <w:szCs w:val="32"/>
          <w14:textFill>
            <w14:solidFill>
              <w14:schemeClr w14:val="tx1"/>
            </w14:solidFill>
          </w14:textFill>
        </w:rPr>
        <w:t>退休费、离休费、退职（役）费、抚恤金、生活补助、救济费、医疗费补助、助学金、奖励金、个人农业生产补贴、代缴社会保险费、其他个人和家庭的补助支出等。</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56" w:name="_Toc15377215"/>
      <w:bookmarkStart w:id="57" w:name="_Toc97792497"/>
      <w:bookmarkStart w:id="58" w:name="_Toc15396609"/>
      <w:r>
        <w:rPr>
          <w:rFonts w:hint="eastAsia" w:ascii="黑体" w:hAnsi="黑体" w:eastAsia="黑体" w:cs="黑体"/>
          <w:b w:val="0"/>
          <w:bCs/>
          <w:color w:val="000000"/>
          <w:kern w:val="0"/>
          <w:sz w:val="32"/>
          <w:szCs w:val="32"/>
          <w:lang w:val="en-US" w:eastAsia="zh-CN" w:bidi="ar-SA"/>
        </w:rPr>
        <w:t>七、“三公”经费财政拨款支出决算情况说明</w:t>
      </w:r>
      <w:bookmarkEnd w:id="56"/>
      <w:bookmarkEnd w:id="57"/>
      <w:bookmarkEnd w:id="58"/>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bookmarkStart w:id="59" w:name="_Toc15377216"/>
      <w:r>
        <w:rPr>
          <w:rFonts w:hint="eastAsia" w:ascii="楷体_GB2312" w:hAnsi="楷体_GB2312" w:eastAsia="楷体_GB2312" w:cs="楷体_GB2312"/>
          <w:b w:val="0"/>
          <w:bCs/>
          <w:color w:val="000000"/>
          <w:sz w:val="32"/>
          <w:szCs w:val="32"/>
        </w:rPr>
        <w:t>（一）“三公”经费财政拨款支出决算总体情况说明</w:t>
      </w:r>
      <w:bookmarkEnd w:id="59"/>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2020年“三公”经费财政拨款支出决算为</w:t>
      </w:r>
      <w:r>
        <w:rPr>
          <w:rFonts w:hint="eastAsia" w:ascii="仿宋" w:eastAsia="仿宋"/>
          <w:color w:val="000000"/>
          <w:sz w:val="32"/>
          <w:szCs w:val="32"/>
          <w:lang w:val="en-US" w:eastAsia="zh-CN"/>
        </w:rPr>
        <w:t>5.09</w:t>
      </w:r>
      <w:r>
        <w:rPr>
          <w:rFonts w:hint="eastAsia" w:ascii="仿宋" w:eastAsia="仿宋"/>
          <w:color w:val="000000"/>
          <w:sz w:val="32"/>
          <w:szCs w:val="32"/>
        </w:rPr>
        <w:t>万元，完成预算</w:t>
      </w:r>
      <w:r>
        <w:rPr>
          <w:rFonts w:hint="eastAsia" w:ascii="仿宋" w:eastAsia="仿宋"/>
          <w:color w:val="000000"/>
          <w:sz w:val="32"/>
          <w:szCs w:val="32"/>
          <w:lang w:val="en-US" w:eastAsia="zh-CN"/>
        </w:rPr>
        <w:t>100</w:t>
      </w:r>
      <w:r>
        <w:rPr>
          <w:rFonts w:hint="eastAsia" w:ascii="仿宋" w:eastAsia="仿宋"/>
          <w:color w:val="000000"/>
          <w:sz w:val="32"/>
          <w:szCs w:val="32"/>
        </w:rPr>
        <w:t>%，决算数与预算数持平</w:t>
      </w:r>
      <w:r>
        <w:rPr>
          <w:rFonts w:hint="eastAsia" w:ascii="仿宋" w:eastAsia="仿宋"/>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bookmarkStart w:id="60" w:name="_Toc15377217"/>
      <w:r>
        <w:rPr>
          <w:rFonts w:hint="eastAsia" w:ascii="楷体_GB2312" w:hAnsi="楷体_GB2312" w:eastAsia="楷体_GB2312" w:cs="楷体_GB2312"/>
          <w:b w:val="0"/>
          <w:bCs/>
          <w:color w:val="000000"/>
          <w:sz w:val="32"/>
          <w:szCs w:val="32"/>
        </w:rPr>
        <w:t>（二）“三公”经费财政拨款支出决算具体情况说明</w:t>
      </w:r>
      <w:bookmarkEnd w:id="60"/>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2020年“三公”经费财政拨款支出决算中，因公出国（境）费支出决算</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hint="eastAsia" w:ascii="仿宋" w:eastAsia="仿宋"/>
          <w:color w:val="000000"/>
          <w:sz w:val="32"/>
          <w:szCs w:val="32"/>
        </w:rPr>
        <w:t>%；公务用车购置及运行维护费支出决算</w:t>
      </w:r>
      <w:r>
        <w:rPr>
          <w:rFonts w:hint="eastAsia" w:ascii="仿宋" w:eastAsia="仿宋"/>
          <w:color w:val="000000"/>
          <w:sz w:val="32"/>
          <w:szCs w:val="32"/>
          <w:lang w:val="en-US" w:eastAsia="zh-CN"/>
        </w:rPr>
        <w:t>4.52</w:t>
      </w:r>
      <w:r>
        <w:rPr>
          <w:rFonts w:hint="eastAsia" w:ascii="仿宋" w:eastAsia="仿宋"/>
          <w:color w:val="000000"/>
          <w:sz w:val="32"/>
          <w:szCs w:val="32"/>
        </w:rPr>
        <w:t>万元，占</w:t>
      </w:r>
      <w:r>
        <w:rPr>
          <w:rFonts w:hint="eastAsia" w:ascii="仿宋" w:eastAsia="仿宋"/>
          <w:color w:val="000000"/>
          <w:sz w:val="32"/>
          <w:szCs w:val="32"/>
          <w:lang w:val="en-US" w:eastAsia="zh-CN"/>
        </w:rPr>
        <w:t>88.80</w:t>
      </w:r>
      <w:r>
        <w:rPr>
          <w:rFonts w:hint="eastAsia" w:ascii="仿宋" w:eastAsia="仿宋"/>
          <w:color w:val="000000"/>
          <w:sz w:val="32"/>
          <w:szCs w:val="32"/>
        </w:rPr>
        <w:t>%；公务接待费支出决算</w:t>
      </w:r>
      <w:r>
        <w:rPr>
          <w:rFonts w:hint="eastAsia" w:ascii="仿宋" w:eastAsia="仿宋"/>
          <w:color w:val="000000"/>
          <w:sz w:val="32"/>
          <w:szCs w:val="32"/>
          <w:lang w:val="en-US" w:eastAsia="zh-CN"/>
        </w:rPr>
        <w:t>0.57</w:t>
      </w:r>
      <w:r>
        <w:rPr>
          <w:rFonts w:hint="eastAsia" w:ascii="仿宋" w:eastAsia="仿宋"/>
          <w:color w:val="000000"/>
          <w:sz w:val="32"/>
          <w:szCs w:val="32"/>
        </w:rPr>
        <w:t>万元，占</w:t>
      </w:r>
      <w:r>
        <w:rPr>
          <w:rFonts w:hint="eastAsia" w:ascii="仿宋" w:eastAsia="仿宋"/>
          <w:color w:val="000000"/>
          <w:sz w:val="32"/>
          <w:szCs w:val="32"/>
          <w:lang w:val="en-US" w:eastAsia="zh-CN"/>
        </w:rPr>
        <w:t>11.20</w:t>
      </w:r>
      <w:r>
        <w:rPr>
          <w:rFonts w:hint="eastAsia" w:ascii="仿宋" w:eastAsia="仿宋"/>
          <w:color w:val="000000"/>
          <w:sz w:val="32"/>
          <w:szCs w:val="32"/>
        </w:rPr>
        <w:t>%。具体情况如下：</w:t>
      </w:r>
    </w:p>
    <w:p>
      <w:pPr>
        <w:pageBreakBefore w:val="0"/>
        <w:kinsoku/>
        <w:wordWrap/>
        <w:overflowPunct/>
        <w:topLinePunct w:val="0"/>
        <w:autoSpaceDE/>
        <w:autoSpaceDN/>
        <w:bidi w:val="0"/>
        <w:spacing w:line="576" w:lineRule="exact"/>
        <w:ind w:firstLine="640"/>
        <w:jc w:val="center"/>
        <w:textAlignment w:val="auto"/>
        <w:rPr>
          <w:rFonts w:hint="eastAsia" w:ascii="仿宋" w:eastAsia="仿宋"/>
          <w:color w:val="000000"/>
          <w:sz w:val="32"/>
          <w:szCs w:val="32"/>
        </w:rPr>
      </w:pPr>
      <w:r>
        <w:rPr>
          <w:rFonts w:hint="eastAsia" w:ascii="仿宋" w:eastAsia="仿宋"/>
          <w:color w:val="000000"/>
          <w:sz w:val="32"/>
          <w:szCs w:val="32"/>
        </w:rPr>
        <w:t>（图7：“三公”经费财政拨款支出结构）</w:t>
      </w:r>
    </w:p>
    <w:p>
      <w:pPr>
        <w:keepNext w:val="0"/>
        <w:keepLines w:val="0"/>
        <w:pageBreakBefore w:val="0"/>
        <w:widowControl/>
        <w:kinsoku/>
        <w:wordWrap/>
        <w:overflowPunct/>
        <w:topLinePunct w:val="0"/>
        <w:autoSpaceDE/>
        <w:autoSpaceDN/>
        <w:bidi w:val="0"/>
        <w:adjustRightInd w:val="0"/>
        <w:snapToGrid w:val="0"/>
        <w:spacing w:line="240" w:lineRule="auto"/>
        <w:ind w:firstLine="641"/>
        <w:textAlignment w:val="auto"/>
        <w:rPr>
          <w:rFonts w:hint="eastAsia" w:ascii="仿宋" w:eastAsia="仿宋"/>
          <w:color w:val="000000"/>
          <w:sz w:val="32"/>
          <w:szCs w:val="32"/>
        </w:rPr>
      </w:pPr>
      <w:r>
        <w:rPr>
          <w:rFonts w:hint="eastAsia" w:ascii="仿宋" w:eastAsia="仿宋"/>
          <w:color w:val="000000"/>
          <w:sz w:val="32"/>
          <w:szCs w:val="32"/>
        </w:rPr>
        <w:drawing>
          <wp:inline distT="0" distB="0" distL="0" distR="0">
            <wp:extent cx="4590415" cy="2756535"/>
            <wp:effectExtent l="5080" t="4445" r="14605"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_GB2312" w:eastAsia="仿宋_GB2312"/>
          <w:b/>
          <w:color w:val="000000"/>
          <w:sz w:val="32"/>
          <w:szCs w:val="32"/>
        </w:rPr>
      </w:pPr>
      <w:r>
        <w:rPr>
          <w:rFonts w:hint="eastAsia" w:ascii="仿宋" w:eastAsia="仿宋"/>
          <w:color w:val="000000"/>
          <w:sz w:val="32"/>
          <w:szCs w:val="32"/>
          <w:lang w:val="en-US" w:eastAsia="zh-CN"/>
        </w:rPr>
        <w:t>1.公务用车购置及运行维护费支出4.5</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r>
        <w:rPr>
          <w:rStyle w:val="21"/>
          <w:rFonts w:hint="eastAsia" w:ascii="仿宋" w:eastAsia="仿宋"/>
          <w:b w:val="0"/>
          <w:bCs/>
          <w:color w:val="000000"/>
          <w:sz w:val="32"/>
          <w:szCs w:val="32"/>
        </w:rPr>
        <w:t>完成预算</w:t>
      </w:r>
      <w:r>
        <w:rPr>
          <w:rStyle w:val="21"/>
          <w:rFonts w:hint="eastAsia" w:ascii="仿宋" w:eastAsia="仿宋"/>
          <w:b w:val="0"/>
          <w:bCs/>
          <w:color w:val="000000"/>
          <w:sz w:val="32"/>
          <w:szCs w:val="32"/>
          <w:lang w:val="en-US" w:eastAsia="zh-CN"/>
        </w:rPr>
        <w:t>100</w:t>
      </w:r>
      <w:r>
        <w:rPr>
          <w:rStyle w:val="21"/>
          <w:rFonts w:hint="eastAsia" w:ascii="仿宋" w:eastAsia="仿宋"/>
          <w:b w:val="0"/>
          <w:bCs/>
          <w:color w:val="000000"/>
          <w:sz w:val="32"/>
          <w:szCs w:val="32"/>
        </w:rPr>
        <w:t>%。</w:t>
      </w:r>
      <w:r>
        <w:rPr>
          <w:rFonts w:hint="eastAsia" w:ascii="仿宋" w:eastAsia="仿宋"/>
          <w:color w:val="000000"/>
          <w:sz w:val="32"/>
          <w:szCs w:val="32"/>
        </w:rPr>
        <w:t>公务用车购置及运行维护费支出决算比201</w:t>
      </w:r>
      <w:r>
        <w:rPr>
          <w:rFonts w:hint="eastAsia" w:ascii="仿宋" w:eastAsia="仿宋"/>
          <w:color w:val="000000"/>
          <w:sz w:val="32"/>
          <w:szCs w:val="32"/>
          <w:lang w:val="en-US" w:eastAsia="zh-CN"/>
        </w:rPr>
        <w:t>9</w:t>
      </w:r>
      <w:r>
        <w:rPr>
          <w:rFonts w:hint="eastAsia" w:ascii="仿宋" w:eastAsia="仿宋"/>
          <w:color w:val="000000"/>
          <w:sz w:val="32"/>
          <w:szCs w:val="32"/>
        </w:rPr>
        <w:t>年减少</w:t>
      </w:r>
      <w:r>
        <w:rPr>
          <w:rFonts w:hint="default" w:ascii="仿宋" w:eastAsia="仿宋"/>
          <w:color w:val="000000"/>
          <w:sz w:val="32"/>
          <w:szCs w:val="32"/>
        </w:rPr>
        <w:t>0.42</w:t>
      </w:r>
      <w:r>
        <w:rPr>
          <w:rFonts w:hint="eastAsia" w:ascii="仿宋" w:eastAsia="仿宋"/>
          <w:color w:val="000000"/>
          <w:sz w:val="32"/>
          <w:szCs w:val="32"/>
        </w:rPr>
        <w:t>万元，下降</w:t>
      </w:r>
      <w:r>
        <w:rPr>
          <w:rFonts w:hint="default" w:ascii="仿宋" w:eastAsia="仿宋"/>
          <w:color w:val="000000"/>
          <w:sz w:val="32"/>
          <w:szCs w:val="32"/>
        </w:rPr>
        <w:t>8.50</w:t>
      </w:r>
      <w:r>
        <w:rPr>
          <w:rFonts w:hint="eastAsia" w:ascii="仿宋" w:eastAsia="仿宋"/>
          <w:color w:val="000000"/>
          <w:sz w:val="32"/>
          <w:szCs w:val="32"/>
        </w:rPr>
        <w:t>%。主要原因是</w:t>
      </w:r>
      <w:r>
        <w:rPr>
          <w:rFonts w:hint="default" w:ascii="仿宋" w:eastAsia="仿宋"/>
          <w:color w:val="000000"/>
          <w:sz w:val="32"/>
          <w:szCs w:val="32"/>
        </w:rPr>
        <w:t>厉行节约，压减经费</w:t>
      </w:r>
      <w:r>
        <w:rPr>
          <w:rFonts w:hint="eastAsia" w:ascii="仿宋" w:eastAsia="仿宋"/>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lang w:val="en-US" w:eastAsia="zh-CN"/>
        </w:rPr>
      </w:pPr>
      <w:r>
        <w:rPr>
          <w:rFonts w:hint="eastAsia" w:ascii="仿宋_GB2312" w:eastAsia="仿宋_GB2312"/>
          <w:color w:val="000000"/>
          <w:sz w:val="32"/>
          <w:szCs w:val="32"/>
        </w:rPr>
        <w:t>其</w:t>
      </w:r>
      <w:r>
        <w:rPr>
          <w:rFonts w:hint="eastAsia" w:ascii="仿宋" w:eastAsia="仿宋"/>
          <w:color w:val="000000"/>
          <w:sz w:val="32"/>
          <w:szCs w:val="32"/>
          <w:lang w:val="en-US" w:eastAsia="zh-CN"/>
        </w:rPr>
        <w:t>中：公务用车购置支出0万元。</w:t>
      </w:r>
      <w:r>
        <w:rPr>
          <w:rFonts w:hint="default" w:ascii="仿宋" w:eastAsia="仿宋"/>
          <w:color w:val="000000"/>
          <w:sz w:val="32"/>
          <w:szCs w:val="32"/>
          <w:lang w:val="en-US" w:eastAsia="zh-CN"/>
        </w:rPr>
        <w:t>截至</w:t>
      </w:r>
      <w:r>
        <w:rPr>
          <w:rFonts w:hint="eastAsia" w:ascii="仿宋" w:eastAsia="仿宋"/>
          <w:color w:val="000000"/>
          <w:sz w:val="32"/>
          <w:szCs w:val="32"/>
          <w:lang w:val="en-US" w:eastAsia="zh-CN"/>
        </w:rPr>
        <w:t>2020年12月底，单位共有公务用车10辆，其中：轿车0辆、越野车0辆、载客汽车0辆、应急保障用车10辆。</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公务用车运行维护费支出4.52万元。主要用于道路运输经营行政审批</w:t>
      </w:r>
      <w:r>
        <w:rPr>
          <w:rFonts w:hint="default" w:ascii="仿宋" w:eastAsia="仿宋"/>
          <w:color w:val="000000"/>
          <w:sz w:val="32"/>
          <w:szCs w:val="32"/>
          <w:lang w:val="en-US" w:eastAsia="zh-CN"/>
        </w:rPr>
        <w:t>、管理、监督</w:t>
      </w:r>
      <w:r>
        <w:rPr>
          <w:rFonts w:hint="eastAsia" w:ascii="仿宋" w:eastAsia="仿宋"/>
          <w:color w:val="000000"/>
          <w:sz w:val="32"/>
          <w:szCs w:val="32"/>
          <w:lang w:val="en-US" w:eastAsia="zh-CN"/>
        </w:rPr>
        <w:t>等所需的公务用车燃料费、维修费、过路过桥费、保险费等支出。</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default" w:ascii="仿宋" w:eastAsia="仿宋"/>
          <w:color w:val="000000"/>
          <w:sz w:val="32"/>
          <w:szCs w:val="32"/>
          <w:lang w:eastAsia="zh-CN"/>
        </w:rPr>
        <w:t>2</w:t>
      </w:r>
      <w:r>
        <w:rPr>
          <w:rFonts w:hint="eastAsia" w:ascii="仿宋" w:eastAsia="仿宋"/>
          <w:color w:val="000000"/>
          <w:sz w:val="32"/>
          <w:szCs w:val="32"/>
          <w:lang w:val="en-US" w:eastAsia="zh-CN"/>
        </w:rPr>
        <w:t>.公务接待费支出0.57万元，完</w:t>
      </w:r>
      <w:r>
        <w:rPr>
          <w:rStyle w:val="21"/>
          <w:rFonts w:hint="eastAsia" w:ascii="仿宋" w:eastAsia="仿宋"/>
          <w:b w:val="0"/>
          <w:bCs/>
          <w:color w:val="000000"/>
          <w:sz w:val="32"/>
          <w:szCs w:val="32"/>
        </w:rPr>
        <w:t>成预算100%。</w:t>
      </w:r>
      <w:r>
        <w:rPr>
          <w:rFonts w:hint="eastAsia" w:ascii="仿宋" w:eastAsia="仿宋"/>
          <w:color w:val="000000"/>
          <w:sz w:val="32"/>
          <w:szCs w:val="32"/>
        </w:rPr>
        <w:t>公务接待费支出决算比2019年减少</w:t>
      </w:r>
      <w:r>
        <w:rPr>
          <w:rFonts w:hint="eastAsia" w:ascii="仿宋" w:eastAsia="仿宋"/>
          <w:color w:val="000000"/>
          <w:sz w:val="32"/>
          <w:szCs w:val="32"/>
          <w:lang w:val="en-US" w:eastAsia="zh-CN"/>
        </w:rPr>
        <w:t>0.21</w:t>
      </w:r>
      <w:r>
        <w:rPr>
          <w:rFonts w:hint="eastAsia" w:ascii="仿宋" w:eastAsia="仿宋"/>
          <w:color w:val="000000"/>
          <w:sz w:val="32"/>
          <w:szCs w:val="32"/>
        </w:rPr>
        <w:t>万元，下降</w:t>
      </w:r>
      <w:r>
        <w:rPr>
          <w:rFonts w:hint="eastAsia" w:ascii="仿宋" w:eastAsia="仿宋"/>
          <w:color w:val="000000"/>
          <w:sz w:val="32"/>
          <w:szCs w:val="32"/>
          <w:lang w:val="en-US" w:eastAsia="zh-CN"/>
        </w:rPr>
        <w:t>26.63</w:t>
      </w:r>
      <w:r>
        <w:rPr>
          <w:rFonts w:hint="eastAsia" w:ascii="仿宋" w:eastAsia="仿宋"/>
          <w:color w:val="000000"/>
          <w:sz w:val="32"/>
          <w:szCs w:val="32"/>
        </w:rPr>
        <w:t>%。主要原因是</w:t>
      </w:r>
      <w:r>
        <w:rPr>
          <w:rFonts w:hint="eastAsia" w:ascii="仿宋" w:eastAsia="仿宋"/>
          <w:color w:val="000000"/>
          <w:sz w:val="32"/>
          <w:szCs w:val="32"/>
          <w:lang w:val="en-US" w:eastAsia="zh-CN"/>
        </w:rPr>
        <w:t>公务接待减少</w:t>
      </w:r>
      <w:r>
        <w:rPr>
          <w:rFonts w:hint="eastAsia" w:ascii="仿宋" w:eastAsia="仿宋"/>
          <w:color w:val="000000"/>
          <w:sz w:val="32"/>
          <w:szCs w:val="32"/>
        </w:rPr>
        <w:t>。其中：</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rPr>
      </w:pPr>
      <w:r>
        <w:rPr>
          <w:rFonts w:hint="eastAsia" w:ascii="仿宋" w:eastAsia="仿宋"/>
          <w:color w:val="000000"/>
          <w:sz w:val="32"/>
          <w:szCs w:val="32"/>
        </w:rPr>
        <w:t>国内公务接待支出0.57万元，主要用于</w:t>
      </w:r>
      <w:r>
        <w:rPr>
          <w:rFonts w:hint="default" w:ascii="仿宋" w:hAnsi="仿宋" w:eastAsia="仿宋"/>
          <w:color w:val="000000"/>
          <w:sz w:val="32"/>
          <w:szCs w:val="32"/>
        </w:rPr>
        <w:t>业务单位工作上的</w:t>
      </w:r>
      <w:r>
        <w:rPr>
          <w:rFonts w:hint="eastAsia" w:ascii="仿宋" w:hAnsi="仿宋" w:eastAsia="仿宋"/>
          <w:color w:val="000000"/>
          <w:sz w:val="32"/>
          <w:szCs w:val="32"/>
        </w:rPr>
        <w:t>开</w:t>
      </w:r>
      <w:r>
        <w:rPr>
          <w:rFonts w:hint="default" w:ascii="仿宋" w:hAnsi="仿宋" w:eastAsia="仿宋"/>
          <w:color w:val="000000"/>
          <w:sz w:val="32"/>
          <w:szCs w:val="32"/>
        </w:rPr>
        <w:t>支</w:t>
      </w:r>
      <w:r>
        <w:rPr>
          <w:rFonts w:hint="eastAsia" w:ascii="仿宋" w:hAnsi="仿宋" w:eastAsia="仿宋"/>
          <w:color w:val="000000"/>
          <w:sz w:val="32"/>
          <w:szCs w:val="32"/>
        </w:rPr>
        <w:t>等</w:t>
      </w:r>
      <w:r>
        <w:rPr>
          <w:rFonts w:hint="eastAsia" w:ascii="仿宋" w:eastAsia="仿宋"/>
          <w:color w:val="000000"/>
          <w:sz w:val="32"/>
          <w:szCs w:val="32"/>
        </w:rPr>
        <w:t>。</w:t>
      </w:r>
      <w:bookmarkStart w:id="61" w:name="_Toc15377218"/>
      <w:bookmarkStart w:id="62" w:name="_Toc15396610"/>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63" w:name="_Toc97792498"/>
      <w:r>
        <w:rPr>
          <w:rFonts w:hint="eastAsia" w:ascii="黑体" w:hAnsi="黑体" w:eastAsia="黑体" w:cs="黑体"/>
          <w:b w:val="0"/>
          <w:bCs/>
          <w:color w:val="000000"/>
          <w:kern w:val="0"/>
          <w:sz w:val="32"/>
          <w:szCs w:val="32"/>
          <w:lang w:val="en-US" w:eastAsia="zh-CN" w:bidi="ar-SA"/>
        </w:rPr>
        <w:t>八、政府性基金预算支出决算情况说明</w:t>
      </w:r>
      <w:bookmarkEnd w:id="61"/>
      <w:bookmarkEnd w:id="62"/>
      <w:bookmarkEnd w:id="63"/>
    </w:p>
    <w:p>
      <w:pPr>
        <w:keepNext w:val="0"/>
        <w:keepLines w:val="0"/>
        <w:pageBreakBefore w:val="0"/>
        <w:kinsoku/>
        <w:wordWrap/>
        <w:overflowPunct/>
        <w:topLinePunct w:val="0"/>
        <w:autoSpaceDE/>
        <w:autoSpaceDN/>
        <w:bidi w:val="0"/>
        <w:spacing w:after="0" w:line="576" w:lineRule="exact"/>
        <w:ind w:firstLine="640" w:firstLineChars="200"/>
        <w:textAlignment w:val="auto"/>
        <w:rPr>
          <w:rFonts w:hint="eastAsia" w:ascii="仿宋_GB2312" w:eastAsia="仿宋_GB2312"/>
          <w:color w:val="000000"/>
          <w:sz w:val="32"/>
          <w:szCs w:val="32"/>
        </w:rPr>
      </w:pPr>
      <w:r>
        <w:rPr>
          <w:rFonts w:hint="eastAsia" w:ascii="仿宋" w:eastAsia="仿宋"/>
          <w:color w:val="000000"/>
          <w:sz w:val="32"/>
          <w:szCs w:val="32"/>
        </w:rPr>
        <w:t>2020年政府性基金预算拨款支出0万元。</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bookmarkStart w:id="64" w:name="_Toc97792499"/>
      <w:bookmarkStart w:id="65" w:name="_Toc15377219"/>
      <w:bookmarkStart w:id="66" w:name="_Toc15396611"/>
      <w:r>
        <w:rPr>
          <w:rFonts w:hint="default" w:ascii="黑体" w:hAnsi="黑体" w:eastAsia="黑体" w:cs="黑体"/>
          <w:b w:val="0"/>
          <w:bCs/>
          <w:color w:val="000000"/>
          <w:kern w:val="0"/>
          <w:sz w:val="32"/>
          <w:szCs w:val="32"/>
          <w:lang w:val="en-US" w:eastAsia="zh-CN" w:bidi="ar-SA"/>
        </w:rPr>
        <w:t>九、</w:t>
      </w:r>
      <w:r>
        <w:rPr>
          <w:rFonts w:hint="eastAsia" w:ascii="黑体" w:hAnsi="黑体" w:eastAsia="黑体" w:cs="黑体"/>
          <w:b w:val="0"/>
          <w:bCs/>
          <w:color w:val="000000"/>
          <w:kern w:val="0"/>
          <w:sz w:val="32"/>
          <w:szCs w:val="32"/>
          <w:lang w:val="en-US" w:eastAsia="zh-CN" w:bidi="ar-SA"/>
        </w:rPr>
        <w:t>国有资本经营预算支出决算情况说明</w:t>
      </w:r>
      <w:bookmarkEnd w:id="64"/>
      <w:bookmarkEnd w:id="65"/>
      <w:bookmarkEnd w:id="66"/>
    </w:p>
    <w:p>
      <w:pPr>
        <w:keepNext w:val="0"/>
        <w:keepLines w:val="0"/>
        <w:pageBreakBefore w:val="0"/>
        <w:kinsoku/>
        <w:wordWrap/>
        <w:overflowPunct/>
        <w:topLinePunct w:val="0"/>
        <w:autoSpaceDE/>
        <w:autoSpaceDN/>
        <w:bidi w:val="0"/>
        <w:spacing w:after="0" w:line="576"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rPr>
        <w:t>2020年国有资本经营预算拨款支出0万元。</w:t>
      </w:r>
      <w:bookmarkStart w:id="67" w:name="_Toc15377221"/>
      <w:bookmarkStart w:id="68" w:name="_Toc15396612"/>
      <w:bookmarkStart w:id="69" w:name="_Toc97792500"/>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default" w:ascii="黑体" w:hAnsi="黑体" w:eastAsia="黑体" w:cs="黑体"/>
          <w:b w:val="0"/>
          <w:bCs/>
          <w:color w:val="000000"/>
          <w:kern w:val="0"/>
          <w:sz w:val="32"/>
          <w:szCs w:val="32"/>
          <w:lang w:val="en-US" w:eastAsia="zh-CN" w:bidi="ar-SA"/>
        </w:rPr>
        <w:t>十、</w:t>
      </w:r>
      <w:r>
        <w:rPr>
          <w:rFonts w:hint="eastAsia" w:ascii="黑体" w:hAnsi="黑体" w:eastAsia="黑体" w:cs="黑体"/>
          <w:b w:val="0"/>
          <w:bCs/>
          <w:color w:val="000000"/>
          <w:kern w:val="0"/>
          <w:sz w:val="32"/>
          <w:szCs w:val="32"/>
          <w:lang w:val="en-US" w:eastAsia="zh-CN" w:bidi="ar-SA"/>
        </w:rPr>
        <w:t>其他重要事项的情况说明</w:t>
      </w:r>
      <w:bookmarkEnd w:id="67"/>
      <w:bookmarkEnd w:id="68"/>
      <w:bookmarkEnd w:id="69"/>
      <w:bookmarkStart w:id="70" w:name="_Toc15377222"/>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（一）机关运行经费支出情况</w:t>
      </w:r>
      <w:bookmarkEnd w:id="70"/>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lang w:val="en-US" w:eastAsia="zh-CN"/>
        </w:rPr>
      </w:pPr>
      <w:r>
        <w:rPr>
          <w:rFonts w:hint="eastAsia" w:ascii="仿宋" w:hAnsi="仿宋" w:eastAsia="仿宋" w:cs="仿宋"/>
          <w:sz w:val="32"/>
          <w:szCs w:val="32"/>
        </w:rPr>
        <w:t>2020年，广元市道路运输管理局机关运行经费支出158.92万元，比2019年减少</w:t>
      </w:r>
      <w:r>
        <w:rPr>
          <w:rFonts w:hint="eastAsia" w:ascii="仿宋" w:hAnsi="仿宋" w:eastAsia="仿宋" w:cs="仿宋"/>
          <w:sz w:val="32"/>
          <w:szCs w:val="32"/>
          <w:lang w:val="en-US" w:eastAsia="zh-CN"/>
        </w:rPr>
        <w:t>20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11.18</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人员减少。</w:t>
      </w:r>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bookmarkStart w:id="71" w:name="_Toc15377223"/>
      <w:r>
        <w:rPr>
          <w:rFonts w:hint="eastAsia" w:ascii="楷体_GB2312" w:hAnsi="楷体_GB2312" w:eastAsia="楷体_GB2312" w:cs="楷体_GB2312"/>
          <w:b w:val="0"/>
          <w:bCs/>
          <w:color w:val="000000"/>
          <w:sz w:val="32"/>
          <w:szCs w:val="32"/>
        </w:rPr>
        <w:t>（二）政府采购支出情况</w:t>
      </w:r>
      <w:bookmarkEnd w:id="71"/>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2020年，广元市道路运输管理局政府采购支出总额0万元。</w:t>
      </w:r>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bookmarkStart w:id="72" w:name="_Toc15377224"/>
      <w:r>
        <w:rPr>
          <w:rFonts w:hint="eastAsia" w:ascii="楷体_GB2312" w:hAnsi="楷体_GB2312" w:eastAsia="楷体_GB2312" w:cs="楷体_GB2312"/>
          <w:b w:val="0"/>
          <w:bCs/>
          <w:color w:val="000000"/>
          <w:sz w:val="32"/>
          <w:szCs w:val="32"/>
        </w:rPr>
        <w:t>（三）国有资产占有使用情况</w:t>
      </w:r>
      <w:bookmarkEnd w:id="72"/>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截至2020年12月31日，广元市道路运输管理局共有车辆10辆，其中：主要领导干部用车0辆、机要通信用车0辆、应急保障用车10辆、其他用车0辆。单价50万元以上通用设备0台（套），单价100万元以上专用设备0台（套）。</w:t>
      </w:r>
    </w:p>
    <w:p>
      <w:pPr>
        <w:keepNext w:val="0"/>
        <w:keepLines w:val="0"/>
        <w:pageBreakBefore w:val="0"/>
        <w:widowControl/>
        <w:kinsoku/>
        <w:wordWrap/>
        <w:overflowPunct/>
        <w:topLinePunct w:val="0"/>
        <w:autoSpaceDE/>
        <w:autoSpaceDN/>
        <w:bidi w:val="0"/>
        <w:adjustRightInd w:val="0"/>
        <w:snapToGrid w:val="0"/>
        <w:spacing w:after="0" w:line="576" w:lineRule="exact"/>
        <w:ind w:firstLine="641"/>
        <w:textAlignment w:val="auto"/>
        <w:outlineLvl w:val="2"/>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（四）预算绩效管理情况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根据预算绩效管理要求，本部门（单位）在年初预算编制阶段，组织对道路运输安全管理及行业维稳工作项目</w:t>
      </w:r>
      <w:r>
        <w:rPr>
          <w:rFonts w:hint="default" w:ascii="仿宋" w:eastAsia="仿宋"/>
          <w:color w:val="000000"/>
          <w:sz w:val="32"/>
          <w:szCs w:val="32"/>
        </w:rPr>
        <w:t>、交通运输秩序专项整治、综合整治、</w:t>
      </w:r>
      <w:r>
        <w:rPr>
          <w:rFonts w:hint="eastAsia" w:ascii="仿宋" w:eastAsia="仿宋"/>
          <w:color w:val="000000"/>
          <w:sz w:val="32"/>
          <w:szCs w:val="32"/>
          <w:lang w:eastAsia="zh-CN"/>
        </w:rPr>
        <w:t>扫黑除恶</w:t>
      </w:r>
      <w:r>
        <w:rPr>
          <w:rFonts w:hint="default" w:ascii="仿宋" w:eastAsia="仿宋"/>
          <w:color w:val="000000"/>
          <w:sz w:val="32"/>
          <w:szCs w:val="32"/>
        </w:rPr>
        <w:t>及</w:t>
      </w:r>
      <w:r>
        <w:rPr>
          <w:rFonts w:hint="eastAsia" w:ascii="仿宋" w:hAnsi="仿宋" w:eastAsia="仿宋"/>
          <w:color w:val="000000"/>
          <w:sz w:val="32"/>
          <w:szCs w:val="32"/>
        </w:rPr>
        <w:t>“</w:t>
      </w:r>
      <w:r>
        <w:rPr>
          <w:rFonts w:hint="default" w:ascii="仿宋" w:eastAsia="仿宋"/>
          <w:color w:val="000000"/>
          <w:sz w:val="32"/>
          <w:szCs w:val="32"/>
        </w:rPr>
        <w:t>春运</w:t>
      </w:r>
      <w:r>
        <w:rPr>
          <w:rFonts w:hint="eastAsia" w:ascii="仿宋" w:hAnsi="仿宋" w:eastAsia="仿宋"/>
          <w:color w:val="000000"/>
          <w:sz w:val="32"/>
          <w:szCs w:val="32"/>
        </w:rPr>
        <w:t>”</w:t>
      </w:r>
      <w:r>
        <w:rPr>
          <w:rFonts w:hint="default" w:ascii="仿宋" w:eastAsia="仿宋"/>
          <w:color w:val="000000"/>
          <w:sz w:val="32"/>
          <w:szCs w:val="32"/>
        </w:rPr>
        <w:t>工作项目、道路运输稽查和执法工作项目、智慧交通信息网络建设、办公设备采购经费项目、道路运输管理业务工作经费项目、协助执法人员经费项目、帮扶工作项目</w:t>
      </w:r>
      <w:r>
        <w:rPr>
          <w:rFonts w:hint="eastAsia" w:ascii="仿宋" w:eastAsia="仿宋"/>
          <w:color w:val="000000"/>
          <w:sz w:val="32"/>
          <w:szCs w:val="32"/>
        </w:rPr>
        <w:t>开展了预算事前绩效评估，对</w:t>
      </w:r>
      <w:r>
        <w:rPr>
          <w:rFonts w:hint="default" w:ascii="仿宋" w:eastAsia="仿宋"/>
          <w:color w:val="000000"/>
          <w:sz w:val="32"/>
          <w:szCs w:val="32"/>
        </w:rPr>
        <w:t>7</w:t>
      </w:r>
      <w:r>
        <w:rPr>
          <w:rFonts w:hint="eastAsia" w:ascii="仿宋" w:eastAsia="仿宋"/>
          <w:color w:val="000000"/>
          <w:sz w:val="32"/>
          <w:szCs w:val="32"/>
        </w:rPr>
        <w:t>个项目编制了绩效目标，预算执行过程中，选取</w:t>
      </w:r>
      <w:r>
        <w:rPr>
          <w:rFonts w:hint="default" w:ascii="仿宋" w:eastAsia="仿宋"/>
          <w:color w:val="000000"/>
          <w:sz w:val="32"/>
          <w:szCs w:val="32"/>
        </w:rPr>
        <w:t>7</w:t>
      </w:r>
      <w:r>
        <w:rPr>
          <w:rFonts w:hint="eastAsia" w:ascii="仿宋" w:eastAsia="仿宋"/>
          <w:color w:val="000000"/>
          <w:sz w:val="32"/>
          <w:szCs w:val="32"/>
        </w:rPr>
        <w:t>个项目开展绩效监控，年终执行完毕后，对</w:t>
      </w:r>
      <w:r>
        <w:rPr>
          <w:rFonts w:hint="default" w:ascii="仿宋" w:eastAsia="仿宋"/>
          <w:color w:val="000000"/>
          <w:sz w:val="32"/>
          <w:szCs w:val="32"/>
        </w:rPr>
        <w:t>7</w:t>
      </w:r>
      <w:r>
        <w:rPr>
          <w:rFonts w:hint="eastAsia" w:ascii="仿宋" w:eastAsia="仿宋"/>
          <w:color w:val="000000"/>
          <w:sz w:val="32"/>
          <w:szCs w:val="32"/>
        </w:rPr>
        <w:t>个项目开展了绩效目标完成情况自评。</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按要求对2020年部门整体支出开展绩效自评，从评价情况来看保障了单位的正常运行，保证了“春运”顺利进行，为道路运输行业的稳定提供了保障，完成了全市范围内客运、货运、公交、巡游出租车、网络预约出租车、机动车驾驶员培训、机动车维修、机动车综合性能检测、汽车租赁、物流市场、车辆超限运输源头治理等行业稽查、打非治违、</w:t>
      </w:r>
      <w:r>
        <w:rPr>
          <w:rFonts w:hint="eastAsia" w:ascii="仿宋" w:hAnsi="仿宋" w:eastAsia="仿宋" w:cs="仿宋"/>
          <w:sz w:val="32"/>
          <w:szCs w:val="32"/>
          <w:lang w:eastAsia="zh-CN"/>
        </w:rPr>
        <w:t>扫黑除恶</w:t>
      </w:r>
      <w:r>
        <w:rPr>
          <w:rFonts w:hint="eastAsia" w:ascii="仿宋" w:hAnsi="仿宋" w:eastAsia="仿宋" w:cs="仿宋"/>
          <w:sz w:val="32"/>
          <w:szCs w:val="32"/>
        </w:rPr>
        <w:t>、乱象整治等运政执法任务，继续开展了七盘关站点交通行政执法工作，完成了2020年帮扶工作。本部门还自行组织了5个项目支出绩效评价，从评价情况来看保证了“春运”顺利进行，为道路运输行业的稳定提供了保障，完成了全市范围内客运、货运、公交、巡游出租车、网络预约出租车、机动车驾驶员培训、机动车维修、机动车综合性能检测、汽车租赁、物流市场、车辆超限运输源头治理等行业稽查、打非治违、</w:t>
      </w:r>
      <w:r>
        <w:rPr>
          <w:rFonts w:hint="eastAsia" w:ascii="仿宋" w:hAnsi="仿宋" w:eastAsia="仿宋" w:cs="仿宋"/>
          <w:sz w:val="32"/>
          <w:szCs w:val="32"/>
          <w:lang w:eastAsia="zh-CN"/>
        </w:rPr>
        <w:t>扫黑除恶</w:t>
      </w:r>
      <w:r>
        <w:rPr>
          <w:rFonts w:hint="eastAsia" w:ascii="仿宋" w:hAnsi="仿宋" w:eastAsia="仿宋" w:cs="仿宋"/>
          <w:sz w:val="32"/>
          <w:szCs w:val="32"/>
        </w:rPr>
        <w:t>、乱象整治等运政执法任务，继续开展了七盘关站点交通行政执法工作，完成了2020年帮扶工作。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lang w:eastAsia="zh-CN"/>
        </w:rPr>
      </w:pPr>
      <w:r>
        <w:rPr>
          <w:rFonts w:hint="eastAsia" w:ascii="仿宋" w:eastAsia="仿宋"/>
          <w:color w:val="000000"/>
          <w:sz w:val="32"/>
          <w:szCs w:val="32"/>
        </w:rPr>
        <w:t>1.项目绩效目标完成情况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default" w:ascii="仿宋" w:eastAsia="仿宋"/>
          <w:color w:val="000000"/>
          <w:sz w:val="32"/>
          <w:szCs w:val="32"/>
        </w:rPr>
      </w:pPr>
      <w:r>
        <w:rPr>
          <w:rFonts w:hint="eastAsia" w:ascii="仿宋" w:eastAsia="仿宋"/>
          <w:color w:val="000000"/>
          <w:sz w:val="32"/>
          <w:szCs w:val="32"/>
        </w:rPr>
        <w:t>本部门在2020年度部门决算中反映“道路运输安全管理及行业维稳工作</w:t>
      </w:r>
      <w:r>
        <w:rPr>
          <w:rFonts w:hint="default" w:ascii="仿宋" w:eastAsia="仿宋"/>
          <w:color w:val="000000"/>
          <w:sz w:val="32"/>
          <w:szCs w:val="32"/>
        </w:rPr>
        <w:t>经费</w:t>
      </w:r>
      <w:r>
        <w:rPr>
          <w:rFonts w:hint="eastAsia" w:ascii="仿宋" w:eastAsia="仿宋"/>
          <w:color w:val="000000"/>
          <w:sz w:val="32"/>
          <w:szCs w:val="32"/>
        </w:rPr>
        <w:t>”“道路运输稽查和执法工作</w:t>
      </w:r>
      <w:r>
        <w:rPr>
          <w:rFonts w:hint="default" w:ascii="仿宋" w:eastAsia="仿宋"/>
          <w:color w:val="000000"/>
          <w:sz w:val="32"/>
          <w:szCs w:val="32"/>
        </w:rPr>
        <w:t>经费</w:t>
      </w:r>
      <w:r>
        <w:rPr>
          <w:rFonts w:hint="eastAsia" w:ascii="仿宋" w:eastAsia="仿宋"/>
          <w:color w:val="000000"/>
          <w:sz w:val="32"/>
          <w:szCs w:val="32"/>
        </w:rPr>
        <w:t>”“道路运输管理业务工作经费”“协助执法人员经费”“帮扶工作”等</w:t>
      </w:r>
      <w:r>
        <w:rPr>
          <w:rFonts w:hint="default" w:ascii="仿宋" w:eastAsia="仿宋"/>
          <w:color w:val="000000"/>
          <w:sz w:val="32"/>
          <w:szCs w:val="32"/>
        </w:rPr>
        <w:t>5</w:t>
      </w:r>
      <w:r>
        <w:rPr>
          <w:rFonts w:hint="eastAsia" w:ascii="仿宋" w:eastAsia="仿宋"/>
          <w:color w:val="000000"/>
          <w:sz w:val="32"/>
          <w:szCs w:val="32"/>
        </w:rPr>
        <w:t>个项目绩效目标实际完成情况。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（1）道路运输安全管理及行业维稳工作</w:t>
      </w:r>
      <w:r>
        <w:rPr>
          <w:rFonts w:hint="default" w:ascii="仿宋" w:eastAsia="仿宋"/>
          <w:color w:val="000000"/>
          <w:sz w:val="32"/>
          <w:szCs w:val="32"/>
        </w:rPr>
        <w:t>经费</w:t>
      </w:r>
      <w:r>
        <w:rPr>
          <w:rFonts w:hint="eastAsia" w:ascii="仿宋" w:eastAsia="仿宋"/>
          <w:color w:val="000000"/>
          <w:sz w:val="32"/>
          <w:szCs w:val="32"/>
        </w:rPr>
        <w:t>项目绩效目标完成情况综述。项目全年预算数</w:t>
      </w:r>
      <w:r>
        <w:rPr>
          <w:rFonts w:hint="default" w:ascii="仿宋" w:eastAsia="仿宋"/>
          <w:color w:val="000000"/>
          <w:sz w:val="32"/>
          <w:szCs w:val="32"/>
        </w:rPr>
        <w:t>4.5</w:t>
      </w:r>
      <w:r>
        <w:rPr>
          <w:rFonts w:hint="eastAsia" w:ascii="仿宋" w:eastAsia="仿宋"/>
          <w:color w:val="000000"/>
          <w:sz w:val="32"/>
          <w:szCs w:val="32"/>
        </w:rPr>
        <w:t>万元，执行数为</w:t>
      </w:r>
      <w:r>
        <w:rPr>
          <w:rFonts w:hint="default" w:ascii="仿宋" w:eastAsia="仿宋"/>
          <w:color w:val="000000"/>
          <w:sz w:val="32"/>
          <w:szCs w:val="32"/>
        </w:rPr>
        <w:t>4.5</w:t>
      </w:r>
      <w:r>
        <w:rPr>
          <w:rFonts w:hint="eastAsia" w:ascii="仿宋" w:eastAsia="仿宋"/>
          <w:color w:val="000000"/>
          <w:sz w:val="32"/>
          <w:szCs w:val="32"/>
        </w:rPr>
        <w:t>万元，完成预算的</w:t>
      </w:r>
      <w:r>
        <w:rPr>
          <w:rFonts w:hint="default" w:ascii="仿宋" w:eastAsia="仿宋"/>
          <w:color w:val="000000"/>
          <w:sz w:val="32"/>
          <w:szCs w:val="32"/>
        </w:rPr>
        <w:t>100</w:t>
      </w:r>
      <w:r>
        <w:rPr>
          <w:rFonts w:hint="eastAsia" w:ascii="仿宋" w:eastAsia="仿宋"/>
          <w:color w:val="000000"/>
          <w:sz w:val="32"/>
          <w:szCs w:val="32"/>
        </w:rPr>
        <w:t>%。通过项目实施，</w:t>
      </w:r>
      <w:r>
        <w:rPr>
          <w:rFonts w:hint="default" w:ascii="仿宋" w:eastAsia="仿宋"/>
          <w:color w:val="000000"/>
          <w:sz w:val="32"/>
          <w:szCs w:val="32"/>
        </w:rPr>
        <w:t>维护了道路运输行业的稳定。</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（2）道路运输稽查和执法工作</w:t>
      </w:r>
      <w:r>
        <w:rPr>
          <w:rFonts w:hint="default" w:ascii="仿宋" w:eastAsia="仿宋"/>
          <w:color w:val="000000"/>
          <w:sz w:val="32"/>
          <w:szCs w:val="32"/>
        </w:rPr>
        <w:t>经费</w:t>
      </w:r>
      <w:r>
        <w:rPr>
          <w:rFonts w:hint="eastAsia" w:ascii="仿宋" w:eastAsia="仿宋"/>
          <w:color w:val="000000"/>
          <w:sz w:val="32"/>
          <w:szCs w:val="32"/>
        </w:rPr>
        <w:t>项目绩效目标完成情况综述。项目全年预算数</w:t>
      </w:r>
      <w:r>
        <w:rPr>
          <w:rFonts w:hint="default" w:ascii="仿宋" w:eastAsia="仿宋"/>
          <w:color w:val="000000"/>
          <w:sz w:val="32"/>
          <w:szCs w:val="32"/>
        </w:rPr>
        <w:t>6.88</w:t>
      </w:r>
      <w:r>
        <w:rPr>
          <w:rFonts w:hint="eastAsia" w:ascii="仿宋" w:eastAsia="仿宋"/>
          <w:color w:val="000000"/>
          <w:sz w:val="32"/>
          <w:szCs w:val="32"/>
        </w:rPr>
        <w:t>万元，执行数为</w:t>
      </w:r>
      <w:r>
        <w:rPr>
          <w:rFonts w:hint="default" w:ascii="仿宋" w:eastAsia="仿宋"/>
          <w:color w:val="000000"/>
          <w:sz w:val="32"/>
          <w:szCs w:val="32"/>
        </w:rPr>
        <w:t>6.88</w:t>
      </w:r>
      <w:r>
        <w:rPr>
          <w:rFonts w:hint="eastAsia" w:ascii="仿宋" w:eastAsia="仿宋"/>
          <w:color w:val="000000"/>
          <w:sz w:val="32"/>
          <w:szCs w:val="32"/>
        </w:rPr>
        <w:t>万元，完成预算的</w:t>
      </w:r>
      <w:r>
        <w:rPr>
          <w:rFonts w:hint="default" w:ascii="仿宋" w:eastAsia="仿宋"/>
          <w:color w:val="000000"/>
          <w:sz w:val="32"/>
          <w:szCs w:val="32"/>
        </w:rPr>
        <w:t>100</w:t>
      </w:r>
      <w:r>
        <w:rPr>
          <w:rFonts w:hint="eastAsia" w:ascii="仿宋" w:eastAsia="仿宋"/>
          <w:color w:val="000000"/>
          <w:sz w:val="32"/>
          <w:szCs w:val="32"/>
        </w:rPr>
        <w:t>%。通过项目实施，</w:t>
      </w:r>
      <w:r>
        <w:rPr>
          <w:rFonts w:hint="default" w:ascii="仿宋" w:eastAsia="仿宋"/>
          <w:color w:val="000000"/>
          <w:sz w:val="32"/>
          <w:szCs w:val="32"/>
        </w:rPr>
        <w:t>完成了</w:t>
      </w:r>
      <w:r>
        <w:rPr>
          <w:rFonts w:hint="eastAsia" w:ascii="仿宋" w:eastAsia="仿宋"/>
          <w:color w:val="000000"/>
          <w:sz w:val="32"/>
          <w:szCs w:val="32"/>
        </w:rPr>
        <w:t>全市范围内客运、货运、公交、巡游出租车、网络预约出租车、机动车驾驶员培训、机动车维修、机动车综合性能检测、汽车租赁、物流市场、车辆超限运输源头治理等行业稽查、打非治违、</w:t>
      </w:r>
      <w:r>
        <w:rPr>
          <w:rFonts w:hint="eastAsia" w:ascii="仿宋" w:eastAsia="仿宋"/>
          <w:color w:val="000000"/>
          <w:sz w:val="32"/>
          <w:szCs w:val="32"/>
          <w:lang w:eastAsia="zh-CN"/>
        </w:rPr>
        <w:t>扫黑除恶</w:t>
      </w:r>
      <w:r>
        <w:rPr>
          <w:rFonts w:hint="eastAsia" w:ascii="仿宋" w:eastAsia="仿宋"/>
          <w:color w:val="000000"/>
          <w:sz w:val="32"/>
          <w:szCs w:val="32"/>
        </w:rPr>
        <w:t>、乱象整治等运政执法任务</w:t>
      </w:r>
      <w:r>
        <w:rPr>
          <w:rFonts w:hint="default" w:ascii="仿宋" w:eastAsia="仿宋"/>
          <w:color w:val="000000"/>
          <w:sz w:val="32"/>
          <w:szCs w:val="32"/>
        </w:rPr>
        <w:t>，继续开展七盘关站点交通行政执法工作。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（3）道路运输管理业务工作经费项目绩效目标完成情况综述。项目全年预算数</w:t>
      </w:r>
      <w:r>
        <w:rPr>
          <w:rFonts w:hint="default" w:ascii="仿宋" w:eastAsia="仿宋"/>
          <w:color w:val="000000"/>
          <w:sz w:val="32"/>
          <w:szCs w:val="32"/>
        </w:rPr>
        <w:t>5.95</w:t>
      </w:r>
      <w:r>
        <w:rPr>
          <w:rFonts w:hint="eastAsia" w:ascii="仿宋" w:eastAsia="仿宋"/>
          <w:color w:val="000000"/>
          <w:sz w:val="32"/>
          <w:szCs w:val="32"/>
        </w:rPr>
        <w:t>万元，执行数为</w:t>
      </w:r>
      <w:r>
        <w:rPr>
          <w:rFonts w:hint="default" w:ascii="仿宋" w:eastAsia="仿宋"/>
          <w:color w:val="000000"/>
          <w:sz w:val="32"/>
          <w:szCs w:val="32"/>
        </w:rPr>
        <w:t>5.95</w:t>
      </w:r>
      <w:r>
        <w:rPr>
          <w:rFonts w:hint="eastAsia" w:ascii="仿宋" w:eastAsia="仿宋"/>
          <w:color w:val="000000"/>
          <w:sz w:val="32"/>
          <w:szCs w:val="32"/>
        </w:rPr>
        <w:t>万元，完成预算的</w:t>
      </w:r>
      <w:r>
        <w:rPr>
          <w:rFonts w:hint="default" w:ascii="仿宋" w:eastAsia="仿宋"/>
          <w:color w:val="000000"/>
          <w:sz w:val="32"/>
          <w:szCs w:val="32"/>
        </w:rPr>
        <w:t>100</w:t>
      </w:r>
      <w:r>
        <w:rPr>
          <w:rFonts w:hint="eastAsia" w:ascii="仿宋" w:eastAsia="仿宋"/>
          <w:color w:val="000000"/>
          <w:sz w:val="32"/>
          <w:szCs w:val="32"/>
        </w:rPr>
        <w:t>%。通过项目实施，完成</w:t>
      </w:r>
      <w:r>
        <w:rPr>
          <w:rFonts w:hint="default" w:ascii="仿宋" w:eastAsia="仿宋"/>
          <w:color w:val="000000"/>
          <w:sz w:val="32"/>
          <w:szCs w:val="32"/>
        </w:rPr>
        <w:t>了</w:t>
      </w:r>
      <w:r>
        <w:rPr>
          <w:rFonts w:hint="eastAsia" w:ascii="仿宋" w:eastAsia="仿宋"/>
          <w:color w:val="000000"/>
          <w:sz w:val="32"/>
          <w:szCs w:val="32"/>
        </w:rPr>
        <w:t>全市道路运输行业管理行政审批保障</w:t>
      </w:r>
      <w:r>
        <w:rPr>
          <w:rFonts w:hint="default" w:ascii="仿宋" w:eastAsia="仿宋"/>
          <w:color w:val="000000"/>
          <w:sz w:val="32"/>
          <w:szCs w:val="32"/>
        </w:rPr>
        <w:t>，对从业资格考试进行了管理，对道路运输安全、法律法规、节能环保、出租车文明创建、扫黑除恶等进行了宣传。</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eastAsia" w:ascii="仿宋" w:eastAsia="仿宋"/>
          <w:color w:val="000000"/>
          <w:sz w:val="32"/>
          <w:szCs w:val="32"/>
        </w:rPr>
      </w:pPr>
      <w:r>
        <w:rPr>
          <w:rFonts w:hint="eastAsia" w:ascii="仿宋" w:eastAsia="仿宋"/>
          <w:color w:val="000000"/>
          <w:sz w:val="32"/>
          <w:szCs w:val="32"/>
        </w:rPr>
        <w:t>（</w:t>
      </w:r>
      <w:r>
        <w:rPr>
          <w:rFonts w:hint="default" w:ascii="仿宋" w:eastAsia="仿宋"/>
          <w:color w:val="000000"/>
          <w:sz w:val="32"/>
          <w:szCs w:val="32"/>
        </w:rPr>
        <w:t>4</w:t>
      </w:r>
      <w:r>
        <w:rPr>
          <w:rFonts w:hint="eastAsia" w:ascii="仿宋" w:eastAsia="仿宋"/>
          <w:color w:val="000000"/>
          <w:sz w:val="32"/>
          <w:szCs w:val="32"/>
        </w:rPr>
        <w:t>）协助执法人员经费项目绩效目标完成情况综述。项目全年预算数</w:t>
      </w:r>
      <w:r>
        <w:rPr>
          <w:rFonts w:hint="default" w:ascii="仿宋" w:eastAsia="仿宋"/>
          <w:color w:val="000000"/>
          <w:sz w:val="32"/>
          <w:szCs w:val="32"/>
        </w:rPr>
        <w:t>84</w:t>
      </w:r>
      <w:r>
        <w:rPr>
          <w:rFonts w:hint="eastAsia" w:ascii="仿宋" w:eastAsia="仿宋"/>
          <w:color w:val="000000"/>
          <w:sz w:val="32"/>
          <w:szCs w:val="32"/>
        </w:rPr>
        <w:t>万元，执行数为</w:t>
      </w:r>
      <w:r>
        <w:rPr>
          <w:rFonts w:hint="default" w:ascii="仿宋" w:eastAsia="仿宋"/>
          <w:color w:val="000000"/>
          <w:sz w:val="32"/>
          <w:szCs w:val="32"/>
        </w:rPr>
        <w:t>84</w:t>
      </w:r>
      <w:r>
        <w:rPr>
          <w:rFonts w:hint="eastAsia" w:ascii="仿宋" w:eastAsia="仿宋"/>
          <w:color w:val="000000"/>
          <w:sz w:val="32"/>
          <w:szCs w:val="32"/>
        </w:rPr>
        <w:t>万元，完成预算的</w:t>
      </w:r>
      <w:r>
        <w:rPr>
          <w:rFonts w:hint="default" w:ascii="仿宋" w:eastAsia="仿宋"/>
          <w:color w:val="000000"/>
          <w:sz w:val="32"/>
          <w:szCs w:val="32"/>
        </w:rPr>
        <w:t>100</w:t>
      </w:r>
      <w:r>
        <w:rPr>
          <w:rFonts w:hint="eastAsia" w:ascii="仿宋" w:eastAsia="仿宋"/>
          <w:color w:val="000000"/>
          <w:sz w:val="32"/>
          <w:szCs w:val="32"/>
        </w:rPr>
        <w:t>%。通过项目实施，支付</w:t>
      </w:r>
      <w:r>
        <w:rPr>
          <w:rFonts w:hint="default" w:ascii="仿宋" w:eastAsia="仿宋"/>
          <w:color w:val="000000"/>
          <w:sz w:val="32"/>
          <w:szCs w:val="32"/>
        </w:rPr>
        <w:t>了</w:t>
      </w:r>
      <w:r>
        <w:rPr>
          <w:rFonts w:hint="eastAsia" w:ascii="仿宋" w:eastAsia="仿宋"/>
          <w:color w:val="000000"/>
          <w:sz w:val="32"/>
          <w:szCs w:val="32"/>
        </w:rPr>
        <w:t>单位协助执法人员工资、保险、工作经费等保障</w:t>
      </w:r>
      <w:r>
        <w:rPr>
          <w:rFonts w:hint="default" w:ascii="仿宋" w:eastAsia="仿宋"/>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76" w:lineRule="exact"/>
        <w:ind w:firstLine="665" w:firstLineChars="208"/>
        <w:textAlignment w:val="auto"/>
        <w:rPr>
          <w:rFonts w:hint="default" w:ascii="仿宋" w:eastAsia="仿宋"/>
          <w:color w:val="000000"/>
          <w:sz w:val="32"/>
          <w:szCs w:val="32"/>
        </w:rPr>
      </w:pPr>
      <w:r>
        <w:rPr>
          <w:rFonts w:hint="eastAsia" w:ascii="仿宋" w:eastAsia="仿宋"/>
          <w:color w:val="000000"/>
          <w:sz w:val="32"/>
          <w:szCs w:val="32"/>
        </w:rPr>
        <w:t>（</w:t>
      </w:r>
      <w:r>
        <w:rPr>
          <w:rFonts w:hint="default" w:ascii="仿宋" w:eastAsia="仿宋"/>
          <w:color w:val="000000"/>
          <w:sz w:val="32"/>
          <w:szCs w:val="32"/>
        </w:rPr>
        <w:t>5</w:t>
      </w:r>
      <w:r>
        <w:rPr>
          <w:rFonts w:hint="eastAsia" w:ascii="仿宋" w:eastAsia="仿宋"/>
          <w:color w:val="000000"/>
          <w:sz w:val="32"/>
          <w:szCs w:val="32"/>
        </w:rPr>
        <w:t>）帮扶工作项目绩效目标完成情况综述。项目全年预算数</w:t>
      </w:r>
      <w:r>
        <w:rPr>
          <w:rFonts w:hint="default" w:ascii="仿宋" w:eastAsia="仿宋"/>
          <w:color w:val="000000"/>
          <w:sz w:val="32"/>
          <w:szCs w:val="32"/>
        </w:rPr>
        <w:t>3.72</w:t>
      </w:r>
      <w:r>
        <w:rPr>
          <w:rFonts w:hint="eastAsia" w:ascii="仿宋" w:eastAsia="仿宋"/>
          <w:color w:val="000000"/>
          <w:sz w:val="32"/>
          <w:szCs w:val="32"/>
        </w:rPr>
        <w:t>万元，执行数为</w:t>
      </w:r>
      <w:r>
        <w:rPr>
          <w:rFonts w:hint="default" w:ascii="仿宋" w:eastAsia="仿宋"/>
          <w:color w:val="000000"/>
          <w:sz w:val="32"/>
          <w:szCs w:val="32"/>
        </w:rPr>
        <w:t>3.72</w:t>
      </w:r>
      <w:r>
        <w:rPr>
          <w:rFonts w:hint="eastAsia" w:ascii="仿宋" w:eastAsia="仿宋"/>
          <w:color w:val="000000"/>
          <w:sz w:val="32"/>
          <w:szCs w:val="32"/>
        </w:rPr>
        <w:t>万元，完成预算的</w:t>
      </w:r>
      <w:r>
        <w:rPr>
          <w:rFonts w:hint="default" w:ascii="仿宋" w:eastAsia="仿宋"/>
          <w:color w:val="000000"/>
          <w:sz w:val="32"/>
          <w:szCs w:val="32"/>
        </w:rPr>
        <w:t>100</w:t>
      </w:r>
      <w:r>
        <w:rPr>
          <w:rFonts w:hint="eastAsia" w:ascii="仿宋" w:eastAsia="仿宋"/>
          <w:color w:val="000000"/>
          <w:sz w:val="32"/>
          <w:szCs w:val="32"/>
        </w:rPr>
        <w:t>%。通过项目实施，完成</w:t>
      </w:r>
      <w:r>
        <w:rPr>
          <w:rFonts w:hint="default" w:ascii="仿宋" w:eastAsia="仿宋"/>
          <w:color w:val="000000"/>
          <w:sz w:val="32"/>
          <w:szCs w:val="32"/>
        </w:rPr>
        <w:t>了</w:t>
      </w:r>
      <w:r>
        <w:rPr>
          <w:rFonts w:hint="eastAsia" w:ascii="仿宋" w:eastAsia="仿宋"/>
          <w:color w:val="000000"/>
          <w:sz w:val="32"/>
          <w:szCs w:val="32"/>
        </w:rPr>
        <w:t>2020年帮扶工作保障</w:t>
      </w:r>
      <w:r>
        <w:rPr>
          <w:rFonts w:hint="default" w:ascii="仿宋" w:eastAsia="仿宋"/>
          <w:color w:val="000000"/>
          <w:sz w:val="32"/>
          <w:szCs w:val="32"/>
        </w:rPr>
        <w:t>。</w:t>
      </w:r>
    </w:p>
    <w:tbl>
      <w:tblPr>
        <w:tblStyle w:val="1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867" w:hRule="atLeast"/>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center"/>
              <w:rPr>
                <w:rFonts w:hint="eastAsia" w:ascii="宋体" w:eastAsia="微软雅黑" w:cs="宋体"/>
                <w:b/>
                <w:bCs/>
                <w:color w:val="000000"/>
                <w:sz w:val="36"/>
                <w:szCs w:val="36"/>
                <w:lang w:eastAsia="zh-CN"/>
              </w:rPr>
            </w:pPr>
            <w:r>
              <w:rPr>
                <w:rFonts w:hint="eastAsia" w:ascii="宋体" w:cs="宋体"/>
                <w:b/>
                <w:bCs/>
                <w:color w:val="000000"/>
                <w:sz w:val="36"/>
                <w:szCs w:val="36"/>
              </w:rPr>
              <w:t>项目绩效目标完成情况表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center"/>
              <w:rPr>
                <w:rFonts w:hint="eastAsia" w:ascii="宋体" w:cs="宋体"/>
                <w:color w:val="000000"/>
                <w:sz w:val="36"/>
                <w:szCs w:val="36"/>
              </w:rPr>
            </w:pPr>
            <w:r>
              <w:rPr>
                <w:rFonts w:hint="eastAsia" w:ascii="宋体" w:cs="宋体"/>
                <w:color w:val="000000"/>
                <w:sz w:val="36"/>
                <w:szCs w:val="36"/>
              </w:rPr>
              <w:t>(2020年度)</w:t>
            </w:r>
          </w:p>
        </w:tc>
      </w:tr>
      <w:tr>
        <w:tblPrEx>
          <w:tblCellMar>
            <w:top w:w="0" w:type="dxa"/>
            <w:left w:w="0" w:type="dxa"/>
            <w:bottom w:w="0" w:type="dxa"/>
            <w:right w:w="0" w:type="dxa"/>
          </w:tblCellMar>
        </w:tblPrEx>
        <w:trPr>
          <w:trHeight w:val="414"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道路运输安全管理及行业维稳工作</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广元市道路运输管理局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4.5</w:t>
            </w:r>
          </w:p>
        </w:tc>
      </w:tr>
      <w:tr>
        <w:tblPrEx>
          <w:tblCellMar>
            <w:top w:w="0" w:type="dxa"/>
            <w:left w:w="0" w:type="dxa"/>
            <w:bottom w:w="0" w:type="dxa"/>
            <w:right w:w="0" w:type="dxa"/>
          </w:tblCellMar>
        </w:tblPrEx>
        <w:trPr>
          <w:trHeight w:val="36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4.5</w:t>
            </w:r>
          </w:p>
        </w:tc>
      </w:tr>
      <w:tr>
        <w:tblPrEx>
          <w:tblCellMar>
            <w:top w:w="0" w:type="dxa"/>
            <w:left w:w="0" w:type="dxa"/>
            <w:bottom w:w="0" w:type="dxa"/>
            <w:right w:w="0" w:type="dxa"/>
          </w:tblCellMar>
        </w:tblPrEx>
        <w:trPr>
          <w:trHeight w:val="137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rPr>
                <w:rFonts w:hint="eastAsia"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93"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实际完成目标</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center"/>
              <w:rPr>
                <w:rFonts w:hint="eastAsia" w:ascii="宋体" w:cs="宋体"/>
                <w:color w:val="000000"/>
                <w:sz w:val="24"/>
              </w:rPr>
            </w:pPr>
            <w:r>
              <w:rPr>
                <w:rFonts w:hint="eastAsia" w:ascii="宋体" w:cs="宋体"/>
                <w:color w:val="000000"/>
                <w:sz w:val="24"/>
              </w:rPr>
              <w:t>1、道路运输安全监管点多、线长、面宽，监管责任、压力、风险大，预计2020年需要5万元。2、道路运输行业情况复杂、利益关系复杂、矛盾问题复杂，各类上访、停运、罢运、阻断交通、围堵党政机关等群体性上访、闹事多，每年要投入大量人力、物力、财力维护行业和社会稳定，预计2020年需要5万元。3、为有效应对紧急、突发事件，预计2020年需要安全应急物资设备维护、购置费用5万。（以上三项实际需要15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center"/>
              <w:rPr>
                <w:rFonts w:hint="default" w:ascii="宋体" w:cs="宋体"/>
                <w:color w:val="000000"/>
                <w:sz w:val="24"/>
              </w:rPr>
            </w:pPr>
            <w:r>
              <w:rPr>
                <w:rFonts w:hint="eastAsia" w:ascii="宋体" w:cs="宋体"/>
                <w:color w:val="000000"/>
                <w:sz w:val="24"/>
              </w:rPr>
              <w:t>有效应对紧急、突发事件</w:t>
            </w:r>
            <w:r>
              <w:rPr>
                <w:rFonts w:hint="default" w:ascii="宋体" w:cs="宋体"/>
                <w:color w:val="000000"/>
                <w:sz w:val="24"/>
              </w:rPr>
              <w:t>，维护了道路运输的安全。</w:t>
            </w:r>
          </w:p>
        </w:tc>
      </w:tr>
      <w:tr>
        <w:tblPrEx>
          <w:tblCellMar>
            <w:top w:w="0" w:type="dxa"/>
            <w:left w:w="0" w:type="dxa"/>
            <w:bottom w:w="0" w:type="dxa"/>
            <w:right w:w="0" w:type="dxa"/>
          </w:tblCellMar>
        </w:tblPrEx>
        <w:trPr>
          <w:trHeight w:val="638"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实际完成指标值(包含数字及文字描述)</w:t>
            </w:r>
          </w:p>
        </w:tc>
      </w:tr>
      <w:tr>
        <w:tblPrEx>
          <w:tblCellMar>
            <w:top w:w="0" w:type="dxa"/>
            <w:left w:w="0" w:type="dxa"/>
            <w:bottom w:w="0" w:type="dxa"/>
            <w:right w:w="0" w:type="dxa"/>
          </w:tblCellMar>
        </w:tblPrEx>
        <w:trPr>
          <w:trHeight w:val="999"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default" w:ascii="宋体" w:cs="宋体"/>
                <w:color w:val="000000"/>
                <w:sz w:val="24"/>
              </w:rPr>
              <w:t>根据实际</w:t>
            </w:r>
            <w:r>
              <w:rPr>
                <w:rFonts w:hint="eastAsia" w:ascii="宋体" w:cs="宋体"/>
                <w:color w:val="000000"/>
                <w:sz w:val="24"/>
              </w:rPr>
              <w:t>情况和应急突发事件确定工作数量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根据工作实际开展情况和应急突发事件确定工作数量。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根据工作实际开展</w:t>
            </w:r>
          </w:p>
        </w:tc>
      </w:tr>
      <w:tr>
        <w:tblPrEx>
          <w:tblCellMar>
            <w:top w:w="0" w:type="dxa"/>
            <w:left w:w="0" w:type="dxa"/>
            <w:bottom w:w="0" w:type="dxa"/>
            <w:right w:w="0" w:type="dxa"/>
          </w:tblCellMar>
        </w:tblPrEx>
        <w:trPr>
          <w:trHeight w:val="753"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default" w:ascii="宋体" w:cs="宋体"/>
                <w:color w:val="000000"/>
                <w:sz w:val="24"/>
              </w:rPr>
              <w:t>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全年不定期开展工作，常年开展。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default" w:ascii="宋体" w:cs="宋体"/>
                <w:color w:val="000000"/>
                <w:sz w:val="24"/>
              </w:rPr>
              <w:t>全年</w:t>
            </w:r>
            <w:r>
              <w:rPr>
                <w:rFonts w:hint="eastAsia" w:ascii="宋体" w:cs="宋体"/>
                <w:color w:val="000000"/>
                <w:sz w:val="24"/>
              </w:rPr>
              <w:t>不定期开展工作，常年开展</w:t>
            </w:r>
          </w:p>
        </w:tc>
      </w:tr>
      <w:tr>
        <w:tblPrEx>
          <w:tblCellMar>
            <w:top w:w="0" w:type="dxa"/>
            <w:left w:w="0" w:type="dxa"/>
            <w:bottom w:w="0" w:type="dxa"/>
            <w:right w:w="0" w:type="dxa"/>
          </w:tblCellMar>
        </w:tblPrEx>
        <w:trPr>
          <w:trHeight w:val="1538"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化解道路运输行业的复杂情况、利益关系、矛盾问题，应对各类上访、停运等群体性事件。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eastAsia" w:ascii="宋体" w:cs="宋体"/>
                <w:color w:val="000000"/>
                <w:sz w:val="24"/>
              </w:rPr>
              <w:t>化解道路运输行业的复杂情况、利益关系、矛盾问题，应对各类上访、停运等群体性事件</w:t>
            </w:r>
            <w:r>
              <w:rPr>
                <w:rFonts w:hint="default" w:ascii="宋体" w:cs="宋体"/>
                <w:color w:val="000000"/>
                <w:sz w:val="24"/>
              </w:rPr>
              <w:t>。</w:t>
            </w:r>
          </w:p>
        </w:tc>
      </w:tr>
      <w:tr>
        <w:tblPrEx>
          <w:tblCellMar>
            <w:top w:w="0" w:type="dxa"/>
            <w:left w:w="0" w:type="dxa"/>
            <w:bottom w:w="0" w:type="dxa"/>
            <w:right w:w="0" w:type="dxa"/>
          </w:tblCellMar>
        </w:tblPrEx>
        <w:trPr>
          <w:trHeight w:val="558"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default" w:asci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保障运输市场安全有序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保障运输市场安全有序</w:t>
            </w:r>
          </w:p>
        </w:tc>
      </w:tr>
    </w:tbl>
    <w:p>
      <w:pPr>
        <w:pStyle w:val="2"/>
        <w:ind w:left="0" w:leftChars="0" w:firstLine="0" w:firstLineChars="0"/>
        <w:rPr>
          <w:rFonts w:hint="eastAsia" w:ascii="仿宋_GB2312" w:eastAsia="仿宋_GB2312" w:cs="仿宋_GB2312"/>
          <w:sz w:val="32"/>
          <w:szCs w:val="32"/>
        </w:rPr>
      </w:pPr>
    </w:p>
    <w:p>
      <w:pPr>
        <w:jc w:val="center"/>
        <w:textAlignment w:val="center"/>
        <w:rPr>
          <w:rFonts w:hint="eastAsia" w:ascii="宋体" w:eastAsia="微软雅黑" w:cs="宋体"/>
          <w:b/>
          <w:bCs/>
          <w:color w:val="000000"/>
          <w:sz w:val="36"/>
          <w:szCs w:val="36"/>
          <w:lang w:eastAsia="zh-CN"/>
        </w:rPr>
      </w:pPr>
      <w:r>
        <w:rPr>
          <w:rFonts w:hint="eastAsia" w:ascii="宋体" w:cs="宋体"/>
          <w:b/>
          <w:bCs/>
          <w:color w:val="000000"/>
          <w:sz w:val="36"/>
          <w:szCs w:val="36"/>
        </w:rPr>
        <w:t>项目绩效目标完成情况表</w:t>
      </w:r>
    </w:p>
    <w:p>
      <w:pPr>
        <w:jc w:val="center"/>
        <w:textAlignment w:val="center"/>
        <w:rPr>
          <w:rFonts w:hint="eastAsia" w:ascii="Tahoma" w:hAnsi="Tahoma" w:eastAsia="微软雅黑" w:cstheme="minorBidi"/>
          <w:sz w:val="22"/>
          <w:szCs w:val="22"/>
          <w:lang w:val="en-US" w:eastAsia="zh-CN" w:bidi="ar-SA"/>
        </w:rPr>
      </w:pPr>
      <w:r>
        <w:rPr>
          <w:rFonts w:hint="eastAsia" w:ascii="宋体" w:cs="宋体"/>
          <w:b/>
          <w:bCs/>
          <w:color w:val="000000"/>
          <w:sz w:val="36"/>
          <w:szCs w:val="36"/>
        </w:rPr>
        <w:t>(2020年度)</w:t>
      </w:r>
    </w:p>
    <w:tbl>
      <w:tblPr>
        <w:tblStyle w:val="1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道路运输稽查和执法工作</w:t>
            </w:r>
            <w:r>
              <w:rPr>
                <w:rFonts w:hint="default" w:ascii="宋体" w:cs="宋体"/>
                <w:color w:val="000000"/>
                <w:sz w:val="24"/>
              </w:rPr>
              <w:t>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广元市道路运输管理局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6.88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6.88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6.88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6.88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实际完成目标</w:t>
            </w:r>
          </w:p>
        </w:tc>
      </w:tr>
      <w:tr>
        <w:tblPrEx>
          <w:tblCellMar>
            <w:top w:w="0" w:type="dxa"/>
            <w:left w:w="0" w:type="dxa"/>
            <w:bottom w:w="0" w:type="dxa"/>
            <w:right w:w="0" w:type="dxa"/>
          </w:tblCellMar>
        </w:tblPrEx>
        <w:trPr>
          <w:trHeight w:val="3913" w:hRule="atLeast"/>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1、负责全市范围内客运、货运、公交、巡游出租车、网络预约出租车、机动车驾驶员培训、机动车维修、机动车综合性能检测、汽车租赁、物流市场、车辆超限运输源头治理等行业稽查、打非治违、</w:t>
            </w:r>
            <w:r>
              <w:rPr>
                <w:rFonts w:hint="eastAsia" w:ascii="宋体" w:cs="宋体"/>
                <w:color w:val="000000"/>
                <w:sz w:val="24"/>
                <w:lang w:eastAsia="zh-CN"/>
              </w:rPr>
              <w:t>扫黑除恶</w:t>
            </w:r>
            <w:r>
              <w:rPr>
                <w:rFonts w:hint="eastAsia" w:ascii="宋体" w:cs="宋体"/>
                <w:color w:val="000000"/>
                <w:sz w:val="24"/>
              </w:rPr>
              <w:t>、乱象整治等运政执法任务；2、继续开展七盘关站点交通行政执法工作。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1、负责全市范围内客运、货运、公交、巡游出租车、网络预约出租车、机动车驾驶员培训、机动车维修、机动车综合性能检测、汽车租赁、物流市场、车辆超限运输源头治理等行业稽查、打非治违、</w:t>
            </w:r>
            <w:r>
              <w:rPr>
                <w:rFonts w:hint="eastAsia" w:ascii="宋体" w:cs="宋体"/>
                <w:color w:val="000000"/>
                <w:sz w:val="24"/>
                <w:lang w:eastAsia="zh-CN"/>
              </w:rPr>
              <w:t>扫黑除恶</w:t>
            </w:r>
            <w:r>
              <w:rPr>
                <w:rFonts w:hint="eastAsia" w:ascii="宋体" w:cs="宋体"/>
                <w:color w:val="000000"/>
                <w:sz w:val="24"/>
              </w:rPr>
              <w:t>、乱象整治等运政执法任务；2、继续开展七盘关站点交通行政执法工作。</w:t>
            </w:r>
          </w:p>
        </w:tc>
      </w:tr>
      <w:tr>
        <w:tblPrEx>
          <w:tblCellMar>
            <w:top w:w="0" w:type="dxa"/>
            <w:left w:w="0" w:type="dxa"/>
            <w:bottom w:w="0" w:type="dxa"/>
            <w:right w:w="0" w:type="dxa"/>
          </w:tblCellMar>
        </w:tblPrEx>
        <w:trPr>
          <w:trHeight w:val="1833" w:hRule="atLeast"/>
        </w:trPr>
        <w:tc>
          <w:tcPr>
            <w:tcW w:w="390" w:type="dxa"/>
            <w:vMerge w:val="restart"/>
            <w:tcBorders>
              <w:top w:val="nil"/>
              <w:left w:val="nil"/>
              <w:bottom w:val="nil"/>
              <w:right w:val="nil"/>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nil"/>
              <w:left w:val="nil"/>
              <w:bottom w:val="nil"/>
              <w:right w:val="nil"/>
            </w:tcBorders>
            <w:tcMar>
              <w:top w:w="15" w:type="dxa"/>
              <w:left w:w="15" w:type="dxa"/>
              <w:right w:w="15" w:type="dxa"/>
            </w:tcMar>
            <w:vAlign w:val="center"/>
          </w:tcPr>
          <w:p/>
        </w:tc>
        <w:tc>
          <w:tcPr>
            <w:tcW w:w="13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1、市运管局负责全市范围内客运、货运、公交、巡游出租车、网络预约出租车、机动车驾驶员培训、机动车维修、机动车综合性能检测、汽车租赁、物流市场、车辆超限运输源头治理等行业稽查、打非治违、</w:t>
            </w:r>
            <w:r>
              <w:rPr>
                <w:rFonts w:hint="eastAsia" w:ascii="宋体" w:cs="宋体"/>
                <w:color w:val="000000"/>
                <w:sz w:val="24"/>
                <w:lang w:eastAsia="zh-CN"/>
              </w:rPr>
              <w:t>扫黑除恶</w:t>
            </w:r>
            <w:r>
              <w:rPr>
                <w:rFonts w:hint="eastAsia" w:ascii="宋体" w:cs="宋体"/>
                <w:color w:val="000000"/>
                <w:sz w:val="24"/>
              </w:rPr>
              <w:t>、乱象整治等运政执法任务；2、七盘关站点执法工作开展。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1、市运管局负责全市范围内客运、货运、公交、巡游出租车、网络预约出租车、机动车驾驶员培训、机动车维修、机动车综合性能检测、汽车租赁、物流市场、车辆超限运输源头治理等行业稽查、打非治违、</w:t>
            </w:r>
            <w:r>
              <w:rPr>
                <w:rFonts w:hint="eastAsia" w:ascii="宋体" w:cs="宋体"/>
                <w:color w:val="000000"/>
                <w:sz w:val="24"/>
                <w:lang w:eastAsia="zh-CN"/>
              </w:rPr>
              <w:t>扫黑除恶</w:t>
            </w:r>
            <w:r>
              <w:rPr>
                <w:rFonts w:hint="eastAsia" w:ascii="宋体" w:cs="宋体"/>
                <w:color w:val="000000"/>
                <w:sz w:val="24"/>
              </w:rPr>
              <w:t>、乱象整治等运政执法任务；2、七盘关站点执法工作开展。</w:t>
            </w:r>
          </w:p>
        </w:tc>
      </w:tr>
      <w:tr>
        <w:tblPrEx>
          <w:tblCellMar>
            <w:top w:w="0" w:type="dxa"/>
            <w:left w:w="0" w:type="dxa"/>
            <w:bottom w:w="0" w:type="dxa"/>
            <w:right w:w="0" w:type="dxa"/>
          </w:tblCellMar>
        </w:tblPrEx>
        <w:trPr>
          <w:trHeight w:val="1297" w:hRule="atLeast"/>
        </w:trPr>
        <w:tc>
          <w:tcPr>
            <w:tcW w:w="390" w:type="dxa"/>
            <w:vMerge w:val="continue"/>
            <w:tcBorders>
              <w:top w:val="nil"/>
              <w:left w:val="nil"/>
              <w:bottom w:val="nil"/>
              <w:right w:val="nil"/>
            </w:tcBorders>
            <w:tcMar>
              <w:top w:w="15" w:type="dxa"/>
              <w:left w:w="15" w:type="dxa"/>
              <w:right w:w="15" w:type="dxa"/>
            </w:tcMar>
            <w:vAlign w:val="center"/>
          </w:tcPr>
          <w:p/>
        </w:tc>
        <w:tc>
          <w:tcPr>
            <w:tcW w:w="13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常年开展稽查工作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常年开展稽查工作</w:t>
            </w:r>
          </w:p>
        </w:tc>
      </w:tr>
      <w:tr>
        <w:tblPrEx>
          <w:tblCellMar>
            <w:top w:w="0" w:type="dxa"/>
            <w:left w:w="0" w:type="dxa"/>
            <w:bottom w:w="0" w:type="dxa"/>
            <w:right w:w="0" w:type="dxa"/>
          </w:tblCellMar>
        </w:tblPrEx>
        <w:trPr>
          <w:trHeight w:val="2113" w:hRule="atLeast"/>
        </w:trPr>
        <w:tc>
          <w:tcPr>
            <w:tcW w:w="390" w:type="dxa"/>
            <w:vMerge w:val="continue"/>
            <w:tcBorders>
              <w:top w:val="nil"/>
              <w:left w:val="nil"/>
              <w:bottom w:val="nil"/>
              <w:right w:val="nil"/>
            </w:tcBorders>
            <w:tcMar>
              <w:top w:w="15" w:type="dxa"/>
              <w:left w:w="15" w:type="dxa"/>
              <w:right w:w="15" w:type="dxa"/>
            </w:tcMar>
            <w:vAlign w:val="center"/>
          </w:tcPr>
          <w:p/>
        </w:tc>
        <w:tc>
          <w:tcPr>
            <w:tcW w:w="13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打非治违、</w:t>
            </w:r>
            <w:r>
              <w:rPr>
                <w:rFonts w:hint="eastAsia" w:ascii="宋体" w:cs="宋体"/>
                <w:color w:val="000000"/>
                <w:sz w:val="24"/>
                <w:lang w:eastAsia="zh-CN"/>
              </w:rPr>
              <w:t>扫黑除恶</w:t>
            </w:r>
            <w:r>
              <w:rPr>
                <w:rFonts w:hint="eastAsia" w:ascii="宋体" w:cs="宋体"/>
                <w:color w:val="000000"/>
                <w:sz w:val="24"/>
              </w:rPr>
              <w:t>、乱象整治。维护运输市场秩序，确保运输市场良性发展。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打非治违、</w:t>
            </w:r>
            <w:r>
              <w:rPr>
                <w:rFonts w:hint="eastAsia" w:ascii="宋体" w:cs="宋体"/>
                <w:color w:val="000000"/>
                <w:sz w:val="24"/>
                <w:lang w:eastAsia="zh-CN"/>
              </w:rPr>
              <w:t>扫黑除恶</w:t>
            </w:r>
            <w:r>
              <w:rPr>
                <w:rFonts w:hint="eastAsia" w:ascii="宋体" w:cs="宋体"/>
                <w:color w:val="000000"/>
                <w:sz w:val="24"/>
              </w:rPr>
              <w:t>、乱象整治。维护运输市场秩序，确保运输市场良性发展。</w:t>
            </w:r>
          </w:p>
        </w:tc>
      </w:tr>
      <w:tr>
        <w:tblPrEx>
          <w:tblCellMar>
            <w:top w:w="0" w:type="dxa"/>
            <w:left w:w="0" w:type="dxa"/>
            <w:bottom w:w="0" w:type="dxa"/>
            <w:right w:w="0" w:type="dxa"/>
          </w:tblCellMar>
        </w:tblPrEx>
        <w:trPr>
          <w:trHeight w:val="2657" w:hRule="atLeast"/>
        </w:trPr>
        <w:tc>
          <w:tcPr>
            <w:tcW w:w="390" w:type="dxa"/>
            <w:vMerge w:val="continue"/>
            <w:tcBorders>
              <w:top w:val="nil"/>
              <w:left w:val="nil"/>
              <w:bottom w:val="nil"/>
              <w:right w:val="nil"/>
            </w:tcBorders>
            <w:tcMar>
              <w:top w:w="15" w:type="dxa"/>
              <w:left w:w="15" w:type="dxa"/>
              <w:right w:w="15" w:type="dxa"/>
            </w:tcMar>
            <w:vAlign w:val="center"/>
          </w:tcPr>
          <w:p/>
        </w:tc>
        <w:tc>
          <w:tcPr>
            <w:tcW w:w="13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社会满意度测评达标，全面完成政风行风测评工作。保护合法经营者权利，维护广大人民群众利益。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eastAsia" w:ascii="宋体" w:cs="宋体"/>
                <w:color w:val="000000"/>
                <w:sz w:val="24"/>
              </w:rPr>
              <w:t>社会满意度测评达标，全面完成政风行风测评工作。保护合法经营者权利，维护广大人民群众利益</w:t>
            </w:r>
            <w:r>
              <w:rPr>
                <w:rFonts w:hint="default" w:ascii="宋体" w:cs="宋体"/>
                <w:color w:val="000000"/>
                <w:sz w:val="24"/>
              </w:rPr>
              <w:t>。</w:t>
            </w:r>
          </w:p>
        </w:tc>
      </w:tr>
    </w:tbl>
    <w:p>
      <w:pPr>
        <w:spacing w:line="580" w:lineRule="exact"/>
        <w:rPr>
          <w:rFonts w:hint="eastAsia" w:ascii="楷体_GB2312" w:eastAsia="楷体_GB2312" w:cs="楷体_GB2312"/>
          <w:sz w:val="32"/>
          <w:szCs w:val="32"/>
        </w:rPr>
      </w:pPr>
    </w:p>
    <w:p>
      <w:pPr>
        <w:pStyle w:val="2"/>
        <w:rPr>
          <w:rFonts w:hint="eastAsia" w:ascii="楷体_GB2312" w:eastAsia="楷体_GB2312" w:cs="楷体_GB2312"/>
          <w:sz w:val="32"/>
          <w:szCs w:val="32"/>
        </w:rPr>
      </w:pPr>
    </w:p>
    <w:tbl>
      <w:tblPr>
        <w:tblStyle w:val="19"/>
        <w:tblpPr w:leftFromText="180" w:rightFromText="180" w:vertAnchor="text" w:horzAnchor="page" w:tblpXSpec="center" w:tblpY="423"/>
        <w:tblOverlap w:val="never"/>
        <w:tblW w:w="9959" w:type="dxa"/>
        <w:tblInd w:w="0" w:type="dxa"/>
        <w:tblLayout w:type="fixed"/>
        <w:tblCellMar>
          <w:top w:w="0" w:type="dxa"/>
          <w:left w:w="0" w:type="dxa"/>
          <w:bottom w:w="0" w:type="dxa"/>
          <w:right w:w="0" w:type="dxa"/>
        </w:tblCellMar>
      </w:tblPr>
      <w:tblGrid>
        <w:gridCol w:w="389"/>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jc w:val="center"/>
              <w:textAlignment w:val="center"/>
              <w:rPr>
                <w:rFonts w:hint="eastAsia" w:ascii="宋体" w:eastAsia="微软雅黑" w:cs="宋体"/>
                <w:b/>
                <w:bCs/>
                <w:color w:val="000000"/>
                <w:sz w:val="36"/>
                <w:szCs w:val="36"/>
                <w:lang w:eastAsia="zh-CN"/>
              </w:rPr>
            </w:pPr>
            <w:r>
              <w:rPr>
                <w:rFonts w:hint="eastAsia" w:ascii="宋体" w:cs="宋体"/>
                <w:b/>
                <w:bCs/>
                <w:color w:val="000000"/>
                <w:sz w:val="36"/>
                <w:szCs w:val="36"/>
              </w:rPr>
              <w:t>项目绩效目标完成情况表</w:t>
            </w:r>
          </w:p>
          <w:p>
            <w:pPr>
              <w:jc w:val="center"/>
              <w:textAlignment w:val="center"/>
              <w:rPr>
                <w:rFonts w:hint="eastAsia" w:ascii="宋体" w:cs="宋体"/>
                <w:color w:val="000000"/>
                <w:sz w:val="36"/>
                <w:szCs w:val="36"/>
              </w:rPr>
            </w:pPr>
            <w:r>
              <w:rPr>
                <w:rFonts w:hint="eastAsia" w:ascii="宋体" w:cs="宋体"/>
                <w:color w:val="000000"/>
                <w:sz w:val="36"/>
                <w:szCs w:val="36"/>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道路运输管理业务工作经费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广元市道路运输管理局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5.95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5.95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5.95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5.95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完成全市道路运输行业管理行政审批；道路运输市场、车辆检测、驾驶员培训、城市公共交通、汽车租赁、运输市场管理、车辆超载源头治理；查处运输企业等违法违规经营行为；负责应急特种运输；指导客货站场建设；2、从业资格考试管理；3、全市道路旅客运输企业质量信誉考核考评、道路危险货物运输企业服务质量信誉考评、汽车维修企业质量信誉考核抽查、全市初评为AA级出租汽车企业进行核定、道路运输企业安全生产状况评估等</w:t>
            </w:r>
            <w:r>
              <w:rPr>
                <w:rFonts w:hint="default" w:ascii="宋体" w:cs="宋体"/>
                <w:color w:val="000000"/>
                <w:sz w:val="24"/>
              </w:rPr>
              <w:t>；</w:t>
            </w:r>
            <w:r>
              <w:rPr>
                <w:rFonts w:hint="eastAsia" w:ascii="宋体" w:cs="宋体"/>
                <w:color w:val="000000"/>
                <w:sz w:val="24"/>
              </w:rPr>
              <w:t>4、道路运输安全、法律法规、节能环保、出租车文明创建、扫黑除恶等进行宣传；5、召开各项法规宣传会、一季度一次的安全例会、管理对象教育培训会、全市运管工作会、安全工作会、从业资格考核员培训等各项业务培训，参加上级主管部门组织开展的各种业务培训、会议、调研。</w:t>
            </w:r>
          </w:p>
          <w:p>
            <w:pPr>
              <w:jc w:val="center"/>
              <w:textAlignment w:val="center"/>
              <w:rPr>
                <w:rFonts w:hint="eastAsia"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完成全市道路运输行业管理行政审批；道路运输市场、车辆检测、驾驶员培训、城市公共交通、汽车租赁、运输市场管理、车辆超载源头治理；查处运输企业等违法违规经营行为；负责应急特种运输；指导客货站场建设；2、从业资格考试管理；3、全市道路旅客运输企业质量信誉考核考评、道路危险货物运输企业服务质量信誉考评、汽车维修企业质量信誉考核抽查、全市初评为AA级出租汽车企业进行核定、道路运输企业安全生产状况评估等</w:t>
            </w:r>
            <w:r>
              <w:rPr>
                <w:rFonts w:hint="default" w:ascii="宋体" w:cs="宋体"/>
                <w:color w:val="000000"/>
                <w:sz w:val="24"/>
              </w:rPr>
              <w:t>；</w:t>
            </w:r>
            <w:r>
              <w:rPr>
                <w:rFonts w:hint="eastAsia" w:ascii="宋体" w:cs="宋体"/>
                <w:color w:val="000000"/>
                <w:sz w:val="24"/>
              </w:rPr>
              <w:t>4、道路运输安全、法律法规、节能环保、出租车文明创建、扫黑除恶等进行宣传；5、召开各项法规宣传会、一季度一次的安全例会、管理对象教育培训会、全市运管工作会、安全工作会、从业资格考核员培训等各项业务培训，参加上级主管部门组织开展的各种业务培训、会议、调研。</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3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承担道路运输市场、车辆检测、驾驶员培训、城市公共交通、汽车租赁、运输市场管理、车辆超限源头治理等工作；2、道路运输安全、法律法规、节能环保、出租车文明创建、扫黑除恶等进行宣传；3、召开各项法规宣传会、一季度一次的安全例会、管理对象教育培训会、全市运管工作会、安全工作会、从业资格考核员培训等各项业务培训，还要参加上级主管部门组织开展的各种业务培训、会议、调研。</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1、承担道路运输市场、车辆检测、驾驶员培训、城市公共交通、汽车租赁、运输市场管理、车辆超限源头治理等工作；2、道路运输安全、法律法规、节能环保、出租车文明创建、扫黑除恶等进行宣传；3、召开各项法规宣传会、一季度一次的安全例会、管理对象教育培训会、全市运管工作会、安全工作会、从业资格考核员培训等各项业务培训，还要参加上级主管部门组织开展的各种业务培训、会议、调研。</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36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default" w:ascii="宋体" w:cs="宋体"/>
                <w:color w:val="000000"/>
                <w:sz w:val="24"/>
              </w:rPr>
              <w:t>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2020年常年开展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2020年常年开展</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负责运输企业、市场的监督、管理和指导并依法查处违法违规经营行为；负责组织重要、紧急物资运输和战备、应急等特种运输工作；指导全市道路客货站场建设、安全生产管理工作；负责从业资格考试管理；全市道路旅客运输企业质量信誉考核考评、道路危险货物运输企业服务质量信誉考评、汽车维修企业质量信誉考核抽查、全市初评为AA级出租汽车企业进行核定、道路运输企业安全生产状况评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宋体" w:cs="宋体"/>
                <w:color w:val="000000"/>
                <w:sz w:val="24"/>
              </w:rPr>
            </w:pPr>
            <w:r>
              <w:rPr>
                <w:rFonts w:hint="eastAsia" w:ascii="宋体" w:cs="宋体"/>
                <w:color w:val="000000"/>
                <w:sz w:val="24"/>
              </w:rPr>
              <w:t>负责运输企业、市场的监督、管理和指导并依法查处违法违规经营行为；负责组织重要、紧急物资运输和战备、应急等特种运输工作；指导全市道路客货站场建设、安全生产管理工作；负责从业资格考试管理；全市道路旅客运输企业质量信誉考核考评、道路危险货物运输企业服务质量信誉考评、汽车维修企业质量信誉考核抽查、全市初评为AA级出租汽车企业进行核定、道路运输企业安全生产状况评估</w:t>
            </w:r>
            <w:r>
              <w:rPr>
                <w:rFonts w:hint="default" w:ascii="宋体" w:cs="宋体"/>
                <w:color w:val="00000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社会满意度测评合格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cs="宋体"/>
                <w:color w:val="000000"/>
                <w:sz w:val="24"/>
              </w:rPr>
            </w:pPr>
            <w:r>
              <w:rPr>
                <w:rFonts w:hint="eastAsia" w:ascii="宋体" w:cs="宋体"/>
                <w:color w:val="000000"/>
                <w:sz w:val="24"/>
              </w:rPr>
              <w:t>社会满意度测评合格</w:t>
            </w:r>
          </w:p>
        </w:tc>
      </w:tr>
    </w:tbl>
    <w:p>
      <w:pPr>
        <w:spacing w:line="580" w:lineRule="exact"/>
        <w:rPr>
          <w:rFonts w:hint="eastAsia" w:ascii="楷体_GB2312" w:eastAsia="楷体_GB2312" w:cs="楷体_GB2312"/>
          <w:sz w:val="32"/>
          <w:szCs w:val="32"/>
        </w:rPr>
      </w:pPr>
    </w:p>
    <w:p>
      <w:pPr>
        <w:pStyle w:val="2"/>
        <w:rPr>
          <w:rFonts w:hint="eastAsia" w:ascii="楷体_GB2312" w:eastAsia="楷体_GB2312" w:cs="楷体_GB2312"/>
          <w:sz w:val="32"/>
          <w:szCs w:val="32"/>
        </w:rPr>
      </w:pPr>
    </w:p>
    <w:p>
      <w:pPr>
        <w:rPr>
          <w:rFonts w:hint="eastAsia"/>
        </w:rPr>
      </w:pPr>
    </w:p>
    <w:tbl>
      <w:tblPr>
        <w:tblStyle w:val="1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943" w:hRule="atLeast"/>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宋体" w:eastAsia="微软雅黑" w:cs="宋体"/>
                <w:b/>
                <w:bCs/>
                <w:color w:val="000000"/>
                <w:sz w:val="36"/>
                <w:szCs w:val="36"/>
                <w:lang w:eastAsia="zh-CN"/>
              </w:rPr>
            </w:pPr>
            <w:r>
              <w:rPr>
                <w:rFonts w:hint="eastAsia" w:ascii="宋体" w:cs="宋体"/>
                <w:b/>
                <w:bCs/>
                <w:color w:val="000000"/>
                <w:sz w:val="36"/>
                <w:szCs w:val="36"/>
              </w:rPr>
              <w:t>项目绩效目标完成情况表</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宋体" w:cs="宋体"/>
                <w:color w:val="000000"/>
                <w:sz w:val="36"/>
                <w:szCs w:val="36"/>
              </w:rPr>
            </w:pPr>
            <w:r>
              <w:rPr>
                <w:rFonts w:hint="eastAsia" w:ascii="宋体" w:cs="宋体"/>
                <w:color w:val="000000"/>
                <w:sz w:val="36"/>
                <w:szCs w:val="36"/>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协助执法人员经费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广元市道路运输管理局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84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84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rPr>
                <w:rFonts w:hint="eastAsia"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实际完成目标</w:t>
            </w:r>
          </w:p>
        </w:tc>
      </w:tr>
      <w:tr>
        <w:tblPrEx>
          <w:tblCellMar>
            <w:top w:w="0" w:type="dxa"/>
            <w:left w:w="0" w:type="dxa"/>
            <w:bottom w:w="0" w:type="dxa"/>
            <w:right w:w="0" w:type="dxa"/>
          </w:tblCellMar>
        </w:tblPrEx>
        <w:trPr>
          <w:trHeight w:val="2473" w:hRule="atLeast"/>
        </w:trPr>
        <w:tc>
          <w:tcPr>
            <w:tcW w:w="39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支付单位30名协助执法人员工资、保险、工作经费等。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支付单位30名协助执法人员工资、保险、工作经费等。</w:t>
            </w:r>
          </w:p>
        </w:tc>
      </w:tr>
      <w:tr>
        <w:tblPrEx>
          <w:tblCellMar>
            <w:top w:w="0" w:type="dxa"/>
            <w:left w:w="0" w:type="dxa"/>
            <w:bottom w:w="0" w:type="dxa"/>
            <w:right w:w="0" w:type="dxa"/>
          </w:tblCellMar>
        </w:tblPrEx>
        <w:trPr>
          <w:trHeight w:val="941"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default" w:ascii="宋体" w:cs="宋体"/>
                <w:color w:val="000000"/>
                <w:sz w:val="24"/>
              </w:rPr>
            </w:pPr>
            <w:r>
              <w:rPr>
                <w:rFonts w:hint="default" w:ascii="宋体" w:cs="宋体"/>
                <w:color w:val="000000"/>
                <w:sz w:val="24"/>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协助执法人员30名，其中20名协助执法人员为无固定期限合同。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center"/>
              <w:rPr>
                <w:rFonts w:hint="eastAsia" w:ascii="宋体" w:cs="宋体"/>
                <w:color w:val="000000"/>
                <w:sz w:val="24"/>
              </w:rPr>
            </w:pPr>
            <w:r>
              <w:rPr>
                <w:rFonts w:hint="eastAsia" w:ascii="宋体" w:cs="宋体"/>
                <w:color w:val="000000"/>
                <w:sz w:val="24"/>
              </w:rPr>
              <w:t>协助执法人员30名，其中20名协助执法人员为无固定期限合同。</w:t>
            </w:r>
          </w:p>
        </w:tc>
      </w:tr>
      <w:tr>
        <w:tblPrEx>
          <w:tblCellMar>
            <w:top w:w="0" w:type="dxa"/>
            <w:left w:w="0" w:type="dxa"/>
            <w:bottom w:w="0" w:type="dxa"/>
            <w:right w:w="0" w:type="dxa"/>
          </w:tblCellMar>
        </w:tblPrEx>
        <w:trPr>
          <w:trHeight w:val="1151"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default" w:ascii="宋体" w:cs="宋体"/>
                <w:color w:val="000000"/>
                <w:sz w:val="24"/>
              </w:rPr>
            </w:pPr>
            <w:r>
              <w:rPr>
                <w:rFonts w:hint="default" w:ascii="宋体" w:cs="宋体"/>
                <w:color w:val="000000"/>
                <w:sz w:val="24"/>
              </w:rPr>
              <w:t>支付时间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常年聘用协助执法人员，全年支付各种人员经费、工作经费。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常年聘用协助执法人员，全年支付各种人员经费、工作经费。</w:t>
            </w:r>
          </w:p>
        </w:tc>
      </w:tr>
      <w:tr>
        <w:tblPrEx>
          <w:tblCellMar>
            <w:top w:w="0" w:type="dxa"/>
            <w:left w:w="0" w:type="dxa"/>
            <w:bottom w:w="0" w:type="dxa"/>
            <w:right w:w="0" w:type="dxa"/>
          </w:tblCellMar>
        </w:tblPrEx>
        <w:trPr>
          <w:trHeight w:val="895"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维护职工合法权益、维护社会稳定。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维护职工合法权益、维护社会稳定。</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维护聘用人员合法权益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center"/>
              <w:rPr>
                <w:rFonts w:hint="eastAsia" w:ascii="宋体" w:cs="宋体"/>
                <w:color w:val="000000"/>
                <w:sz w:val="24"/>
              </w:rPr>
            </w:pPr>
            <w:r>
              <w:rPr>
                <w:rFonts w:hint="eastAsia" w:ascii="宋体" w:cs="宋体"/>
                <w:color w:val="000000"/>
                <w:sz w:val="24"/>
              </w:rPr>
              <w:t>维护聘用人员合法权益</w:t>
            </w:r>
          </w:p>
        </w:tc>
      </w:tr>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center"/>
              <w:rPr>
                <w:rFonts w:hint="eastAsia" w:ascii="宋体" w:eastAsia="微软雅黑" w:cs="宋体"/>
                <w:b/>
                <w:bCs/>
                <w:color w:val="000000"/>
                <w:sz w:val="36"/>
                <w:szCs w:val="36"/>
                <w:lang w:eastAsia="zh-CN"/>
              </w:rPr>
            </w:pPr>
            <w:r>
              <w:rPr>
                <w:rFonts w:hint="eastAsia" w:ascii="宋体" w:cs="宋体"/>
                <w:b/>
                <w:bCs/>
                <w:color w:val="000000"/>
                <w:sz w:val="36"/>
                <w:szCs w:val="36"/>
              </w:rPr>
              <w:t>项目绩效目标完成情况表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center"/>
              <w:rPr>
                <w:rFonts w:hint="eastAsia" w:ascii="宋体" w:cs="宋体"/>
                <w:color w:val="000000"/>
                <w:sz w:val="36"/>
                <w:szCs w:val="36"/>
              </w:rPr>
            </w:pPr>
            <w:r>
              <w:rPr>
                <w:rFonts w:hint="eastAsia" w:ascii="宋体" w:cs="宋体"/>
                <w:color w:val="000000"/>
                <w:sz w:val="36"/>
                <w:szCs w:val="36"/>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帮扶工作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广元市道路运输管理局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3.72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3.72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3.72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3.72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rPr>
                <w:rFonts w:hint="eastAsia"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完成2020年帮扶工作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完成2020年帮扶工作</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两个村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eastAsia" w:ascii="宋体" w:cs="宋体"/>
                <w:color w:val="000000"/>
                <w:sz w:val="24"/>
              </w:rPr>
              <w:t>根据市上安排，我局负责对苍溪县白桥镇杆柏村、龙门村对口帮扶</w:t>
            </w:r>
            <w:r>
              <w:rPr>
                <w:rFonts w:hint="default"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eastAsia" w:ascii="宋体" w:cs="宋体"/>
                <w:color w:val="000000"/>
                <w:sz w:val="24"/>
              </w:rPr>
              <w:t>根据市上安排，我局负责对苍溪县白桥镇杆柏村、龙门村对口帮扶</w:t>
            </w:r>
            <w:r>
              <w:rPr>
                <w:rFonts w:hint="default" w:ascii="宋体" w:cs="宋体"/>
                <w:color w:val="000000"/>
                <w:sz w:val="24"/>
              </w:rPr>
              <w:t>。</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全面完成帮扶工作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根据帮扶工作安排时间节点完成各项工作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根据帮扶工作安排时间节点完成各项工作</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完成脱贫工作，帮助贫困户致富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为全国脱贫奔小康做贡献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为全国脱贫奔小康做贡献</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满意指标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eastAsia" w:ascii="宋体" w:cs="宋体"/>
                <w:color w:val="000000"/>
                <w:sz w:val="24"/>
              </w:rPr>
            </w:pPr>
            <w:r>
              <w:rPr>
                <w:rFonts w:hint="eastAsia" w:ascii="宋体" w:cs="宋体"/>
                <w:color w:val="000000"/>
                <w:sz w:val="24"/>
              </w:rPr>
              <w:t>贫困户对帮扶工作满意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eastAsia" w:ascii="宋体" w:cs="宋体"/>
                <w:color w:val="000000"/>
                <w:sz w:val="24"/>
              </w:rPr>
              <w:t>做好脱贫</w:t>
            </w:r>
            <w:r>
              <w:rPr>
                <w:rFonts w:hint="eastAsia" w:ascii="宋体" w:cs="宋体"/>
                <w:color w:val="000000"/>
                <w:sz w:val="24"/>
                <w:lang w:eastAsia="zh-CN"/>
              </w:rPr>
              <w:t>攻</w:t>
            </w:r>
            <w:r>
              <w:rPr>
                <w:rFonts w:hint="eastAsia" w:ascii="宋体" w:cs="宋体"/>
                <w:color w:val="000000"/>
                <w:sz w:val="24"/>
              </w:rPr>
              <w:t>坚工作，让贫困户对我们的帮扶工作满意</w:t>
            </w:r>
            <w:r>
              <w:rPr>
                <w:rFonts w:hint="default"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center"/>
              <w:rPr>
                <w:rFonts w:hint="default" w:ascii="宋体" w:cs="宋体"/>
                <w:color w:val="000000"/>
                <w:sz w:val="24"/>
              </w:rPr>
            </w:pPr>
            <w:r>
              <w:rPr>
                <w:rFonts w:hint="eastAsia" w:ascii="宋体" w:cs="宋体"/>
                <w:color w:val="000000"/>
                <w:sz w:val="24"/>
              </w:rPr>
              <w:t>做好脱贫</w:t>
            </w:r>
            <w:r>
              <w:rPr>
                <w:rFonts w:hint="eastAsia" w:ascii="宋体" w:cs="宋体"/>
                <w:color w:val="000000"/>
                <w:sz w:val="24"/>
                <w:lang w:eastAsia="zh-CN"/>
              </w:rPr>
              <w:t>攻坚</w:t>
            </w:r>
            <w:r>
              <w:rPr>
                <w:rFonts w:hint="eastAsia" w:ascii="宋体" w:cs="宋体"/>
                <w:color w:val="000000"/>
                <w:sz w:val="24"/>
              </w:rPr>
              <w:t>工作，让贫困户对我们的帮扶工作满意</w:t>
            </w:r>
            <w:r>
              <w:rPr>
                <w:rFonts w:hint="default" w:ascii="宋体" w:cs="宋体"/>
                <w:color w:val="000000"/>
                <w:sz w:val="24"/>
              </w:rPr>
              <w:t>。</w:t>
            </w:r>
          </w:p>
        </w:tc>
      </w:tr>
    </w:tbl>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rPr>
        <w:t>2.部门绩效评价结果</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rPr>
        <w:t>本部门按要求对2020年部门整体支出绩效评价情况开展自评，《广元市道路运输管理局2020年部门整体支出绩效评价报告》见附件（附件1）。</w:t>
      </w:r>
    </w:p>
    <w:p>
      <w:pPr>
        <w:spacing w:line="580" w:lineRule="exact"/>
        <w:ind w:firstLine="640" w:firstLineChars="200"/>
        <w:rPr>
          <w:rFonts w:hint="eastAsia" w:ascii="仿宋" w:eastAsia="仿宋"/>
          <w:color w:val="000000"/>
          <w:sz w:val="32"/>
          <w:szCs w:val="32"/>
        </w:rPr>
      </w:pPr>
      <w:r>
        <w:rPr>
          <w:rFonts w:hint="eastAsia" w:ascii="仿宋" w:eastAsia="仿宋"/>
          <w:color w:val="000000"/>
          <w:sz w:val="32"/>
          <w:szCs w:val="32"/>
        </w:rPr>
        <w:br w:type="page"/>
      </w:r>
    </w:p>
    <w:p>
      <w:pPr>
        <w:widowControl w:val="0"/>
        <w:numPr>
          <w:ilvl w:val="0"/>
          <w:numId w:val="1"/>
        </w:numPr>
        <w:adjustRightInd/>
        <w:snapToGrid/>
        <w:spacing w:after="0" w:line="600" w:lineRule="exact"/>
        <w:ind w:firstLine="660" w:firstLineChars="150"/>
        <w:jc w:val="center"/>
        <w:outlineLvl w:val="0"/>
        <w:rPr>
          <w:rFonts w:hint="eastAsia" w:ascii="方正小标宋简体" w:hAnsi="方正小标宋简体" w:eastAsia="方正小标宋简体" w:cs="方正小标宋简体"/>
          <w:b w:val="0"/>
          <w:bCs w:val="0"/>
          <w:color w:val="000000"/>
          <w:sz w:val="44"/>
          <w:szCs w:val="44"/>
        </w:rPr>
      </w:pPr>
      <w:bookmarkStart w:id="73" w:name="_Toc15396613"/>
      <w:bookmarkStart w:id="74" w:name="_Toc97792501"/>
      <w:bookmarkStart w:id="75" w:name="_Toc15377225"/>
      <w:r>
        <w:rPr>
          <w:rFonts w:hint="eastAsia" w:ascii="方正小标宋简体" w:hAnsi="方正小标宋简体" w:eastAsia="方正小标宋简体" w:cs="方正小标宋简体"/>
          <w:b w:val="0"/>
          <w:bCs w:val="0"/>
          <w:color w:val="000000"/>
          <w:sz w:val="44"/>
          <w:szCs w:val="44"/>
        </w:rPr>
        <w:t>名</w:t>
      </w:r>
      <w:r>
        <w:rPr>
          <w:rStyle w:val="25"/>
          <w:rFonts w:hint="eastAsia" w:ascii="方正小标宋简体" w:hAnsi="方正小标宋简体" w:eastAsia="方正小标宋简体" w:cs="方正小标宋简体"/>
          <w:b w:val="0"/>
          <w:bCs w:val="0"/>
        </w:rPr>
        <w:t>词解释</w:t>
      </w:r>
      <w:bookmarkEnd w:id="73"/>
      <w:bookmarkEnd w:id="74"/>
      <w:bookmarkEnd w:id="75"/>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rPr>
        <w:t>1.财政拨款收入：指单位从同级财政部门取得的财政预算资金。</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2</w:t>
      </w:r>
      <w:r>
        <w:rPr>
          <w:rFonts w:hint="eastAsia" w:ascii="仿宋" w:eastAsia="仿宋"/>
          <w:color w:val="000000"/>
          <w:sz w:val="32"/>
          <w:szCs w:val="32"/>
        </w:rPr>
        <w:t>.其他收入：指单位取得的除上述收入以外的各项收入。主要是</w:t>
      </w:r>
      <w:r>
        <w:rPr>
          <w:rFonts w:hint="eastAsia" w:ascii="仿宋" w:eastAsia="仿宋"/>
          <w:color w:val="000000"/>
          <w:sz w:val="32"/>
          <w:szCs w:val="32"/>
          <w:lang w:val="en-US" w:eastAsia="zh-CN"/>
        </w:rPr>
        <w:t>银行利息</w:t>
      </w:r>
      <w:r>
        <w:rPr>
          <w:rFonts w:hint="eastAsia" w:ascii="仿宋" w:eastAsia="仿宋"/>
          <w:color w:val="000000"/>
          <w:sz w:val="32"/>
          <w:szCs w:val="32"/>
        </w:rPr>
        <w:t xml:space="preserve">等。 </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3</w:t>
      </w:r>
      <w:r>
        <w:rPr>
          <w:rFonts w:hint="eastAsia" w:ascii="仿宋" w:eastAsia="仿宋"/>
          <w:color w:val="000000"/>
          <w:sz w:val="32"/>
          <w:szCs w:val="32"/>
        </w:rPr>
        <w:t xml:space="preserve">.使用非财政拨款结余：指事业单位使用以前年度积累的非财政拨款结余弥补当年收支差额的金额。 </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4</w:t>
      </w:r>
      <w:r>
        <w:rPr>
          <w:rFonts w:hint="eastAsia" w:ascii="仿宋" w:eastAsia="仿宋"/>
          <w:color w:val="000000"/>
          <w:sz w:val="32"/>
          <w:szCs w:val="32"/>
        </w:rPr>
        <w:t xml:space="preserve">.年初结转和结余：指以前年度尚未完成、结转到本年按有关规定继续使用的资金。 </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5</w:t>
      </w:r>
      <w:r>
        <w:rPr>
          <w:rFonts w:hint="eastAsia" w:ascii="仿宋" w:eastAsia="仿宋"/>
          <w:color w:val="000000"/>
          <w:sz w:val="32"/>
          <w:szCs w:val="32"/>
        </w:rPr>
        <w:t>.结余分配：指事业单位按照会计制度规定缴纳的所得税、提取的专用结余以及转入非财政拨款结余的金额等。</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6.</w:t>
      </w:r>
      <w:r>
        <w:rPr>
          <w:rFonts w:hint="eastAsia" w:ascii="仿宋" w:eastAsia="仿宋"/>
          <w:color w:val="000000"/>
          <w:sz w:val="32"/>
          <w:szCs w:val="32"/>
        </w:rPr>
        <w:t>年末结转和结余：指单位按有关规定结转到下年或以后年度继续使用的资金。</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7</w:t>
      </w:r>
      <w:r>
        <w:rPr>
          <w:rFonts w:hint="eastAsia" w:ascii="仿宋" w:eastAsia="仿宋"/>
          <w:color w:val="000000"/>
          <w:sz w:val="32"/>
          <w:szCs w:val="32"/>
        </w:rPr>
        <w:t>.社会保障和就业（类）行政事业单位离退休（款）事业单位离退休（项）：反映实行归口管理的行政单位（包括实行公务员管理的事业单位）开支的离退休经费。</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8</w:t>
      </w:r>
      <w:r>
        <w:rPr>
          <w:rFonts w:hint="eastAsia" w:ascii="仿宋" w:eastAsia="仿宋"/>
          <w:color w:val="000000"/>
          <w:sz w:val="32"/>
          <w:szCs w:val="32"/>
        </w:rPr>
        <w:t>.社会保障和就业（类）行政事业单位离退休（款）机关事业单位基本养老保险缴费支出（项）：反映财政部门集中安排的行政事业单位基本养老保险缴费经费</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9</w:t>
      </w:r>
      <w:r>
        <w:rPr>
          <w:rFonts w:hint="eastAsia" w:ascii="仿宋" w:eastAsia="仿宋"/>
          <w:color w:val="000000"/>
          <w:sz w:val="32"/>
          <w:szCs w:val="32"/>
        </w:rPr>
        <w:t>.卫生健康支出（类）行政事业单位医疗（款）（行政）事业单位医疗（项）：反映财政部门集中安排的行政事业单位基本医疗保险经费，未参加医疗保险的事业单位的公费医疗经费，按国家规定享受离休人员待遇人员的医疗经费。</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10.住房保障支出（类）住房改革支出（款）住房公积金（项）：反映行政事业单位按人力资源和社会保障部、财政部规定的基本工资和津贴补贴以及规定比例为职工缴纳的住房公积金。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11.交通运输支出（类）公路水路运输（款）行政运行（项）：反映行政单位（包括实行公务员管理的事业单位）的基本支出。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12.交通运输支出（类）公路水路运输（款）其他公路水路运输支出（项）：除上面用于水运建设方面的项目支出。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13.项目支出：指在基本支出之外为完成特定行政任务和事业发展目标所发生的支出。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lang w:val="en-US" w:eastAsia="zh-CN"/>
        </w:rPr>
      </w:pPr>
      <w:r>
        <w:rPr>
          <w:rFonts w:hint="eastAsia" w:ascii="仿宋" w:eastAsia="仿宋"/>
          <w:color w:val="000000"/>
          <w:sz w:val="32"/>
          <w:szCs w:val="32"/>
          <w:lang w:val="en-US" w:eastAsia="zh-CN"/>
        </w:rPr>
        <w:t>14.基本支出：指为保障机构正常运转、完成日常工作任务而发生的人员支出和公用支出。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15</w:t>
      </w:r>
      <w:r>
        <w:rPr>
          <w:rFonts w:hint="eastAsia" w:ascii="仿宋"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 w:eastAsia="仿宋"/>
          <w:color w:val="000000"/>
          <w:sz w:val="32"/>
          <w:szCs w:val="32"/>
        </w:rPr>
      </w:pPr>
      <w:r>
        <w:rPr>
          <w:rFonts w:hint="eastAsia" w:ascii="仿宋" w:eastAsia="仿宋"/>
          <w:color w:val="000000"/>
          <w:sz w:val="32"/>
          <w:szCs w:val="32"/>
          <w:lang w:val="en-US" w:eastAsia="zh-CN"/>
        </w:rPr>
        <w:t>16</w:t>
      </w:r>
      <w:r>
        <w:rPr>
          <w:rFonts w:hint="eastAsia" w:ascii="仿宋" w:eastAsia="仿宋"/>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3"/>
        <w:spacing w:line="560" w:lineRule="exact"/>
        <w:ind w:firstLine="640" w:firstLineChars="200"/>
        <w:rPr>
          <w:rFonts w:hint="eastAsia" w:ascii="仿宋_GB2312" w:eastAsia="仿宋_GB2312" w:cs="黑体"/>
          <w:sz w:val="32"/>
          <w:szCs w:val="32"/>
        </w:rPr>
      </w:pPr>
    </w:p>
    <w:p>
      <w:pPr>
        <w:ind w:firstLine="643" w:firstLineChars="200"/>
        <w:rPr>
          <w:rFonts w:hint="eastAsia" w:ascii="仿宋" w:eastAsia="仿宋"/>
          <w:b/>
          <w:color w:val="000000"/>
          <w:sz w:val="32"/>
          <w:szCs w:val="32"/>
        </w:rPr>
      </w:pPr>
    </w:p>
    <w:p>
      <w:pPr>
        <w:spacing w:line="600" w:lineRule="exact"/>
        <w:jc w:val="center"/>
        <w:outlineLvl w:val="0"/>
        <w:rPr>
          <w:rStyle w:val="25"/>
          <w:rFonts w:hint="eastAsia" w:ascii="方正小标宋简体" w:hAnsi="方正小标宋简体" w:eastAsia="方正小标宋简体" w:cs="方正小标宋简体"/>
          <w:b w:val="0"/>
        </w:rPr>
      </w:pPr>
      <w:bookmarkStart w:id="76" w:name="_Toc15377226"/>
      <w:r>
        <w:rPr>
          <w:rFonts w:hint="eastAsia" w:ascii="宋体"/>
          <w:b/>
          <w:color w:val="000000"/>
          <w:sz w:val="44"/>
          <w:szCs w:val="44"/>
        </w:rPr>
        <w:br w:type="page"/>
      </w:r>
      <w:bookmarkStart w:id="77" w:name="_Toc15396614"/>
      <w:bookmarkStart w:id="78" w:name="_Toc97792502"/>
      <w:r>
        <w:rPr>
          <w:rFonts w:hint="eastAsia" w:ascii="方正小标宋简体" w:hAnsi="方正小标宋简体" w:eastAsia="方正小标宋简体" w:cs="方正小标宋简体"/>
          <w:color w:val="000000"/>
          <w:sz w:val="44"/>
          <w:szCs w:val="44"/>
        </w:rPr>
        <w:t>第</w:t>
      </w:r>
      <w:r>
        <w:rPr>
          <w:rStyle w:val="25"/>
          <w:rFonts w:hint="eastAsia" w:ascii="方正小标宋简体" w:hAnsi="方正小标宋简体" w:eastAsia="方正小标宋简体" w:cs="方正小标宋简体"/>
          <w:b w:val="0"/>
        </w:rPr>
        <w:t>四部分</w:t>
      </w:r>
      <w:r>
        <w:rPr>
          <w:rStyle w:val="25"/>
          <w:rFonts w:hint="eastAsia" w:ascii="方正小标宋简体" w:hAnsi="方正小标宋简体" w:eastAsia="方正小标宋简体" w:cs="方正小标宋简体"/>
          <w:b w:val="0"/>
          <w:lang w:val="en-US" w:eastAsia="zh-CN"/>
        </w:rPr>
        <w:t xml:space="preserve"> </w:t>
      </w:r>
      <w:r>
        <w:rPr>
          <w:rStyle w:val="25"/>
          <w:rFonts w:hint="eastAsia" w:ascii="方正小标宋简体" w:hAnsi="方正小标宋简体" w:eastAsia="方正小标宋简体" w:cs="方正小标宋简体"/>
          <w:b w:val="0"/>
        </w:rPr>
        <w:t xml:space="preserve"> 附件</w:t>
      </w:r>
      <w:bookmarkEnd w:id="77"/>
      <w:bookmarkEnd w:id="78"/>
    </w:p>
    <w:p>
      <w:pPr>
        <w:spacing w:line="600" w:lineRule="exact"/>
        <w:outlineLvl w:val="0"/>
        <w:rPr>
          <w:rFonts w:hint="eastAsia" w:ascii="方正小标宋简体" w:eastAsia="方正小标宋简体" w:cs="方正小标宋简体"/>
          <w:sz w:val="32"/>
          <w:szCs w:val="32"/>
        </w:rPr>
      </w:pPr>
      <w:bookmarkStart w:id="79" w:name="_Toc97792503"/>
      <w:r>
        <w:rPr>
          <w:rFonts w:hint="eastAsia" w:ascii="黑体" w:eastAsia="黑体" w:cs="黑体"/>
          <w:sz w:val="32"/>
          <w:szCs w:val="32"/>
        </w:rPr>
        <w:t>附件1</w:t>
      </w:r>
      <w:bookmarkEnd w:id="79"/>
    </w:p>
    <w:p>
      <w:pPr>
        <w:pageBreakBefore w:val="0"/>
        <w:kinsoku/>
        <w:wordWrap/>
        <w:overflowPunct/>
        <w:topLinePunct w:val="0"/>
        <w:autoSpaceDE/>
        <w:autoSpaceDN/>
        <w:bidi w:val="0"/>
        <w:spacing w:after="0" w:line="576" w:lineRule="exact"/>
        <w:jc w:val="center"/>
        <w:textAlignment w:val="auto"/>
        <w:rPr>
          <w:rFonts w:hint="eastAsia" w:ascii="方正小标宋简体" w:eastAsia="方正小标宋简体"/>
          <w:color w:val="000000"/>
          <w:sz w:val="40"/>
          <w:szCs w:val="44"/>
          <w:lang w:val="zh-CN"/>
        </w:rPr>
      </w:pPr>
      <w:r>
        <w:rPr>
          <w:rFonts w:hint="eastAsia" w:ascii="方正小标宋简体" w:eastAsia="方正小标宋简体"/>
          <w:color w:val="000000"/>
          <w:sz w:val="40"/>
          <w:szCs w:val="44"/>
        </w:rPr>
        <w:t>广元市道路运输管理局2020年部门</w:t>
      </w:r>
      <w:r>
        <w:rPr>
          <w:rFonts w:hint="eastAsia" w:ascii="方正小标宋简体" w:eastAsia="方正小标宋简体"/>
          <w:color w:val="000000"/>
          <w:sz w:val="40"/>
          <w:szCs w:val="44"/>
          <w:lang w:val="zh-CN"/>
        </w:rPr>
        <w:t>整体支出</w:t>
      </w:r>
    </w:p>
    <w:p>
      <w:pPr>
        <w:pageBreakBefore w:val="0"/>
        <w:kinsoku/>
        <w:wordWrap/>
        <w:overflowPunct/>
        <w:topLinePunct w:val="0"/>
        <w:autoSpaceDE/>
        <w:autoSpaceDN/>
        <w:bidi w:val="0"/>
        <w:spacing w:after="0" w:line="576" w:lineRule="exact"/>
        <w:jc w:val="center"/>
        <w:textAlignment w:val="auto"/>
        <w:rPr>
          <w:rFonts w:hint="eastAsia" w:ascii="方正小标宋简体" w:eastAsia="方正小标宋简体"/>
          <w:color w:val="000000"/>
          <w:sz w:val="40"/>
          <w:szCs w:val="44"/>
          <w:lang w:val="zh-CN"/>
        </w:rPr>
      </w:pPr>
      <w:r>
        <w:rPr>
          <w:rFonts w:hint="eastAsia" w:ascii="方正小标宋简体" w:eastAsia="方正小标宋简体"/>
          <w:color w:val="000000"/>
          <w:sz w:val="40"/>
          <w:szCs w:val="44"/>
          <w:lang w:val="zh-CN"/>
        </w:rPr>
        <w:t>绩效评价报告</w:t>
      </w:r>
    </w:p>
    <w:p>
      <w:pPr>
        <w:pageBreakBefore w:val="0"/>
        <w:kinsoku/>
        <w:wordWrap/>
        <w:overflowPunct/>
        <w:topLinePunct w:val="0"/>
        <w:autoSpaceDE/>
        <w:autoSpaceDN/>
        <w:bidi w:val="0"/>
        <w:spacing w:after="0" w:line="576" w:lineRule="exact"/>
        <w:ind w:firstLine="480" w:firstLineChars="200"/>
        <w:contextualSpacing/>
        <w:textAlignment w:val="auto"/>
        <w:rPr>
          <w:rFonts w:hint="eastAsia" w:ascii="黑体" w:eastAsia="黑体" w:cs="宋体"/>
          <w:color w:val="000000"/>
          <w:sz w:val="24"/>
          <w:szCs w:val="32"/>
          <w:shd w:val="clear" w:color="auto" w:fill="FFFFFF"/>
        </w:rPr>
      </w:pP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zh-CN" w:eastAsia="zh-CN" w:bidi="ar-SA"/>
        </w:rPr>
      </w:pPr>
      <w:r>
        <w:rPr>
          <w:rFonts w:hint="eastAsia" w:ascii="黑体" w:hAnsi="黑体" w:eastAsia="黑体" w:cs="黑体"/>
          <w:b w:val="0"/>
          <w:bCs/>
          <w:color w:val="000000"/>
          <w:kern w:val="0"/>
          <w:sz w:val="32"/>
          <w:szCs w:val="32"/>
          <w:lang w:val="zh-CN" w:eastAsia="zh-CN" w:bidi="ar-SA"/>
        </w:rPr>
        <w:t>一、部门（单位）概况</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color w:val="000000"/>
          <w:sz w:val="32"/>
          <w:szCs w:val="32"/>
          <w:lang w:val="zh-CN"/>
        </w:rPr>
        <w:t>（一）机构组成</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eastAsia="仿宋_GB2312" w:cs="仿宋_GB2312"/>
          <w:sz w:val="32"/>
          <w:szCs w:val="32"/>
          <w:lang w:val="zh-CN" w:eastAsia="zh-CN"/>
        </w:rPr>
      </w:pPr>
      <w:r>
        <w:rPr>
          <w:rFonts w:hint="eastAsia" w:ascii="仿宋" w:eastAsia="仿宋"/>
          <w:color w:val="000000"/>
          <w:sz w:val="32"/>
          <w:szCs w:val="32"/>
          <w:lang w:val="en-US" w:eastAsia="zh-CN"/>
        </w:rPr>
        <w:t>内设</w:t>
      </w:r>
      <w:r>
        <w:rPr>
          <w:rFonts w:hint="default" w:ascii="仿宋" w:eastAsia="仿宋"/>
          <w:color w:val="000000"/>
          <w:sz w:val="32"/>
          <w:szCs w:val="32"/>
          <w:lang w:val="en-US" w:eastAsia="zh-CN"/>
        </w:rPr>
        <w:t>机构12个</w:t>
      </w:r>
      <w:r>
        <w:rPr>
          <w:rFonts w:hint="default" w:ascii="仿宋" w:eastAsia="仿宋"/>
          <w:color w:val="000000"/>
          <w:sz w:val="32"/>
          <w:szCs w:val="32"/>
          <w:lang w:eastAsia="zh-CN"/>
        </w:rPr>
        <w:t>：</w:t>
      </w:r>
      <w:r>
        <w:rPr>
          <w:rFonts w:hint="default" w:ascii="仿宋" w:eastAsia="仿宋"/>
          <w:color w:val="000000"/>
          <w:sz w:val="32"/>
          <w:szCs w:val="32"/>
          <w:lang w:val="en-US" w:eastAsia="zh-CN"/>
        </w:rPr>
        <w:t>办公室、统计财务科、人事监察科、政策法规科（挂行政审批科牌子）、客运管理科、货运物流管理科、城市公共交通管理科、车辆技术维修管理科、培训管理科、安全监督管理科、道路运输站场建设管理科、道路运输稽查支队（下设一大队、二大队、三大队）。</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default" w:ascii="楷体_GB2312" w:hAnsi="楷体_GB2312" w:eastAsia="楷体_GB2312" w:cs="楷体_GB2312"/>
          <w:color w:val="000000"/>
          <w:sz w:val="32"/>
          <w:szCs w:val="32"/>
          <w:lang w:val="zh-CN" w:eastAsia="zh-CN"/>
        </w:rPr>
        <w:t>（二）</w:t>
      </w:r>
      <w:r>
        <w:rPr>
          <w:rFonts w:hint="eastAsia" w:ascii="楷体_GB2312" w:hAnsi="楷体_GB2312" w:eastAsia="楷体_GB2312" w:cs="楷体_GB2312"/>
          <w:color w:val="000000"/>
          <w:sz w:val="32"/>
          <w:szCs w:val="32"/>
          <w:lang w:val="zh-CN" w:eastAsia="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_GB2312" w:eastAsia="仿宋_GB2312" w:cs="仿宋_GB2312"/>
          <w:sz w:val="32"/>
          <w:szCs w:val="32"/>
          <w:lang w:val="zh-CN" w:eastAsia="zh-CN"/>
        </w:rPr>
      </w:pPr>
      <w:r>
        <w:rPr>
          <w:rFonts w:hint="eastAsia" w:ascii="仿宋" w:eastAsia="仿宋"/>
          <w:color w:val="000000"/>
          <w:sz w:val="32"/>
          <w:szCs w:val="32"/>
          <w:lang w:val="en-US" w:eastAsia="zh-CN"/>
        </w:rPr>
        <w:t>彻执行国家、省、市有关道路运输行业管理的法律、法规和方针、政策</w:t>
      </w:r>
      <w:r>
        <w:rPr>
          <w:rFonts w:hint="default" w:ascii="仿宋" w:eastAsia="仿宋"/>
          <w:color w:val="000000"/>
          <w:sz w:val="32"/>
          <w:szCs w:val="32"/>
          <w:lang w:val="en-US" w:eastAsia="zh-CN"/>
        </w:rPr>
        <w:t>；</w:t>
      </w:r>
      <w:r>
        <w:rPr>
          <w:rFonts w:hint="eastAsia" w:ascii="仿宋" w:eastAsia="仿宋"/>
          <w:color w:val="000000"/>
          <w:sz w:val="32"/>
          <w:szCs w:val="32"/>
          <w:lang w:val="en-US" w:eastAsia="zh-CN"/>
        </w:rPr>
        <w:t>依法承担全市道路运输行业管理权限内的道路运输经营行政审批事项;承担道路旅客运输、货物运输、站场运营、汽车出入境运输、机动车维修与综合性能检测、机动车驾驶员培训，以及城市公共交通、城市地铁和轨道交通运营、出租汽车、汽车租赁、物流市场、车辆超限超载运输管理等工作;负责全市道路运输企业、运输市场的监督、管理和指导工作，依法查处道路运输违法违规经营行为;负贲组织重要、紧急物资运输和战备、应急等特种运输工作;负责全市道路运输客货运输站场建设的安全、工程质量监管工作。</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default" w:ascii="楷体_GB2312" w:hAnsi="楷体_GB2312" w:eastAsia="楷体_GB2312" w:cs="楷体_GB2312"/>
          <w:color w:val="000000"/>
          <w:sz w:val="32"/>
          <w:szCs w:val="32"/>
          <w:lang w:val="zh-CN" w:eastAsia="zh-CN"/>
        </w:rPr>
        <w:t>（三）</w:t>
      </w:r>
      <w:r>
        <w:rPr>
          <w:rFonts w:hint="eastAsia" w:ascii="楷体_GB2312" w:hAnsi="楷体_GB2312" w:eastAsia="楷体_GB2312" w:cs="楷体_GB2312"/>
          <w:color w:val="000000"/>
          <w:sz w:val="32"/>
          <w:szCs w:val="32"/>
          <w:lang w:val="zh-CN" w:eastAsia="zh-CN"/>
        </w:rPr>
        <w:t>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default" w:ascii="仿宋" w:eastAsia="仿宋"/>
          <w:color w:val="000000"/>
          <w:sz w:val="32"/>
          <w:szCs w:val="32"/>
          <w:lang w:val="en-US" w:eastAsia="zh-CN"/>
        </w:rPr>
      </w:pPr>
      <w:r>
        <w:rPr>
          <w:rFonts w:hint="default" w:ascii="仿宋" w:eastAsia="仿宋"/>
          <w:color w:val="000000"/>
          <w:sz w:val="32"/>
          <w:szCs w:val="32"/>
          <w:lang w:val="en-US" w:eastAsia="zh-CN"/>
        </w:rPr>
        <w:t>核定广元市道路运输管理局事业编制50名（从原市公路运输管理处、原省交通稽查广元站的66名编制中，保留50名，核减16名）；核定工勤事业编制8名。</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zh-CN" w:eastAsia="zh-CN" w:bidi="ar-SA"/>
        </w:rPr>
      </w:pPr>
      <w:r>
        <w:rPr>
          <w:rFonts w:hint="eastAsia" w:ascii="黑体" w:hAnsi="黑体" w:eastAsia="黑体" w:cs="黑体"/>
          <w:b w:val="0"/>
          <w:bCs/>
          <w:color w:val="000000"/>
          <w:kern w:val="0"/>
          <w:sz w:val="32"/>
          <w:szCs w:val="32"/>
          <w:lang w:val="zh-CN" w:eastAsia="zh-CN" w:bidi="ar-SA"/>
        </w:rPr>
        <w:t>二、部门财政资金收支情况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（一）部门财政资金收入情况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en-US" w:eastAsia="zh-CN"/>
        </w:rPr>
        <w:t>2020年财政拨款收入合计975.7</w:t>
      </w:r>
      <w:r>
        <w:rPr>
          <w:rFonts w:hint="default" w:ascii="仿宋" w:eastAsia="仿宋"/>
          <w:color w:val="000000"/>
          <w:sz w:val="32"/>
          <w:szCs w:val="32"/>
          <w:lang w:val="en-US" w:eastAsia="zh-CN"/>
        </w:rPr>
        <w:t>0</w:t>
      </w:r>
      <w:r>
        <w:rPr>
          <w:rFonts w:hint="eastAsia" w:ascii="仿宋" w:eastAsia="仿宋"/>
          <w:color w:val="000000"/>
          <w:sz w:val="32"/>
          <w:szCs w:val="32"/>
          <w:lang w:val="en-US" w:eastAsia="zh-CN"/>
        </w:rPr>
        <w:t>万元；其中：一般公共预算财政拨款975.7</w:t>
      </w:r>
      <w:r>
        <w:rPr>
          <w:rFonts w:hint="default" w:ascii="仿宋" w:eastAsia="仿宋"/>
          <w:color w:val="000000"/>
          <w:sz w:val="32"/>
          <w:szCs w:val="32"/>
          <w:lang w:val="en-US" w:eastAsia="zh-CN"/>
        </w:rPr>
        <w:t>0</w:t>
      </w:r>
      <w:r>
        <w:rPr>
          <w:rFonts w:hint="eastAsia" w:ascii="仿宋" w:eastAsia="仿宋"/>
          <w:color w:val="00000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default" w:ascii="楷体_GB2312" w:hAnsi="楷体_GB2312" w:eastAsia="楷体_GB2312" w:cs="楷体_GB2312"/>
          <w:color w:val="000000"/>
          <w:sz w:val="32"/>
          <w:szCs w:val="32"/>
          <w:lang w:val="zh-CN" w:eastAsia="zh-CN"/>
        </w:rPr>
        <w:t>（二）</w:t>
      </w:r>
      <w:r>
        <w:rPr>
          <w:rFonts w:hint="eastAsia" w:ascii="楷体_GB2312" w:hAnsi="楷体_GB2312" w:eastAsia="楷体_GB2312" w:cs="楷体_GB2312"/>
          <w:color w:val="000000"/>
          <w:sz w:val="32"/>
          <w:szCs w:val="32"/>
          <w:lang w:val="zh-CN" w:eastAsia="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en-US" w:eastAsia="zh-CN"/>
        </w:rPr>
        <w:t>2020年财政拨款支出合计995.68万元；其中：基本支出845.62万元，项目支出150.06万元。</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zh-CN" w:eastAsia="zh-CN" w:bidi="ar-SA"/>
        </w:rPr>
      </w:pPr>
      <w:r>
        <w:rPr>
          <w:rFonts w:hint="eastAsia" w:ascii="黑体" w:hAnsi="黑体" w:eastAsia="黑体" w:cs="黑体"/>
          <w:b w:val="0"/>
          <w:bCs/>
          <w:color w:val="000000"/>
          <w:kern w:val="0"/>
          <w:sz w:val="32"/>
          <w:szCs w:val="32"/>
          <w:lang w:val="zh-CN" w:eastAsia="zh-CN" w:bidi="ar-SA"/>
        </w:rPr>
        <w:t>三、部门整体预算绩效管理情况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（一）部门预算管理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en-US" w:eastAsia="zh-CN"/>
        </w:rPr>
        <w:t>严格按照市财政局的要求和规定及时编制和报送2020</w:t>
      </w:r>
      <w:r>
        <w:rPr>
          <w:rFonts w:hint="default" w:ascii="仿宋" w:eastAsia="仿宋"/>
          <w:color w:val="000000"/>
          <w:sz w:val="32"/>
          <w:szCs w:val="32"/>
          <w:lang w:val="en-US" w:eastAsia="zh-CN"/>
        </w:rPr>
        <w:t>年</w:t>
      </w:r>
      <w:r>
        <w:rPr>
          <w:rFonts w:hint="eastAsia" w:ascii="仿宋" w:eastAsia="仿宋"/>
          <w:color w:val="000000"/>
          <w:sz w:val="32"/>
          <w:szCs w:val="32"/>
          <w:lang w:val="en-US" w:eastAsia="zh-CN"/>
        </w:rPr>
        <w:t>部门预算，部门预算编制准确、无漏编；预算执行中无调整；预算及时公开，公开内容完整；财经纪律执行较好，财政监控无违规记录。</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（二）结果应用情况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zh-CN" w:eastAsia="zh-CN"/>
        </w:rPr>
        <w:t>通过部门绩效规范化管理，</w:t>
      </w:r>
      <w:r>
        <w:rPr>
          <w:rFonts w:hint="eastAsia" w:ascii="仿宋" w:eastAsia="仿宋"/>
          <w:color w:val="000000"/>
          <w:sz w:val="32"/>
          <w:szCs w:val="32"/>
          <w:lang w:val="en-US" w:eastAsia="zh-CN"/>
        </w:rPr>
        <w:t>厉行节约</w:t>
      </w:r>
      <w:r>
        <w:rPr>
          <w:rFonts w:hint="eastAsia" w:ascii="仿宋" w:eastAsia="仿宋"/>
          <w:color w:val="000000"/>
          <w:sz w:val="32"/>
          <w:szCs w:val="32"/>
          <w:lang w:val="zh-CN" w:eastAsia="zh-CN"/>
        </w:rPr>
        <w:t>，</w:t>
      </w:r>
      <w:r>
        <w:rPr>
          <w:rFonts w:hint="eastAsia" w:ascii="仿宋" w:eastAsia="仿宋"/>
          <w:color w:val="000000"/>
          <w:sz w:val="32"/>
          <w:szCs w:val="32"/>
          <w:lang w:val="en-US" w:eastAsia="zh-CN"/>
        </w:rPr>
        <w:t>压减经费，</w:t>
      </w:r>
      <w:r>
        <w:rPr>
          <w:rFonts w:hint="eastAsia" w:ascii="仿宋" w:eastAsia="仿宋"/>
          <w:color w:val="000000"/>
          <w:sz w:val="32"/>
          <w:szCs w:val="32"/>
          <w:lang w:val="zh-CN" w:eastAsia="zh-CN"/>
        </w:rPr>
        <w:t>“三公”经费执行较好。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zh-CN" w:eastAsia="zh-CN"/>
        </w:rPr>
        <w:t>通过部门绩效精细化管理，有效促进了</w:t>
      </w:r>
      <w:r>
        <w:rPr>
          <w:rFonts w:hint="default" w:ascii="仿宋" w:eastAsia="仿宋"/>
          <w:color w:val="000000"/>
          <w:sz w:val="32"/>
          <w:szCs w:val="32"/>
          <w:lang w:val="zh-CN" w:eastAsia="zh-CN"/>
        </w:rPr>
        <w:t>道路运输</w:t>
      </w:r>
      <w:r>
        <w:rPr>
          <w:rFonts w:hint="eastAsia" w:ascii="仿宋" w:eastAsia="仿宋"/>
          <w:color w:val="000000"/>
          <w:sz w:val="32"/>
          <w:szCs w:val="32"/>
          <w:lang w:val="zh-CN" w:eastAsia="zh-CN"/>
        </w:rPr>
        <w:t>各项工作开展，年度目标任务圆满完成。</w:t>
      </w:r>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cs="黑体"/>
          <w:b w:val="0"/>
          <w:bCs/>
          <w:color w:val="000000"/>
          <w:kern w:val="0"/>
          <w:sz w:val="32"/>
          <w:szCs w:val="32"/>
          <w:lang w:val="zh-CN" w:eastAsia="zh-CN" w:bidi="ar-SA"/>
        </w:rPr>
      </w:pPr>
      <w:r>
        <w:rPr>
          <w:rFonts w:hint="eastAsia" w:ascii="黑体" w:hAnsi="黑体" w:eastAsia="黑体" w:cs="黑体"/>
          <w:b w:val="0"/>
          <w:bCs/>
          <w:color w:val="000000"/>
          <w:kern w:val="0"/>
          <w:sz w:val="32"/>
          <w:szCs w:val="32"/>
          <w:lang w:val="zh-CN" w:eastAsia="zh-CN" w:bidi="ar-SA"/>
        </w:rPr>
        <w:t>四、评价结论及建议</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zh-CN" w:eastAsia="zh-CN"/>
        </w:rPr>
        <w:t>严格按照年初预算进行部门整体支出，在支出过程中，能严格遵守各项规章制度，尤其在专项经费的支出上，专款专用，无截留、无挪用。</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（二）存在问题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eastAsia" w:ascii="仿宋" w:eastAsia="仿宋"/>
          <w:color w:val="000000"/>
          <w:sz w:val="32"/>
          <w:szCs w:val="32"/>
          <w:lang w:val="zh-CN" w:eastAsia="zh-CN"/>
        </w:rPr>
      </w:pPr>
      <w:r>
        <w:rPr>
          <w:rFonts w:hint="eastAsia" w:ascii="仿宋" w:eastAsia="仿宋"/>
          <w:color w:val="000000"/>
          <w:sz w:val="32"/>
          <w:szCs w:val="32"/>
          <w:lang w:val="zh-CN" w:eastAsia="zh-CN"/>
        </w:rPr>
        <w:t>一是项目支出预算执行率</w:t>
      </w:r>
      <w:r>
        <w:rPr>
          <w:rFonts w:hint="eastAsia" w:ascii="仿宋" w:eastAsia="仿宋"/>
          <w:color w:val="000000"/>
          <w:sz w:val="32"/>
          <w:szCs w:val="32"/>
          <w:lang w:val="en-US" w:eastAsia="zh-CN"/>
        </w:rPr>
        <w:t>不够高</w:t>
      </w:r>
      <w:r>
        <w:rPr>
          <w:rFonts w:hint="eastAsia" w:ascii="仿宋" w:eastAsia="仿宋"/>
          <w:color w:val="000000"/>
          <w:sz w:val="32"/>
          <w:szCs w:val="32"/>
          <w:lang w:val="zh-CN" w:eastAsia="zh-CN"/>
        </w:rPr>
        <w:t>，二是预算执行不完全</w:t>
      </w:r>
      <w:r>
        <w:rPr>
          <w:rFonts w:hint="default" w:ascii="仿宋" w:eastAsia="仿宋"/>
          <w:color w:val="000000"/>
          <w:sz w:val="32"/>
          <w:szCs w:val="32"/>
          <w:lang w:val="zh-CN" w:eastAsia="zh-CN"/>
        </w:rPr>
        <w:t>精细</w:t>
      </w:r>
      <w:r>
        <w:rPr>
          <w:rFonts w:hint="eastAsia" w:ascii="仿宋" w:eastAsia="仿宋"/>
          <w:color w:val="000000"/>
          <w:sz w:val="32"/>
          <w:szCs w:val="32"/>
          <w:lang w:val="zh-CN" w:eastAsia="zh-CN"/>
        </w:rPr>
        <w:t>。</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楷体_GB2312" w:hAnsi="楷体_GB2312" w:eastAsia="楷体_GB2312" w:cs="楷体_GB2312"/>
          <w:color w:val="000000"/>
          <w:sz w:val="32"/>
          <w:szCs w:val="32"/>
          <w:lang w:val="zh-CN" w:eastAsia="zh-CN"/>
        </w:rPr>
      </w:pPr>
      <w:r>
        <w:rPr>
          <w:rFonts w:hint="default" w:ascii="楷体_GB2312" w:hAnsi="楷体_GB2312" w:eastAsia="楷体_GB2312" w:cs="楷体_GB2312"/>
          <w:color w:val="000000"/>
          <w:sz w:val="32"/>
          <w:szCs w:val="32"/>
          <w:lang w:val="zh-CN" w:eastAsia="zh-CN"/>
        </w:rPr>
        <w:t>（三）</w:t>
      </w:r>
      <w:r>
        <w:rPr>
          <w:rFonts w:hint="eastAsia" w:ascii="楷体_GB2312" w:hAnsi="楷体_GB2312" w:eastAsia="楷体_GB2312" w:cs="楷体_GB2312"/>
          <w:color w:val="000000"/>
          <w:sz w:val="32"/>
          <w:szCs w:val="32"/>
          <w:lang w:val="zh-CN" w:eastAsia="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665" w:firstLineChars="208"/>
        <w:contextualSpacing/>
        <w:textAlignment w:val="auto"/>
        <w:rPr>
          <w:rFonts w:hint="default" w:ascii="仿宋" w:eastAsia="仿宋"/>
          <w:color w:val="000000"/>
          <w:sz w:val="32"/>
          <w:szCs w:val="32"/>
          <w:lang w:val="en-US" w:eastAsia="zh-CN"/>
        </w:rPr>
      </w:pPr>
      <w:r>
        <w:rPr>
          <w:rFonts w:hint="eastAsia" w:ascii="仿宋" w:eastAsia="仿宋"/>
          <w:color w:val="000000"/>
          <w:sz w:val="32"/>
          <w:szCs w:val="32"/>
          <w:lang w:val="zh-CN" w:eastAsia="zh-CN"/>
        </w:rPr>
        <w:t>进一步规范财政资金管理，强化财政支出绩效理念，提升部门责任意识，提高资金使用效益，</w:t>
      </w:r>
      <w:r>
        <w:rPr>
          <w:rFonts w:hint="eastAsia" w:ascii="仿宋" w:eastAsia="仿宋"/>
          <w:color w:val="000000"/>
          <w:sz w:val="32"/>
          <w:szCs w:val="32"/>
          <w:lang w:val="en-US" w:eastAsia="zh-CN"/>
        </w:rPr>
        <w:t>促进</w:t>
      </w:r>
      <w:r>
        <w:rPr>
          <w:rFonts w:hint="eastAsia" w:ascii="仿宋" w:eastAsia="仿宋"/>
          <w:color w:val="000000"/>
          <w:sz w:val="32"/>
          <w:szCs w:val="32"/>
          <w:lang w:val="en" w:eastAsia="zh-CN"/>
        </w:rPr>
        <w:t>公路路政</w:t>
      </w:r>
      <w:r>
        <w:rPr>
          <w:rFonts w:hint="eastAsia" w:ascii="仿宋" w:eastAsia="仿宋"/>
          <w:color w:val="000000"/>
          <w:sz w:val="32"/>
          <w:szCs w:val="32"/>
          <w:lang w:val="en-US" w:eastAsia="zh-CN"/>
        </w:rPr>
        <w:t>良性发展。</w:t>
      </w:r>
    </w:p>
    <w:p>
      <w:pPr>
        <w:pageBreakBefore w:val="0"/>
        <w:numPr>
          <w:ilvl w:val="0"/>
          <w:numId w:val="0"/>
        </w:numPr>
        <w:kinsoku/>
        <w:wordWrap/>
        <w:overflowPunct/>
        <w:topLinePunct w:val="0"/>
        <w:autoSpaceDE/>
        <w:autoSpaceDN/>
        <w:bidi w:val="0"/>
        <w:spacing w:after="0" w:line="576" w:lineRule="exact"/>
        <w:ind w:leftChars="200"/>
        <w:contextualSpacing/>
        <w:textAlignment w:val="auto"/>
        <w:rPr>
          <w:rFonts w:hint="eastAsia" w:ascii="仿宋_GB2312" w:eastAsia="仿宋_GB2312" w:cs="宋体"/>
          <w:color w:val="000000"/>
          <w:sz w:val="32"/>
          <w:szCs w:val="32"/>
          <w:shd w:val="clear" w:color="auto" w:fill="FFFFFF"/>
          <w:lang w:val="zh-CN"/>
        </w:rPr>
      </w:pPr>
    </w:p>
    <w:p>
      <w:pPr>
        <w:pageBreakBefore w:val="0"/>
        <w:kinsoku/>
        <w:wordWrap/>
        <w:overflowPunct/>
        <w:topLinePunct w:val="0"/>
        <w:autoSpaceDE/>
        <w:autoSpaceDN/>
        <w:bidi w:val="0"/>
        <w:spacing w:after="0" w:line="576" w:lineRule="exact"/>
        <w:jc w:val="both"/>
        <w:textAlignment w:val="auto"/>
        <w:outlineLvl w:val="0"/>
        <w:rPr>
          <w:rStyle w:val="25"/>
          <w:rFonts w:hint="eastAsia" w:ascii="黑体" w:eastAsia="黑体"/>
          <w:b w:val="0"/>
        </w:rPr>
      </w:pPr>
    </w:p>
    <w:p>
      <w:pPr>
        <w:pageBreakBefore w:val="0"/>
        <w:kinsoku/>
        <w:wordWrap/>
        <w:overflowPunct/>
        <w:topLinePunct w:val="0"/>
        <w:autoSpaceDE/>
        <w:autoSpaceDN/>
        <w:bidi w:val="0"/>
        <w:spacing w:after="0" w:line="576" w:lineRule="exact"/>
        <w:jc w:val="both"/>
        <w:textAlignment w:val="auto"/>
        <w:outlineLvl w:val="0"/>
        <w:rPr>
          <w:rStyle w:val="25"/>
          <w:rFonts w:hint="eastAsia" w:ascii="黑体" w:eastAsia="黑体"/>
          <w:b w:val="0"/>
        </w:rPr>
      </w:pPr>
    </w:p>
    <w:p>
      <w:pPr>
        <w:pageBreakBefore w:val="0"/>
        <w:kinsoku/>
        <w:wordWrap/>
        <w:overflowPunct/>
        <w:topLinePunct w:val="0"/>
        <w:autoSpaceDE/>
        <w:autoSpaceDN/>
        <w:bidi w:val="0"/>
        <w:spacing w:after="0" w:line="576" w:lineRule="exact"/>
        <w:jc w:val="both"/>
        <w:textAlignment w:val="auto"/>
        <w:outlineLvl w:val="0"/>
        <w:rPr>
          <w:rStyle w:val="25"/>
          <w:rFonts w:hint="eastAsia" w:ascii="黑体" w:eastAsia="黑体"/>
          <w:b w:val="0"/>
        </w:rPr>
      </w:pPr>
    </w:p>
    <w:p>
      <w:pPr>
        <w:pageBreakBefore w:val="0"/>
        <w:kinsoku/>
        <w:wordWrap/>
        <w:overflowPunct/>
        <w:topLinePunct w:val="0"/>
        <w:autoSpaceDE/>
        <w:autoSpaceDN/>
        <w:bidi w:val="0"/>
        <w:spacing w:after="0" w:line="576" w:lineRule="exact"/>
        <w:jc w:val="center"/>
        <w:textAlignment w:val="auto"/>
        <w:outlineLvl w:val="0"/>
        <w:rPr>
          <w:rFonts w:hint="eastAsia" w:ascii="黑体" w:eastAsia="黑体"/>
          <w:color w:val="000000"/>
          <w:sz w:val="44"/>
          <w:szCs w:val="44"/>
        </w:rPr>
      </w:pPr>
      <w:bookmarkStart w:id="80" w:name="_Toc97792504"/>
      <w:bookmarkStart w:id="81" w:name="_Toc15396618"/>
    </w:p>
    <w:p>
      <w:pPr>
        <w:pStyle w:val="2"/>
        <w:rPr>
          <w:rFonts w:hint="eastAsia" w:ascii="黑体" w:eastAsia="黑体"/>
          <w:color w:val="000000"/>
          <w:sz w:val="44"/>
          <w:szCs w:val="44"/>
        </w:rPr>
      </w:pPr>
    </w:p>
    <w:p>
      <w:pPr>
        <w:rPr>
          <w:rFonts w:hint="eastAsia" w:ascii="黑体" w:eastAsia="黑体"/>
          <w:color w:val="000000"/>
          <w:sz w:val="44"/>
          <w:szCs w:val="44"/>
        </w:rPr>
      </w:pPr>
    </w:p>
    <w:p>
      <w:pPr>
        <w:pStyle w:val="2"/>
        <w:rPr>
          <w:rFonts w:hint="eastAsia" w:ascii="黑体" w:eastAsia="黑体"/>
          <w:color w:val="000000"/>
          <w:sz w:val="44"/>
          <w:szCs w:val="44"/>
        </w:rPr>
      </w:pPr>
    </w:p>
    <w:p>
      <w:pPr>
        <w:rPr>
          <w:rFonts w:hint="eastAsia"/>
        </w:rPr>
      </w:pPr>
    </w:p>
    <w:p>
      <w:pPr>
        <w:pageBreakBefore w:val="0"/>
        <w:kinsoku/>
        <w:wordWrap/>
        <w:overflowPunct/>
        <w:topLinePunct w:val="0"/>
        <w:autoSpaceDE/>
        <w:autoSpaceDN/>
        <w:bidi w:val="0"/>
        <w:spacing w:after="0" w:line="576" w:lineRule="exact"/>
        <w:jc w:val="center"/>
        <w:textAlignment w:val="auto"/>
        <w:outlineLvl w:val="0"/>
        <w:rPr>
          <w:rStyle w:val="25"/>
          <w:rFonts w:hint="default" w:ascii="黑体" w:eastAsia="黑体"/>
          <w:b w:val="0"/>
        </w:rPr>
      </w:pPr>
      <w:r>
        <w:rPr>
          <w:rFonts w:hint="eastAsia" w:ascii="黑体" w:eastAsia="黑体"/>
          <w:color w:val="000000"/>
          <w:sz w:val="44"/>
          <w:szCs w:val="44"/>
        </w:rPr>
        <w:t>第</w:t>
      </w:r>
      <w:r>
        <w:rPr>
          <w:rStyle w:val="25"/>
          <w:rFonts w:hint="eastAsia" w:ascii="黑体" w:eastAsia="黑体"/>
          <w:b w:val="0"/>
        </w:rPr>
        <w:t>五部分 附表</w:t>
      </w:r>
      <w:bookmarkEnd w:id="76"/>
      <w:bookmarkEnd w:id="80"/>
      <w:bookmarkEnd w:id="81"/>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82" w:name="_Toc15396619"/>
      <w:bookmarkStart w:id="83" w:name="_Toc97792505"/>
      <w:r>
        <w:rPr>
          <w:rFonts w:hint="eastAsia" w:ascii="仿宋" w:eastAsia="仿宋"/>
          <w:b w:val="0"/>
          <w:color w:val="000000"/>
        </w:rPr>
        <w:t>一、收</w:t>
      </w:r>
      <w:r>
        <w:rPr>
          <w:rStyle w:val="26"/>
          <w:rFonts w:hint="eastAsia" w:ascii="仿宋" w:eastAsia="仿宋"/>
          <w:b w:val="0"/>
          <w:bCs w:val="0"/>
        </w:rPr>
        <w:t>入支出决算总表</w:t>
      </w:r>
      <w:bookmarkEnd w:id="82"/>
      <w:bookmarkEnd w:id="83"/>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84" w:name="_Toc97792506"/>
      <w:bookmarkStart w:id="85" w:name="_Toc15396620"/>
      <w:r>
        <w:rPr>
          <w:rFonts w:hint="eastAsia" w:ascii="仿宋" w:eastAsia="仿宋"/>
          <w:b w:val="0"/>
          <w:color w:val="000000"/>
        </w:rPr>
        <w:t>二、收</w:t>
      </w:r>
      <w:r>
        <w:rPr>
          <w:rStyle w:val="26"/>
          <w:rFonts w:hint="eastAsia" w:ascii="仿宋" w:eastAsia="仿宋"/>
          <w:b w:val="0"/>
          <w:bCs w:val="0"/>
        </w:rPr>
        <w:t>入决算表</w:t>
      </w:r>
      <w:bookmarkEnd w:id="84"/>
      <w:bookmarkEnd w:id="85"/>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86" w:name="_Toc15396621"/>
      <w:bookmarkStart w:id="87" w:name="_Toc97792507"/>
      <w:r>
        <w:rPr>
          <w:rStyle w:val="26"/>
          <w:rFonts w:hint="eastAsia" w:ascii="仿宋" w:eastAsia="仿宋"/>
          <w:b w:val="0"/>
          <w:bCs w:val="0"/>
        </w:rPr>
        <w:t>三、</w:t>
      </w:r>
      <w:r>
        <w:rPr>
          <w:rFonts w:hint="eastAsia" w:ascii="仿宋" w:eastAsia="仿宋"/>
          <w:b w:val="0"/>
          <w:color w:val="000000"/>
        </w:rPr>
        <w:t>支</w:t>
      </w:r>
      <w:r>
        <w:rPr>
          <w:rStyle w:val="26"/>
          <w:rFonts w:hint="eastAsia" w:ascii="仿宋" w:eastAsia="仿宋"/>
          <w:b w:val="0"/>
          <w:bCs w:val="0"/>
        </w:rPr>
        <w:t>出决算表</w:t>
      </w:r>
      <w:bookmarkEnd w:id="86"/>
      <w:bookmarkEnd w:id="87"/>
    </w:p>
    <w:p>
      <w:pPr>
        <w:pStyle w:val="4"/>
        <w:pageBreakBefore w:val="0"/>
        <w:kinsoku/>
        <w:wordWrap/>
        <w:overflowPunct/>
        <w:topLinePunct w:val="0"/>
        <w:autoSpaceDE/>
        <w:autoSpaceDN/>
        <w:bidi w:val="0"/>
        <w:spacing w:before="0" w:after="0" w:line="576" w:lineRule="exact"/>
        <w:textAlignment w:val="auto"/>
        <w:rPr>
          <w:rFonts w:hint="eastAsia" w:ascii="仿宋" w:eastAsia="仿宋"/>
          <w:b w:val="0"/>
          <w:color w:val="000000"/>
        </w:rPr>
      </w:pPr>
      <w:bookmarkStart w:id="88" w:name="_Toc15396622"/>
      <w:bookmarkStart w:id="89" w:name="_Toc97792508"/>
      <w:r>
        <w:rPr>
          <w:rStyle w:val="26"/>
          <w:rFonts w:hint="eastAsia" w:ascii="仿宋" w:eastAsia="仿宋"/>
          <w:b w:val="0"/>
          <w:bCs w:val="0"/>
        </w:rPr>
        <w:t>四、</w:t>
      </w:r>
      <w:r>
        <w:rPr>
          <w:rFonts w:hint="eastAsia" w:ascii="仿宋" w:eastAsia="仿宋"/>
          <w:b w:val="0"/>
          <w:color w:val="000000"/>
        </w:rPr>
        <w:t>财</w:t>
      </w:r>
      <w:r>
        <w:rPr>
          <w:rStyle w:val="26"/>
          <w:rFonts w:hint="eastAsia" w:ascii="仿宋" w:eastAsia="仿宋"/>
          <w:b w:val="0"/>
          <w:bCs w:val="0"/>
        </w:rPr>
        <w:t>政拨款收入支出决算总表</w:t>
      </w:r>
      <w:bookmarkEnd w:id="88"/>
      <w:bookmarkEnd w:id="89"/>
    </w:p>
    <w:p>
      <w:pPr>
        <w:pStyle w:val="4"/>
        <w:pageBreakBefore w:val="0"/>
        <w:kinsoku/>
        <w:wordWrap/>
        <w:overflowPunct/>
        <w:topLinePunct w:val="0"/>
        <w:autoSpaceDE/>
        <w:autoSpaceDN/>
        <w:bidi w:val="0"/>
        <w:spacing w:before="0" w:after="0" w:line="576" w:lineRule="exact"/>
        <w:textAlignment w:val="auto"/>
        <w:rPr>
          <w:rStyle w:val="26"/>
          <w:rFonts w:hint="eastAsia" w:ascii="仿宋" w:eastAsia="仿宋"/>
          <w:b w:val="0"/>
          <w:bCs w:val="0"/>
        </w:rPr>
      </w:pPr>
      <w:bookmarkStart w:id="90" w:name="_Toc15396623"/>
      <w:bookmarkStart w:id="91" w:name="_Toc97792509"/>
      <w:r>
        <w:rPr>
          <w:rStyle w:val="26"/>
          <w:rFonts w:hint="eastAsia" w:ascii="仿宋" w:eastAsia="仿宋"/>
          <w:b w:val="0"/>
          <w:bCs w:val="0"/>
        </w:rPr>
        <w:t>五、</w:t>
      </w:r>
      <w:r>
        <w:rPr>
          <w:rFonts w:hint="eastAsia" w:ascii="仿宋" w:eastAsia="仿宋"/>
          <w:b w:val="0"/>
          <w:color w:val="000000"/>
        </w:rPr>
        <w:t>财</w:t>
      </w:r>
      <w:r>
        <w:rPr>
          <w:rStyle w:val="26"/>
          <w:rFonts w:hint="eastAsia" w:ascii="仿宋" w:eastAsia="仿宋"/>
          <w:b w:val="0"/>
          <w:bCs w:val="0"/>
        </w:rPr>
        <w:t>政拨款支出决算明细表</w:t>
      </w:r>
      <w:bookmarkEnd w:id="90"/>
      <w:bookmarkEnd w:id="91"/>
      <w:bookmarkStart w:id="92" w:name="_Toc15396624"/>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93" w:name="_Toc97792510"/>
      <w:r>
        <w:rPr>
          <w:rStyle w:val="26"/>
          <w:rFonts w:hint="eastAsia" w:ascii="仿宋" w:eastAsia="仿宋"/>
          <w:b w:val="0"/>
          <w:bCs w:val="0"/>
        </w:rPr>
        <w:t>六、</w:t>
      </w:r>
      <w:r>
        <w:rPr>
          <w:rFonts w:hint="eastAsia" w:ascii="仿宋" w:eastAsia="仿宋"/>
          <w:b w:val="0"/>
          <w:color w:val="000000"/>
        </w:rPr>
        <w:t>一</w:t>
      </w:r>
      <w:r>
        <w:rPr>
          <w:rStyle w:val="26"/>
          <w:rFonts w:hint="eastAsia" w:ascii="仿宋" w:eastAsia="仿宋"/>
          <w:b w:val="0"/>
          <w:bCs w:val="0"/>
        </w:rPr>
        <w:t>般公共预算财政拨款支出决算表</w:t>
      </w:r>
      <w:bookmarkEnd w:id="92"/>
      <w:bookmarkEnd w:id="93"/>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94" w:name="_Toc97792511"/>
      <w:bookmarkStart w:id="95" w:name="_Toc15396625"/>
      <w:r>
        <w:rPr>
          <w:rStyle w:val="26"/>
          <w:rFonts w:hint="eastAsia" w:ascii="仿宋" w:eastAsia="仿宋"/>
          <w:b w:val="0"/>
          <w:bCs w:val="0"/>
        </w:rPr>
        <w:t>七、</w:t>
      </w:r>
      <w:r>
        <w:rPr>
          <w:rFonts w:hint="eastAsia" w:ascii="仿宋" w:eastAsia="仿宋"/>
          <w:b w:val="0"/>
          <w:color w:val="000000"/>
        </w:rPr>
        <w:t>一</w:t>
      </w:r>
      <w:r>
        <w:rPr>
          <w:rStyle w:val="26"/>
          <w:rFonts w:hint="eastAsia" w:ascii="仿宋" w:eastAsia="仿宋"/>
          <w:b w:val="0"/>
          <w:bCs w:val="0"/>
        </w:rPr>
        <w:t>般公共预算财政拨款支出决算明细表</w:t>
      </w:r>
      <w:bookmarkEnd w:id="94"/>
      <w:bookmarkEnd w:id="95"/>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96" w:name="_Toc97792512"/>
      <w:bookmarkStart w:id="97" w:name="_Toc15396626"/>
      <w:r>
        <w:rPr>
          <w:rStyle w:val="26"/>
          <w:rFonts w:hint="eastAsia" w:ascii="仿宋" w:eastAsia="仿宋"/>
          <w:b w:val="0"/>
          <w:bCs w:val="0"/>
        </w:rPr>
        <w:t>八、</w:t>
      </w:r>
      <w:r>
        <w:rPr>
          <w:rFonts w:hint="eastAsia" w:ascii="仿宋" w:eastAsia="仿宋"/>
          <w:b w:val="0"/>
          <w:color w:val="000000"/>
        </w:rPr>
        <w:t>一</w:t>
      </w:r>
      <w:r>
        <w:rPr>
          <w:rStyle w:val="26"/>
          <w:rFonts w:hint="eastAsia" w:ascii="仿宋" w:eastAsia="仿宋"/>
          <w:b w:val="0"/>
          <w:bCs w:val="0"/>
        </w:rPr>
        <w:t>般公共预算财政拨款基本支出决算表</w:t>
      </w:r>
      <w:bookmarkEnd w:id="96"/>
      <w:bookmarkEnd w:id="97"/>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98" w:name="_Toc97792513"/>
      <w:bookmarkStart w:id="99" w:name="_Toc15396627"/>
      <w:r>
        <w:rPr>
          <w:rStyle w:val="26"/>
          <w:rFonts w:hint="eastAsia" w:ascii="仿宋" w:eastAsia="仿宋"/>
          <w:b w:val="0"/>
          <w:bCs w:val="0"/>
        </w:rPr>
        <w:t>九、</w:t>
      </w:r>
      <w:r>
        <w:rPr>
          <w:rFonts w:hint="eastAsia" w:ascii="仿宋" w:eastAsia="仿宋"/>
          <w:b w:val="0"/>
          <w:color w:val="000000"/>
        </w:rPr>
        <w:t>一</w:t>
      </w:r>
      <w:r>
        <w:rPr>
          <w:rStyle w:val="26"/>
          <w:rFonts w:hint="eastAsia" w:ascii="仿宋" w:eastAsia="仿宋"/>
          <w:b w:val="0"/>
          <w:bCs w:val="0"/>
        </w:rPr>
        <w:t>般公共预算财政拨款项目支出决算表</w:t>
      </w:r>
      <w:bookmarkEnd w:id="98"/>
      <w:bookmarkEnd w:id="99"/>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100" w:name="_Toc97792514"/>
      <w:bookmarkStart w:id="101" w:name="_Toc15396628"/>
      <w:r>
        <w:rPr>
          <w:rStyle w:val="26"/>
          <w:rFonts w:hint="eastAsia" w:ascii="仿宋" w:eastAsia="仿宋"/>
          <w:b w:val="0"/>
          <w:bCs w:val="0"/>
        </w:rPr>
        <w:t>十、</w:t>
      </w:r>
      <w:r>
        <w:rPr>
          <w:rFonts w:hint="eastAsia" w:ascii="仿宋" w:eastAsia="仿宋"/>
          <w:b w:val="0"/>
          <w:color w:val="000000"/>
        </w:rPr>
        <w:t>一</w:t>
      </w:r>
      <w:r>
        <w:rPr>
          <w:rStyle w:val="26"/>
          <w:rFonts w:hint="eastAsia" w:ascii="仿宋" w:eastAsia="仿宋"/>
          <w:b w:val="0"/>
          <w:bCs w:val="0"/>
        </w:rPr>
        <w:t>般公共预算财政拨款“三公”经费支出决算表</w:t>
      </w:r>
      <w:bookmarkEnd w:id="100"/>
      <w:bookmarkEnd w:id="101"/>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102" w:name="_Toc97792515"/>
      <w:bookmarkStart w:id="103" w:name="_Toc15396629"/>
      <w:r>
        <w:rPr>
          <w:rStyle w:val="26"/>
          <w:rFonts w:hint="eastAsia" w:ascii="仿宋" w:eastAsia="仿宋"/>
          <w:b w:val="0"/>
          <w:bCs w:val="0"/>
        </w:rPr>
        <w:t>十一、</w:t>
      </w:r>
      <w:r>
        <w:rPr>
          <w:rFonts w:hint="eastAsia" w:ascii="仿宋" w:eastAsia="仿宋"/>
          <w:b w:val="0"/>
          <w:color w:val="000000"/>
        </w:rPr>
        <w:t>政</w:t>
      </w:r>
      <w:r>
        <w:rPr>
          <w:rStyle w:val="26"/>
          <w:rFonts w:hint="eastAsia" w:ascii="仿宋" w:eastAsia="仿宋"/>
          <w:b w:val="0"/>
          <w:bCs w:val="0"/>
        </w:rPr>
        <w:t>府性基金预算财政拨款收入支出决算表</w:t>
      </w:r>
      <w:bookmarkEnd w:id="102"/>
      <w:bookmarkEnd w:id="103"/>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104" w:name="_Toc97792516"/>
      <w:bookmarkStart w:id="105" w:name="_Toc15396630"/>
      <w:r>
        <w:rPr>
          <w:rStyle w:val="26"/>
          <w:rFonts w:hint="eastAsia" w:ascii="仿宋" w:eastAsia="仿宋"/>
          <w:b w:val="0"/>
          <w:bCs w:val="0"/>
        </w:rPr>
        <w:t>十二、</w:t>
      </w:r>
      <w:r>
        <w:rPr>
          <w:rFonts w:hint="eastAsia" w:ascii="仿宋" w:eastAsia="仿宋"/>
          <w:b w:val="0"/>
          <w:color w:val="000000"/>
        </w:rPr>
        <w:t>政</w:t>
      </w:r>
      <w:r>
        <w:rPr>
          <w:rStyle w:val="26"/>
          <w:rFonts w:hint="eastAsia" w:ascii="仿宋" w:eastAsia="仿宋"/>
          <w:b w:val="0"/>
          <w:bCs w:val="0"/>
        </w:rPr>
        <w:t>府性基金预算财政拨款“三公”经费支出决算表</w:t>
      </w:r>
      <w:bookmarkEnd w:id="104"/>
      <w:bookmarkEnd w:id="105"/>
    </w:p>
    <w:p>
      <w:pPr>
        <w:pStyle w:val="4"/>
        <w:pageBreakBefore w:val="0"/>
        <w:kinsoku/>
        <w:wordWrap/>
        <w:overflowPunct/>
        <w:topLinePunct w:val="0"/>
        <w:autoSpaceDE/>
        <w:autoSpaceDN/>
        <w:bidi w:val="0"/>
        <w:spacing w:before="0" w:after="0" w:line="576" w:lineRule="exact"/>
        <w:textAlignment w:val="auto"/>
        <w:rPr>
          <w:rFonts w:hint="eastAsia" w:ascii="仿宋" w:eastAsia="仿宋"/>
          <w:color w:val="000000"/>
        </w:rPr>
      </w:pPr>
      <w:bookmarkStart w:id="106" w:name="_Toc15396631"/>
      <w:bookmarkStart w:id="107" w:name="_Toc97792517"/>
      <w:r>
        <w:rPr>
          <w:rStyle w:val="26"/>
          <w:rFonts w:hint="eastAsia" w:ascii="仿宋" w:eastAsia="仿宋"/>
          <w:b w:val="0"/>
          <w:bCs w:val="0"/>
        </w:rPr>
        <w:t>十三、</w:t>
      </w:r>
      <w:r>
        <w:rPr>
          <w:rFonts w:hint="eastAsia" w:ascii="仿宋" w:eastAsia="仿宋"/>
          <w:b w:val="0"/>
          <w:color w:val="000000"/>
        </w:rPr>
        <w:t>国</w:t>
      </w:r>
      <w:r>
        <w:rPr>
          <w:rStyle w:val="26"/>
          <w:rFonts w:hint="eastAsia" w:ascii="仿宋" w:eastAsia="仿宋"/>
          <w:b w:val="0"/>
          <w:bCs w:val="0"/>
        </w:rPr>
        <w:t>有资本经营预算财政拨款支出决算表</w:t>
      </w:r>
      <w:bookmarkEnd w:id="106"/>
      <w:bookmarkEnd w:id="107"/>
    </w:p>
    <w:p>
      <w:pPr>
        <w:pageBreakBefore w:val="0"/>
        <w:kinsoku/>
        <w:wordWrap/>
        <w:overflowPunct/>
        <w:topLinePunct w:val="0"/>
        <w:autoSpaceDE/>
        <w:autoSpaceDN/>
        <w:bidi w:val="0"/>
        <w:spacing w:after="0" w:line="576" w:lineRule="exact"/>
        <w:textAlignment w:val="auto"/>
      </w:pPr>
    </w:p>
    <w:p>
      <w:pPr>
        <w:pageBreakBefore w:val="0"/>
        <w:kinsoku/>
        <w:wordWrap/>
        <w:overflowPunct/>
        <w:topLinePunct w:val="0"/>
        <w:autoSpaceDE/>
        <w:autoSpaceDN/>
        <w:bidi w:val="0"/>
        <w:spacing w:after="0" w:line="576" w:lineRule="exact"/>
        <w:textAlignment w:val="auto"/>
      </w:pPr>
    </w:p>
    <w:sectPr>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PAGE   \* MERGEFORMAT</w:instrText>
                          </w:r>
                          <w:r>
                            <w:fldChar w:fldCharType="separate"/>
                          </w:r>
                          <w:r>
                            <w:rPr>
                              <w:lang w:val="zh-CN" w:eastAsia="zh-CN"/>
                            </w:rPr>
                            <w:t>8</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eastAsia="zh-CN"/>
                      </w:rPr>
                      <w:t>8</w:t>
                    </w:r>
                    <w:r>
                      <w:fldChar w:fldCharType="end"/>
                    </w:r>
                  </w:p>
                </w:txbxContent>
              </v:textbox>
            </v:shape>
          </w:pict>
        </mc:Fallback>
      </mc:AlternateConten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方正小标宋简体" w:hAnsi="方正小标宋简体" w:eastAsia="方正小标宋简体" w:cs="方正小标宋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jcwZmRlMjVkNjhmNDIyMzlmZTQwODY3MGVjMzAifQ=="/>
  </w:docVars>
  <w:rsids>
    <w:rsidRoot w:val="00D31D50"/>
    <w:rsid w:val="000037E6"/>
    <w:rsid w:val="0014000B"/>
    <w:rsid w:val="001B6A52"/>
    <w:rsid w:val="00323B43"/>
    <w:rsid w:val="00391D10"/>
    <w:rsid w:val="003D37D8"/>
    <w:rsid w:val="00426133"/>
    <w:rsid w:val="004358AB"/>
    <w:rsid w:val="008B7726"/>
    <w:rsid w:val="009C33A4"/>
    <w:rsid w:val="00CF0A5D"/>
    <w:rsid w:val="00D31D50"/>
    <w:rsid w:val="03B6049B"/>
    <w:rsid w:val="04221F0D"/>
    <w:rsid w:val="0683511E"/>
    <w:rsid w:val="0A6C2491"/>
    <w:rsid w:val="124A22DB"/>
    <w:rsid w:val="14BA62DB"/>
    <w:rsid w:val="177701BF"/>
    <w:rsid w:val="1A0C1386"/>
    <w:rsid w:val="1A7BFC8F"/>
    <w:rsid w:val="1EFBA5A5"/>
    <w:rsid w:val="1F5E2063"/>
    <w:rsid w:val="211E39FA"/>
    <w:rsid w:val="239F62A6"/>
    <w:rsid w:val="23A9423A"/>
    <w:rsid w:val="263E28B1"/>
    <w:rsid w:val="27DA78EC"/>
    <w:rsid w:val="29B33E0E"/>
    <w:rsid w:val="2C8D2FC7"/>
    <w:rsid w:val="2D4B6EDD"/>
    <w:rsid w:val="34F56674"/>
    <w:rsid w:val="37E31042"/>
    <w:rsid w:val="3A462F0F"/>
    <w:rsid w:val="3ACF75A7"/>
    <w:rsid w:val="3B5F48E6"/>
    <w:rsid w:val="3BFE8C10"/>
    <w:rsid w:val="3C675EEE"/>
    <w:rsid w:val="3D3564C3"/>
    <w:rsid w:val="3F73CD27"/>
    <w:rsid w:val="45BA2A07"/>
    <w:rsid w:val="47BDFB5F"/>
    <w:rsid w:val="49B723BC"/>
    <w:rsid w:val="4B0452A1"/>
    <w:rsid w:val="4C4405C1"/>
    <w:rsid w:val="4CFF8A83"/>
    <w:rsid w:val="50BB4B08"/>
    <w:rsid w:val="5777C496"/>
    <w:rsid w:val="59D62915"/>
    <w:rsid w:val="5DDF9EFE"/>
    <w:rsid w:val="5F6F4766"/>
    <w:rsid w:val="5FF9D1BF"/>
    <w:rsid w:val="62E67D70"/>
    <w:rsid w:val="67B93715"/>
    <w:rsid w:val="6DBC5F0B"/>
    <w:rsid w:val="6FDB4687"/>
    <w:rsid w:val="6FE7345D"/>
    <w:rsid w:val="6FFF191F"/>
    <w:rsid w:val="74D35FC3"/>
    <w:rsid w:val="75694126"/>
    <w:rsid w:val="759D52D4"/>
    <w:rsid w:val="75B6351C"/>
    <w:rsid w:val="76E67589"/>
    <w:rsid w:val="7797FC94"/>
    <w:rsid w:val="7AA73FDD"/>
    <w:rsid w:val="7ABDE57F"/>
    <w:rsid w:val="7ADA8E65"/>
    <w:rsid w:val="7BFD3528"/>
    <w:rsid w:val="7DE324CC"/>
    <w:rsid w:val="7FDDC649"/>
    <w:rsid w:val="7FDFAB62"/>
    <w:rsid w:val="7FE93EB7"/>
    <w:rsid w:val="7FEF1952"/>
    <w:rsid w:val="7FF77229"/>
    <w:rsid w:val="7FFEC6F4"/>
    <w:rsid w:val="83DF9214"/>
    <w:rsid w:val="9BDF59E3"/>
    <w:rsid w:val="9F5B9C27"/>
    <w:rsid w:val="AF7E6D86"/>
    <w:rsid w:val="BBEF442D"/>
    <w:rsid w:val="BEBF9318"/>
    <w:rsid w:val="D6D74FD8"/>
    <w:rsid w:val="D9F92614"/>
    <w:rsid w:val="DBDF1D9E"/>
    <w:rsid w:val="DC3F667B"/>
    <w:rsid w:val="DF3B0160"/>
    <w:rsid w:val="DF77417C"/>
    <w:rsid w:val="DF774DE9"/>
    <w:rsid w:val="EBDFA6F1"/>
    <w:rsid w:val="EBFFE22C"/>
    <w:rsid w:val="EEB55E5B"/>
    <w:rsid w:val="F17F9E69"/>
    <w:rsid w:val="F751128E"/>
    <w:rsid w:val="F7F6066E"/>
    <w:rsid w:val="F8BD548A"/>
    <w:rsid w:val="FB555A7B"/>
    <w:rsid w:val="FBEEAE98"/>
    <w:rsid w:val="FBEF5906"/>
    <w:rsid w:val="FBFFC57A"/>
    <w:rsid w:val="FDF7931A"/>
    <w:rsid w:val="FE7B441B"/>
    <w:rsid w:val="FE7F9A69"/>
    <w:rsid w:val="FEAF633B"/>
    <w:rsid w:val="FFBF5A70"/>
    <w:rsid w:val="FFFF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next w:val="1"/>
    <w:link w:val="25"/>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link w:val="26"/>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5">
    <w:name w:val="heading 3"/>
    <w:basedOn w:val="1"/>
    <w:next w:val="1"/>
    <w:link w:val="27"/>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kern w:val="2"/>
      <w:sz w:val="32"/>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index 8"/>
    <w:basedOn w:val="1"/>
    <w:next w:val="1"/>
    <w:qFormat/>
    <w:uiPriority w:val="0"/>
    <w:pPr>
      <w:widowControl w:val="0"/>
      <w:adjustRightInd/>
      <w:snapToGrid/>
      <w:spacing w:after="0"/>
      <w:ind w:left="2940"/>
      <w:jc w:val="both"/>
    </w:pPr>
    <w:rPr>
      <w:rFonts w:ascii="Times New Roman" w:hAnsi="Times New Roman" w:eastAsia="宋体" w:cs="Times New Roman"/>
      <w:kern w:val="2"/>
      <w:sz w:val="21"/>
      <w:szCs w:val="24"/>
    </w:rPr>
  </w:style>
  <w:style w:type="paragraph" w:styleId="7">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paragraph" w:styleId="8">
    <w:name w:val="caption"/>
    <w:basedOn w:val="1"/>
    <w:next w:val="1"/>
    <w:qFormat/>
    <w:uiPriority w:val="0"/>
    <w:pPr>
      <w:widowControl w:val="0"/>
      <w:suppressLineNumbers/>
      <w:suppressAutoHyphens/>
      <w:adjustRightInd/>
      <w:snapToGrid/>
      <w:spacing w:before="120" w:after="120"/>
      <w:jc w:val="both"/>
    </w:pPr>
    <w:rPr>
      <w:rFonts w:ascii="Times New Roman" w:hAnsi="Times New Roman" w:eastAsia="宋体" w:cs="Times New Roman"/>
      <w:i/>
      <w:iCs/>
      <w:kern w:val="2"/>
      <w:sz w:val="24"/>
      <w:szCs w:val="24"/>
    </w:rPr>
  </w:style>
  <w:style w:type="paragraph" w:styleId="9">
    <w:name w:val="Body Text"/>
    <w:next w:val="10"/>
    <w:link w:val="30"/>
    <w:qFormat/>
    <w:uiPriority w:val="0"/>
    <w:pPr>
      <w:widowControl w:val="0"/>
      <w:spacing w:beforeLines="30" w:after="0" w:line="240" w:lineRule="auto"/>
      <w:jc w:val="both"/>
    </w:pPr>
    <w:rPr>
      <w:rFonts w:ascii="仿宋_GB2312" w:hAnsi="Times New Roman" w:eastAsia="仿宋_GB2312" w:cs="Times New Roman"/>
      <w:sz w:val="24"/>
      <w:szCs w:val="20"/>
      <w:lang w:val="en-US" w:eastAsia="zh-CN" w:bidi="ar-SA"/>
    </w:rPr>
  </w:style>
  <w:style w:type="paragraph" w:styleId="10">
    <w:name w:val="List"/>
    <w:basedOn w:val="9"/>
    <w:qFormat/>
    <w:uiPriority w:val="0"/>
  </w:style>
  <w:style w:type="paragraph" w:styleId="11">
    <w:name w:val="Balloon Text"/>
    <w:basedOn w:val="1"/>
    <w:link w:val="36"/>
    <w:semiHidden/>
    <w:unhideWhenUsed/>
    <w:qFormat/>
    <w:uiPriority w:val="99"/>
    <w:pPr>
      <w:spacing w:after="0"/>
    </w:pPr>
    <w:rPr>
      <w:sz w:val="18"/>
      <w:szCs w:val="18"/>
    </w:rPr>
  </w:style>
  <w:style w:type="paragraph" w:styleId="12">
    <w:name w:val="footer"/>
    <w:basedOn w:val="1"/>
    <w:link w:val="24"/>
    <w:unhideWhenUsed/>
    <w:qFormat/>
    <w:uiPriority w:val="0"/>
    <w:pPr>
      <w:tabs>
        <w:tab w:val="center" w:pos="4153"/>
        <w:tab w:val="right" w:pos="8306"/>
      </w:tabs>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0"/>
    <w:pPr>
      <w:widowControl w:val="0"/>
      <w:tabs>
        <w:tab w:val="right" w:leader="dot" w:pos="8296"/>
      </w:tabs>
      <w:spacing w:before="93" w:after="0" w:line="240" w:lineRule="auto"/>
      <w:jc w:val="center"/>
    </w:pPr>
    <w:rPr>
      <w:rFonts w:ascii="仿宋" w:hAnsi="Times New Roman" w:eastAsia="仿宋" w:cs="Times New Roman"/>
      <w:kern w:val="2"/>
      <w:sz w:val="28"/>
      <w:szCs w:val="28"/>
      <w:lang w:val="en-US" w:eastAsia="zh-CN" w:bidi="ar-SA"/>
    </w:rPr>
  </w:style>
  <w:style w:type="paragraph" w:styleId="15">
    <w:name w:val="index 7"/>
    <w:basedOn w:val="1"/>
    <w:next w:val="1"/>
    <w:qFormat/>
    <w:uiPriority w:val="0"/>
    <w:pPr>
      <w:widowControl w:val="0"/>
      <w:adjustRightInd/>
      <w:snapToGrid/>
      <w:spacing w:after="0"/>
      <w:ind w:left="2520"/>
      <w:jc w:val="both"/>
    </w:pPr>
    <w:rPr>
      <w:rFonts w:ascii="Times New Roman" w:hAnsi="Times New Roman" w:eastAsia="宋体" w:cs="Times New Roman"/>
      <w:kern w:val="2"/>
      <w:sz w:val="21"/>
      <w:szCs w:val="24"/>
    </w:rPr>
  </w:style>
  <w:style w:type="paragraph" w:styleId="16">
    <w:name w:val="toc 2"/>
    <w:next w:val="1"/>
    <w:qFormat/>
    <w:uiPriority w:val="0"/>
    <w:pPr>
      <w:widowControl w:val="0"/>
      <w:tabs>
        <w:tab w:val="right" w:leader="dot" w:pos="8296"/>
      </w:tabs>
      <w:spacing w:after="0" w:line="240" w:lineRule="auto"/>
      <w:ind w:left="200" w:leftChars="200"/>
      <w:jc w:val="both"/>
    </w:pPr>
    <w:rPr>
      <w:rFonts w:ascii="Times New Roman" w:hAnsi="Times New Roman" w:eastAsia="宋体" w:cs="Times New Roman"/>
      <w:kern w:val="2"/>
      <w:sz w:val="21"/>
      <w:szCs w:val="24"/>
      <w:lang w:val="en-US" w:eastAsia="zh-CN" w:bidi="ar-SA"/>
    </w:rPr>
  </w:style>
  <w:style w:type="paragraph" w:styleId="17">
    <w:name w:val="toc 9"/>
    <w:basedOn w:val="1"/>
    <w:next w:val="1"/>
    <w:qFormat/>
    <w:uiPriority w:val="0"/>
    <w:pPr>
      <w:widowControl w:val="0"/>
      <w:adjustRightInd/>
      <w:snapToGrid/>
      <w:spacing w:after="0"/>
      <w:ind w:left="3360"/>
      <w:jc w:val="both"/>
    </w:pPr>
    <w:rPr>
      <w:rFonts w:ascii="Times New Roman" w:hAnsi="Times New Roman" w:eastAsia="宋体" w:cs="Times New Roman"/>
      <w:kern w:val="2"/>
      <w:sz w:val="21"/>
      <w:szCs w:val="24"/>
    </w:rPr>
  </w:style>
  <w:style w:type="paragraph" w:styleId="18">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21">
    <w:name w:val="Strong"/>
    <w:qFormat/>
    <w:uiPriority w:val="0"/>
    <w:rPr>
      <w:rFonts w:cs="Times New Roman"/>
      <w:b/>
      <w:lang w:bidi="ar-SA"/>
    </w:rPr>
  </w:style>
  <w:style w:type="character" w:styleId="22">
    <w:name w:val="Hyperlink"/>
    <w:qFormat/>
    <w:uiPriority w:val="0"/>
    <w:rPr>
      <w:rFonts w:cs="Times New Roman"/>
      <w:color w:val="0000FF"/>
      <w:u w:val="single"/>
      <w:lang w:bidi="ar-SA"/>
    </w:rPr>
  </w:style>
  <w:style w:type="character" w:customStyle="1" w:styleId="23">
    <w:name w:val="页眉 Char"/>
    <w:basedOn w:val="20"/>
    <w:link w:val="13"/>
    <w:semiHidden/>
    <w:qFormat/>
    <w:uiPriority w:val="99"/>
    <w:rPr>
      <w:rFonts w:ascii="Tahoma" w:hAnsi="Tahoma"/>
      <w:sz w:val="18"/>
      <w:szCs w:val="18"/>
    </w:rPr>
  </w:style>
  <w:style w:type="character" w:customStyle="1" w:styleId="24">
    <w:name w:val="页脚 Char"/>
    <w:basedOn w:val="20"/>
    <w:link w:val="12"/>
    <w:semiHidden/>
    <w:qFormat/>
    <w:uiPriority w:val="99"/>
    <w:rPr>
      <w:rFonts w:ascii="Tahoma" w:hAnsi="Tahoma"/>
      <w:sz w:val="18"/>
      <w:szCs w:val="18"/>
    </w:rPr>
  </w:style>
  <w:style w:type="character" w:customStyle="1" w:styleId="25">
    <w:name w:val="标题 1 Char"/>
    <w:basedOn w:val="20"/>
    <w:link w:val="3"/>
    <w:qFormat/>
    <w:uiPriority w:val="0"/>
    <w:rPr>
      <w:rFonts w:ascii="Times New Roman" w:hAnsi="Times New Roman" w:eastAsia="宋体" w:cs="Times New Roman"/>
      <w:b/>
      <w:bCs/>
      <w:kern w:val="44"/>
      <w:sz w:val="44"/>
      <w:szCs w:val="44"/>
    </w:rPr>
  </w:style>
  <w:style w:type="character" w:customStyle="1" w:styleId="26">
    <w:name w:val="标题 2 Char"/>
    <w:basedOn w:val="20"/>
    <w:link w:val="4"/>
    <w:qFormat/>
    <w:uiPriority w:val="0"/>
    <w:rPr>
      <w:rFonts w:ascii="Cambria" w:hAnsi="Cambria" w:eastAsia="宋体" w:cs="Times New Roman"/>
      <w:b/>
      <w:bCs/>
      <w:kern w:val="2"/>
      <w:sz w:val="32"/>
      <w:szCs w:val="32"/>
    </w:rPr>
  </w:style>
  <w:style w:type="character" w:customStyle="1" w:styleId="27">
    <w:name w:val="标题 3 Char"/>
    <w:basedOn w:val="20"/>
    <w:link w:val="5"/>
    <w:qFormat/>
    <w:uiPriority w:val="0"/>
    <w:rPr>
      <w:rFonts w:ascii="Times New Roman" w:hAnsi="Times New Roman" w:eastAsia="宋体" w:cs="Times New Roman"/>
      <w:b/>
      <w:kern w:val="2"/>
      <w:sz w:val="32"/>
      <w:szCs w:val="24"/>
    </w:rPr>
  </w:style>
  <w:style w:type="character" w:customStyle="1" w:styleId="28">
    <w:name w:val="默认段落字体1"/>
    <w:qFormat/>
    <w:uiPriority w:val="0"/>
  </w:style>
  <w:style w:type="paragraph" w:customStyle="1" w:styleId="29">
    <w:name w:val="Heading"/>
    <w:basedOn w:val="1"/>
    <w:next w:val="9"/>
    <w:qFormat/>
    <w:uiPriority w:val="0"/>
    <w:pPr>
      <w:keepNext/>
      <w:widowControl w:val="0"/>
      <w:suppressAutoHyphens/>
      <w:adjustRightInd/>
      <w:snapToGrid/>
      <w:spacing w:before="240" w:after="120"/>
      <w:jc w:val="both"/>
    </w:pPr>
    <w:rPr>
      <w:rFonts w:ascii="Liberation Sans" w:hAnsi="Liberation Sans" w:eastAsia="Noto Sans CJK SC Regular" w:cs="Noto Sans CJK SC Regular"/>
      <w:kern w:val="2"/>
      <w:sz w:val="28"/>
      <w:szCs w:val="28"/>
    </w:rPr>
  </w:style>
  <w:style w:type="character" w:customStyle="1" w:styleId="30">
    <w:name w:val="正文文本 Char"/>
    <w:basedOn w:val="20"/>
    <w:link w:val="9"/>
    <w:qFormat/>
    <w:uiPriority w:val="0"/>
    <w:rPr>
      <w:rFonts w:ascii="仿宋_GB2312" w:hAnsi="Times New Roman" w:eastAsia="仿宋_GB2312" w:cs="Times New Roman"/>
      <w:sz w:val="24"/>
      <w:szCs w:val="20"/>
    </w:rPr>
  </w:style>
  <w:style w:type="paragraph" w:customStyle="1" w:styleId="31">
    <w:name w:val="Index"/>
    <w:basedOn w:val="1"/>
    <w:qFormat/>
    <w:uiPriority w:val="0"/>
    <w:pPr>
      <w:widowControl w:val="0"/>
      <w:suppressLineNumbers/>
      <w:suppressAutoHyphens/>
      <w:adjustRightInd/>
      <w:snapToGrid/>
      <w:spacing w:after="0"/>
      <w:jc w:val="both"/>
    </w:pPr>
    <w:rPr>
      <w:rFonts w:ascii="Times New Roman" w:hAnsi="Times New Roman" w:eastAsia="宋体" w:cs="Times New Roman"/>
      <w:kern w:val="2"/>
      <w:sz w:val="21"/>
      <w:szCs w:val="24"/>
    </w:rPr>
  </w:style>
  <w:style w:type="paragraph" w:customStyle="1" w:styleId="32">
    <w:name w:val="List Paragraph"/>
    <w:next w:val="7"/>
    <w:qFormat/>
    <w:uiPriority w:val="0"/>
    <w:pPr>
      <w:widowControl w:val="0"/>
      <w:spacing w:after="0" w:line="24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3">
    <w:name w:val="Default"/>
    <w:next w:val="17"/>
    <w:qFormat/>
    <w:uiPriority w:val="0"/>
    <w:pPr>
      <w:widowControl w:val="0"/>
      <w:autoSpaceDE w:val="0"/>
      <w:autoSpaceDN w:val="0"/>
      <w:adjustRightInd w:val="0"/>
      <w:spacing w:after="0" w:line="240" w:lineRule="auto"/>
    </w:pPr>
    <w:rPr>
      <w:rFonts w:ascii="仿宋" w:hAnsi="Times New Roman" w:eastAsia="仿宋" w:cs="仿宋"/>
      <w:color w:val="000000"/>
      <w:sz w:val="24"/>
      <w:szCs w:val="24"/>
      <w:lang w:val="en-US" w:eastAsia="zh-CN" w:bidi="ar-SA"/>
    </w:rPr>
  </w:style>
  <w:style w:type="paragraph" w:customStyle="1" w:styleId="34">
    <w:name w:val="WPSOffice手动目录 1"/>
    <w:next w:val="15"/>
    <w:qFormat/>
    <w:uiPriority w:val="0"/>
    <w:pPr>
      <w:spacing w:after="0" w:line="240" w:lineRule="auto"/>
    </w:pPr>
    <w:rPr>
      <w:rFonts w:ascii="Calibri" w:hAnsi="Calibri" w:eastAsia="宋体" w:cs="Times New Roman"/>
      <w:sz w:val="20"/>
      <w:szCs w:val="20"/>
      <w:lang w:val="en-US" w:eastAsia="zh-CN" w:bidi="ar-SA"/>
    </w:rPr>
  </w:style>
  <w:style w:type="paragraph" w:customStyle="1" w:styleId="35">
    <w:name w:val="WPSOffice手动目录 2"/>
    <w:next w:val="6"/>
    <w:qFormat/>
    <w:uiPriority w:val="0"/>
    <w:pPr>
      <w:spacing w:after="0" w:line="240" w:lineRule="auto"/>
      <w:ind w:left="200" w:leftChars="200"/>
    </w:pPr>
    <w:rPr>
      <w:rFonts w:ascii="Calibri" w:hAnsi="Calibri" w:eastAsia="宋体" w:cs="Times New Roman"/>
      <w:sz w:val="20"/>
      <w:szCs w:val="20"/>
      <w:lang w:val="en-US" w:eastAsia="zh-CN" w:bidi="ar-SA"/>
    </w:rPr>
  </w:style>
  <w:style w:type="character" w:customStyle="1" w:styleId="36">
    <w:name w:val="批注框文本 Char"/>
    <w:basedOn w:val="20"/>
    <w:link w:val="11"/>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Sheet1!$B$2</c:f>
              <c:strCache>
                <c:ptCount val="1"/>
                <c:pt idx="0">
                  <c:v>收入、支出总计</c:v>
                </c:pt>
              </c:strCache>
            </c:strRef>
          </c:tx>
          <c:invertIfNegative val="0"/>
          <c:dLbls>
            <c:delete val="1"/>
          </c:dLbls>
          <c:cat>
            <c:strRef>
              <c:f>Sheet1!$A$3:$A$4</c:f>
              <c:strCache>
                <c:ptCount val="2"/>
                <c:pt idx="0">
                  <c:v>2019年</c:v>
                </c:pt>
                <c:pt idx="1">
                  <c:v>2020年</c:v>
                </c:pt>
              </c:strCache>
            </c:strRef>
          </c:cat>
          <c:val>
            <c:numRef>
              <c:f>Sheet1!$B$3:$B$4</c:f>
              <c:numCache>
                <c:formatCode>General</c:formatCode>
                <c:ptCount val="2"/>
                <c:pt idx="0">
                  <c:v>1377.11</c:v>
                </c:pt>
                <c:pt idx="1">
                  <c:v>1016.09</c:v>
                </c:pt>
              </c:numCache>
            </c:numRef>
          </c:val>
        </c:ser>
        <c:dLbls>
          <c:showLegendKey val="0"/>
          <c:showVal val="0"/>
          <c:showCatName val="0"/>
          <c:showSerName val="0"/>
          <c:showPercent val="0"/>
          <c:showBubbleSize val="0"/>
        </c:dLbls>
        <c:gapWidth val="150"/>
        <c:axId val="186283904"/>
        <c:axId val="186285440"/>
      </c:barChart>
      <c:catAx>
        <c:axId val="186283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5440"/>
        <c:crosses val="autoZero"/>
        <c:auto val="1"/>
        <c:lblAlgn val="ctr"/>
        <c:lblOffset val="100"/>
        <c:noMultiLvlLbl val="0"/>
      </c:catAx>
      <c:valAx>
        <c:axId val="186285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39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dPt>
          <c:dPt>
            <c:idx val="1"/>
            <c:bubble3D val="0"/>
          </c:dPt>
          <c:dLbls>
            <c:delete val="1"/>
          </c:dLbls>
          <c:cat>
            <c:strRef>
              <c:f>Sheet1!$A$2:$A$3</c:f>
              <c:strCache>
                <c:ptCount val="2"/>
                <c:pt idx="0">
                  <c:v>一般公共预算财政拨款</c:v>
                </c:pt>
                <c:pt idx="1">
                  <c:v>其他收入</c:v>
                </c:pt>
              </c:strCache>
            </c:strRef>
          </c:cat>
          <c:val>
            <c:numRef>
              <c:f>Sheet1!$B$2:$B$3</c:f>
              <c:numCache>
                <c:formatCode>General</c:formatCode>
                <c:ptCount val="2"/>
                <c:pt idx="0">
                  <c:v>975.7</c:v>
                </c:pt>
                <c:pt idx="1">
                  <c:v>0.74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520572939535"/>
          <c:y val="0.383888734165464"/>
          <c:w val="0.289924382128814"/>
          <c:h val="0.22793494864588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849.05</c:v>
                </c:pt>
                <c:pt idx="1">
                  <c:v>150.36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3694947775159"/>
          <c:y val="0.355178729593785"/>
          <c:w val="0.211857664794068"/>
          <c:h val="0.2194667771791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Sheet1!$B$2</c:f>
              <c:strCache>
                <c:ptCount val="1"/>
                <c:pt idx="0">
                  <c:v>财政拨款收、支总计</c:v>
                </c:pt>
              </c:strCache>
            </c:strRef>
          </c:tx>
          <c:invertIfNegative val="0"/>
          <c:dLbls>
            <c:delete val="1"/>
          </c:dLbls>
          <c:cat>
            <c:strRef>
              <c:f>Sheet1!$A$3:$A$4</c:f>
              <c:strCache>
                <c:ptCount val="2"/>
                <c:pt idx="0">
                  <c:v>2019年</c:v>
                </c:pt>
                <c:pt idx="1">
                  <c:v>2020年</c:v>
                </c:pt>
              </c:strCache>
            </c:strRef>
          </c:cat>
          <c:val>
            <c:numRef>
              <c:f>Sheet1!$B$3:$B$4</c:f>
              <c:numCache>
                <c:formatCode>General</c:formatCode>
                <c:ptCount val="2"/>
                <c:pt idx="0">
                  <c:v>1219.86</c:v>
                </c:pt>
                <c:pt idx="1">
                  <c:v>1016.09</c:v>
                </c:pt>
              </c:numCache>
            </c:numRef>
          </c:val>
        </c:ser>
        <c:dLbls>
          <c:showLegendKey val="0"/>
          <c:showVal val="0"/>
          <c:showCatName val="0"/>
          <c:showSerName val="0"/>
          <c:showPercent val="0"/>
          <c:showBubbleSize val="0"/>
        </c:dLbls>
        <c:gapWidth val="150"/>
        <c:axId val="186283904"/>
        <c:axId val="186285440"/>
      </c:barChart>
      <c:catAx>
        <c:axId val="186283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5440"/>
        <c:crosses val="autoZero"/>
        <c:auto val="1"/>
        <c:lblAlgn val="ctr"/>
        <c:lblOffset val="100"/>
        <c:noMultiLvlLbl val="0"/>
      </c:catAx>
      <c:valAx>
        <c:axId val="186285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39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Sheet1!$B$2</c:f>
              <c:strCache>
                <c:ptCount val="1"/>
                <c:pt idx="0">
                  <c:v>一般公共预算财政拨款支出</c:v>
                </c:pt>
              </c:strCache>
            </c:strRef>
          </c:tx>
          <c:invertIfNegative val="0"/>
          <c:dLbls>
            <c:delete val="1"/>
          </c:dLbls>
          <c:cat>
            <c:strRef>
              <c:f>Sheet1!$A$3:$A$4</c:f>
              <c:strCache>
                <c:ptCount val="2"/>
                <c:pt idx="0">
                  <c:v>2019年</c:v>
                </c:pt>
                <c:pt idx="1">
                  <c:v>2020年</c:v>
                </c:pt>
              </c:strCache>
            </c:strRef>
          </c:cat>
          <c:val>
            <c:numRef>
              <c:f>Sheet1!$B$3:$B$4</c:f>
              <c:numCache>
                <c:formatCode>General</c:formatCode>
                <c:ptCount val="2"/>
                <c:pt idx="0">
                  <c:v>1179.02</c:v>
                </c:pt>
                <c:pt idx="1">
                  <c:v>995.68</c:v>
                </c:pt>
              </c:numCache>
            </c:numRef>
          </c:val>
        </c:ser>
        <c:dLbls>
          <c:showLegendKey val="0"/>
          <c:showVal val="0"/>
          <c:showCatName val="0"/>
          <c:showSerName val="0"/>
          <c:showPercent val="0"/>
          <c:showBubbleSize val="0"/>
        </c:dLbls>
        <c:gapWidth val="150"/>
        <c:axId val="186283904"/>
        <c:axId val="186285440"/>
      </c:barChart>
      <c:catAx>
        <c:axId val="186283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5440"/>
        <c:crosses val="autoZero"/>
        <c:auto val="1"/>
        <c:lblAlgn val="ctr"/>
        <c:lblOffset val="100"/>
        <c:noMultiLvlLbl val="0"/>
      </c:catAx>
      <c:valAx>
        <c:axId val="186285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2839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社会保障和就业（类）支出</c:v>
                </c:pt>
                <c:pt idx="1">
                  <c:v>卫生健康（类）支出</c:v>
                </c:pt>
                <c:pt idx="2">
                  <c:v>交通运输（类）支出</c:v>
                </c:pt>
                <c:pt idx="3">
                  <c:v>住房保障（类）支出</c:v>
                </c:pt>
              </c:strCache>
            </c:strRef>
          </c:cat>
          <c:val>
            <c:numRef>
              <c:f>Sheet1!$B$2:$B$5</c:f>
              <c:numCache>
                <c:formatCode>General</c:formatCode>
                <c:ptCount val="4"/>
                <c:pt idx="0">
                  <c:v>69.01</c:v>
                </c:pt>
                <c:pt idx="1">
                  <c:v>32.57</c:v>
                </c:pt>
                <c:pt idx="2">
                  <c:v>825.38</c:v>
                </c:pt>
                <c:pt idx="3">
                  <c:v>68.72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4.52</c:v>
                </c:pt>
                <c:pt idx="1">
                  <c:v>0.57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13088</Words>
  <Characters>13758</Characters>
  <Lines>106</Lines>
  <Paragraphs>29</Paragraphs>
  <TotalTime>84</TotalTime>
  <ScaleCrop>false</ScaleCrop>
  <LinksUpToDate>false</LinksUpToDate>
  <CharactersWithSpaces>13811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2021-09-16T15:55:00Z</dcterms:created>
  <dc:creator>Administrator</dc:creator>
  <cp:lastModifiedBy>dada ==</cp:lastModifiedBy>
  <dcterms:modified xsi:type="dcterms:W3CDTF">2023-03-06T07:44:04Z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E666AFDC56904019AD9D4ADA36BA01B0</vt:lpwstr>
  </property>
</Properties>
</file>