
<file path=[Content_Types].xml><?xml version="1.0" encoding="utf-8"?>
<Types xmlns="http://schemas.openxmlformats.org/package/2006/content-types">
  <Default Extension="xlsx" ContentType="application/vnd.openxmlformats-officedocument.spreadsheetml.shee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hint="default" w:ascii="方正小标宋简体" w:hAnsi="宋体" w:eastAsia="方正小标宋简体"/>
          <w:color w:val="auto"/>
          <w:sz w:val="72"/>
          <w:szCs w:val="72"/>
          <w:highlight w:val="none"/>
          <w:lang w:val="en-US" w:eastAsia="zh-CN"/>
        </w:rPr>
      </w:pPr>
      <w:bookmarkStart w:id="0" w:name="_Toc15306267"/>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96475"/>
      <w:bookmarkStart w:id="2" w:name="_Toc15377425"/>
      <w:bookmarkStart w:id="3" w:name="_Toc15377193"/>
      <w:bookmarkStart w:id="4" w:name="_Toc31872"/>
      <w:bookmarkStart w:id="5" w:name="_Toc15396597"/>
      <w:bookmarkStart w:id="6" w:name="_Toc15378441"/>
      <w:r>
        <w:rPr>
          <w:rFonts w:hint="eastAsia" w:ascii="方正小标宋简体" w:hAnsi="方正小标宋简体" w:eastAsia="方正小标宋简体" w:cs="方正小标宋简体"/>
          <w:color w:val="auto"/>
          <w:sz w:val="72"/>
          <w:szCs w:val="72"/>
          <w:highlight w:val="none"/>
        </w:rPr>
        <w:t>2</w:t>
      </w:r>
      <w:bookmarkStart w:id="156" w:name="_GoBack"/>
      <w:bookmarkEnd w:id="156"/>
      <w:r>
        <w:rPr>
          <w:rFonts w:hint="eastAsia" w:ascii="方正小标宋简体" w:hAnsi="方正小标宋简体" w:eastAsia="方正小标宋简体" w:cs="方正小标宋简体"/>
          <w:color w:val="auto"/>
          <w:sz w:val="72"/>
          <w:szCs w:val="72"/>
          <w:highlight w:val="none"/>
        </w:rPr>
        <w:t>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bookmarkEnd w:id="6"/>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val="en-US" w:eastAsia="zh-CN"/>
        </w:rPr>
      </w:pPr>
      <w:bookmarkStart w:id="7" w:name="_Toc30477"/>
      <w:bookmarkStart w:id="8" w:name="_Toc15396476"/>
      <w:bookmarkStart w:id="9" w:name="_Toc15396598"/>
      <w:bookmarkStart w:id="10" w:name="_Toc15377426"/>
      <w:bookmarkStart w:id="11" w:name="_Toc15378442"/>
      <w:bookmarkStart w:id="12" w:name="_Toc15377194"/>
      <w:r>
        <w:rPr>
          <w:rFonts w:hint="eastAsia" w:ascii="方正小标宋简体" w:hAnsi="方正小标宋简体" w:eastAsia="方正小标宋简体" w:cs="方正小标宋简体"/>
          <w:color w:val="auto"/>
          <w:sz w:val="72"/>
          <w:szCs w:val="72"/>
          <w:highlight w:val="none"/>
          <w:lang w:val="en-US" w:eastAsia="zh-CN"/>
        </w:rPr>
        <w:t>广元市</w:t>
      </w:r>
      <w:bookmarkEnd w:id="0"/>
      <w:bookmarkStart w:id="13" w:name="_Toc15306268"/>
      <w:r>
        <w:rPr>
          <w:rFonts w:hint="eastAsia" w:ascii="方正小标宋简体" w:hAnsi="方正小标宋简体" w:eastAsia="方正小标宋简体" w:cs="方正小标宋简体"/>
          <w:color w:val="auto"/>
          <w:sz w:val="72"/>
          <w:szCs w:val="72"/>
          <w:highlight w:val="none"/>
          <w:lang w:val="en-US" w:eastAsia="zh-CN"/>
        </w:rPr>
        <w:t>港航发展中心（本级）</w:t>
      </w:r>
      <w:bookmarkEnd w:id="7"/>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4" w:name="_Toc15197"/>
      <w:r>
        <w:rPr>
          <w:rFonts w:hint="eastAsia" w:ascii="方正小标宋简体" w:hAnsi="方正小标宋简体" w:eastAsia="方正小标宋简体" w:cs="方正小标宋简体"/>
          <w:color w:val="auto"/>
          <w:sz w:val="72"/>
          <w:szCs w:val="72"/>
          <w:highlight w:val="none"/>
          <w:lang w:eastAsia="zh-CN"/>
        </w:rPr>
        <w:t>单位</w:t>
      </w:r>
      <w:r>
        <w:rPr>
          <w:rFonts w:hint="eastAsia" w:ascii="方正小标宋简体" w:hAnsi="方正小标宋简体" w:eastAsia="方正小标宋简体" w:cs="方正小标宋简体"/>
          <w:color w:val="auto"/>
          <w:sz w:val="72"/>
          <w:szCs w:val="72"/>
          <w:highlight w:val="none"/>
        </w:rPr>
        <w:t>决算</w:t>
      </w:r>
      <w:bookmarkEnd w:id="8"/>
      <w:bookmarkEnd w:id="9"/>
      <w:bookmarkEnd w:id="10"/>
      <w:bookmarkEnd w:id="11"/>
      <w:bookmarkEnd w:id="12"/>
      <w:bookmarkEnd w:id="13"/>
      <w:bookmarkEnd w:id="14"/>
    </w:p>
    <w:p>
      <w:pPr>
        <w:adjustRightInd w:val="0"/>
        <w:snapToGrid w:val="0"/>
        <w:spacing w:line="360" w:lineRule="auto"/>
        <w:jc w:val="center"/>
        <w:outlineLvl w:val="9"/>
        <w:rPr>
          <w:rFonts w:ascii="方正小标宋简体" w:hAnsi="宋体" w:eastAsia="方正小标宋简体"/>
          <w:color w:val="auto"/>
          <w:sz w:val="52"/>
          <w:szCs w:val="52"/>
          <w:highlight w:val="none"/>
        </w:rPr>
      </w:pPr>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27</w:t>
      </w:r>
      <w:r>
        <w:rPr>
          <w:rFonts w:hint="eastAsia"/>
          <w:color w:val="auto"/>
          <w:highlight w:val="none"/>
        </w:rPr>
        <w:t>日</w:t>
      </w:r>
    </w:p>
    <w:p>
      <w:pPr>
        <w:rPr>
          <w:color w:val="auto"/>
          <w:highlight w:val="none"/>
        </w:rPr>
      </w:pPr>
    </w:p>
    <w:sdt>
      <w:sdtPr>
        <w:rPr>
          <w:rFonts w:ascii="宋体" w:hAnsi="宋体" w:eastAsia="宋体" w:cs="Times New Roman"/>
          <w:kern w:val="2"/>
          <w:sz w:val="21"/>
          <w:szCs w:val="24"/>
          <w:lang w:val="en-US" w:eastAsia="zh-CN" w:bidi="ar-SA"/>
        </w:rPr>
        <w:id w:val="147461512"/>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fldChar w:fldCharType="begin"/>
          </w:r>
          <w:r>
            <w:instrText xml:space="preserve">TOC \o "1-3" \h \u </w:instrText>
          </w:r>
          <w:r>
            <w:fldChar w:fldCharType="separate"/>
          </w:r>
        </w:p>
        <w:p>
          <w:pPr>
            <w:pStyle w:val="10"/>
            <w:tabs>
              <w:tab w:val="right" w:leader="dot" w:pos="8306"/>
              <w:tab w:val="clear" w:pos="8296"/>
            </w:tabs>
          </w:pPr>
          <w:r>
            <w:fldChar w:fldCharType="begin"/>
          </w:r>
          <w:r>
            <w:instrText xml:space="preserve"> HYPERLINK \l _Toc8247 </w:instrText>
          </w:r>
          <w:r>
            <w:fldChar w:fldCharType="separate"/>
          </w:r>
          <w:r>
            <w:rPr>
              <w:rFonts w:hint="eastAsia" w:ascii="黑体" w:hAnsi="黑体" w:eastAsia="黑体"/>
              <w:highlight w:val="none"/>
            </w:rPr>
            <w:t xml:space="preserve">第一部分 </w:t>
          </w:r>
          <w:r>
            <w:rPr>
              <w:rFonts w:hint="eastAsia" w:ascii="黑体" w:hAnsi="黑体" w:eastAsia="黑体"/>
              <w:highlight w:val="none"/>
              <w:lang w:eastAsia="zh-CN"/>
            </w:rPr>
            <w:t>单位</w:t>
          </w:r>
          <w:r>
            <w:rPr>
              <w:rFonts w:hint="eastAsia" w:ascii="黑体" w:hAnsi="黑体" w:eastAsia="黑体"/>
              <w:bCs w:val="0"/>
              <w:highlight w:val="none"/>
            </w:rPr>
            <w:t>概况</w:t>
          </w:r>
          <w:r>
            <w:tab/>
          </w:r>
          <w:r>
            <w:fldChar w:fldCharType="begin"/>
          </w:r>
          <w:r>
            <w:instrText xml:space="preserve"> PAGEREF _Toc8247 \h </w:instrText>
          </w:r>
          <w:r>
            <w:fldChar w:fldCharType="separate"/>
          </w:r>
          <w:r>
            <w:t>4</w:t>
          </w:r>
          <w:r>
            <w:fldChar w:fldCharType="end"/>
          </w:r>
          <w:r>
            <w:fldChar w:fldCharType="end"/>
          </w:r>
        </w:p>
        <w:p>
          <w:pPr>
            <w:pStyle w:val="11"/>
            <w:tabs>
              <w:tab w:val="right" w:leader="dot" w:pos="8306"/>
              <w:tab w:val="clear" w:pos="8296"/>
            </w:tabs>
          </w:pPr>
          <w:r>
            <w:fldChar w:fldCharType="begin"/>
          </w:r>
          <w:r>
            <w:instrText xml:space="preserve"> HYPERLINK \l _Toc13117 </w:instrText>
          </w:r>
          <w:r>
            <w:fldChar w:fldCharType="separate"/>
          </w:r>
          <w:r>
            <w:rPr>
              <w:rFonts w:hint="eastAsia" w:ascii="黑体" w:hAnsi="黑体" w:eastAsia="黑体"/>
              <w:bCs w:val="0"/>
              <w:lang w:eastAsia="zh-CN"/>
            </w:rPr>
            <w:t xml:space="preserve">一、 </w:t>
          </w:r>
          <w:r>
            <w:rPr>
              <w:rFonts w:hint="eastAsia" w:ascii="黑体" w:hAnsi="黑体" w:eastAsia="黑体"/>
              <w:bCs w:val="0"/>
              <w:highlight w:val="none"/>
            </w:rPr>
            <w:t>职能</w:t>
          </w:r>
          <w:r>
            <w:rPr>
              <w:rFonts w:hint="eastAsia" w:ascii="黑体" w:hAnsi="黑体" w:eastAsia="黑体"/>
              <w:bCs w:val="0"/>
              <w:highlight w:val="none"/>
              <w:lang w:eastAsia="zh-CN"/>
            </w:rPr>
            <w:t>简介</w:t>
          </w:r>
          <w:r>
            <w:tab/>
          </w:r>
          <w:r>
            <w:fldChar w:fldCharType="begin"/>
          </w:r>
          <w:r>
            <w:instrText xml:space="preserve"> PAGEREF _Toc13117 \h </w:instrText>
          </w:r>
          <w:r>
            <w:fldChar w:fldCharType="separate"/>
          </w:r>
          <w:r>
            <w:t>4</w:t>
          </w:r>
          <w:r>
            <w:fldChar w:fldCharType="end"/>
          </w:r>
          <w:r>
            <w:fldChar w:fldCharType="end"/>
          </w:r>
        </w:p>
        <w:p>
          <w:pPr>
            <w:pStyle w:val="11"/>
            <w:tabs>
              <w:tab w:val="right" w:leader="dot" w:pos="8306"/>
              <w:tab w:val="clear" w:pos="8296"/>
            </w:tabs>
          </w:pPr>
          <w:r>
            <w:fldChar w:fldCharType="begin"/>
          </w:r>
          <w:r>
            <w:instrText xml:space="preserve"> HYPERLINK \l _Toc28828 </w:instrText>
          </w:r>
          <w:r>
            <w:fldChar w:fldCharType="separate"/>
          </w:r>
          <w:r>
            <w:rPr>
              <w:rFonts w:hint="eastAsia" w:ascii="黑体" w:hAnsi="黑体" w:eastAsia="黑体"/>
              <w:highlight w:val="none"/>
              <w:lang w:val="en-US" w:eastAsia="zh-CN"/>
            </w:rPr>
            <w:t>二、2021年重点</w:t>
          </w:r>
          <w:r>
            <w:rPr>
              <w:rFonts w:hint="eastAsia" w:ascii="黑体" w:hAnsi="黑体" w:eastAsia="黑体"/>
              <w:highlight w:val="none"/>
            </w:rPr>
            <w:t>工作</w:t>
          </w:r>
          <w:r>
            <w:rPr>
              <w:rFonts w:hint="eastAsia" w:ascii="黑体" w:hAnsi="黑体" w:eastAsia="黑体"/>
              <w:highlight w:val="none"/>
              <w:lang w:eastAsia="zh-CN"/>
            </w:rPr>
            <w:t>完成情况</w:t>
          </w:r>
          <w:r>
            <w:tab/>
          </w:r>
          <w:r>
            <w:fldChar w:fldCharType="begin"/>
          </w:r>
          <w:r>
            <w:instrText xml:space="preserve"> PAGEREF _Toc28828 \h </w:instrText>
          </w:r>
          <w:r>
            <w:fldChar w:fldCharType="separate"/>
          </w:r>
          <w:r>
            <w:t>5</w:t>
          </w:r>
          <w:r>
            <w:fldChar w:fldCharType="end"/>
          </w:r>
          <w:r>
            <w:fldChar w:fldCharType="end"/>
          </w:r>
        </w:p>
        <w:p>
          <w:pPr>
            <w:pStyle w:val="10"/>
            <w:tabs>
              <w:tab w:val="right" w:leader="dot" w:pos="8306"/>
              <w:tab w:val="clear" w:pos="8296"/>
            </w:tabs>
          </w:pPr>
          <w:r>
            <w:fldChar w:fldCharType="begin"/>
          </w:r>
          <w:r>
            <w:instrText xml:space="preserve"> HYPERLINK \l _Toc25499 </w:instrText>
          </w:r>
          <w:r>
            <w:fldChar w:fldCharType="separate"/>
          </w:r>
          <w:r>
            <w:rPr>
              <w:rFonts w:hint="eastAsia" w:ascii="黑体" w:hAnsi="黑体" w:eastAsia="黑体"/>
              <w:bCs/>
              <w:highlight w:val="none"/>
            </w:rPr>
            <w:t xml:space="preserve">第二部分 </w:t>
          </w:r>
          <w:r>
            <w:rPr>
              <w:rFonts w:hint="eastAsia" w:ascii="黑体" w:hAnsi="黑体" w:eastAsia="黑体"/>
              <w:bCs/>
              <w:highlight w:val="none"/>
              <w:lang w:val="en-US" w:eastAsia="zh-CN"/>
            </w:rPr>
            <w:t>2021年度</w:t>
          </w:r>
          <w:r>
            <w:rPr>
              <w:rFonts w:hint="eastAsia" w:ascii="黑体" w:hAnsi="黑体" w:eastAsia="黑体"/>
              <w:bCs/>
              <w:highlight w:val="none"/>
              <w:lang w:eastAsia="zh-CN"/>
            </w:rPr>
            <w:t>单位</w:t>
          </w:r>
          <w:r>
            <w:rPr>
              <w:rFonts w:hint="eastAsia" w:ascii="黑体" w:hAnsi="黑体" w:eastAsia="黑体"/>
              <w:bCs/>
              <w:highlight w:val="none"/>
            </w:rPr>
            <w:t>决算情况说明</w:t>
          </w:r>
          <w:r>
            <w:tab/>
          </w:r>
          <w:r>
            <w:fldChar w:fldCharType="begin"/>
          </w:r>
          <w:r>
            <w:instrText xml:space="preserve"> PAGEREF _Toc25499 \h </w:instrText>
          </w:r>
          <w:r>
            <w:fldChar w:fldCharType="separate"/>
          </w:r>
          <w:r>
            <w:t>11</w:t>
          </w:r>
          <w:r>
            <w:fldChar w:fldCharType="end"/>
          </w:r>
          <w:r>
            <w:fldChar w:fldCharType="end"/>
          </w:r>
        </w:p>
        <w:p>
          <w:pPr>
            <w:pStyle w:val="11"/>
            <w:tabs>
              <w:tab w:val="right" w:leader="dot" w:pos="8306"/>
              <w:tab w:val="clear" w:pos="8296"/>
            </w:tabs>
          </w:pPr>
          <w:r>
            <w:fldChar w:fldCharType="begin"/>
          </w:r>
          <w:r>
            <w:instrText xml:space="preserve"> HYPERLINK \l _Toc7670 </w:instrText>
          </w:r>
          <w:r>
            <w:fldChar w:fldCharType="separate"/>
          </w:r>
          <w:r>
            <w:rPr>
              <w:rFonts w:hint="default" w:ascii="黑体" w:hAnsi="黑体" w:eastAsia="黑体"/>
            </w:rPr>
            <w:t xml:space="preserve">一、 </w:t>
          </w:r>
          <w:r>
            <w:rPr>
              <w:rFonts w:hint="eastAsia" w:ascii="黑体" w:hAnsi="黑体" w:eastAsia="黑体"/>
              <w:szCs w:val="32"/>
              <w:highlight w:val="none"/>
            </w:rPr>
            <w:t>收</w:t>
          </w:r>
          <w:r>
            <w:rPr>
              <w:rFonts w:hint="eastAsia" w:ascii="黑体" w:hAnsi="黑体" w:eastAsia="黑体"/>
              <w:highlight w:val="none"/>
            </w:rPr>
            <w:t>入支出决算总体情况说明</w:t>
          </w:r>
          <w:r>
            <w:tab/>
          </w:r>
          <w:r>
            <w:fldChar w:fldCharType="begin"/>
          </w:r>
          <w:r>
            <w:instrText xml:space="preserve"> PAGEREF _Toc7670 \h </w:instrText>
          </w:r>
          <w:r>
            <w:fldChar w:fldCharType="separate"/>
          </w:r>
          <w:r>
            <w:t>11</w:t>
          </w:r>
          <w:r>
            <w:fldChar w:fldCharType="end"/>
          </w:r>
          <w:r>
            <w:fldChar w:fldCharType="end"/>
          </w:r>
        </w:p>
        <w:p>
          <w:pPr>
            <w:pStyle w:val="11"/>
            <w:tabs>
              <w:tab w:val="right" w:leader="dot" w:pos="8306"/>
              <w:tab w:val="clear" w:pos="8296"/>
            </w:tabs>
          </w:pPr>
          <w:r>
            <w:fldChar w:fldCharType="begin"/>
          </w:r>
          <w:r>
            <w:instrText xml:space="preserve"> HYPERLINK \l _Toc14031 </w:instrText>
          </w:r>
          <w:r>
            <w:fldChar w:fldCharType="separate"/>
          </w:r>
          <w:r>
            <w:rPr>
              <w:rFonts w:hint="default" w:ascii="黑体" w:hAnsi="黑体" w:eastAsia="黑体"/>
            </w:rPr>
            <w:t xml:space="preserve">二、 </w:t>
          </w:r>
          <w:r>
            <w:rPr>
              <w:rFonts w:hint="eastAsia" w:ascii="黑体" w:hAnsi="黑体" w:eastAsia="黑体"/>
              <w:szCs w:val="32"/>
              <w:highlight w:val="none"/>
            </w:rPr>
            <w:t>收</w:t>
          </w:r>
          <w:r>
            <w:rPr>
              <w:rFonts w:hint="eastAsia" w:ascii="黑体" w:hAnsi="黑体" w:eastAsia="黑体"/>
              <w:highlight w:val="none"/>
            </w:rPr>
            <w:t>入决算情况说明</w:t>
          </w:r>
          <w:r>
            <w:tab/>
          </w:r>
          <w:r>
            <w:fldChar w:fldCharType="begin"/>
          </w:r>
          <w:r>
            <w:instrText xml:space="preserve"> PAGEREF _Toc14031 \h </w:instrText>
          </w:r>
          <w:r>
            <w:fldChar w:fldCharType="separate"/>
          </w:r>
          <w:r>
            <w:t>11</w:t>
          </w:r>
          <w:r>
            <w:fldChar w:fldCharType="end"/>
          </w:r>
          <w:r>
            <w:fldChar w:fldCharType="end"/>
          </w:r>
        </w:p>
        <w:p>
          <w:pPr>
            <w:pStyle w:val="11"/>
            <w:tabs>
              <w:tab w:val="right" w:leader="dot" w:pos="8306"/>
              <w:tab w:val="clear" w:pos="8296"/>
            </w:tabs>
          </w:pPr>
          <w:r>
            <w:fldChar w:fldCharType="begin"/>
          </w:r>
          <w:r>
            <w:instrText xml:space="preserve"> HYPERLINK \l _Toc28940 </w:instrText>
          </w:r>
          <w:r>
            <w:fldChar w:fldCharType="separate"/>
          </w:r>
          <w:r>
            <w:rPr>
              <w:rFonts w:hint="default" w:ascii="黑体" w:hAnsi="黑体" w:eastAsia="黑体"/>
            </w:rPr>
            <w:t xml:space="preserve">三、 </w:t>
          </w:r>
          <w:r>
            <w:rPr>
              <w:rFonts w:hint="eastAsia" w:ascii="黑体" w:hAnsi="黑体" w:eastAsia="黑体"/>
              <w:szCs w:val="32"/>
              <w:highlight w:val="none"/>
            </w:rPr>
            <w:t>支</w:t>
          </w:r>
          <w:r>
            <w:rPr>
              <w:rFonts w:hint="eastAsia" w:ascii="黑体" w:hAnsi="黑体" w:eastAsia="黑体"/>
              <w:highlight w:val="none"/>
            </w:rPr>
            <w:t>出决算情况说明</w:t>
          </w:r>
          <w:r>
            <w:tab/>
          </w:r>
          <w:r>
            <w:fldChar w:fldCharType="begin"/>
          </w:r>
          <w:r>
            <w:instrText xml:space="preserve"> PAGEREF _Toc28940 \h </w:instrText>
          </w:r>
          <w:r>
            <w:fldChar w:fldCharType="separate"/>
          </w:r>
          <w:r>
            <w:t>12</w:t>
          </w:r>
          <w:r>
            <w:fldChar w:fldCharType="end"/>
          </w:r>
          <w:r>
            <w:fldChar w:fldCharType="end"/>
          </w:r>
        </w:p>
        <w:p>
          <w:pPr>
            <w:pStyle w:val="11"/>
            <w:tabs>
              <w:tab w:val="right" w:leader="dot" w:pos="8306"/>
              <w:tab w:val="clear" w:pos="8296"/>
            </w:tabs>
          </w:pPr>
          <w:r>
            <w:fldChar w:fldCharType="begin"/>
          </w:r>
          <w:r>
            <w:instrText xml:space="preserve"> HYPERLINK \l _Toc22633 </w:instrText>
          </w:r>
          <w:r>
            <w:fldChar w:fldCharType="separate"/>
          </w:r>
          <w:r>
            <w:rPr>
              <w:rFonts w:hint="eastAsia" w:ascii="黑体" w:hAnsi="黑体" w:eastAsia="黑体"/>
              <w:szCs w:val="32"/>
              <w:highlight w:val="none"/>
            </w:rPr>
            <w:t>四、财</w:t>
          </w:r>
          <w:r>
            <w:rPr>
              <w:rFonts w:hint="eastAsia" w:ascii="黑体" w:hAnsi="黑体" w:eastAsia="黑体"/>
              <w:highlight w:val="none"/>
            </w:rPr>
            <w:t>政拨款收入支出决算总体情况说明</w:t>
          </w:r>
          <w:r>
            <w:tab/>
          </w:r>
          <w:r>
            <w:fldChar w:fldCharType="begin"/>
          </w:r>
          <w:r>
            <w:instrText xml:space="preserve"> PAGEREF _Toc22633 \h </w:instrText>
          </w:r>
          <w:r>
            <w:fldChar w:fldCharType="separate"/>
          </w:r>
          <w:r>
            <w:t>13</w:t>
          </w:r>
          <w:r>
            <w:fldChar w:fldCharType="end"/>
          </w:r>
          <w:r>
            <w:fldChar w:fldCharType="end"/>
          </w:r>
        </w:p>
        <w:p>
          <w:pPr>
            <w:pStyle w:val="11"/>
            <w:tabs>
              <w:tab w:val="right" w:leader="dot" w:pos="8306"/>
              <w:tab w:val="clear" w:pos="8296"/>
            </w:tabs>
          </w:pPr>
          <w:r>
            <w:fldChar w:fldCharType="begin"/>
          </w:r>
          <w:r>
            <w:instrText xml:space="preserve"> HYPERLINK \l _Toc8668 </w:instrText>
          </w:r>
          <w:r>
            <w:fldChar w:fldCharType="separate"/>
          </w:r>
          <w:r>
            <w:rPr>
              <w:rFonts w:hint="eastAsia" w:ascii="黑体" w:hAnsi="黑体" w:eastAsia="黑体"/>
              <w:szCs w:val="32"/>
              <w:highlight w:val="none"/>
            </w:rPr>
            <w:t>五、一</w:t>
          </w:r>
          <w:r>
            <w:rPr>
              <w:rFonts w:hint="eastAsia" w:ascii="黑体" w:hAnsi="黑体" w:eastAsia="黑体"/>
              <w:highlight w:val="none"/>
            </w:rPr>
            <w:t>般公共预算财政拨款支出决算情况说明</w:t>
          </w:r>
          <w:r>
            <w:tab/>
          </w:r>
          <w:r>
            <w:fldChar w:fldCharType="begin"/>
          </w:r>
          <w:r>
            <w:instrText xml:space="preserve"> PAGEREF _Toc8668 \h </w:instrText>
          </w:r>
          <w:r>
            <w:fldChar w:fldCharType="separate"/>
          </w:r>
          <w:r>
            <w:t>14</w:t>
          </w:r>
          <w:r>
            <w:fldChar w:fldCharType="end"/>
          </w:r>
          <w:r>
            <w:fldChar w:fldCharType="end"/>
          </w:r>
        </w:p>
        <w:p>
          <w:pPr>
            <w:pStyle w:val="11"/>
            <w:tabs>
              <w:tab w:val="right" w:leader="dot" w:pos="8306"/>
              <w:tab w:val="clear" w:pos="8296"/>
            </w:tabs>
          </w:pPr>
          <w:r>
            <w:fldChar w:fldCharType="begin"/>
          </w:r>
          <w:r>
            <w:instrText xml:space="preserve"> HYPERLINK \l _Toc5692 </w:instrText>
          </w:r>
          <w:r>
            <w:fldChar w:fldCharType="separate"/>
          </w:r>
          <w:r>
            <w:rPr>
              <w:rFonts w:hint="eastAsia" w:ascii="黑体" w:eastAsia="黑体"/>
              <w:szCs w:val="32"/>
              <w:highlight w:val="none"/>
            </w:rPr>
            <w:t>六、</w:t>
          </w:r>
          <w:r>
            <w:rPr>
              <w:rFonts w:hint="eastAsia" w:ascii="黑体" w:hAnsi="黑体" w:eastAsia="黑体"/>
              <w:szCs w:val="32"/>
              <w:highlight w:val="none"/>
            </w:rPr>
            <w:t>一</w:t>
          </w:r>
          <w:r>
            <w:rPr>
              <w:rFonts w:hint="eastAsia" w:ascii="黑体" w:hAnsi="黑体" w:eastAsia="黑体"/>
              <w:highlight w:val="none"/>
            </w:rPr>
            <w:t>般公共预算财政拨款基本支出决算情况说明</w:t>
          </w:r>
          <w:r>
            <w:tab/>
          </w:r>
          <w:r>
            <w:fldChar w:fldCharType="begin"/>
          </w:r>
          <w:r>
            <w:instrText xml:space="preserve"> PAGEREF _Toc5692 \h </w:instrText>
          </w:r>
          <w:r>
            <w:fldChar w:fldCharType="separate"/>
          </w:r>
          <w:r>
            <w:t>18</w:t>
          </w:r>
          <w:r>
            <w:fldChar w:fldCharType="end"/>
          </w:r>
          <w:r>
            <w:fldChar w:fldCharType="end"/>
          </w:r>
        </w:p>
        <w:p>
          <w:pPr>
            <w:pStyle w:val="11"/>
            <w:tabs>
              <w:tab w:val="right" w:leader="dot" w:pos="8306"/>
              <w:tab w:val="clear" w:pos="8296"/>
            </w:tabs>
          </w:pPr>
          <w:r>
            <w:fldChar w:fldCharType="begin"/>
          </w:r>
          <w:r>
            <w:instrText xml:space="preserve"> HYPERLINK \l _Toc28033 </w:instrText>
          </w:r>
          <w:r>
            <w:fldChar w:fldCharType="separate"/>
          </w:r>
          <w:r>
            <w:rPr>
              <w:rFonts w:hint="eastAsia" w:ascii="黑体" w:eastAsia="黑体"/>
              <w:szCs w:val="32"/>
              <w:highlight w:val="none"/>
            </w:rPr>
            <w:t>七、</w:t>
          </w:r>
          <w:r>
            <w:rPr>
              <w:rFonts w:hint="eastAsia" w:ascii="黑体" w:hAnsi="黑体" w:eastAsia="黑体"/>
              <w:highlight w:val="none"/>
            </w:rPr>
            <w:t>“三公”经费财政拨款支出决算情况说明</w:t>
          </w:r>
          <w:r>
            <w:tab/>
          </w:r>
          <w:r>
            <w:fldChar w:fldCharType="begin"/>
          </w:r>
          <w:r>
            <w:instrText xml:space="preserve"> PAGEREF _Toc28033 \h </w:instrText>
          </w:r>
          <w:r>
            <w:fldChar w:fldCharType="separate"/>
          </w:r>
          <w:r>
            <w:t>18</w:t>
          </w:r>
          <w:r>
            <w:fldChar w:fldCharType="end"/>
          </w:r>
          <w:r>
            <w:fldChar w:fldCharType="end"/>
          </w:r>
        </w:p>
        <w:p>
          <w:pPr>
            <w:pStyle w:val="11"/>
            <w:tabs>
              <w:tab w:val="right" w:leader="dot" w:pos="8306"/>
              <w:tab w:val="clear" w:pos="8296"/>
            </w:tabs>
          </w:pPr>
          <w:r>
            <w:fldChar w:fldCharType="begin"/>
          </w:r>
          <w:r>
            <w:instrText xml:space="preserve"> HYPERLINK \l _Toc2981 </w:instrText>
          </w:r>
          <w:r>
            <w:fldChar w:fldCharType="separate"/>
          </w:r>
          <w:r>
            <w:rPr>
              <w:rFonts w:hint="eastAsia" w:ascii="黑体" w:eastAsia="黑体"/>
              <w:szCs w:val="32"/>
              <w:highlight w:val="none"/>
            </w:rPr>
            <w:t>八、</w:t>
          </w:r>
          <w:r>
            <w:rPr>
              <w:rFonts w:hint="eastAsia" w:ascii="黑体" w:hAnsi="黑体" w:eastAsia="黑体"/>
              <w:highlight w:val="none"/>
            </w:rPr>
            <w:t>政府性基金预算支出决算情况说明</w:t>
          </w:r>
          <w:r>
            <w:tab/>
          </w:r>
          <w:r>
            <w:fldChar w:fldCharType="begin"/>
          </w:r>
          <w:r>
            <w:instrText xml:space="preserve"> PAGEREF _Toc2981 \h </w:instrText>
          </w:r>
          <w:r>
            <w:fldChar w:fldCharType="separate"/>
          </w:r>
          <w:r>
            <w:t>20</w:t>
          </w:r>
          <w:r>
            <w:fldChar w:fldCharType="end"/>
          </w:r>
          <w:r>
            <w:fldChar w:fldCharType="end"/>
          </w:r>
        </w:p>
        <w:p>
          <w:pPr>
            <w:pStyle w:val="11"/>
            <w:tabs>
              <w:tab w:val="right" w:leader="dot" w:pos="8306"/>
              <w:tab w:val="clear" w:pos="8296"/>
            </w:tabs>
          </w:pPr>
          <w:r>
            <w:fldChar w:fldCharType="begin"/>
          </w:r>
          <w:r>
            <w:instrText xml:space="preserve"> HYPERLINK \l _Toc20727 </w:instrText>
          </w:r>
          <w:r>
            <w:fldChar w:fldCharType="separate"/>
          </w:r>
          <w:r>
            <w:rPr>
              <w:rFonts w:hint="eastAsia" w:ascii="黑体" w:hAnsi="黑体" w:eastAsia="黑体"/>
            </w:rPr>
            <w:t xml:space="preserve">九、 </w:t>
          </w:r>
          <w:r>
            <w:rPr>
              <w:rFonts w:hint="eastAsia" w:ascii="黑体" w:hAnsi="黑体" w:eastAsia="黑体"/>
              <w:highlight w:val="none"/>
            </w:rPr>
            <w:t>国有资本经营预算支出决算情况说明</w:t>
          </w:r>
          <w:r>
            <w:tab/>
          </w:r>
          <w:r>
            <w:fldChar w:fldCharType="begin"/>
          </w:r>
          <w:r>
            <w:instrText xml:space="preserve"> PAGEREF _Toc20727 \h </w:instrText>
          </w:r>
          <w:r>
            <w:fldChar w:fldCharType="separate"/>
          </w:r>
          <w:r>
            <w:t>20</w:t>
          </w:r>
          <w:r>
            <w:fldChar w:fldCharType="end"/>
          </w:r>
          <w:r>
            <w:fldChar w:fldCharType="end"/>
          </w:r>
        </w:p>
        <w:p>
          <w:pPr>
            <w:pStyle w:val="11"/>
            <w:tabs>
              <w:tab w:val="right" w:leader="dot" w:pos="8306"/>
              <w:tab w:val="clear" w:pos="8296"/>
            </w:tabs>
          </w:pPr>
          <w:r>
            <w:fldChar w:fldCharType="begin"/>
          </w:r>
          <w:r>
            <w:instrText xml:space="preserve"> HYPERLINK \l _Toc25969 </w:instrText>
          </w:r>
          <w:r>
            <w:fldChar w:fldCharType="separate"/>
          </w:r>
          <w:r>
            <w:rPr>
              <w:rFonts w:hint="eastAsia" w:ascii="黑体" w:hAnsi="黑体" w:eastAsia="黑体"/>
            </w:rPr>
            <w:t xml:space="preserve">十、 </w:t>
          </w:r>
          <w:r>
            <w:rPr>
              <w:rFonts w:hint="eastAsia" w:ascii="黑体" w:hAnsi="黑体" w:eastAsia="黑体"/>
              <w:highlight w:val="none"/>
              <w:lang w:val="en-US" w:eastAsia="zh-CN"/>
            </w:rPr>
            <w:t>预算绩效管理情况</w:t>
          </w:r>
          <w:r>
            <w:tab/>
          </w:r>
          <w:r>
            <w:fldChar w:fldCharType="begin"/>
          </w:r>
          <w:r>
            <w:instrText xml:space="preserve"> PAGEREF _Toc25969 \h </w:instrText>
          </w:r>
          <w:r>
            <w:fldChar w:fldCharType="separate"/>
          </w:r>
          <w:r>
            <w:t>21</w:t>
          </w:r>
          <w:r>
            <w:fldChar w:fldCharType="end"/>
          </w:r>
          <w:r>
            <w:fldChar w:fldCharType="end"/>
          </w:r>
        </w:p>
        <w:p>
          <w:pPr>
            <w:pStyle w:val="11"/>
            <w:tabs>
              <w:tab w:val="right" w:leader="dot" w:pos="8306"/>
              <w:tab w:val="clear" w:pos="8296"/>
            </w:tabs>
          </w:pPr>
          <w:r>
            <w:fldChar w:fldCharType="begin"/>
          </w:r>
          <w:r>
            <w:instrText xml:space="preserve"> HYPERLINK \l _Toc4323 </w:instrText>
          </w:r>
          <w:r>
            <w:fldChar w:fldCharType="separate"/>
          </w:r>
          <w:r>
            <w:rPr>
              <w:rFonts w:hint="eastAsia" w:ascii="黑体" w:hAnsi="黑体" w:eastAsia="黑体"/>
            </w:rPr>
            <w:t xml:space="preserve">十一、 </w:t>
          </w:r>
          <w:r>
            <w:rPr>
              <w:rFonts w:hint="eastAsia" w:ascii="黑体" w:hAnsi="黑体" w:eastAsia="黑体"/>
              <w:highlight w:val="none"/>
            </w:rPr>
            <w:t>其他重要事项的情况说明</w:t>
          </w:r>
          <w:r>
            <w:tab/>
          </w:r>
          <w:r>
            <w:fldChar w:fldCharType="begin"/>
          </w:r>
          <w:r>
            <w:instrText xml:space="preserve"> PAGEREF _Toc4323 \h </w:instrText>
          </w:r>
          <w:r>
            <w:fldChar w:fldCharType="separate"/>
          </w:r>
          <w:r>
            <w:t>21</w:t>
          </w:r>
          <w:r>
            <w:fldChar w:fldCharType="end"/>
          </w:r>
          <w:r>
            <w:fldChar w:fldCharType="end"/>
          </w:r>
        </w:p>
        <w:p>
          <w:pPr>
            <w:pStyle w:val="10"/>
            <w:tabs>
              <w:tab w:val="right" w:leader="dot" w:pos="8306"/>
              <w:tab w:val="clear" w:pos="8296"/>
            </w:tabs>
          </w:pPr>
          <w:r>
            <w:fldChar w:fldCharType="begin"/>
          </w:r>
          <w:r>
            <w:instrText xml:space="preserve"> HYPERLINK \l _Toc28673 </w:instrText>
          </w:r>
          <w:r>
            <w:fldChar w:fldCharType="separate"/>
          </w:r>
          <w:r>
            <w:rPr>
              <w:rFonts w:hint="eastAsia" w:ascii="黑体" w:hAnsi="黑体" w:eastAsia="黑体" w:cs="黑体"/>
              <w:szCs w:val="44"/>
            </w:rPr>
            <w:t xml:space="preserve">第三部分 </w:t>
          </w:r>
          <w:r>
            <w:rPr>
              <w:rFonts w:hint="eastAsia" w:ascii="黑体" w:hAnsi="黑体" w:eastAsia="黑体"/>
              <w:szCs w:val="44"/>
              <w:highlight w:val="none"/>
            </w:rPr>
            <w:t>名</w:t>
          </w:r>
          <w:r>
            <w:rPr>
              <w:rFonts w:hint="eastAsia" w:ascii="黑体" w:hAnsi="黑体" w:eastAsia="黑体"/>
              <w:highlight w:val="none"/>
            </w:rPr>
            <w:t>词解释</w:t>
          </w:r>
          <w:r>
            <w:tab/>
          </w:r>
          <w:r>
            <w:fldChar w:fldCharType="begin"/>
          </w:r>
          <w:r>
            <w:instrText xml:space="preserve"> PAGEREF _Toc28673 \h </w:instrText>
          </w:r>
          <w:r>
            <w:fldChar w:fldCharType="separate"/>
          </w:r>
          <w:r>
            <w:t>23</w:t>
          </w:r>
          <w:r>
            <w:fldChar w:fldCharType="end"/>
          </w:r>
          <w:r>
            <w:fldChar w:fldCharType="end"/>
          </w:r>
        </w:p>
        <w:p>
          <w:pPr>
            <w:pStyle w:val="10"/>
            <w:tabs>
              <w:tab w:val="right" w:leader="dot" w:pos="8306"/>
              <w:tab w:val="clear" w:pos="8296"/>
            </w:tabs>
          </w:pPr>
          <w:r>
            <w:fldChar w:fldCharType="begin"/>
          </w:r>
          <w:r>
            <w:instrText xml:space="preserve"> HYPERLINK \l _Toc23756 </w:instrText>
          </w:r>
          <w:r>
            <w:fldChar w:fldCharType="separate"/>
          </w:r>
          <w:r>
            <w:rPr>
              <w:rFonts w:hint="eastAsia" w:ascii="黑体" w:hAnsi="黑体" w:eastAsia="黑体"/>
              <w:szCs w:val="44"/>
              <w:highlight w:val="none"/>
            </w:rPr>
            <w:t>第</w:t>
          </w:r>
          <w:r>
            <w:rPr>
              <w:rFonts w:hint="eastAsia" w:ascii="黑体" w:hAnsi="黑体" w:eastAsia="黑体"/>
              <w:highlight w:val="none"/>
            </w:rPr>
            <w:t>四部分 附件</w:t>
          </w:r>
          <w:r>
            <w:tab/>
          </w:r>
          <w:r>
            <w:fldChar w:fldCharType="begin"/>
          </w:r>
          <w:r>
            <w:instrText xml:space="preserve"> PAGEREF _Toc23756 \h </w:instrText>
          </w:r>
          <w:r>
            <w:fldChar w:fldCharType="separate"/>
          </w:r>
          <w:r>
            <w:t>26</w:t>
          </w:r>
          <w:r>
            <w:fldChar w:fldCharType="end"/>
          </w:r>
          <w:r>
            <w:fldChar w:fldCharType="end"/>
          </w:r>
        </w:p>
        <w:p>
          <w:pPr>
            <w:pStyle w:val="10"/>
            <w:tabs>
              <w:tab w:val="right" w:leader="dot" w:pos="8306"/>
              <w:tab w:val="clear" w:pos="8296"/>
            </w:tabs>
          </w:pPr>
          <w:r>
            <w:fldChar w:fldCharType="begin"/>
          </w:r>
          <w:r>
            <w:instrText xml:space="preserve"> HYPERLINK \l _Toc3541 </w:instrText>
          </w:r>
          <w:r>
            <w:fldChar w:fldCharType="separate"/>
          </w:r>
          <w:r>
            <w:rPr>
              <w:rFonts w:hint="eastAsia" w:ascii="黑体" w:hAnsi="黑体" w:eastAsia="黑体"/>
              <w:szCs w:val="44"/>
              <w:highlight w:val="none"/>
            </w:rPr>
            <w:t>第</w:t>
          </w:r>
          <w:r>
            <w:rPr>
              <w:rFonts w:hint="eastAsia" w:ascii="黑体" w:hAnsi="黑体" w:eastAsia="黑体"/>
              <w:highlight w:val="none"/>
            </w:rPr>
            <w:t>五部分 附表</w:t>
          </w:r>
          <w:r>
            <w:tab/>
          </w:r>
          <w:r>
            <w:fldChar w:fldCharType="begin"/>
          </w:r>
          <w:r>
            <w:instrText xml:space="preserve"> PAGEREF _Toc3541 \h </w:instrText>
          </w:r>
          <w:r>
            <w:fldChar w:fldCharType="separate"/>
          </w:r>
          <w:r>
            <w:t>47</w:t>
          </w:r>
          <w:r>
            <w:fldChar w:fldCharType="end"/>
          </w:r>
          <w:r>
            <w:fldChar w:fldCharType="end"/>
          </w:r>
        </w:p>
        <w:p>
          <w:pPr>
            <w:pStyle w:val="11"/>
            <w:tabs>
              <w:tab w:val="right" w:leader="dot" w:pos="8306"/>
              <w:tab w:val="clear" w:pos="8296"/>
            </w:tabs>
          </w:pPr>
          <w:r>
            <w:fldChar w:fldCharType="begin"/>
          </w:r>
          <w:r>
            <w:instrText xml:space="preserve"> HYPERLINK \l _Toc24018 </w:instrText>
          </w:r>
          <w:r>
            <w:fldChar w:fldCharType="separate"/>
          </w:r>
          <w:r>
            <w:rPr>
              <w:rFonts w:hint="eastAsia" w:ascii="仿宋" w:hAnsi="仿宋" w:eastAsia="仿宋"/>
              <w:highlight w:val="none"/>
            </w:rPr>
            <w:t>一、收</w:t>
          </w:r>
          <w:r>
            <w:rPr>
              <w:rFonts w:hint="eastAsia" w:ascii="仿宋" w:hAnsi="仿宋" w:eastAsia="仿宋"/>
              <w:bCs w:val="0"/>
              <w:highlight w:val="none"/>
            </w:rPr>
            <w:t>入支出决算总表</w:t>
          </w:r>
          <w:r>
            <w:tab/>
          </w:r>
          <w:r>
            <w:fldChar w:fldCharType="begin"/>
          </w:r>
          <w:r>
            <w:instrText xml:space="preserve"> PAGEREF _Toc24018 \h </w:instrText>
          </w:r>
          <w:r>
            <w:fldChar w:fldCharType="separate"/>
          </w:r>
          <w:r>
            <w:t>47</w:t>
          </w:r>
          <w:r>
            <w:fldChar w:fldCharType="end"/>
          </w:r>
          <w:r>
            <w:fldChar w:fldCharType="end"/>
          </w:r>
        </w:p>
        <w:p>
          <w:pPr>
            <w:pStyle w:val="11"/>
            <w:tabs>
              <w:tab w:val="right" w:leader="dot" w:pos="8306"/>
              <w:tab w:val="clear" w:pos="8296"/>
            </w:tabs>
          </w:pPr>
          <w:r>
            <w:fldChar w:fldCharType="begin"/>
          </w:r>
          <w:r>
            <w:instrText xml:space="preserve"> HYPERLINK \l _Toc17457 </w:instrText>
          </w:r>
          <w:r>
            <w:fldChar w:fldCharType="separate"/>
          </w:r>
          <w:r>
            <w:rPr>
              <w:rFonts w:hint="eastAsia" w:ascii="仿宋" w:hAnsi="仿宋" w:eastAsia="仿宋"/>
              <w:highlight w:val="none"/>
            </w:rPr>
            <w:t>二、收</w:t>
          </w:r>
          <w:r>
            <w:rPr>
              <w:rFonts w:hint="eastAsia" w:ascii="仿宋" w:hAnsi="仿宋" w:eastAsia="仿宋"/>
              <w:bCs w:val="0"/>
              <w:highlight w:val="none"/>
            </w:rPr>
            <w:t>入决算表</w:t>
          </w:r>
          <w:r>
            <w:tab/>
          </w:r>
          <w:r>
            <w:fldChar w:fldCharType="begin"/>
          </w:r>
          <w:r>
            <w:instrText xml:space="preserve"> PAGEREF _Toc17457 \h </w:instrText>
          </w:r>
          <w:r>
            <w:fldChar w:fldCharType="separate"/>
          </w:r>
          <w:r>
            <w:t>47</w:t>
          </w:r>
          <w:r>
            <w:fldChar w:fldCharType="end"/>
          </w:r>
          <w:r>
            <w:fldChar w:fldCharType="end"/>
          </w:r>
        </w:p>
        <w:p>
          <w:pPr>
            <w:pStyle w:val="11"/>
            <w:tabs>
              <w:tab w:val="right" w:leader="dot" w:pos="8306"/>
              <w:tab w:val="clear" w:pos="8296"/>
            </w:tabs>
          </w:pPr>
          <w:r>
            <w:fldChar w:fldCharType="begin"/>
          </w:r>
          <w:r>
            <w:instrText xml:space="preserve"> HYPERLINK \l _Toc26116 </w:instrText>
          </w:r>
          <w:r>
            <w:fldChar w:fldCharType="separate"/>
          </w:r>
          <w:r>
            <w:rPr>
              <w:rFonts w:hint="eastAsia" w:ascii="仿宋" w:hAnsi="仿宋" w:eastAsia="仿宋"/>
              <w:bCs w:val="0"/>
              <w:highlight w:val="none"/>
            </w:rPr>
            <w:t>三、</w:t>
          </w:r>
          <w:r>
            <w:rPr>
              <w:rFonts w:hint="eastAsia" w:ascii="仿宋" w:hAnsi="仿宋" w:eastAsia="仿宋"/>
              <w:highlight w:val="none"/>
            </w:rPr>
            <w:t>支</w:t>
          </w:r>
          <w:r>
            <w:rPr>
              <w:rFonts w:hint="eastAsia" w:ascii="仿宋" w:hAnsi="仿宋" w:eastAsia="仿宋"/>
              <w:bCs w:val="0"/>
              <w:highlight w:val="none"/>
            </w:rPr>
            <w:t>出决算表</w:t>
          </w:r>
          <w:r>
            <w:tab/>
          </w:r>
          <w:r>
            <w:fldChar w:fldCharType="begin"/>
          </w:r>
          <w:r>
            <w:instrText xml:space="preserve"> PAGEREF _Toc26116 \h </w:instrText>
          </w:r>
          <w:r>
            <w:fldChar w:fldCharType="separate"/>
          </w:r>
          <w:r>
            <w:t>47</w:t>
          </w:r>
          <w:r>
            <w:fldChar w:fldCharType="end"/>
          </w:r>
          <w:r>
            <w:fldChar w:fldCharType="end"/>
          </w:r>
        </w:p>
        <w:p>
          <w:pPr>
            <w:pStyle w:val="11"/>
            <w:tabs>
              <w:tab w:val="right" w:leader="dot" w:pos="8306"/>
              <w:tab w:val="clear" w:pos="8296"/>
            </w:tabs>
          </w:pPr>
          <w:r>
            <w:fldChar w:fldCharType="begin"/>
          </w:r>
          <w:r>
            <w:instrText xml:space="preserve"> HYPERLINK \l _Toc14825 </w:instrText>
          </w:r>
          <w:r>
            <w:fldChar w:fldCharType="separate"/>
          </w:r>
          <w:r>
            <w:rPr>
              <w:rFonts w:hint="eastAsia" w:ascii="仿宋" w:hAnsi="仿宋" w:eastAsia="仿宋"/>
              <w:bCs w:val="0"/>
              <w:highlight w:val="none"/>
            </w:rPr>
            <w:t>四、</w:t>
          </w:r>
          <w:r>
            <w:rPr>
              <w:rFonts w:hint="eastAsia" w:ascii="仿宋" w:hAnsi="仿宋" w:eastAsia="仿宋"/>
              <w:highlight w:val="none"/>
            </w:rPr>
            <w:t>财</w:t>
          </w:r>
          <w:r>
            <w:rPr>
              <w:rFonts w:hint="eastAsia" w:ascii="仿宋" w:hAnsi="仿宋" w:eastAsia="仿宋"/>
              <w:bCs w:val="0"/>
              <w:highlight w:val="none"/>
            </w:rPr>
            <w:t>政拨款收入支出决算总表</w:t>
          </w:r>
          <w:r>
            <w:tab/>
          </w:r>
          <w:r>
            <w:fldChar w:fldCharType="begin"/>
          </w:r>
          <w:r>
            <w:instrText xml:space="preserve"> PAGEREF _Toc14825 \h </w:instrText>
          </w:r>
          <w:r>
            <w:fldChar w:fldCharType="separate"/>
          </w:r>
          <w:r>
            <w:t>47</w:t>
          </w:r>
          <w:r>
            <w:fldChar w:fldCharType="end"/>
          </w:r>
          <w:r>
            <w:fldChar w:fldCharType="end"/>
          </w:r>
        </w:p>
        <w:p>
          <w:pPr>
            <w:pStyle w:val="11"/>
            <w:tabs>
              <w:tab w:val="right" w:leader="dot" w:pos="8306"/>
              <w:tab w:val="clear" w:pos="8296"/>
            </w:tabs>
          </w:pPr>
          <w:r>
            <w:fldChar w:fldCharType="begin"/>
          </w:r>
          <w:r>
            <w:instrText xml:space="preserve"> HYPERLINK \l _Toc10636 </w:instrText>
          </w:r>
          <w:r>
            <w:fldChar w:fldCharType="separate"/>
          </w:r>
          <w:r>
            <w:rPr>
              <w:rFonts w:hint="eastAsia" w:ascii="仿宋" w:hAnsi="仿宋" w:eastAsia="仿宋"/>
              <w:bCs w:val="0"/>
              <w:highlight w:val="none"/>
            </w:rPr>
            <w:t>五、</w:t>
          </w:r>
          <w:r>
            <w:rPr>
              <w:rFonts w:hint="eastAsia" w:ascii="仿宋" w:hAnsi="仿宋" w:eastAsia="仿宋"/>
              <w:highlight w:val="none"/>
            </w:rPr>
            <w:t>财</w:t>
          </w:r>
          <w:r>
            <w:rPr>
              <w:rFonts w:hint="eastAsia" w:ascii="仿宋" w:hAnsi="仿宋" w:eastAsia="仿宋"/>
              <w:bCs w:val="0"/>
              <w:highlight w:val="none"/>
            </w:rPr>
            <w:t>政拨款支出决算明细表</w:t>
          </w:r>
          <w:r>
            <w:tab/>
          </w:r>
          <w:r>
            <w:fldChar w:fldCharType="begin"/>
          </w:r>
          <w:r>
            <w:instrText xml:space="preserve"> PAGEREF _Toc10636 \h </w:instrText>
          </w:r>
          <w:r>
            <w:fldChar w:fldCharType="separate"/>
          </w:r>
          <w:r>
            <w:t>47</w:t>
          </w:r>
          <w:r>
            <w:fldChar w:fldCharType="end"/>
          </w:r>
          <w:r>
            <w:fldChar w:fldCharType="end"/>
          </w:r>
        </w:p>
        <w:p>
          <w:pPr>
            <w:pStyle w:val="11"/>
            <w:tabs>
              <w:tab w:val="right" w:leader="dot" w:pos="8306"/>
              <w:tab w:val="clear" w:pos="8296"/>
            </w:tabs>
          </w:pPr>
          <w:r>
            <w:fldChar w:fldCharType="begin"/>
          </w:r>
          <w:r>
            <w:instrText xml:space="preserve"> HYPERLINK \l _Toc4701 </w:instrText>
          </w:r>
          <w:r>
            <w:fldChar w:fldCharType="separate"/>
          </w:r>
          <w:r>
            <w:rPr>
              <w:rFonts w:hint="eastAsia" w:ascii="仿宋" w:hAnsi="仿宋" w:eastAsia="仿宋"/>
              <w:bCs w:val="0"/>
              <w:highlight w:val="none"/>
            </w:rPr>
            <w:t>六、</w:t>
          </w:r>
          <w:r>
            <w:rPr>
              <w:rFonts w:hint="eastAsia" w:ascii="仿宋" w:hAnsi="仿宋" w:eastAsia="仿宋"/>
              <w:highlight w:val="none"/>
            </w:rPr>
            <w:t>一</w:t>
          </w:r>
          <w:r>
            <w:rPr>
              <w:rFonts w:hint="eastAsia" w:ascii="仿宋" w:hAnsi="仿宋" w:eastAsia="仿宋"/>
              <w:bCs w:val="0"/>
              <w:highlight w:val="none"/>
            </w:rPr>
            <w:t>般公共预算财政拨款支出决算表</w:t>
          </w:r>
          <w:r>
            <w:tab/>
          </w:r>
          <w:r>
            <w:fldChar w:fldCharType="begin"/>
          </w:r>
          <w:r>
            <w:instrText xml:space="preserve"> PAGEREF _Toc4701 \h </w:instrText>
          </w:r>
          <w:r>
            <w:fldChar w:fldCharType="separate"/>
          </w:r>
          <w:r>
            <w:t>47</w:t>
          </w:r>
          <w:r>
            <w:fldChar w:fldCharType="end"/>
          </w:r>
          <w:r>
            <w:fldChar w:fldCharType="end"/>
          </w:r>
        </w:p>
        <w:p>
          <w:pPr>
            <w:pStyle w:val="11"/>
            <w:tabs>
              <w:tab w:val="right" w:leader="dot" w:pos="8306"/>
              <w:tab w:val="clear" w:pos="8296"/>
            </w:tabs>
          </w:pPr>
          <w:r>
            <w:fldChar w:fldCharType="begin"/>
          </w:r>
          <w:r>
            <w:instrText xml:space="preserve"> HYPERLINK \l _Toc945 </w:instrText>
          </w:r>
          <w:r>
            <w:fldChar w:fldCharType="separate"/>
          </w:r>
          <w:r>
            <w:rPr>
              <w:rFonts w:hint="eastAsia" w:ascii="仿宋" w:hAnsi="仿宋" w:eastAsia="仿宋"/>
              <w:bCs w:val="0"/>
              <w:highlight w:val="none"/>
            </w:rPr>
            <w:t>七、</w:t>
          </w:r>
          <w:r>
            <w:rPr>
              <w:rFonts w:hint="eastAsia" w:ascii="仿宋" w:hAnsi="仿宋" w:eastAsia="仿宋"/>
              <w:highlight w:val="none"/>
            </w:rPr>
            <w:t>一</w:t>
          </w:r>
          <w:r>
            <w:rPr>
              <w:rFonts w:hint="eastAsia" w:ascii="仿宋" w:hAnsi="仿宋" w:eastAsia="仿宋"/>
              <w:bCs w:val="0"/>
              <w:highlight w:val="none"/>
            </w:rPr>
            <w:t>般公共预算财政拨款支出决算明细表</w:t>
          </w:r>
          <w:r>
            <w:tab/>
          </w:r>
          <w:r>
            <w:fldChar w:fldCharType="begin"/>
          </w:r>
          <w:r>
            <w:instrText xml:space="preserve"> PAGEREF _Toc945 \h </w:instrText>
          </w:r>
          <w:r>
            <w:fldChar w:fldCharType="separate"/>
          </w:r>
          <w:r>
            <w:t>47</w:t>
          </w:r>
          <w:r>
            <w:fldChar w:fldCharType="end"/>
          </w:r>
          <w:r>
            <w:fldChar w:fldCharType="end"/>
          </w:r>
        </w:p>
        <w:p>
          <w:pPr>
            <w:pStyle w:val="11"/>
            <w:tabs>
              <w:tab w:val="right" w:leader="dot" w:pos="8306"/>
              <w:tab w:val="clear" w:pos="8296"/>
            </w:tabs>
          </w:pPr>
          <w:r>
            <w:fldChar w:fldCharType="begin"/>
          </w:r>
          <w:r>
            <w:instrText xml:space="preserve"> HYPERLINK \l _Toc29581 </w:instrText>
          </w:r>
          <w:r>
            <w:fldChar w:fldCharType="separate"/>
          </w:r>
          <w:r>
            <w:rPr>
              <w:rFonts w:hint="eastAsia" w:ascii="仿宋" w:hAnsi="仿宋" w:eastAsia="仿宋"/>
              <w:bCs w:val="0"/>
              <w:highlight w:val="none"/>
            </w:rPr>
            <w:t>八、</w:t>
          </w:r>
          <w:r>
            <w:rPr>
              <w:rFonts w:hint="eastAsia" w:ascii="仿宋" w:hAnsi="仿宋" w:eastAsia="仿宋"/>
              <w:highlight w:val="none"/>
            </w:rPr>
            <w:t>一</w:t>
          </w:r>
          <w:r>
            <w:rPr>
              <w:rFonts w:hint="eastAsia" w:ascii="仿宋" w:hAnsi="仿宋" w:eastAsia="仿宋"/>
              <w:bCs w:val="0"/>
              <w:highlight w:val="none"/>
            </w:rPr>
            <w:t>般公共预算财政拨款基本支出决算表</w:t>
          </w:r>
          <w:r>
            <w:tab/>
          </w:r>
          <w:r>
            <w:fldChar w:fldCharType="begin"/>
          </w:r>
          <w:r>
            <w:instrText xml:space="preserve"> PAGEREF _Toc29581 \h </w:instrText>
          </w:r>
          <w:r>
            <w:fldChar w:fldCharType="separate"/>
          </w:r>
          <w:r>
            <w:t>47</w:t>
          </w:r>
          <w:r>
            <w:fldChar w:fldCharType="end"/>
          </w:r>
          <w:r>
            <w:fldChar w:fldCharType="end"/>
          </w:r>
        </w:p>
        <w:p>
          <w:pPr>
            <w:pStyle w:val="11"/>
            <w:tabs>
              <w:tab w:val="right" w:leader="dot" w:pos="8306"/>
              <w:tab w:val="clear" w:pos="8296"/>
            </w:tabs>
          </w:pPr>
          <w:r>
            <w:fldChar w:fldCharType="begin"/>
          </w:r>
          <w:r>
            <w:instrText xml:space="preserve"> HYPERLINK \l _Toc17122 </w:instrText>
          </w:r>
          <w:r>
            <w:fldChar w:fldCharType="separate"/>
          </w:r>
          <w:r>
            <w:rPr>
              <w:rFonts w:hint="eastAsia" w:ascii="仿宋" w:hAnsi="仿宋" w:eastAsia="仿宋"/>
              <w:bCs w:val="0"/>
              <w:highlight w:val="none"/>
            </w:rPr>
            <w:t>九、</w:t>
          </w:r>
          <w:r>
            <w:rPr>
              <w:rFonts w:hint="eastAsia" w:ascii="仿宋" w:hAnsi="仿宋" w:eastAsia="仿宋"/>
              <w:highlight w:val="none"/>
            </w:rPr>
            <w:t>一</w:t>
          </w:r>
          <w:r>
            <w:rPr>
              <w:rFonts w:hint="eastAsia" w:ascii="仿宋" w:hAnsi="仿宋" w:eastAsia="仿宋"/>
              <w:bCs w:val="0"/>
              <w:highlight w:val="none"/>
            </w:rPr>
            <w:t>般公共预算财政拨款项目支出决算表</w:t>
          </w:r>
          <w:r>
            <w:tab/>
          </w:r>
          <w:r>
            <w:fldChar w:fldCharType="begin"/>
          </w:r>
          <w:r>
            <w:instrText xml:space="preserve"> PAGEREF _Toc17122 \h </w:instrText>
          </w:r>
          <w:r>
            <w:fldChar w:fldCharType="separate"/>
          </w:r>
          <w:r>
            <w:t>47</w:t>
          </w:r>
          <w:r>
            <w:fldChar w:fldCharType="end"/>
          </w:r>
          <w:r>
            <w:fldChar w:fldCharType="end"/>
          </w:r>
        </w:p>
        <w:p>
          <w:pPr>
            <w:pStyle w:val="11"/>
            <w:tabs>
              <w:tab w:val="right" w:leader="dot" w:pos="8306"/>
              <w:tab w:val="clear" w:pos="8296"/>
            </w:tabs>
          </w:pPr>
          <w:r>
            <w:fldChar w:fldCharType="begin"/>
          </w:r>
          <w:r>
            <w:instrText xml:space="preserve"> HYPERLINK \l _Toc30938 </w:instrText>
          </w:r>
          <w:r>
            <w:fldChar w:fldCharType="separate"/>
          </w:r>
          <w:r>
            <w:rPr>
              <w:rFonts w:hint="eastAsia" w:ascii="仿宋" w:hAnsi="仿宋" w:eastAsia="仿宋"/>
              <w:bCs w:val="0"/>
              <w:highlight w:val="none"/>
            </w:rPr>
            <w:t>十、</w:t>
          </w:r>
          <w:r>
            <w:rPr>
              <w:rFonts w:hint="eastAsia" w:ascii="仿宋" w:hAnsi="仿宋" w:eastAsia="仿宋"/>
              <w:highlight w:val="none"/>
            </w:rPr>
            <w:t>一</w:t>
          </w:r>
          <w:r>
            <w:rPr>
              <w:rFonts w:hint="eastAsia" w:ascii="仿宋" w:hAnsi="仿宋" w:eastAsia="仿宋"/>
              <w:bCs w:val="0"/>
              <w:highlight w:val="none"/>
            </w:rPr>
            <w:t>般公共预算财政拨款“三公”经费支出决算表</w:t>
          </w:r>
          <w:r>
            <w:tab/>
          </w:r>
          <w:r>
            <w:fldChar w:fldCharType="begin"/>
          </w:r>
          <w:r>
            <w:instrText xml:space="preserve"> PAGEREF _Toc30938 \h </w:instrText>
          </w:r>
          <w:r>
            <w:fldChar w:fldCharType="separate"/>
          </w:r>
          <w:r>
            <w:t>47</w:t>
          </w:r>
          <w:r>
            <w:fldChar w:fldCharType="end"/>
          </w:r>
          <w:r>
            <w:fldChar w:fldCharType="end"/>
          </w:r>
        </w:p>
        <w:p>
          <w:pPr>
            <w:pStyle w:val="11"/>
            <w:tabs>
              <w:tab w:val="right" w:leader="dot" w:pos="8306"/>
              <w:tab w:val="clear" w:pos="8296"/>
            </w:tabs>
          </w:pPr>
          <w:r>
            <w:fldChar w:fldCharType="begin"/>
          </w:r>
          <w:r>
            <w:instrText xml:space="preserve"> HYPERLINK \l _Toc10492 </w:instrText>
          </w:r>
          <w:r>
            <w:fldChar w:fldCharType="separate"/>
          </w:r>
          <w:r>
            <w:rPr>
              <w:rFonts w:hint="eastAsia" w:ascii="仿宋" w:hAnsi="仿宋" w:eastAsia="仿宋"/>
              <w:bCs w:val="0"/>
              <w:highlight w:val="none"/>
            </w:rPr>
            <w:t>十一、</w:t>
          </w:r>
          <w:r>
            <w:rPr>
              <w:rFonts w:hint="eastAsia" w:ascii="仿宋" w:hAnsi="仿宋" w:eastAsia="仿宋"/>
              <w:highlight w:val="none"/>
            </w:rPr>
            <w:t>政</w:t>
          </w:r>
          <w:r>
            <w:rPr>
              <w:rFonts w:hint="eastAsia" w:ascii="仿宋" w:hAnsi="仿宋" w:eastAsia="仿宋"/>
              <w:bCs w:val="0"/>
              <w:highlight w:val="none"/>
            </w:rPr>
            <w:t>府性基金预算财政拨款收入支出决算表</w:t>
          </w:r>
          <w:r>
            <w:tab/>
          </w:r>
          <w:r>
            <w:fldChar w:fldCharType="begin"/>
          </w:r>
          <w:r>
            <w:instrText xml:space="preserve"> PAGEREF _Toc10492 \h </w:instrText>
          </w:r>
          <w:r>
            <w:fldChar w:fldCharType="separate"/>
          </w:r>
          <w:r>
            <w:t>47</w:t>
          </w:r>
          <w:r>
            <w:fldChar w:fldCharType="end"/>
          </w:r>
          <w:r>
            <w:fldChar w:fldCharType="end"/>
          </w:r>
        </w:p>
        <w:p>
          <w:pPr>
            <w:pStyle w:val="11"/>
            <w:tabs>
              <w:tab w:val="right" w:leader="dot" w:pos="8306"/>
              <w:tab w:val="clear" w:pos="8296"/>
            </w:tabs>
          </w:pPr>
          <w:r>
            <w:fldChar w:fldCharType="begin"/>
          </w:r>
          <w:r>
            <w:instrText xml:space="preserve"> HYPERLINK \l _Toc10403 </w:instrText>
          </w:r>
          <w:r>
            <w:fldChar w:fldCharType="separate"/>
          </w:r>
          <w:r>
            <w:rPr>
              <w:rFonts w:hint="eastAsia" w:ascii="仿宋" w:hAnsi="仿宋" w:eastAsia="仿宋"/>
              <w:bCs w:val="0"/>
              <w:highlight w:val="none"/>
            </w:rPr>
            <w:t>十二、</w:t>
          </w:r>
          <w:r>
            <w:rPr>
              <w:rFonts w:hint="eastAsia" w:ascii="仿宋" w:hAnsi="仿宋" w:eastAsia="仿宋"/>
              <w:highlight w:val="none"/>
            </w:rPr>
            <w:t>政</w:t>
          </w:r>
          <w:r>
            <w:rPr>
              <w:rFonts w:hint="eastAsia" w:ascii="仿宋" w:hAnsi="仿宋" w:eastAsia="仿宋"/>
              <w:bCs w:val="0"/>
              <w:highlight w:val="none"/>
            </w:rPr>
            <w:t>府性基金预算财政拨款“三公”经费支出决算表</w:t>
          </w:r>
          <w:r>
            <w:tab/>
          </w:r>
          <w:r>
            <w:fldChar w:fldCharType="begin"/>
          </w:r>
          <w:r>
            <w:instrText xml:space="preserve"> PAGEREF _Toc10403 \h </w:instrText>
          </w:r>
          <w:r>
            <w:fldChar w:fldCharType="separate"/>
          </w:r>
          <w:r>
            <w:t>47</w:t>
          </w:r>
          <w:r>
            <w:fldChar w:fldCharType="end"/>
          </w:r>
          <w:r>
            <w:fldChar w:fldCharType="end"/>
          </w:r>
        </w:p>
        <w:p>
          <w:pPr>
            <w:pStyle w:val="11"/>
            <w:tabs>
              <w:tab w:val="right" w:leader="dot" w:pos="8306"/>
              <w:tab w:val="clear" w:pos="8296"/>
            </w:tabs>
          </w:pPr>
          <w:r>
            <w:fldChar w:fldCharType="begin"/>
          </w:r>
          <w:r>
            <w:instrText xml:space="preserve"> HYPERLINK \l _Toc9977 </w:instrText>
          </w:r>
          <w:r>
            <w:fldChar w:fldCharType="separate"/>
          </w:r>
          <w:r>
            <w:rPr>
              <w:rFonts w:hint="eastAsia" w:ascii="仿宋" w:hAnsi="仿宋" w:eastAsia="仿宋"/>
              <w:bCs w:val="0"/>
              <w:highlight w:val="none"/>
            </w:rPr>
            <w:t>十三、</w:t>
          </w:r>
          <w:r>
            <w:rPr>
              <w:rFonts w:hint="eastAsia" w:ascii="仿宋" w:hAnsi="仿宋" w:eastAsia="仿宋"/>
              <w:highlight w:val="none"/>
            </w:rPr>
            <w:t>国</w:t>
          </w:r>
          <w:r>
            <w:rPr>
              <w:rFonts w:hint="eastAsia" w:ascii="仿宋" w:hAnsi="仿宋" w:eastAsia="仿宋"/>
              <w:bCs w:val="0"/>
              <w:highlight w:val="none"/>
            </w:rPr>
            <w:t>有资本经营预算</w:t>
          </w:r>
          <w:r>
            <w:rPr>
              <w:rFonts w:hint="eastAsia" w:ascii="仿宋" w:hAnsi="仿宋" w:eastAsia="仿宋"/>
              <w:bCs w:val="0"/>
              <w:highlight w:val="none"/>
              <w:lang w:eastAsia="zh-CN"/>
            </w:rPr>
            <w:t>财政拨款收入</w:t>
          </w:r>
          <w:r>
            <w:rPr>
              <w:rFonts w:hint="eastAsia" w:ascii="仿宋" w:hAnsi="仿宋" w:eastAsia="仿宋"/>
              <w:bCs w:val="0"/>
              <w:highlight w:val="none"/>
            </w:rPr>
            <w:t>支出决算表</w:t>
          </w:r>
          <w:r>
            <w:tab/>
          </w:r>
          <w:r>
            <w:fldChar w:fldCharType="begin"/>
          </w:r>
          <w:r>
            <w:instrText xml:space="preserve"> PAGEREF _Toc9977 \h </w:instrText>
          </w:r>
          <w:r>
            <w:fldChar w:fldCharType="separate"/>
          </w:r>
          <w:r>
            <w:t>47</w:t>
          </w:r>
          <w:r>
            <w:fldChar w:fldCharType="end"/>
          </w:r>
          <w:r>
            <w:fldChar w:fldCharType="end"/>
          </w:r>
        </w:p>
        <w:p>
          <w:pPr>
            <w:pStyle w:val="11"/>
            <w:tabs>
              <w:tab w:val="right" w:leader="dot" w:pos="8306"/>
              <w:tab w:val="clear" w:pos="8296"/>
            </w:tabs>
          </w:pPr>
          <w:r>
            <w:fldChar w:fldCharType="begin"/>
          </w:r>
          <w:r>
            <w:instrText xml:space="preserve"> HYPERLINK \l _Toc27591 </w:instrText>
          </w:r>
          <w:r>
            <w:fldChar w:fldCharType="separate"/>
          </w:r>
          <w:r>
            <w:rPr>
              <w:rFonts w:hint="eastAsia" w:ascii="仿宋" w:hAnsi="仿宋" w:eastAsia="仿宋"/>
              <w:bCs w:val="0"/>
              <w:highlight w:val="none"/>
              <w:lang w:eastAsia="zh-CN"/>
            </w:rPr>
            <w:t>十四、国有资本经营预算财政拨款支出决算表</w:t>
          </w:r>
          <w:r>
            <w:tab/>
          </w:r>
          <w:r>
            <w:fldChar w:fldCharType="begin"/>
          </w:r>
          <w:r>
            <w:instrText xml:space="preserve"> PAGEREF _Toc27591 \h </w:instrText>
          </w:r>
          <w:r>
            <w:fldChar w:fldCharType="separate"/>
          </w:r>
          <w:r>
            <w:t>47</w:t>
          </w:r>
          <w:r>
            <w:fldChar w:fldCharType="end"/>
          </w:r>
          <w:r>
            <w:fldChar w:fldCharType="end"/>
          </w:r>
        </w:p>
        <w:p>
          <w:r>
            <w:fldChar w:fldCharType="end"/>
          </w:r>
        </w:p>
      </w:sdtContent>
    </w:sdt>
    <w:p>
      <w:pPr>
        <w:widowControl/>
        <w:spacing w:line="440" w:lineRule="exact"/>
        <w:jc w:val="left"/>
        <w:rPr>
          <w:rFonts w:ascii="仿宋" w:hAnsi="仿宋" w:eastAsia="仿宋"/>
          <w:bCs/>
          <w:color w:val="auto"/>
          <w:kern w:val="44"/>
          <w:sz w:val="24"/>
          <w:highlight w:val="none"/>
        </w:rPr>
      </w:pPr>
      <w:r>
        <w:rPr>
          <w:rFonts w:ascii="仿宋" w:hAnsi="仿宋" w:eastAsia="仿宋"/>
          <w:b/>
          <w:color w:val="auto"/>
          <w:sz w:val="24"/>
          <w:highlight w:val="none"/>
        </w:rPr>
        <w:br w:type="page"/>
      </w:r>
    </w:p>
    <w:p>
      <w:pPr>
        <w:pStyle w:val="3"/>
        <w:jc w:val="center"/>
        <w:rPr>
          <w:rStyle w:val="24"/>
          <w:rFonts w:ascii="黑体" w:hAnsi="黑体" w:eastAsia="黑体"/>
          <w:b/>
          <w:bCs w:val="0"/>
          <w:color w:val="auto"/>
          <w:highlight w:val="none"/>
        </w:rPr>
      </w:pPr>
      <w:bookmarkStart w:id="15" w:name="_Toc8247"/>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4"/>
          <w:rFonts w:hint="eastAsia" w:ascii="黑体" w:hAnsi="黑体" w:eastAsia="黑体"/>
          <w:b w:val="0"/>
          <w:bCs w:val="0"/>
          <w:color w:val="auto"/>
          <w:highlight w:val="none"/>
        </w:rPr>
        <w:t>概况</w:t>
      </w:r>
      <w:bookmarkEnd w:id="15"/>
    </w:p>
    <w:p>
      <w:pPr>
        <w:pStyle w:val="4"/>
        <w:numPr>
          <w:ilvl w:val="0"/>
          <w:numId w:val="1"/>
        </w:numPr>
        <w:rPr>
          <w:rStyle w:val="25"/>
          <w:rFonts w:hint="eastAsia" w:ascii="黑体" w:hAnsi="黑体" w:eastAsia="黑体"/>
          <w:b w:val="0"/>
          <w:bCs w:val="0"/>
          <w:color w:val="auto"/>
          <w:highlight w:val="none"/>
          <w:lang w:eastAsia="zh-CN"/>
        </w:rPr>
      </w:pPr>
      <w:bookmarkStart w:id="16" w:name="_Toc13117"/>
      <w:bookmarkStart w:id="17" w:name="_Toc15377197"/>
      <w:bookmarkStart w:id="18" w:name="_Toc15396600"/>
      <w:r>
        <w:rPr>
          <w:rStyle w:val="25"/>
          <w:rFonts w:hint="eastAsia" w:ascii="黑体" w:hAnsi="黑体" w:eastAsia="黑体"/>
          <w:b w:val="0"/>
          <w:bCs w:val="0"/>
          <w:color w:val="auto"/>
          <w:highlight w:val="none"/>
        </w:rPr>
        <w:t>职能</w:t>
      </w:r>
      <w:r>
        <w:rPr>
          <w:rStyle w:val="25"/>
          <w:rFonts w:hint="eastAsia" w:ascii="黑体" w:hAnsi="黑体" w:eastAsia="黑体"/>
          <w:b w:val="0"/>
          <w:bCs w:val="0"/>
          <w:color w:val="auto"/>
          <w:highlight w:val="none"/>
          <w:lang w:eastAsia="zh-CN"/>
        </w:rPr>
        <w:t>简介</w:t>
      </w:r>
      <w:bookmarkEnd w:id="16"/>
    </w:p>
    <w:p>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1．主要职能。广元市港航发展中心的主要职责：</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1</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贯彻执行国家、省、市有关水路交通的方针政策、法律法 规和规章，承担全市水运行业发展规划、计划编制的事务工作；</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2</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负责全市通航设施运行调度，承担涉水工程航道通航条件影响评价的协调工作；</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3</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指导全市港口、航道基础设施建设和维护管理工作，指导和协调县区完成嘉陵江以外其他航道建设，督促航道养护机构按 照年度养护计划完成航道日常养护工作；</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4</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承担港口岸线利用项目技术审查工作；</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5</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负责水路交通运输发展服务和水路交通战备工作；</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6</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承担全市船员考试服务工作；</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7</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负责船舶检验、船舶设计图纸技术审查及船舶建造企业业 务指导工作；</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8</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指导水上交通运输、港口、航道基础设施建设养护等安全生产工作；参与水上交通事故调查船舶技术鉴定工作；</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9</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承担嘉陵江数字化航道建设、运行和维护工作；</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10</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负责水运行业的客货运周转量等综合统计工作；</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11</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承担航运海事行政审批事项现场踏勘、核查相关事务工作；</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12</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完成市交通运输局交办的其他任务。</w:t>
      </w:r>
    </w:p>
    <w:p>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2．机构情况，包括当年变动情况及原因。2020年度，广元市航务管理局更名为广元市港航发展中心，为广元市交通运输局管理的公益一类事业单位，副县级，保留参公管理。根据中共广元市委机构编制委员会关于印发《广元市港航发展中心职能配置、内设机构和人员编制制定》的通知（广编办〔2020〕59号），中心内设机构共6个，分别为：综合科、港口航道科、航运服务科、船舶检验科、信息技术科、人事科。</w:t>
      </w:r>
    </w:p>
    <w:p>
      <w:pPr>
        <w:snapToGrid w:val="0"/>
        <w:spacing w:line="520" w:lineRule="exact"/>
        <w:ind w:firstLine="640" w:firstLineChars="200"/>
        <w:rPr>
          <w:rFonts w:hint="eastAsia"/>
        </w:rPr>
      </w:pPr>
      <w:r>
        <w:rPr>
          <w:rFonts w:hint="eastAsia" w:ascii="仿宋_GB2312" w:hAnsi="仿宋" w:eastAsia="仿宋_GB2312" w:cs="Times New Roman"/>
          <w:sz w:val="32"/>
          <w:szCs w:val="32"/>
        </w:rPr>
        <w:t>3．人员情况，包括当年变动情况及原因。人员概况广元市港航发展中心核定编制人员</w:t>
      </w:r>
      <w:r>
        <w:rPr>
          <w:rFonts w:hint="eastAsia" w:ascii="仿宋_GB2312" w:hAnsi="仿宋" w:eastAsia="仿宋_GB2312" w:cs="Times New Roman"/>
          <w:sz w:val="32"/>
          <w:szCs w:val="32"/>
          <w:lang w:val="en-US" w:eastAsia="zh-CN"/>
        </w:rPr>
        <w:t>20</w:t>
      </w:r>
      <w:r>
        <w:rPr>
          <w:rFonts w:hint="eastAsia" w:ascii="仿宋_GB2312" w:hAnsi="仿宋" w:eastAsia="仿宋_GB2312" w:cs="Times New Roman"/>
          <w:sz w:val="32"/>
          <w:szCs w:val="32"/>
        </w:rPr>
        <w:t>人，</w:t>
      </w:r>
      <w:r>
        <w:rPr>
          <w:rFonts w:hint="eastAsia" w:ascii="仿宋_GB2312" w:hAnsi="仿宋" w:eastAsia="仿宋_GB2312" w:cs="Times New Roman"/>
          <w:sz w:val="32"/>
          <w:szCs w:val="32"/>
          <w:lang w:val="en-US" w:eastAsia="zh-CN"/>
        </w:rPr>
        <w:t>实有19人。</w:t>
      </w:r>
    </w:p>
    <w:p>
      <w:pPr>
        <w:pStyle w:val="4"/>
        <w:numPr>
          <w:ilvl w:val="0"/>
          <w:numId w:val="0"/>
        </w:numPr>
        <w:rPr>
          <w:rFonts w:hint="eastAsia" w:ascii="黑体" w:hAnsi="黑体" w:eastAsia="黑体"/>
          <w:b w:val="0"/>
          <w:color w:val="auto"/>
          <w:highlight w:val="none"/>
          <w:lang w:eastAsia="zh-CN"/>
        </w:rPr>
      </w:pPr>
      <w:bookmarkStart w:id="19" w:name="_Toc28828"/>
      <w:r>
        <w:rPr>
          <w:rFonts w:hint="eastAsia" w:ascii="黑体" w:hAnsi="黑体" w:eastAsia="黑体"/>
          <w:b w:val="0"/>
          <w:color w:val="auto"/>
          <w:highlight w:val="none"/>
          <w:lang w:val="en-US" w:eastAsia="zh-CN"/>
        </w:rPr>
        <w:t>二、2021年重点</w:t>
      </w:r>
      <w:r>
        <w:rPr>
          <w:rFonts w:hint="eastAsia" w:ascii="黑体" w:hAnsi="黑体" w:eastAsia="黑体"/>
          <w:b w:val="0"/>
          <w:color w:val="auto"/>
          <w:highlight w:val="none"/>
        </w:rPr>
        <w:t>工作</w:t>
      </w:r>
      <w:bookmarkEnd w:id="17"/>
      <w:bookmarkEnd w:id="18"/>
      <w:r>
        <w:rPr>
          <w:rFonts w:hint="eastAsia" w:ascii="黑体" w:hAnsi="黑体" w:eastAsia="黑体"/>
          <w:b w:val="0"/>
          <w:color w:val="auto"/>
          <w:highlight w:val="none"/>
          <w:lang w:eastAsia="zh-CN"/>
        </w:rPr>
        <w:t>完成情况</w:t>
      </w:r>
      <w:bookmarkEnd w:id="19"/>
    </w:p>
    <w:p>
      <w:pPr>
        <w:snapToGrid w:val="0"/>
        <w:spacing w:line="520" w:lineRule="exact"/>
        <w:ind w:firstLine="640" w:firstLineChars="200"/>
        <w:rPr>
          <w:rFonts w:hint="eastAsia" w:ascii="仿宋_GB2312" w:hAnsi="仿宋" w:eastAsia="仿宋_GB2312" w:cs="Times New Roman"/>
          <w:sz w:val="32"/>
          <w:szCs w:val="32"/>
          <w:highlight w:val="yellow"/>
        </w:rPr>
      </w:pPr>
      <w:r>
        <w:rPr>
          <w:rFonts w:hint="eastAsia" w:ascii="仿宋_GB2312" w:hAnsi="仿宋" w:eastAsia="仿宋_GB2312" w:cs="Times New Roman"/>
          <w:sz w:val="32"/>
          <w:szCs w:val="32"/>
          <w:highlight w:val="none"/>
          <w:lang w:val="en-US" w:eastAsia="zh-CN"/>
        </w:rPr>
        <w:t>1.</w:t>
      </w:r>
      <w:r>
        <w:rPr>
          <w:rFonts w:hint="eastAsia" w:ascii="仿宋_GB2312" w:hAnsi="仿宋" w:eastAsia="仿宋_GB2312" w:cs="Times New Roman"/>
          <w:sz w:val="32"/>
          <w:szCs w:val="32"/>
          <w:highlight w:val="none"/>
        </w:rPr>
        <w:t>聚焦固本强基，基础设施有巩固</w:t>
      </w:r>
      <w:r>
        <w:rPr>
          <w:rFonts w:hint="eastAsia" w:ascii="仿宋_GB2312" w:hAnsi="仿宋" w:eastAsia="仿宋_GB2312" w:cs="Times New Roman"/>
          <w:sz w:val="32"/>
          <w:szCs w:val="32"/>
          <w:highlight w:val="none"/>
          <w:lang w:eastAsia="zh-CN"/>
        </w:rPr>
        <w:t>。</w:t>
      </w:r>
      <w:r>
        <w:rPr>
          <w:rFonts w:hint="eastAsia" w:ascii="仿宋_GB2312" w:hAnsi="仿宋" w:eastAsia="仿宋_GB2312" w:cs="Times New Roman"/>
          <w:sz w:val="32"/>
          <w:szCs w:val="32"/>
          <w:highlight w:val="none"/>
        </w:rPr>
        <w:t>（</w:t>
      </w:r>
      <w:r>
        <w:rPr>
          <w:rFonts w:hint="eastAsia" w:ascii="仿宋_GB2312" w:hAnsi="仿宋" w:eastAsia="仿宋_GB2312" w:cs="Times New Roman"/>
          <w:sz w:val="32"/>
          <w:szCs w:val="32"/>
          <w:highlight w:val="none"/>
          <w:lang w:val="en-US" w:eastAsia="zh-CN"/>
        </w:rPr>
        <w:t>1</w:t>
      </w:r>
      <w:r>
        <w:rPr>
          <w:rFonts w:hint="eastAsia" w:ascii="仿宋_GB2312" w:hAnsi="仿宋" w:eastAsia="仿宋_GB2312" w:cs="Times New Roman"/>
          <w:sz w:val="32"/>
          <w:szCs w:val="32"/>
          <w:highlight w:val="none"/>
        </w:rPr>
        <w:t>）加快推进项目建设。广元港苍溪港区张家坝作业区（一区）一期工程达到开港试运行条件，嘉陵江上石盘电航综合枢纽船闸工程完成交工验收，嘉陵江水东坝航电综合枢纽工程前期工作完成勘察设计招标代理机构公开比选，水上交通安全监测综合信息系统项目建设完成，苍溪西门滩水毁工程建设完成，中心办公楼维修项目已经完工，桃花岛应急锚地建设完成方案论证。全年完成投资8680万元，占目标任务的108.8%。</w:t>
      </w:r>
      <w:r>
        <w:rPr>
          <w:rFonts w:hint="eastAsia" w:ascii="仿宋_GB2312" w:hAnsi="仿宋" w:eastAsia="仿宋_GB2312" w:cs="Times New Roman"/>
          <w:sz w:val="32"/>
          <w:szCs w:val="32"/>
          <w:highlight w:val="none"/>
          <w:lang w:eastAsia="zh-CN"/>
        </w:rPr>
        <w:t>（</w:t>
      </w:r>
      <w:r>
        <w:rPr>
          <w:rFonts w:hint="eastAsia" w:ascii="仿宋_GB2312" w:hAnsi="仿宋" w:eastAsia="仿宋_GB2312" w:cs="Times New Roman"/>
          <w:sz w:val="32"/>
          <w:szCs w:val="32"/>
          <w:highlight w:val="none"/>
          <w:lang w:val="en-US" w:eastAsia="zh-CN"/>
        </w:rPr>
        <w:t>2</w:t>
      </w:r>
      <w:r>
        <w:rPr>
          <w:rFonts w:hint="eastAsia" w:ascii="仿宋_GB2312" w:hAnsi="仿宋" w:eastAsia="仿宋_GB2312" w:cs="Times New Roman"/>
          <w:sz w:val="32"/>
          <w:szCs w:val="32"/>
          <w:highlight w:val="none"/>
          <w:lang w:eastAsia="zh-CN"/>
        </w:rPr>
        <w:t>）</w:t>
      </w:r>
      <w:r>
        <w:rPr>
          <w:rFonts w:hint="eastAsia" w:ascii="仿宋_GB2312" w:hAnsi="仿宋" w:eastAsia="仿宋_GB2312" w:cs="Times New Roman"/>
          <w:sz w:val="32"/>
          <w:szCs w:val="32"/>
          <w:highlight w:val="none"/>
        </w:rPr>
        <w:t>不断强化航道养护。以高质量航道管养为目标，严格按照《航道养护技术规范》、《内河航道绿色养护技术指南》，坚持管养并重、突出重点、分类维护、保障畅通的原则，全面加强了航道、航标、船艇、整治建筑物的维护管理。完成了嘉陵江川境段航运配套工程E标段整治建筑物丁坝群验收移交，加快推进了浙水、回水、江口及射箭航道管理站房和码头土地报建工作。（</w:t>
      </w:r>
      <w:r>
        <w:rPr>
          <w:rFonts w:hint="eastAsia" w:ascii="仿宋_GB2312" w:hAnsi="仿宋" w:eastAsia="仿宋_GB2312" w:cs="Times New Roman"/>
          <w:sz w:val="32"/>
          <w:szCs w:val="32"/>
          <w:highlight w:val="none"/>
          <w:lang w:val="en-US" w:eastAsia="zh-CN"/>
        </w:rPr>
        <w:t>3</w:t>
      </w:r>
      <w:r>
        <w:rPr>
          <w:rFonts w:hint="eastAsia" w:ascii="仿宋_GB2312" w:hAnsi="仿宋" w:eastAsia="仿宋_GB2312" w:cs="Times New Roman"/>
          <w:sz w:val="32"/>
          <w:szCs w:val="32"/>
          <w:highlight w:val="none"/>
        </w:rPr>
        <w:t>）统筹布局水运发展规划。抢抓国家加快内河水运发展和川渝共建长江上游航运中心的机遇，积极和省航务海事中心对接“十四五”水运发展规划，将嘉陵江亭子口升船机改造工程、嘉陵江水东坝综合枢纽、广元港苍溪港区张家坝作业区等重点项目纳入“十四五”规划，项目总投资达28.56亿元。完成2021年高等级航道专项养护工程项目省级补助资金建议，积极争取上级补助资金1655.69万元。</w:t>
      </w:r>
    </w:p>
    <w:p>
      <w:pPr>
        <w:snapToGrid w:val="0"/>
        <w:spacing w:line="520" w:lineRule="exact"/>
        <w:ind w:firstLine="640" w:firstLineChars="200"/>
        <w:rPr>
          <w:rFonts w:hint="eastAsia" w:ascii="仿宋_GB2312" w:hAnsi="仿宋" w:eastAsia="仿宋_GB2312" w:cs="Times New Roman"/>
          <w:sz w:val="32"/>
          <w:szCs w:val="32"/>
          <w:highlight w:val="yellow"/>
        </w:rPr>
      </w:pPr>
      <w:r>
        <w:rPr>
          <w:rFonts w:hint="eastAsia" w:ascii="仿宋_GB2312" w:hAnsi="仿宋" w:eastAsia="仿宋_GB2312" w:cs="Times New Roman"/>
          <w:sz w:val="32"/>
          <w:szCs w:val="32"/>
          <w:highlight w:val="none"/>
          <w:lang w:val="en-US" w:eastAsia="zh-CN"/>
        </w:rPr>
        <w:t>2.</w:t>
      </w:r>
      <w:r>
        <w:rPr>
          <w:rFonts w:hint="eastAsia" w:ascii="仿宋_GB2312" w:hAnsi="仿宋" w:eastAsia="仿宋_GB2312" w:cs="Times New Roman"/>
          <w:sz w:val="32"/>
          <w:szCs w:val="32"/>
          <w:highlight w:val="none"/>
        </w:rPr>
        <w:t>聚焦水运发展，服务水平有提高</w:t>
      </w:r>
      <w:r>
        <w:rPr>
          <w:rFonts w:hint="eastAsia" w:ascii="仿宋_GB2312" w:hAnsi="仿宋" w:eastAsia="仿宋_GB2312" w:cs="Times New Roman"/>
          <w:sz w:val="32"/>
          <w:szCs w:val="32"/>
          <w:highlight w:val="none"/>
          <w:lang w:eastAsia="zh-CN"/>
        </w:rPr>
        <w:t>。（</w:t>
      </w:r>
      <w:r>
        <w:rPr>
          <w:rFonts w:hint="eastAsia" w:ascii="仿宋_GB2312" w:hAnsi="仿宋" w:eastAsia="仿宋_GB2312" w:cs="Times New Roman"/>
          <w:sz w:val="32"/>
          <w:szCs w:val="32"/>
          <w:highlight w:val="none"/>
          <w:lang w:val="en-US" w:eastAsia="zh-CN"/>
        </w:rPr>
        <w:t>1</w:t>
      </w:r>
      <w:r>
        <w:rPr>
          <w:rFonts w:hint="eastAsia" w:ascii="仿宋_GB2312" w:hAnsi="仿宋" w:eastAsia="仿宋_GB2312" w:cs="Times New Roman"/>
          <w:sz w:val="32"/>
          <w:szCs w:val="32"/>
          <w:highlight w:val="none"/>
          <w:lang w:eastAsia="zh-CN"/>
        </w:rPr>
        <w:t>）</w:t>
      </w:r>
      <w:r>
        <w:rPr>
          <w:rFonts w:hint="eastAsia" w:ascii="仿宋_GB2312" w:hAnsi="仿宋" w:eastAsia="仿宋_GB2312" w:cs="Times New Roman"/>
          <w:sz w:val="32"/>
          <w:szCs w:val="32"/>
          <w:highlight w:val="none"/>
        </w:rPr>
        <w:t>圆满完成2021年水路春运工作。印发了《2021年水路春运保障工作方案》，严格落实水上交通运输疫情常态化防控措施，准确把握全市水路春运旅客流量、流向和高峰时段，充分做好运力保障，严格执行春运值班制度，扎实开展“情满旅途”活动，精准服务广大旅客平安健康出行。春运期间，全市日均投入客渡船92艘，2632客位，安全运输旅客共计13.37万人次，实现了无安全事故、无服务投诉、无旅客滞留的“三无”工作目标。（</w:t>
      </w:r>
      <w:r>
        <w:rPr>
          <w:rFonts w:hint="eastAsia" w:ascii="仿宋_GB2312" w:hAnsi="仿宋" w:eastAsia="仿宋_GB2312" w:cs="Times New Roman"/>
          <w:sz w:val="32"/>
          <w:szCs w:val="32"/>
          <w:highlight w:val="none"/>
          <w:lang w:val="en-US" w:eastAsia="zh-CN"/>
        </w:rPr>
        <w:t>2</w:t>
      </w:r>
      <w:r>
        <w:rPr>
          <w:rFonts w:hint="eastAsia" w:ascii="仿宋_GB2312" w:hAnsi="仿宋" w:eastAsia="仿宋_GB2312" w:cs="Times New Roman"/>
          <w:sz w:val="32"/>
          <w:szCs w:val="32"/>
          <w:highlight w:val="none"/>
        </w:rPr>
        <w:t>）扎实推进水运服务保障工作。全年完成客货运总周转量3200万吨公里，因受新冠肺炎疫情影响，同比增长10.01%。认真组织开展了2021年度水路运输核查工作，通过核查的水路运输企业4家</w:t>
      </w:r>
      <w:r>
        <w:rPr>
          <w:rFonts w:hint="eastAsia" w:ascii="仿宋_GB2312" w:hAnsi="仿宋" w:eastAsia="仿宋_GB2312" w:cs="Times New Roman"/>
          <w:sz w:val="32"/>
          <w:szCs w:val="32"/>
          <w:highlight w:val="none"/>
          <w:lang w:eastAsia="zh-CN"/>
        </w:rPr>
        <w:t>，</w:t>
      </w:r>
      <w:r>
        <w:rPr>
          <w:rFonts w:hint="eastAsia" w:ascii="仿宋_GB2312" w:hAnsi="仿宋" w:eastAsia="仿宋_GB2312" w:cs="Times New Roman"/>
          <w:sz w:val="32"/>
          <w:szCs w:val="32"/>
          <w:highlight w:val="none"/>
        </w:rPr>
        <w:t>营运船舶116艘，形成了《广元市水运市场调查报告》。加快亭子口水利枢纽船闸工程验收工作进度，推动亭子口水利枢纽和苍溪航电电调联动，配合部省加快建立嘉陵江通航建筑物联合调度机制，顺利完成第一阶段试运行任务，初步实现了船舶待闸时间缩短三分之一的目标，打通了疆煤经广元港入渝新通道。组织了朝天区八庙沟嘉陵江大桥航评论证，有序推进了上石盘库区夜航前期调研论证工作。（</w:t>
      </w:r>
      <w:r>
        <w:rPr>
          <w:rFonts w:hint="eastAsia" w:ascii="仿宋_GB2312" w:hAnsi="仿宋" w:eastAsia="仿宋_GB2312" w:cs="Times New Roman"/>
          <w:sz w:val="32"/>
          <w:szCs w:val="32"/>
          <w:highlight w:val="none"/>
          <w:lang w:val="en-US" w:eastAsia="zh-CN"/>
        </w:rPr>
        <w:t>3</w:t>
      </w:r>
      <w:r>
        <w:rPr>
          <w:rFonts w:hint="eastAsia" w:ascii="仿宋_GB2312" w:hAnsi="仿宋" w:eastAsia="仿宋_GB2312" w:cs="Times New Roman"/>
          <w:sz w:val="32"/>
          <w:szCs w:val="32"/>
          <w:highlight w:val="none"/>
        </w:rPr>
        <w:t>）规范开展船舶检验工作。认真把好船舶安全源头关，完成新建船舶图纸审查12套，完成船舶建造检验9艘、营运检验138艘，完成渔船检验57艘，完成“兴川江”8号、9号两艘千吨级多用途货船倾斜及试航实验、系泊实验，完成嘉陵江流域最大运输船舶的建造检验工作，填补了川东北大型船舶检验空白，全省船检工作现场会、全省船检业务培训会先后在我市召开。</w:t>
      </w:r>
    </w:p>
    <w:p>
      <w:pPr>
        <w:snapToGrid w:val="0"/>
        <w:spacing w:line="520" w:lineRule="exact"/>
        <w:ind w:firstLine="640" w:firstLineChars="200"/>
        <w:rPr>
          <w:rFonts w:hint="eastAsia" w:ascii="仿宋_GB2312" w:hAnsi="仿宋" w:eastAsia="仿宋_GB2312" w:cs="Times New Roman"/>
          <w:sz w:val="32"/>
          <w:szCs w:val="32"/>
          <w:highlight w:val="yellow"/>
        </w:rPr>
      </w:pPr>
      <w:r>
        <w:rPr>
          <w:rFonts w:hint="eastAsia" w:ascii="仿宋_GB2312" w:hAnsi="仿宋" w:eastAsia="仿宋_GB2312" w:cs="Times New Roman"/>
          <w:sz w:val="32"/>
          <w:szCs w:val="32"/>
          <w:highlight w:val="none"/>
          <w:lang w:val="en-US" w:eastAsia="zh-CN"/>
        </w:rPr>
        <w:t>3.</w:t>
      </w:r>
      <w:r>
        <w:rPr>
          <w:rFonts w:hint="eastAsia" w:ascii="仿宋_GB2312" w:hAnsi="仿宋" w:eastAsia="仿宋_GB2312" w:cs="Times New Roman"/>
          <w:sz w:val="32"/>
          <w:szCs w:val="32"/>
          <w:highlight w:val="none"/>
        </w:rPr>
        <w:t>聚焦行业基础，发展动能有提升</w:t>
      </w:r>
      <w:r>
        <w:rPr>
          <w:rFonts w:hint="eastAsia" w:ascii="仿宋_GB2312" w:hAnsi="仿宋" w:eastAsia="仿宋_GB2312" w:cs="Times New Roman"/>
          <w:sz w:val="32"/>
          <w:szCs w:val="32"/>
          <w:highlight w:val="none"/>
          <w:lang w:eastAsia="zh-CN"/>
        </w:rPr>
        <w:t>。</w:t>
      </w:r>
      <w:r>
        <w:rPr>
          <w:rFonts w:hint="eastAsia" w:ascii="仿宋_GB2312" w:hAnsi="仿宋" w:eastAsia="仿宋_GB2312" w:cs="Times New Roman"/>
          <w:sz w:val="32"/>
          <w:szCs w:val="32"/>
          <w:highlight w:val="none"/>
        </w:rPr>
        <w:t>（</w:t>
      </w:r>
      <w:r>
        <w:rPr>
          <w:rFonts w:hint="eastAsia" w:ascii="仿宋_GB2312" w:hAnsi="仿宋" w:eastAsia="仿宋_GB2312" w:cs="Times New Roman"/>
          <w:sz w:val="32"/>
          <w:szCs w:val="32"/>
          <w:highlight w:val="none"/>
          <w:lang w:val="en-US" w:eastAsia="zh-CN"/>
        </w:rPr>
        <w:t>1</w:t>
      </w:r>
      <w:r>
        <w:rPr>
          <w:rFonts w:hint="eastAsia" w:ascii="仿宋_GB2312" w:hAnsi="仿宋" w:eastAsia="仿宋_GB2312" w:cs="Times New Roman"/>
          <w:sz w:val="32"/>
          <w:szCs w:val="32"/>
          <w:highlight w:val="none"/>
        </w:rPr>
        <w:t>）顺利推进机构改革工作。提高政治站位，统一思想认识，推动交通运输综合行政执法改革工作落地落实，坚决落实好市委和交通运输局党组对港航管理体制改革的决策部署，做到态度坚决、行动坚定，确保机构改革和事业发展两手抓、两不误、两促进，做到了中心组建期间思想不乱、工作不断、干劲不减。改革后加快厘清职责，主动做好职责对接、工作衔接“后半篇”文章，确保今年各项目标任务的实现。（</w:t>
      </w:r>
      <w:r>
        <w:rPr>
          <w:rFonts w:hint="eastAsia" w:ascii="仿宋_GB2312" w:hAnsi="仿宋" w:eastAsia="仿宋_GB2312" w:cs="Times New Roman"/>
          <w:sz w:val="32"/>
          <w:szCs w:val="32"/>
          <w:highlight w:val="none"/>
          <w:lang w:val="en-US" w:eastAsia="zh-CN"/>
        </w:rPr>
        <w:t>2</w:t>
      </w:r>
      <w:r>
        <w:rPr>
          <w:rFonts w:hint="eastAsia" w:ascii="仿宋_GB2312" w:hAnsi="仿宋" w:eastAsia="仿宋_GB2312" w:cs="Times New Roman"/>
          <w:sz w:val="32"/>
          <w:szCs w:val="32"/>
          <w:highlight w:val="none"/>
        </w:rPr>
        <w:t>）不断夯实行业安全管理基础。制定了《安全生产工作责任清单》和《2021年全市水上交通防汛工作方案》，印发了《关于认真做好2021年汛期水上交通安全工作的通知》，修订了《水上交通突发事件应急预案》，指导水运企业建立了《企业安全生产责任清单》，召开了季度安全生产例会暨企业安全生产标准化建设、船舶港口码头污染防治工作培训会，完成等级航道船舶碰撞桥梁风险摸底自查，排查桥梁66座，发现存在安全风险桥梁58座并上报省局；落实了汛情水情传递机制，成立了由20人组成的应急救援队，建立了应急救援物资储备库，保障了安全形势持续稳定。（</w:t>
      </w:r>
      <w:r>
        <w:rPr>
          <w:rFonts w:hint="eastAsia" w:ascii="仿宋_GB2312" w:hAnsi="仿宋" w:eastAsia="仿宋_GB2312" w:cs="Times New Roman"/>
          <w:sz w:val="32"/>
          <w:szCs w:val="32"/>
          <w:highlight w:val="none"/>
          <w:lang w:val="en-US" w:eastAsia="zh-CN"/>
        </w:rPr>
        <w:t>3</w:t>
      </w:r>
      <w:r>
        <w:rPr>
          <w:rFonts w:hint="eastAsia" w:ascii="仿宋_GB2312" w:hAnsi="仿宋" w:eastAsia="仿宋_GB2312" w:cs="Times New Roman"/>
          <w:sz w:val="32"/>
          <w:szCs w:val="32"/>
          <w:highlight w:val="none"/>
        </w:rPr>
        <w:t>）持续筑牢水运行业环保底线。全面启动了绿水绿航绿色发展五年行动，首批磷酸铁锂新能源船舶建造完成并顺利投运，全省“绿水绿航、绿色交通，新能源船舶投放仪式”在我市举行。协助市交通运输局全力做好了第二轮中央生态环境保护督察迎检准备工作，配合开展了水上交通环保工作专项检查，对全市渡口、码头、船舶等环保设施设备配置及运行情况进行督导检查，督促船舶100%安装船E行APP，全面落实船舶防污染联单管理制度。建立了船舶和港口污染防治工作情况季度调度机制，指导相关县区完成长江经济带船舶和港口码头污染突出问题整治验收工作，完成全市106艘符合改造条件船舶防污染设施设备的加装改造。《中国交通报》《四川日报》等省部级主流媒体集中采访报道了我市港口船舶防污染工作成效。（</w:t>
      </w:r>
      <w:r>
        <w:rPr>
          <w:rFonts w:hint="eastAsia" w:ascii="仿宋_GB2312" w:hAnsi="仿宋" w:eastAsia="仿宋_GB2312" w:cs="Times New Roman"/>
          <w:sz w:val="32"/>
          <w:szCs w:val="32"/>
          <w:highlight w:val="none"/>
          <w:lang w:val="en-US" w:eastAsia="zh-CN"/>
        </w:rPr>
        <w:t>4</w:t>
      </w:r>
      <w:r>
        <w:rPr>
          <w:rFonts w:hint="eastAsia" w:ascii="仿宋_GB2312" w:hAnsi="仿宋" w:eastAsia="仿宋_GB2312" w:cs="Times New Roman"/>
          <w:sz w:val="32"/>
          <w:szCs w:val="32"/>
          <w:highlight w:val="none"/>
        </w:rPr>
        <w:t>）深入开展扫黑除恶斗争。传达学习了中办国办《关于常态化开展扫黑除恶斗争巩固专项斗争成果的意见》精神和四川省扫黑除恶领导小组相关会议精神，切实履行好常态化开展扫黑除恶斗争政治责任。我中心制定了《广元市港航发展中心常态化开展扫黑除恶斗争工作方案》，调整了常态化扫黑除恶斗争工作领导小组，继续加强宣传，张贴扫黑除恶宣传标语12条，制作扫黑除恶宣传专栏，设置了线索举报箱。（</w:t>
      </w:r>
      <w:r>
        <w:rPr>
          <w:rFonts w:hint="eastAsia" w:ascii="仿宋_GB2312" w:hAnsi="仿宋" w:eastAsia="仿宋_GB2312" w:cs="Times New Roman"/>
          <w:sz w:val="32"/>
          <w:szCs w:val="32"/>
          <w:highlight w:val="none"/>
          <w:lang w:val="en-US" w:eastAsia="zh-CN"/>
        </w:rPr>
        <w:t>5</w:t>
      </w:r>
      <w:r>
        <w:rPr>
          <w:rFonts w:hint="eastAsia" w:ascii="仿宋_GB2312" w:hAnsi="仿宋" w:eastAsia="仿宋_GB2312" w:cs="Times New Roman"/>
          <w:sz w:val="32"/>
          <w:szCs w:val="32"/>
          <w:highlight w:val="none"/>
        </w:rPr>
        <w:t>）有效开展疫情防控工作。深刻认识疫情防控工作的重要性，严格落实上级工作部署要求，切实扛起疫情防控政治责任，保障各项防控工作落细落实。加强了春节、国庆节等特殊时间节点的疫情防控，全体干部职工100%注册了天府健康通，对办公区进出口进行了改造升级，加强门卫值守、进出扫码、防疫值班，对水上交通疫情防控工作进行了周密的安排部署，切实做好了客渡船舶、码头消毒处置和防疫防护等工作，确保了行业疫情防控形势稳定。（</w:t>
      </w:r>
      <w:r>
        <w:rPr>
          <w:rFonts w:hint="eastAsia" w:ascii="仿宋_GB2312" w:hAnsi="仿宋" w:eastAsia="仿宋_GB2312" w:cs="Times New Roman"/>
          <w:sz w:val="32"/>
          <w:szCs w:val="32"/>
          <w:highlight w:val="none"/>
          <w:lang w:val="en-US" w:eastAsia="zh-CN"/>
        </w:rPr>
        <w:t>6</w:t>
      </w:r>
      <w:r>
        <w:rPr>
          <w:rFonts w:hint="eastAsia" w:ascii="仿宋_GB2312" w:hAnsi="仿宋" w:eastAsia="仿宋_GB2312" w:cs="Times New Roman"/>
          <w:sz w:val="32"/>
          <w:szCs w:val="32"/>
          <w:highlight w:val="none"/>
        </w:rPr>
        <w:t>）大力实施乡村振兴战略。继所帮扶的1个贫困村和1个插花村顺利实现脱贫后，我中心按照《广元市乡村振兴战略规划（2018-2022年）》及有关工作要求，第一时间向昭化区太公镇黄金村选派了第一书记和工作队员，第一书记脱产驻村开展工作，工作队以乡村产业兴旺为抓手、以乡风文明为保障，不断探索创新，力争高质量实现黄金村乡村振兴发展目标。（</w:t>
      </w:r>
      <w:r>
        <w:rPr>
          <w:rFonts w:hint="eastAsia" w:ascii="仿宋_GB2312" w:hAnsi="仿宋" w:eastAsia="仿宋_GB2312" w:cs="Times New Roman"/>
          <w:sz w:val="32"/>
          <w:szCs w:val="32"/>
          <w:highlight w:val="none"/>
          <w:lang w:val="en-US" w:eastAsia="zh-CN"/>
        </w:rPr>
        <w:t>7</w:t>
      </w:r>
      <w:r>
        <w:rPr>
          <w:rFonts w:hint="eastAsia" w:ascii="仿宋_GB2312" w:hAnsi="仿宋" w:eastAsia="仿宋_GB2312" w:cs="Times New Roman"/>
          <w:sz w:val="32"/>
          <w:szCs w:val="32"/>
          <w:highlight w:val="none"/>
        </w:rPr>
        <w:t>）有序推动机关管理工作。认真做好了公共机构节能降耗、垃圾分类、信访维稳、提案办理、史志编纂、目标管理、12328投诉受理、精神文明建设及保密等工作，出台了《三重一大制度》等机关管理各类制度16项，认真开展了“三提三创”活动，稳步推进了国家卫生城市复审和第七届文明城市创建工作，重点做好了中国共产党成立100周年安保维稳工作，积极配合完成市审计局对杨映刚同志的经济责任审计及问题整改工作，高效推进了法治政府示范市创建工作，积极做好了宣传报道工作，多篇政务信息被《中国交通报》《中国水运报》《四川交通》《广元日报》等媒体采用。</w:t>
      </w:r>
    </w:p>
    <w:p>
      <w:pPr>
        <w:snapToGrid w:val="0"/>
        <w:spacing w:line="520" w:lineRule="exact"/>
        <w:ind w:firstLine="640" w:firstLineChars="200"/>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lang w:val="en-US" w:eastAsia="zh-CN"/>
        </w:rPr>
        <w:t>4.</w:t>
      </w:r>
      <w:r>
        <w:rPr>
          <w:rFonts w:hint="eastAsia" w:ascii="仿宋_GB2312" w:hAnsi="仿宋" w:eastAsia="仿宋_GB2312" w:cs="Times New Roman"/>
          <w:sz w:val="32"/>
          <w:szCs w:val="32"/>
          <w:highlight w:val="none"/>
        </w:rPr>
        <w:t>聚焦思想建设，党建工作有成效</w:t>
      </w:r>
      <w:r>
        <w:rPr>
          <w:rFonts w:hint="eastAsia" w:ascii="仿宋_GB2312" w:hAnsi="仿宋" w:eastAsia="仿宋_GB2312" w:cs="Times New Roman"/>
          <w:sz w:val="32"/>
          <w:szCs w:val="32"/>
          <w:highlight w:val="none"/>
          <w:lang w:eastAsia="zh-CN"/>
        </w:rPr>
        <w:t>。</w:t>
      </w:r>
      <w:r>
        <w:rPr>
          <w:rFonts w:hint="eastAsia" w:ascii="仿宋_GB2312" w:hAnsi="仿宋" w:eastAsia="仿宋_GB2312" w:cs="Times New Roman"/>
          <w:sz w:val="32"/>
          <w:szCs w:val="32"/>
          <w:highlight w:val="none"/>
        </w:rPr>
        <w:t>（</w:t>
      </w:r>
      <w:r>
        <w:rPr>
          <w:rFonts w:hint="eastAsia" w:ascii="仿宋_GB2312" w:hAnsi="仿宋" w:eastAsia="仿宋_GB2312" w:cs="Times New Roman"/>
          <w:sz w:val="32"/>
          <w:szCs w:val="32"/>
          <w:highlight w:val="none"/>
          <w:lang w:val="en-US" w:eastAsia="zh-CN"/>
        </w:rPr>
        <w:t>1</w:t>
      </w:r>
      <w:r>
        <w:rPr>
          <w:rFonts w:hint="eastAsia" w:ascii="仿宋_GB2312" w:hAnsi="仿宋" w:eastAsia="仿宋_GB2312" w:cs="Times New Roman"/>
          <w:sz w:val="32"/>
          <w:szCs w:val="32"/>
          <w:highlight w:val="none"/>
        </w:rPr>
        <w:t>）加强基层党组织建设。全市交通运输综合行政执法改革后，我中心第一时间建立了新的基层党组织，并及时完成了改选。中心党建工作按照新时代党的建设总要求，坚持党的领导，强化思想理论教育，严肃党内政治生活，通过“三会一课”、组织生活会、谈心谈话、民主评议党员等制度载体，使党员干部牢固树立“四个意识”，坚定“四个自信”、做到“两个维护”。严格党员管理监督，结合落实中央“八项规定”，持续反对“四风”，党组织功能不断强化。（</w:t>
      </w:r>
      <w:r>
        <w:rPr>
          <w:rFonts w:hint="eastAsia" w:ascii="仿宋_GB2312" w:hAnsi="仿宋" w:eastAsia="仿宋_GB2312" w:cs="Times New Roman"/>
          <w:sz w:val="32"/>
          <w:szCs w:val="32"/>
          <w:highlight w:val="none"/>
          <w:lang w:val="en-US" w:eastAsia="zh-CN"/>
        </w:rPr>
        <w:t>2</w:t>
      </w:r>
      <w:r>
        <w:rPr>
          <w:rFonts w:hint="eastAsia" w:ascii="仿宋_GB2312" w:hAnsi="仿宋" w:eastAsia="仿宋_GB2312" w:cs="Times New Roman"/>
          <w:sz w:val="32"/>
          <w:szCs w:val="32"/>
          <w:highlight w:val="none"/>
        </w:rPr>
        <w:t>）扎实开展党史学习教育。党史学习教育启动以来，按照市委、市交通运输局党组统一部署，我中心围绕学史明理、学史增信、学史崇德、学史力行和学党史、悟思想、办实事、开新局的要求目标，采取集体学习、个人自学、走访调研、学习研讨、讲党课、开展主题党日等多种形式，以“我为群众办实事”为有力抓手，不断推动党史学习教育走深走实，同时积极参加全市交通运输系统“学史力行 争当发展先行官”演讲比赛并获一等奖。（</w:t>
      </w:r>
      <w:r>
        <w:rPr>
          <w:rFonts w:hint="eastAsia" w:ascii="仿宋_GB2312" w:hAnsi="仿宋" w:eastAsia="仿宋_GB2312" w:cs="Times New Roman"/>
          <w:sz w:val="32"/>
          <w:szCs w:val="32"/>
          <w:highlight w:val="none"/>
          <w:lang w:val="en-US" w:eastAsia="zh-CN"/>
        </w:rPr>
        <w:t>3</w:t>
      </w:r>
      <w:r>
        <w:rPr>
          <w:rFonts w:hint="eastAsia" w:ascii="仿宋_GB2312" w:hAnsi="仿宋" w:eastAsia="仿宋_GB2312" w:cs="Times New Roman"/>
          <w:sz w:val="32"/>
          <w:szCs w:val="32"/>
          <w:highlight w:val="none"/>
        </w:rPr>
        <w:t>）全面抓好党风廉政建设和反腐败工作。印发了《2021年党风廉政建设工作要点》《2021年全面从严治党三张清单》，认真落实党风廉政建设各项规定，层层签订党风廉政建设责任书，组织党员干部观看反腐倡廉警示教育片</w:t>
      </w:r>
      <w:r>
        <w:rPr>
          <w:rFonts w:hint="eastAsia" w:ascii="仿宋_GB2312" w:hAnsi="仿宋" w:eastAsia="仿宋_GB2312" w:cs="Times New Roman"/>
          <w:sz w:val="32"/>
          <w:szCs w:val="32"/>
          <w:highlight w:val="none"/>
          <w:lang w:eastAsia="zh-CN"/>
        </w:rPr>
        <w:t>，</w:t>
      </w:r>
      <w:r>
        <w:rPr>
          <w:rFonts w:hint="eastAsia" w:ascii="仿宋_GB2312" w:hAnsi="仿宋" w:eastAsia="仿宋_GB2312" w:cs="Times New Roman"/>
          <w:sz w:val="32"/>
          <w:szCs w:val="32"/>
          <w:highlight w:val="none"/>
        </w:rPr>
        <w:t>研究制定了精准监督三张责任清单，实现了重点岗位管理制度化，领导权力透明化。同时全面推开干部纪律作风整顿工作，针对突出问题，强化组织领导，明确整顿内容，形成长效机制，进一步严纪律、正风气、净生态，形成了改进作风、严明纪律的整体效应。</w:t>
      </w:r>
    </w:p>
    <w:p>
      <w:pPr>
        <w:rPr>
          <w:rFonts w:hint="eastAsia"/>
        </w:rPr>
      </w:pP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ind w:right="440"/>
        <w:jc w:val="center"/>
        <w:rPr>
          <w:rStyle w:val="24"/>
          <w:rFonts w:ascii="黑体" w:hAnsi="黑体" w:eastAsia="黑体"/>
          <w:b w:val="0"/>
          <w:bCs/>
          <w:color w:val="auto"/>
          <w:highlight w:val="none"/>
        </w:rPr>
      </w:pPr>
      <w:bookmarkStart w:id="20" w:name="_Toc15396602"/>
      <w:bookmarkStart w:id="21" w:name="_Toc25499"/>
      <w:bookmarkStart w:id="22"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4"/>
          <w:rFonts w:hint="eastAsia" w:ascii="黑体" w:hAnsi="黑体" w:eastAsia="黑体"/>
          <w:b w:val="0"/>
          <w:bCs/>
          <w:color w:val="auto"/>
          <w:highlight w:val="none"/>
          <w:lang w:eastAsia="zh-CN"/>
        </w:rPr>
        <w:t>单位</w:t>
      </w:r>
      <w:r>
        <w:rPr>
          <w:rStyle w:val="24"/>
          <w:rFonts w:hint="eastAsia" w:ascii="黑体" w:hAnsi="黑体" w:eastAsia="黑体"/>
          <w:b w:val="0"/>
          <w:bCs/>
          <w:color w:val="auto"/>
          <w:highlight w:val="none"/>
        </w:rPr>
        <w:t>决算情况说明</w:t>
      </w:r>
      <w:bookmarkEnd w:id="20"/>
      <w:bookmarkEnd w:id="21"/>
      <w:bookmarkEnd w:id="22"/>
    </w:p>
    <w:p>
      <w:pPr>
        <w:rPr>
          <w:color w:val="auto"/>
          <w:highlight w:val="none"/>
        </w:rPr>
      </w:pP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23" w:name="_Toc7670"/>
      <w:bookmarkStart w:id="24" w:name="_Toc15377205"/>
      <w:bookmarkStart w:id="25" w:name="_Toc15396603"/>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23"/>
      <w:bookmarkEnd w:id="24"/>
      <w:bookmarkEnd w:id="25"/>
    </w:p>
    <w:p>
      <w:pPr>
        <w:spacing w:line="600" w:lineRule="exact"/>
        <w:ind w:firstLine="640" w:firstLineChars="200"/>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3857.15</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4975.20万元</w:t>
      </w:r>
      <w:r>
        <w:rPr>
          <w:rFonts w:hint="eastAsia" w:ascii="仿宋" w:hAnsi="仿宋" w:eastAsia="仿宋"/>
          <w:color w:val="auto"/>
          <w:sz w:val="32"/>
          <w:szCs w:val="32"/>
          <w:highlight w:val="none"/>
        </w:rPr>
        <w:t>相比，收、支总计各减少</w:t>
      </w:r>
      <w:r>
        <w:rPr>
          <w:rFonts w:hint="eastAsia" w:ascii="仿宋" w:hAnsi="仿宋" w:eastAsia="仿宋"/>
          <w:color w:val="auto"/>
          <w:sz w:val="32"/>
          <w:szCs w:val="32"/>
          <w:highlight w:val="none"/>
          <w:lang w:val="en-US" w:eastAsia="zh-CN"/>
        </w:rPr>
        <w:t>1118.05</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22.47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年初结转减少。</w:t>
      </w:r>
    </w:p>
    <w:p>
      <w:pPr>
        <w:spacing w:line="600" w:lineRule="exact"/>
        <w:ind w:firstLine="640" w:firstLineChars="200"/>
        <w:rPr>
          <w:rFonts w:ascii="仿宋" w:hAnsi="仿宋" w:eastAsia="仿宋"/>
          <w:color w:val="auto"/>
          <w:sz w:val="32"/>
          <w:szCs w:val="32"/>
          <w:highlight w:val="none"/>
        </w:rPr>
      </w:pPr>
      <w:r>
        <w:rPr>
          <w:rFonts w:hint="eastAsia" w:ascii="仿宋_GB2312" w:eastAsia="仿宋_GB2312"/>
          <w:color w:val="auto"/>
          <w:sz w:val="32"/>
          <w:szCs w:val="32"/>
          <w:highlight w:val="none"/>
          <w:lang w:eastAsia="zh-CN"/>
        </w:rPr>
        <w:drawing>
          <wp:anchor distT="0" distB="0" distL="114300" distR="114300" simplePos="0" relativeHeight="251659264" behindDoc="0" locked="0" layoutInCell="1" allowOverlap="1">
            <wp:simplePos x="0" y="0"/>
            <wp:positionH relativeFrom="column">
              <wp:posOffset>33020</wp:posOffset>
            </wp:positionH>
            <wp:positionV relativeFrom="paragraph">
              <wp:posOffset>57785</wp:posOffset>
            </wp:positionV>
            <wp:extent cx="5080000" cy="3241675"/>
            <wp:effectExtent l="4445" t="4445" r="5715" b="1524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spacing w:line="600" w:lineRule="exact"/>
        <w:ind w:firstLine="640" w:firstLineChars="200"/>
        <w:jc w:val="left"/>
        <w:rPr>
          <w:rFonts w:ascii="仿宋_GB2312" w:eastAsia="仿宋_GB2312"/>
          <w:color w:val="auto"/>
          <w:sz w:val="32"/>
          <w:szCs w:val="32"/>
          <w:highlight w:val="none"/>
        </w:rPr>
      </w:pP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26" w:name="_Toc15396604"/>
      <w:bookmarkStart w:id="27" w:name="_Toc14031"/>
      <w:bookmarkStart w:id="28" w:name="_Toc15377206"/>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26"/>
      <w:bookmarkEnd w:id="27"/>
      <w:bookmarkEnd w:id="28"/>
    </w:p>
    <w:p>
      <w:pPr>
        <w:spacing w:line="600" w:lineRule="exact"/>
        <w:ind w:firstLine="640" w:firstLineChars="200"/>
        <w:outlineLvl w:val="1"/>
        <w:rPr>
          <w:rFonts w:ascii="仿宋" w:hAnsi="仿宋" w:eastAsia="仿宋"/>
          <w:b/>
          <w:color w:val="auto"/>
          <w:sz w:val="32"/>
          <w:szCs w:val="32"/>
          <w:highlight w:val="none"/>
        </w:rPr>
      </w:pPr>
      <w:bookmarkStart w:id="29" w:name="_Toc20152"/>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1983.82</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1343.73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67.73</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199.19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10.04</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440.90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22.22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29"/>
    </w:p>
    <w:p>
      <w:pPr>
        <w:pStyle w:val="2"/>
      </w:pPr>
      <w:r>
        <w:rPr>
          <w:rFonts w:hint="eastAsia" w:ascii="仿宋" w:hAnsi="仿宋" w:eastAsia="仿宋"/>
          <w:color w:val="auto"/>
          <w:sz w:val="32"/>
          <w:szCs w:val="32"/>
          <w:highlight w:val="none"/>
          <w:lang w:eastAsia="zh-CN"/>
        </w:rPr>
        <w:drawing>
          <wp:anchor distT="0" distB="0" distL="114300" distR="114300" simplePos="0" relativeHeight="251660288" behindDoc="0" locked="0" layoutInCell="1" allowOverlap="1">
            <wp:simplePos x="0" y="0"/>
            <wp:positionH relativeFrom="column">
              <wp:posOffset>39370</wp:posOffset>
            </wp:positionH>
            <wp:positionV relativeFrom="paragraph">
              <wp:posOffset>449580</wp:posOffset>
            </wp:positionV>
            <wp:extent cx="5080000" cy="3482340"/>
            <wp:effectExtent l="4445" t="4445" r="5715" b="1841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（图2：收入决算结构图）（饼状图）</w:t>
      </w: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30" w:name="_Toc15396605"/>
      <w:bookmarkStart w:id="31" w:name="_Toc28940"/>
      <w:bookmarkStart w:id="32" w:name="_Toc15377207"/>
      <w:r>
        <w:rPr>
          <w:rFonts w:hint="eastAsia" w:ascii="黑体" w:hAnsi="黑体" w:eastAsia="黑体"/>
          <w:color w:val="auto"/>
          <w:sz w:val="32"/>
          <w:szCs w:val="32"/>
          <w:highlight w:val="none"/>
        </w:rPr>
        <w:t>支</w:t>
      </w:r>
      <w:r>
        <w:rPr>
          <w:rStyle w:val="25"/>
          <w:rFonts w:hint="eastAsia" w:ascii="黑体" w:hAnsi="黑体" w:eastAsia="黑体"/>
          <w:b w:val="0"/>
          <w:color w:val="auto"/>
          <w:highlight w:val="none"/>
        </w:rPr>
        <w:t>出决算情况说明</w:t>
      </w:r>
      <w:bookmarkEnd w:id="30"/>
      <w:bookmarkEnd w:id="31"/>
      <w:bookmarkEnd w:id="32"/>
    </w:p>
    <w:p>
      <w:pPr>
        <w:spacing w:line="600" w:lineRule="exact"/>
        <w:ind w:firstLine="640" w:firstLineChars="200"/>
        <w:outlineLvl w:val="1"/>
        <w:rPr>
          <w:rFonts w:ascii="仿宋" w:hAnsi="仿宋" w:eastAsia="仿宋"/>
          <w:color w:val="auto"/>
          <w:sz w:val="32"/>
          <w:szCs w:val="32"/>
          <w:highlight w:val="none"/>
        </w:rPr>
      </w:pPr>
      <w:bookmarkStart w:id="33" w:name="_Toc22418"/>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2393.50</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416.74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17.41</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1976.76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82.59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3"/>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shd w:val="pct10" w:color="auto" w:fill="FFFFFF"/>
          <w:lang w:eastAsia="zh-CN"/>
        </w:rPr>
        <w:drawing>
          <wp:anchor distT="0" distB="0" distL="114300" distR="114300" simplePos="0" relativeHeight="251661312" behindDoc="0" locked="0" layoutInCell="1" allowOverlap="1">
            <wp:simplePos x="0" y="0"/>
            <wp:positionH relativeFrom="column">
              <wp:posOffset>124460</wp:posOffset>
            </wp:positionH>
            <wp:positionV relativeFrom="paragraph">
              <wp:posOffset>95885</wp:posOffset>
            </wp:positionV>
            <wp:extent cx="5080000" cy="3529330"/>
            <wp:effectExtent l="4445" t="4445" r="5715" b="1714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auto"/>
          <w:sz w:val="32"/>
          <w:szCs w:val="32"/>
          <w:highlight w:val="none"/>
        </w:rPr>
        <w:t>（图3：支出决算结构图）（饼状图）</w:t>
      </w:r>
    </w:p>
    <w:p>
      <w:pPr>
        <w:spacing w:line="600" w:lineRule="exact"/>
        <w:ind w:firstLine="640" w:firstLineChars="200"/>
        <w:outlineLvl w:val="1"/>
        <w:rPr>
          <w:rStyle w:val="25"/>
          <w:rFonts w:ascii="黑体" w:hAnsi="黑体" w:eastAsia="黑体"/>
          <w:b w:val="0"/>
          <w:color w:val="auto"/>
          <w:highlight w:val="none"/>
        </w:rPr>
      </w:pPr>
      <w:bookmarkStart w:id="34" w:name="_Toc15377208"/>
      <w:bookmarkStart w:id="35" w:name="_Toc22633"/>
      <w:bookmarkStart w:id="36" w:name="_Toc15396606"/>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bookmarkEnd w:id="34"/>
      <w:bookmarkEnd w:id="35"/>
      <w:bookmarkEnd w:id="36"/>
    </w:p>
    <w:p>
      <w:pPr>
        <w:snapToGrid w:val="0"/>
        <w:spacing w:line="52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1921.95</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1268.39万元</w:t>
      </w:r>
      <w:r>
        <w:rPr>
          <w:rFonts w:hint="eastAsia" w:ascii="仿宋" w:hAnsi="仿宋" w:eastAsia="仿宋"/>
          <w:color w:val="auto"/>
          <w:sz w:val="32"/>
          <w:szCs w:val="32"/>
          <w:highlight w:val="none"/>
        </w:rPr>
        <w:t>相比，财政拨款收、支总计各增加</w:t>
      </w:r>
      <w:r>
        <w:rPr>
          <w:rFonts w:hint="eastAsia" w:ascii="仿宋" w:hAnsi="仿宋" w:eastAsia="仿宋"/>
          <w:color w:val="auto"/>
          <w:sz w:val="32"/>
          <w:szCs w:val="32"/>
          <w:highlight w:val="none"/>
          <w:lang w:val="en-US" w:eastAsia="zh-CN"/>
        </w:rPr>
        <w:t>653.56</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51.53</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_GB2312" w:hAnsi="仿宋" w:eastAsia="仿宋_GB2312" w:cs="Times New Roman"/>
          <w:sz w:val="32"/>
          <w:szCs w:val="32"/>
          <w:lang w:val="en-US" w:eastAsia="zh-CN"/>
        </w:rPr>
        <w:t>2021年“高等级航道养护管理”项目883万元、“内河航道应急抢通补助”项目199.19万元为一次性项目。</w:t>
      </w:r>
    </w:p>
    <w:p>
      <w:pPr>
        <w:spacing w:line="600" w:lineRule="exact"/>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62336" behindDoc="0" locked="0" layoutInCell="1" allowOverlap="1">
            <wp:simplePos x="0" y="0"/>
            <wp:positionH relativeFrom="column">
              <wp:posOffset>198120</wp:posOffset>
            </wp:positionH>
            <wp:positionV relativeFrom="paragraph">
              <wp:posOffset>118745</wp:posOffset>
            </wp:positionV>
            <wp:extent cx="5080000" cy="3810000"/>
            <wp:effectExtent l="4445" t="4445" r="5715" b="1079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olor w:val="auto"/>
          <w:sz w:val="32"/>
          <w:szCs w:val="32"/>
          <w:highlight w:val="none"/>
        </w:rPr>
        <w:t>（图4：财政拨款收、支决算总计变动情况）（柱状图）</w:t>
      </w:r>
    </w:p>
    <w:p>
      <w:pPr>
        <w:spacing w:line="600" w:lineRule="exact"/>
        <w:ind w:firstLine="640" w:firstLineChars="200"/>
        <w:outlineLvl w:val="1"/>
        <w:rPr>
          <w:rStyle w:val="25"/>
          <w:rFonts w:ascii="黑体" w:hAnsi="黑体" w:eastAsia="黑体"/>
          <w:b w:val="0"/>
          <w:color w:val="auto"/>
          <w:highlight w:val="none"/>
        </w:rPr>
      </w:pPr>
      <w:bookmarkStart w:id="37" w:name="_Toc15396607"/>
      <w:bookmarkStart w:id="38" w:name="_Toc8668"/>
      <w:bookmarkStart w:id="39"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37"/>
      <w:bookmarkEnd w:id="38"/>
      <w:bookmarkEnd w:id="39"/>
    </w:p>
    <w:p>
      <w:pPr>
        <w:spacing w:line="600" w:lineRule="exact"/>
        <w:ind w:firstLine="643" w:firstLineChars="200"/>
        <w:outlineLvl w:val="2"/>
        <w:rPr>
          <w:rFonts w:ascii="仿宋" w:hAnsi="仿宋" w:eastAsia="仿宋"/>
          <w:b/>
          <w:color w:val="auto"/>
          <w:sz w:val="32"/>
          <w:szCs w:val="32"/>
          <w:highlight w:val="none"/>
        </w:rPr>
      </w:pPr>
      <w:bookmarkStart w:id="40" w:name="_Toc15377210"/>
      <w:bookmarkStart w:id="41" w:name="_Toc26128"/>
      <w:r>
        <w:rPr>
          <w:rFonts w:hint="eastAsia" w:ascii="仿宋" w:hAnsi="仿宋" w:eastAsia="仿宋"/>
          <w:b/>
          <w:color w:val="auto"/>
          <w:sz w:val="32"/>
          <w:szCs w:val="32"/>
          <w:highlight w:val="none"/>
        </w:rPr>
        <w:t>（一）一般公共预算财政拨款支出决算总体情况</w:t>
      </w:r>
      <w:bookmarkEnd w:id="40"/>
      <w:bookmarkEnd w:id="41"/>
    </w:p>
    <w:p>
      <w:pPr>
        <w:spacing w:line="600" w:lineRule="exact"/>
        <w:ind w:firstLine="640" w:firstLineChars="200"/>
        <w:rPr>
          <w:rFonts w:hint="default" w:ascii="仿宋" w:hAnsi="仿宋" w:eastAsia="仿宋"/>
          <w:color w:val="auto"/>
          <w:sz w:val="32"/>
          <w:szCs w:val="32"/>
          <w:highlight w:val="none"/>
          <w:lang w:val="en-US"/>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1608.61</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67.21</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798.29万元</w:t>
      </w:r>
      <w:r>
        <w:rPr>
          <w:rFonts w:hint="eastAsia" w:ascii="仿宋" w:hAnsi="仿宋" w:eastAsia="仿宋"/>
          <w:color w:val="auto"/>
          <w:sz w:val="32"/>
          <w:szCs w:val="32"/>
          <w:highlight w:val="none"/>
        </w:rPr>
        <w:t>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810.32</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101.51</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_GB2312" w:hAnsi="仿宋" w:eastAsia="仿宋_GB2312" w:cs="Times New Roman"/>
          <w:sz w:val="32"/>
          <w:szCs w:val="32"/>
          <w:lang w:val="en-US" w:eastAsia="zh-CN"/>
        </w:rPr>
        <w:t>2021年“高等级航道养护管理”项目为一次性项目。</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63360" behindDoc="0" locked="0" layoutInCell="1" allowOverlap="1">
            <wp:simplePos x="0" y="0"/>
            <wp:positionH relativeFrom="column">
              <wp:posOffset>121285</wp:posOffset>
            </wp:positionH>
            <wp:positionV relativeFrom="paragraph">
              <wp:posOffset>189865</wp:posOffset>
            </wp:positionV>
            <wp:extent cx="5080000" cy="3810000"/>
            <wp:effectExtent l="4445" t="4445" r="5715" b="1079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olor w:val="auto"/>
          <w:sz w:val="32"/>
          <w:szCs w:val="32"/>
          <w:highlight w:val="none"/>
        </w:rPr>
        <w:t>（图5：一般公共预算财政拨款支出决算变动情况）（柱状图）</w:t>
      </w:r>
    </w:p>
    <w:p>
      <w:pPr>
        <w:spacing w:line="600" w:lineRule="exact"/>
        <w:ind w:firstLine="643" w:firstLineChars="200"/>
        <w:outlineLvl w:val="2"/>
        <w:rPr>
          <w:rFonts w:ascii="仿宋" w:hAnsi="仿宋" w:eastAsia="仿宋"/>
          <w:b/>
          <w:color w:val="auto"/>
          <w:sz w:val="32"/>
          <w:szCs w:val="32"/>
          <w:highlight w:val="none"/>
        </w:rPr>
      </w:pPr>
      <w:bookmarkStart w:id="42" w:name="_Toc27261"/>
      <w:bookmarkStart w:id="43" w:name="_Toc15377211"/>
      <w:r>
        <w:rPr>
          <w:rFonts w:hint="eastAsia" w:ascii="仿宋" w:hAnsi="仿宋" w:eastAsia="仿宋"/>
          <w:b/>
          <w:color w:val="auto"/>
          <w:sz w:val="32"/>
          <w:szCs w:val="32"/>
          <w:highlight w:val="none"/>
        </w:rPr>
        <w:t>（二）一般公共预算财政拨款支出决算结构情况</w:t>
      </w:r>
      <w:bookmarkEnd w:id="42"/>
      <w:bookmarkEnd w:id="43"/>
    </w:p>
    <w:p>
      <w:pPr>
        <w:spacing w:line="600" w:lineRule="exact"/>
        <w:ind w:firstLine="640"/>
        <w:rPr>
          <w:rFonts w:hint="eastAsia" w:ascii="仿宋" w:hAnsi="仿宋" w:eastAsia="仿宋"/>
          <w:b/>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1608.61</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社会保障和就业（类）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79.18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4.92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w:t>
      </w:r>
      <w:r>
        <w:rPr>
          <w:rFonts w:hint="eastAsia" w:ascii="仿宋" w:hAnsi="仿宋" w:eastAsia="仿宋"/>
          <w:b/>
          <w:bCs/>
          <w:color w:val="auto"/>
          <w:sz w:val="32"/>
          <w:szCs w:val="32"/>
          <w:highlight w:val="none"/>
          <w:lang w:eastAsia="zh-CN"/>
        </w:rPr>
        <w:t>（</w:t>
      </w:r>
      <w:r>
        <w:rPr>
          <w:rFonts w:hint="eastAsia" w:ascii="仿宋" w:hAnsi="仿宋" w:eastAsia="仿宋"/>
          <w:b/>
          <w:bCs/>
          <w:color w:val="auto"/>
          <w:sz w:val="32"/>
          <w:szCs w:val="32"/>
          <w:highlight w:val="none"/>
          <w:lang w:val="en-US" w:eastAsia="zh-CN"/>
        </w:rPr>
        <w:t>类</w:t>
      </w:r>
      <w:r>
        <w:rPr>
          <w:rFonts w:hint="eastAsia" w:ascii="仿宋" w:hAnsi="仿宋" w:eastAsia="仿宋"/>
          <w:b/>
          <w:bCs/>
          <w:color w:val="auto"/>
          <w:sz w:val="32"/>
          <w:szCs w:val="32"/>
          <w:highlight w:val="none"/>
          <w:lang w:eastAsia="zh-CN"/>
        </w:rPr>
        <w:t>）</w:t>
      </w:r>
      <w:r>
        <w:rPr>
          <w:rFonts w:hint="eastAsia" w:ascii="仿宋" w:hAnsi="仿宋" w:eastAsia="仿宋"/>
          <w:b/>
          <w:bCs/>
          <w:color w:val="auto"/>
          <w:sz w:val="32"/>
          <w:szCs w:val="32"/>
          <w:highlight w:val="none"/>
          <w:lang w:val="en-US" w:eastAsia="zh-CN"/>
        </w:rPr>
        <w:t>支出</w:t>
      </w:r>
      <w:r>
        <w:rPr>
          <w:rFonts w:hint="eastAsia" w:ascii="仿宋" w:hAnsi="仿宋" w:eastAsia="仿宋"/>
          <w:b w:val="0"/>
          <w:bCs w:val="0"/>
          <w:color w:val="auto"/>
          <w:sz w:val="32"/>
          <w:szCs w:val="32"/>
          <w:highlight w:val="none"/>
          <w:lang w:val="en-US" w:eastAsia="zh-CN"/>
        </w:rPr>
        <w:t>11.73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0.73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lang w:val="en-US" w:eastAsia="zh-CN"/>
        </w:rPr>
        <w:t>交通运输（类）</w:t>
      </w:r>
      <w:r>
        <w:rPr>
          <w:rFonts w:hint="eastAsia" w:ascii="仿宋" w:hAnsi="仿宋" w:eastAsia="仿宋"/>
          <w:color w:val="auto"/>
          <w:sz w:val="32"/>
          <w:szCs w:val="32"/>
          <w:highlight w:val="none"/>
          <w:lang w:val="en-US" w:eastAsia="zh-CN"/>
        </w:rPr>
        <w:t>支出1492.40万元，占92.78%；</w:t>
      </w:r>
      <w:r>
        <w:rPr>
          <w:rFonts w:hint="eastAsia" w:ascii="仿宋" w:hAnsi="仿宋" w:eastAsia="仿宋"/>
          <w:b/>
          <w:bCs/>
          <w:color w:val="auto"/>
          <w:sz w:val="32"/>
          <w:szCs w:val="32"/>
          <w:highlight w:val="none"/>
        </w:rPr>
        <w:t>住房保障</w:t>
      </w:r>
      <w:r>
        <w:rPr>
          <w:rFonts w:hint="eastAsia" w:ascii="仿宋" w:hAnsi="仿宋" w:eastAsia="仿宋"/>
          <w:b/>
          <w:bCs/>
          <w:color w:val="auto"/>
          <w:sz w:val="32"/>
          <w:szCs w:val="32"/>
          <w:highlight w:val="none"/>
          <w:lang w:eastAsia="zh-CN"/>
        </w:rPr>
        <w:t>（</w:t>
      </w:r>
      <w:r>
        <w:rPr>
          <w:rFonts w:hint="eastAsia" w:ascii="仿宋" w:hAnsi="仿宋" w:eastAsia="仿宋"/>
          <w:b/>
          <w:bCs/>
          <w:color w:val="auto"/>
          <w:sz w:val="32"/>
          <w:szCs w:val="32"/>
          <w:highlight w:val="none"/>
          <w:lang w:val="en-US" w:eastAsia="zh-CN"/>
        </w:rPr>
        <w:t>类</w:t>
      </w:r>
      <w:r>
        <w:rPr>
          <w:rFonts w:hint="eastAsia" w:ascii="仿宋" w:hAnsi="仿宋" w:eastAsia="仿宋"/>
          <w:b/>
          <w:bCs/>
          <w:color w:val="auto"/>
          <w:sz w:val="32"/>
          <w:szCs w:val="32"/>
          <w:highlight w:val="none"/>
          <w:lang w:eastAsia="zh-CN"/>
        </w:rPr>
        <w:t>）</w:t>
      </w:r>
      <w:r>
        <w:rPr>
          <w:rFonts w:hint="eastAsia" w:ascii="仿宋" w:hAnsi="仿宋" w:eastAsia="仿宋"/>
          <w:color w:val="auto"/>
          <w:sz w:val="32"/>
          <w:szCs w:val="32"/>
          <w:highlight w:val="none"/>
          <w:lang w:val="en-US" w:eastAsia="zh-CN"/>
        </w:rPr>
        <w:t>支出25.29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1.57</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64384" behindDoc="0" locked="0" layoutInCell="1" allowOverlap="1">
            <wp:simplePos x="0" y="0"/>
            <wp:positionH relativeFrom="column">
              <wp:posOffset>250825</wp:posOffset>
            </wp:positionH>
            <wp:positionV relativeFrom="paragraph">
              <wp:posOffset>271145</wp:posOffset>
            </wp:positionV>
            <wp:extent cx="5080000" cy="3810000"/>
            <wp:effectExtent l="4445" t="4445" r="5715" b="1079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auto"/>
          <w:sz w:val="32"/>
          <w:szCs w:val="32"/>
          <w:highlight w:val="none"/>
        </w:rPr>
        <w:t>（图6：一般公共预算财政拨款支出决算结构）（饼状图）</w:t>
      </w:r>
    </w:p>
    <w:p>
      <w:pPr>
        <w:spacing w:line="600" w:lineRule="exact"/>
        <w:ind w:firstLine="643" w:firstLineChars="200"/>
        <w:outlineLvl w:val="2"/>
        <w:rPr>
          <w:rFonts w:ascii="仿宋" w:hAnsi="仿宋" w:eastAsia="仿宋"/>
          <w:b/>
          <w:color w:val="auto"/>
          <w:sz w:val="32"/>
          <w:szCs w:val="32"/>
          <w:highlight w:val="none"/>
        </w:rPr>
      </w:pPr>
      <w:bookmarkStart w:id="44" w:name="_Toc15377212"/>
      <w:bookmarkStart w:id="45" w:name="_Toc4617"/>
      <w:r>
        <w:rPr>
          <w:rFonts w:hint="eastAsia" w:ascii="仿宋" w:hAnsi="仿宋" w:eastAsia="仿宋"/>
          <w:b/>
          <w:color w:val="auto"/>
          <w:sz w:val="32"/>
          <w:szCs w:val="32"/>
          <w:highlight w:val="none"/>
        </w:rPr>
        <w:t>（三）一般公共预算财政拨款支出决算具体情况</w:t>
      </w:r>
      <w:bookmarkEnd w:id="44"/>
      <w:bookmarkEnd w:id="45"/>
    </w:p>
    <w:p>
      <w:pPr>
        <w:spacing w:line="600" w:lineRule="exact"/>
        <w:ind w:firstLine="643" w:firstLineChars="200"/>
        <w:outlineLvl w:val="2"/>
        <w:rPr>
          <w:rFonts w:ascii="仿宋" w:hAnsi="仿宋" w:eastAsia="仿宋"/>
          <w:color w:val="auto"/>
          <w:sz w:val="32"/>
          <w:szCs w:val="32"/>
          <w:highlight w:val="none"/>
        </w:rPr>
      </w:pPr>
      <w:bookmarkStart w:id="46" w:name="_Toc15377444"/>
      <w:bookmarkStart w:id="47" w:name="_Toc17690"/>
      <w:bookmarkStart w:id="48" w:name="_Toc15378460"/>
      <w:bookmarkStart w:id="49" w:name="_Toc15377213"/>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1608.61万元</w:t>
      </w:r>
      <w:r>
        <w:rPr>
          <w:rFonts w:hint="eastAsia" w:ascii="仿宋" w:hAnsi="仿宋" w:eastAsia="仿宋"/>
          <w:color w:val="auto"/>
          <w:sz w:val="32"/>
          <w:szCs w:val="32"/>
          <w:highlight w:val="none"/>
        </w:rPr>
        <w:t>，</w:t>
      </w:r>
      <w:r>
        <w:rPr>
          <w:rStyle w:val="14"/>
          <w:rFonts w:hint="eastAsia" w:ascii="仿宋" w:hAnsi="仿宋" w:eastAsia="仿宋"/>
          <w:bCs/>
          <w:color w:val="auto"/>
          <w:sz w:val="32"/>
          <w:szCs w:val="32"/>
          <w:highlight w:val="none"/>
        </w:rPr>
        <w:t>完成预算</w:t>
      </w:r>
      <w:r>
        <w:rPr>
          <w:rStyle w:val="14"/>
          <w:rFonts w:hint="eastAsia" w:ascii="仿宋" w:hAnsi="仿宋" w:eastAsia="仿宋"/>
          <w:bCs/>
          <w:color w:val="auto"/>
          <w:sz w:val="32"/>
          <w:szCs w:val="32"/>
          <w:highlight w:val="none"/>
          <w:lang w:val="en-US" w:eastAsia="zh-CN"/>
        </w:rPr>
        <w:t>96.11</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。其中：</w:t>
      </w:r>
      <w:bookmarkEnd w:id="46"/>
      <w:bookmarkEnd w:id="47"/>
      <w:bookmarkEnd w:id="48"/>
      <w:bookmarkEnd w:id="49"/>
    </w:p>
    <w:p>
      <w:pPr>
        <w:spacing w:line="600" w:lineRule="exact"/>
        <w:ind w:firstLine="643" w:firstLineChars="200"/>
        <w:rPr>
          <w:rFonts w:hint="default" w:ascii="仿宋" w:hAnsi="仿宋" w:eastAsia="仿宋"/>
          <w:b/>
          <w:color w:val="auto"/>
          <w:sz w:val="32"/>
          <w:szCs w:val="32"/>
          <w:highlight w:val="none"/>
          <w:lang w:val="en-US" w:eastAsia="zh-CN"/>
        </w:rPr>
      </w:pPr>
      <w:r>
        <w:rPr>
          <w:rStyle w:val="14"/>
          <w:rFonts w:hint="eastAsia" w:ascii="仿宋" w:hAnsi="仿宋" w:eastAsia="仿宋"/>
          <w:bCs/>
          <w:color w:val="auto"/>
          <w:sz w:val="32"/>
          <w:szCs w:val="32"/>
          <w:highlight w:val="none"/>
          <w:lang w:val="en-US" w:eastAsia="zh-CN"/>
        </w:rPr>
        <w:t>1</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社会保障和就业</w:t>
      </w:r>
      <w:r>
        <w:rPr>
          <w:rStyle w:val="14"/>
          <w:rFonts w:hint="eastAsia" w:ascii="仿宋" w:hAnsi="仿宋" w:eastAsia="仿宋"/>
          <w:bCs/>
          <w:color w:val="auto"/>
          <w:sz w:val="32"/>
          <w:szCs w:val="32"/>
          <w:highlight w:val="none"/>
          <w:lang w:eastAsia="zh-CN"/>
        </w:rPr>
        <w:t>支出</w:t>
      </w:r>
      <w:r>
        <w:rPr>
          <w:rStyle w:val="14"/>
          <w:rFonts w:hint="eastAsia" w:ascii="仿宋" w:hAnsi="仿宋" w:eastAsia="仿宋"/>
          <w:bCs/>
          <w:color w:val="auto"/>
          <w:sz w:val="32"/>
          <w:szCs w:val="32"/>
          <w:highlight w:val="none"/>
        </w:rPr>
        <w:t>（类）行政事业单位养老支出（款）事业单位离退休（项）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37.64</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w:t>
      </w:r>
      <w:r>
        <w:rPr>
          <w:rStyle w:val="14"/>
          <w:rFonts w:hint="eastAsia" w:ascii="仿宋" w:hAnsi="仿宋" w:eastAsia="仿宋"/>
          <w:b w:val="0"/>
          <w:bCs/>
          <w:color w:val="auto"/>
          <w:sz w:val="32"/>
          <w:szCs w:val="32"/>
          <w:highlight w:val="none"/>
          <w:lang w:val="en-US" w:eastAsia="zh-CN"/>
        </w:rPr>
        <w:t>。</w:t>
      </w:r>
    </w:p>
    <w:p>
      <w:pPr>
        <w:spacing w:line="600" w:lineRule="exact"/>
        <w:ind w:firstLine="643" w:firstLineChars="200"/>
        <w:rPr>
          <w:rFonts w:hint="default" w:ascii="仿宋" w:hAnsi="仿宋" w:eastAsia="仿宋"/>
          <w:b/>
          <w:color w:val="auto"/>
          <w:sz w:val="32"/>
          <w:szCs w:val="32"/>
          <w:highlight w:val="none"/>
          <w:lang w:val="en-US" w:eastAsia="zh-CN"/>
        </w:rPr>
      </w:pPr>
      <w:r>
        <w:rPr>
          <w:rStyle w:val="14"/>
          <w:rFonts w:hint="eastAsia" w:ascii="仿宋" w:hAnsi="仿宋" w:eastAsia="仿宋"/>
          <w:bCs/>
          <w:color w:val="auto"/>
          <w:sz w:val="32"/>
          <w:szCs w:val="32"/>
          <w:highlight w:val="none"/>
          <w:lang w:val="en-US" w:eastAsia="zh-CN"/>
        </w:rPr>
        <w:t>2</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社会保障和就业</w:t>
      </w:r>
      <w:r>
        <w:rPr>
          <w:rStyle w:val="14"/>
          <w:rFonts w:hint="eastAsia" w:ascii="仿宋" w:hAnsi="仿宋" w:eastAsia="仿宋"/>
          <w:bCs/>
          <w:color w:val="auto"/>
          <w:sz w:val="32"/>
          <w:szCs w:val="32"/>
          <w:highlight w:val="none"/>
          <w:lang w:eastAsia="zh-CN"/>
        </w:rPr>
        <w:t>支出</w:t>
      </w:r>
      <w:r>
        <w:rPr>
          <w:rStyle w:val="14"/>
          <w:rFonts w:hint="eastAsia" w:ascii="仿宋" w:hAnsi="仿宋" w:eastAsia="仿宋"/>
          <w:bCs/>
          <w:color w:val="auto"/>
          <w:sz w:val="32"/>
          <w:szCs w:val="32"/>
          <w:highlight w:val="none"/>
        </w:rPr>
        <w:t>（类）行政事业单位养老支出（款）机关事业单位基本养老保险缴费支出（项）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22.86</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w:t>
      </w:r>
      <w:r>
        <w:rPr>
          <w:rStyle w:val="14"/>
          <w:rFonts w:hint="eastAsia" w:ascii="仿宋" w:hAnsi="仿宋" w:eastAsia="仿宋"/>
          <w:b w:val="0"/>
          <w:bCs/>
          <w:color w:val="auto"/>
          <w:sz w:val="32"/>
          <w:szCs w:val="32"/>
          <w:highlight w:val="none"/>
          <w:lang w:val="en-US" w:eastAsia="zh-CN"/>
        </w:rPr>
        <w:t>。</w:t>
      </w:r>
    </w:p>
    <w:p>
      <w:pPr>
        <w:spacing w:line="600" w:lineRule="exact"/>
        <w:ind w:firstLine="643" w:firstLineChars="200"/>
        <w:rPr>
          <w:rFonts w:hint="default" w:ascii="仿宋" w:hAnsi="仿宋" w:eastAsia="仿宋"/>
          <w:b/>
          <w:color w:val="auto"/>
          <w:sz w:val="32"/>
          <w:szCs w:val="32"/>
          <w:highlight w:val="none"/>
          <w:lang w:val="en-US" w:eastAsia="zh-CN"/>
        </w:rPr>
      </w:pPr>
      <w:r>
        <w:rPr>
          <w:rStyle w:val="14"/>
          <w:rFonts w:hint="eastAsia" w:ascii="仿宋" w:hAnsi="仿宋" w:eastAsia="仿宋"/>
          <w:bCs/>
          <w:color w:val="auto"/>
          <w:sz w:val="32"/>
          <w:szCs w:val="32"/>
          <w:highlight w:val="none"/>
          <w:lang w:val="en-US" w:eastAsia="zh-CN"/>
        </w:rPr>
        <w:t>3</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社会保障和就业</w:t>
      </w:r>
      <w:r>
        <w:rPr>
          <w:rStyle w:val="14"/>
          <w:rFonts w:hint="eastAsia" w:ascii="仿宋" w:hAnsi="仿宋" w:eastAsia="仿宋"/>
          <w:bCs/>
          <w:color w:val="auto"/>
          <w:sz w:val="32"/>
          <w:szCs w:val="32"/>
          <w:highlight w:val="none"/>
          <w:lang w:eastAsia="zh-CN"/>
        </w:rPr>
        <w:t>支出</w:t>
      </w:r>
      <w:r>
        <w:rPr>
          <w:rStyle w:val="14"/>
          <w:rFonts w:hint="eastAsia" w:ascii="仿宋" w:hAnsi="仿宋" w:eastAsia="仿宋"/>
          <w:bCs/>
          <w:color w:val="auto"/>
          <w:sz w:val="32"/>
          <w:szCs w:val="32"/>
          <w:highlight w:val="none"/>
        </w:rPr>
        <w:t>（类）行政事业单位养老支出（款）机关事业单位职业年金缴费支出（项）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17.80</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w:t>
      </w:r>
      <w:r>
        <w:rPr>
          <w:rStyle w:val="14"/>
          <w:rFonts w:hint="eastAsia" w:ascii="仿宋" w:hAnsi="仿宋" w:eastAsia="仿宋"/>
          <w:b w:val="0"/>
          <w:bCs/>
          <w:color w:val="auto"/>
          <w:sz w:val="32"/>
          <w:szCs w:val="32"/>
          <w:highlight w:val="none"/>
          <w:lang w:val="en-US" w:eastAsia="zh-CN"/>
        </w:rPr>
        <w:t>。</w:t>
      </w:r>
    </w:p>
    <w:p>
      <w:pPr>
        <w:spacing w:line="600" w:lineRule="exact"/>
        <w:ind w:firstLine="643" w:firstLineChars="200"/>
        <w:rPr>
          <w:rFonts w:hint="default" w:ascii="仿宋" w:hAnsi="仿宋" w:eastAsia="仿宋"/>
          <w:b/>
          <w:color w:val="auto"/>
          <w:sz w:val="32"/>
          <w:szCs w:val="32"/>
          <w:highlight w:val="none"/>
          <w:lang w:val="en-US" w:eastAsia="zh-CN"/>
        </w:rPr>
      </w:pPr>
      <w:r>
        <w:rPr>
          <w:rStyle w:val="14"/>
          <w:rFonts w:hint="eastAsia" w:ascii="仿宋" w:hAnsi="仿宋" w:eastAsia="仿宋"/>
          <w:bCs/>
          <w:color w:val="auto"/>
          <w:sz w:val="32"/>
          <w:szCs w:val="32"/>
          <w:highlight w:val="none"/>
          <w:lang w:val="en-US" w:eastAsia="zh-CN"/>
        </w:rPr>
        <w:t>4</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社会保障和就业</w:t>
      </w:r>
      <w:r>
        <w:rPr>
          <w:rStyle w:val="14"/>
          <w:rFonts w:hint="eastAsia" w:ascii="仿宋" w:hAnsi="仿宋" w:eastAsia="仿宋"/>
          <w:bCs/>
          <w:color w:val="auto"/>
          <w:sz w:val="32"/>
          <w:szCs w:val="32"/>
          <w:highlight w:val="none"/>
          <w:lang w:eastAsia="zh-CN"/>
        </w:rPr>
        <w:t>支出</w:t>
      </w:r>
      <w:r>
        <w:rPr>
          <w:rStyle w:val="14"/>
          <w:rFonts w:hint="eastAsia" w:ascii="仿宋" w:hAnsi="仿宋" w:eastAsia="仿宋"/>
          <w:bCs/>
          <w:color w:val="auto"/>
          <w:sz w:val="32"/>
          <w:szCs w:val="32"/>
          <w:highlight w:val="none"/>
        </w:rPr>
        <w:t>（类）其他社会保障和就业支出（款）其他社会保障和就业支出（项）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0.88</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w:t>
      </w:r>
      <w:r>
        <w:rPr>
          <w:rStyle w:val="14"/>
          <w:rFonts w:hint="eastAsia" w:ascii="仿宋" w:hAnsi="仿宋" w:eastAsia="仿宋"/>
          <w:b w:val="0"/>
          <w:bCs/>
          <w:color w:val="auto"/>
          <w:sz w:val="32"/>
          <w:szCs w:val="32"/>
          <w:highlight w:val="none"/>
          <w:lang w:val="en-US" w:eastAsia="zh-CN"/>
        </w:rPr>
        <w:t>。</w:t>
      </w:r>
    </w:p>
    <w:p>
      <w:pPr>
        <w:spacing w:line="600" w:lineRule="exact"/>
        <w:ind w:firstLine="643" w:firstLineChars="200"/>
        <w:rPr>
          <w:rFonts w:hint="default" w:ascii="仿宋" w:hAnsi="仿宋" w:eastAsia="仿宋"/>
          <w:b/>
          <w:color w:val="auto"/>
          <w:sz w:val="32"/>
          <w:szCs w:val="32"/>
          <w:highlight w:val="none"/>
          <w:lang w:val="en-US" w:eastAsia="zh-CN"/>
        </w:rPr>
      </w:pPr>
      <w:r>
        <w:rPr>
          <w:rStyle w:val="14"/>
          <w:rFonts w:hint="eastAsia" w:ascii="仿宋" w:hAnsi="仿宋" w:eastAsia="仿宋"/>
          <w:bCs/>
          <w:color w:val="auto"/>
          <w:sz w:val="32"/>
          <w:szCs w:val="32"/>
          <w:highlight w:val="none"/>
          <w:lang w:val="en-US" w:eastAsia="zh-CN"/>
        </w:rPr>
        <w:t>5</w:t>
      </w:r>
      <w:r>
        <w:rPr>
          <w:rStyle w:val="14"/>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Fonts w:hint="eastAsia" w:ascii="仿宋" w:hAnsi="仿宋" w:eastAsia="仿宋"/>
          <w:b/>
          <w:bCs/>
          <w:color w:val="auto"/>
          <w:sz w:val="32"/>
          <w:szCs w:val="32"/>
          <w:highlight w:val="none"/>
          <w:lang w:eastAsia="zh-CN"/>
        </w:rPr>
        <w:t>支出</w:t>
      </w:r>
      <w:r>
        <w:rPr>
          <w:rStyle w:val="14"/>
          <w:rFonts w:hint="eastAsia" w:ascii="仿宋" w:hAnsi="仿宋" w:eastAsia="仿宋"/>
          <w:bCs/>
          <w:color w:val="auto"/>
          <w:sz w:val="32"/>
          <w:szCs w:val="32"/>
          <w:highlight w:val="none"/>
        </w:rPr>
        <w:t>（类）行政事业单位医疗（款）事业单位医疗（项）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11.73</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w:t>
      </w:r>
      <w:r>
        <w:rPr>
          <w:rStyle w:val="14"/>
          <w:rFonts w:hint="eastAsia" w:ascii="仿宋" w:hAnsi="仿宋" w:eastAsia="仿宋"/>
          <w:b w:val="0"/>
          <w:bCs/>
          <w:color w:val="auto"/>
          <w:sz w:val="32"/>
          <w:szCs w:val="32"/>
          <w:highlight w:val="none"/>
          <w:lang w:val="en-US" w:eastAsia="zh-CN"/>
        </w:rPr>
        <w:t>。</w:t>
      </w:r>
    </w:p>
    <w:p>
      <w:pPr>
        <w:spacing w:line="600" w:lineRule="exact"/>
        <w:ind w:firstLine="643" w:firstLineChars="200"/>
        <w:rPr>
          <w:rFonts w:hint="default" w:ascii="仿宋" w:hAnsi="仿宋" w:eastAsia="仿宋"/>
          <w:b/>
          <w:color w:val="auto"/>
          <w:sz w:val="32"/>
          <w:szCs w:val="32"/>
          <w:highlight w:val="none"/>
          <w:lang w:val="en-US" w:eastAsia="zh-CN"/>
        </w:rPr>
      </w:pPr>
      <w:r>
        <w:rPr>
          <w:rStyle w:val="14"/>
          <w:rFonts w:hint="eastAsia" w:ascii="仿宋" w:hAnsi="仿宋" w:eastAsia="仿宋"/>
          <w:bCs/>
          <w:color w:val="auto"/>
          <w:sz w:val="32"/>
          <w:szCs w:val="32"/>
          <w:highlight w:val="none"/>
          <w:lang w:val="en-US" w:eastAsia="zh-CN"/>
        </w:rPr>
        <w:t>6</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交通运输支出（类）公路水路运输（款）行政运行（项）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300.54</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w:t>
      </w:r>
      <w:r>
        <w:rPr>
          <w:rStyle w:val="14"/>
          <w:rFonts w:hint="eastAsia" w:ascii="仿宋" w:hAnsi="仿宋" w:eastAsia="仿宋"/>
          <w:b w:val="0"/>
          <w:bCs/>
          <w:color w:val="auto"/>
          <w:sz w:val="32"/>
          <w:szCs w:val="32"/>
          <w:highlight w:val="none"/>
          <w:lang w:val="en-US" w:eastAsia="zh-CN"/>
        </w:rPr>
        <w:t>。</w:t>
      </w:r>
    </w:p>
    <w:p>
      <w:pPr>
        <w:spacing w:line="600" w:lineRule="exact"/>
        <w:ind w:firstLine="643" w:firstLineChars="200"/>
        <w:rPr>
          <w:rFonts w:ascii="仿宋" w:hAnsi="仿宋" w:eastAsia="仿宋"/>
          <w:b/>
          <w:color w:val="auto"/>
          <w:sz w:val="32"/>
          <w:szCs w:val="32"/>
          <w:highlight w:val="none"/>
        </w:rPr>
      </w:pPr>
      <w:r>
        <w:rPr>
          <w:rStyle w:val="14"/>
          <w:rFonts w:hint="eastAsia" w:ascii="仿宋" w:hAnsi="仿宋" w:eastAsia="仿宋"/>
          <w:bCs/>
          <w:color w:val="auto"/>
          <w:sz w:val="32"/>
          <w:szCs w:val="32"/>
          <w:highlight w:val="none"/>
          <w:lang w:val="en-US" w:eastAsia="zh-CN"/>
        </w:rPr>
        <w:t>7</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交通运输支出（类）公路水路运输（款）一般行政管理事务（项）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43.90</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99.80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，决算数小于预算数的主要原因是</w:t>
      </w:r>
      <w:r>
        <w:rPr>
          <w:rStyle w:val="14"/>
          <w:rFonts w:hint="eastAsia" w:ascii="仿宋" w:hAnsi="仿宋" w:eastAsia="仿宋"/>
          <w:b w:val="0"/>
          <w:bCs/>
          <w:color w:val="auto"/>
          <w:sz w:val="32"/>
          <w:szCs w:val="32"/>
          <w:highlight w:val="none"/>
          <w:lang w:val="en-US" w:eastAsia="zh-CN"/>
        </w:rPr>
        <w:t>房屋维修维护项目结余0.09万元</w:t>
      </w:r>
      <w:r>
        <w:rPr>
          <w:rStyle w:val="14"/>
          <w:rFonts w:hint="eastAsia" w:ascii="仿宋" w:hAnsi="仿宋" w:eastAsia="仿宋"/>
          <w:b w:val="0"/>
          <w:bCs/>
          <w:color w:val="auto"/>
          <w:sz w:val="32"/>
          <w:szCs w:val="32"/>
          <w:highlight w:val="none"/>
        </w:rPr>
        <w:t>。</w:t>
      </w:r>
    </w:p>
    <w:p>
      <w:pPr>
        <w:spacing w:line="600" w:lineRule="exact"/>
        <w:ind w:firstLine="643" w:firstLineChars="200"/>
        <w:rPr>
          <w:rFonts w:hint="default" w:ascii="仿宋" w:hAnsi="仿宋" w:eastAsia="仿宋"/>
          <w:b/>
          <w:color w:val="auto"/>
          <w:sz w:val="32"/>
          <w:szCs w:val="32"/>
          <w:highlight w:val="none"/>
          <w:lang w:val="en-US" w:eastAsia="zh-CN"/>
        </w:rPr>
      </w:pPr>
      <w:r>
        <w:rPr>
          <w:rStyle w:val="14"/>
          <w:rFonts w:hint="eastAsia" w:ascii="仿宋" w:hAnsi="仿宋" w:eastAsia="仿宋"/>
          <w:bCs/>
          <w:color w:val="auto"/>
          <w:sz w:val="32"/>
          <w:szCs w:val="32"/>
          <w:highlight w:val="none"/>
          <w:lang w:val="en-US" w:eastAsia="zh-CN"/>
        </w:rPr>
        <w:t>8</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交通运输支出（类）公路水路运输（款）航道维护（项）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891.54</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w:t>
      </w:r>
      <w:r>
        <w:rPr>
          <w:rStyle w:val="14"/>
          <w:rFonts w:hint="eastAsia" w:ascii="仿宋" w:hAnsi="仿宋" w:eastAsia="仿宋"/>
          <w:b w:val="0"/>
          <w:bCs/>
          <w:color w:val="auto"/>
          <w:sz w:val="32"/>
          <w:szCs w:val="32"/>
          <w:highlight w:val="none"/>
          <w:lang w:val="en-US" w:eastAsia="zh-CN"/>
        </w:rPr>
        <w:t>。</w:t>
      </w:r>
    </w:p>
    <w:p>
      <w:pPr>
        <w:spacing w:line="600" w:lineRule="exact"/>
        <w:ind w:firstLine="643" w:firstLineChars="200"/>
        <w:rPr>
          <w:rFonts w:ascii="仿宋" w:hAnsi="仿宋" w:eastAsia="仿宋"/>
          <w:b/>
          <w:color w:val="auto"/>
          <w:sz w:val="32"/>
          <w:szCs w:val="32"/>
          <w:highlight w:val="none"/>
        </w:rPr>
      </w:pPr>
      <w:r>
        <w:rPr>
          <w:rStyle w:val="14"/>
          <w:rFonts w:hint="eastAsia" w:ascii="仿宋" w:hAnsi="仿宋" w:eastAsia="仿宋"/>
          <w:bCs/>
          <w:color w:val="auto"/>
          <w:sz w:val="32"/>
          <w:szCs w:val="32"/>
          <w:highlight w:val="none"/>
          <w:lang w:val="en-US" w:eastAsia="zh-CN"/>
        </w:rPr>
        <w:t>9</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交通运输支出（类）公路水路运输（款）其他公路水路运输支出（项）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256.42</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79.76</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，决算数小于预算数的主要原因是</w:t>
      </w:r>
      <w:r>
        <w:rPr>
          <w:rStyle w:val="14"/>
          <w:rFonts w:hint="eastAsia" w:ascii="仿宋" w:hAnsi="仿宋" w:eastAsia="仿宋"/>
          <w:b w:val="0"/>
          <w:bCs/>
          <w:color w:val="auto"/>
          <w:sz w:val="32"/>
          <w:szCs w:val="32"/>
          <w:highlight w:val="none"/>
          <w:lang w:val="en-US" w:eastAsia="zh-CN"/>
        </w:rPr>
        <w:t>信息化项目建设未完成，按照建设进度支付资金，65.06万元资金结转下年</w:t>
      </w:r>
      <w:r>
        <w:rPr>
          <w:rStyle w:val="14"/>
          <w:rFonts w:hint="eastAsia" w:ascii="仿宋" w:hAnsi="仿宋" w:eastAsia="仿宋"/>
          <w:b w:val="0"/>
          <w:bCs/>
          <w:color w:val="auto"/>
          <w:sz w:val="32"/>
          <w:szCs w:val="32"/>
          <w:highlight w:val="none"/>
        </w:rPr>
        <w:t>。</w:t>
      </w:r>
    </w:p>
    <w:p>
      <w:pPr>
        <w:spacing w:line="600" w:lineRule="exact"/>
        <w:ind w:firstLine="643" w:firstLineChars="200"/>
        <w:rPr>
          <w:rFonts w:hint="default" w:ascii="仿宋" w:hAnsi="仿宋" w:eastAsia="仿宋"/>
          <w:b/>
          <w:color w:val="auto"/>
          <w:sz w:val="32"/>
          <w:szCs w:val="32"/>
          <w:highlight w:val="none"/>
          <w:lang w:val="en-US" w:eastAsia="zh-CN"/>
        </w:rPr>
      </w:pPr>
      <w:r>
        <w:rPr>
          <w:rStyle w:val="14"/>
          <w:rFonts w:ascii="仿宋" w:hAnsi="仿宋" w:eastAsia="仿宋"/>
          <w:bCs/>
          <w:color w:val="auto"/>
          <w:sz w:val="32"/>
          <w:szCs w:val="32"/>
          <w:highlight w:val="none"/>
        </w:rPr>
        <w:t>1</w:t>
      </w:r>
      <w:r>
        <w:rPr>
          <w:rStyle w:val="14"/>
          <w:rFonts w:hint="eastAsia" w:ascii="仿宋" w:hAnsi="仿宋" w:eastAsia="仿宋"/>
          <w:bCs/>
          <w:color w:val="auto"/>
          <w:sz w:val="32"/>
          <w:szCs w:val="32"/>
          <w:highlight w:val="none"/>
          <w:lang w:val="en-US" w:eastAsia="zh-CN"/>
        </w:rPr>
        <w:t>0</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住房</w:t>
      </w:r>
      <w:r>
        <w:rPr>
          <w:rStyle w:val="14"/>
          <w:rFonts w:hint="eastAsia" w:ascii="仿宋" w:hAnsi="仿宋" w:eastAsia="仿宋"/>
          <w:bCs/>
          <w:color w:val="auto"/>
          <w:sz w:val="32"/>
          <w:szCs w:val="32"/>
          <w:highlight w:val="none"/>
          <w:lang w:val="en-US" w:eastAsia="zh-CN"/>
        </w:rPr>
        <w:t>保障</w:t>
      </w:r>
      <w:r>
        <w:rPr>
          <w:rStyle w:val="14"/>
          <w:rFonts w:hint="eastAsia" w:ascii="仿宋" w:hAnsi="仿宋" w:eastAsia="仿宋"/>
          <w:bCs/>
          <w:color w:val="auto"/>
          <w:sz w:val="32"/>
          <w:szCs w:val="32"/>
          <w:highlight w:val="none"/>
        </w:rPr>
        <w:t>支出（类）住房</w:t>
      </w:r>
      <w:r>
        <w:rPr>
          <w:rStyle w:val="14"/>
          <w:rFonts w:hint="eastAsia" w:ascii="仿宋" w:hAnsi="仿宋" w:eastAsia="仿宋"/>
          <w:bCs/>
          <w:color w:val="auto"/>
          <w:sz w:val="32"/>
          <w:szCs w:val="32"/>
          <w:highlight w:val="none"/>
          <w:lang w:val="en-US" w:eastAsia="zh-CN"/>
        </w:rPr>
        <w:t>改革</w:t>
      </w:r>
      <w:r>
        <w:rPr>
          <w:rStyle w:val="14"/>
          <w:rFonts w:hint="eastAsia" w:ascii="仿宋" w:hAnsi="仿宋" w:eastAsia="仿宋"/>
          <w:bCs/>
          <w:color w:val="auto"/>
          <w:sz w:val="32"/>
          <w:szCs w:val="32"/>
          <w:highlight w:val="none"/>
        </w:rPr>
        <w:t>支出（款）住房公积金（项）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25.29</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w:t>
      </w:r>
      <w:r>
        <w:rPr>
          <w:rStyle w:val="14"/>
          <w:rFonts w:hint="eastAsia" w:ascii="仿宋" w:hAnsi="仿宋" w:eastAsia="仿宋"/>
          <w:b w:val="0"/>
          <w:bCs/>
          <w:color w:val="auto"/>
          <w:sz w:val="32"/>
          <w:szCs w:val="32"/>
          <w:highlight w:val="none"/>
          <w:lang w:val="en-US" w:eastAsia="zh-CN"/>
        </w:rPr>
        <w:t>。</w:t>
      </w:r>
    </w:p>
    <w:p>
      <w:pPr>
        <w:tabs>
          <w:tab w:val="right" w:pos="8306"/>
        </w:tabs>
        <w:spacing w:line="600" w:lineRule="exact"/>
        <w:ind w:firstLine="640"/>
        <w:outlineLvl w:val="1"/>
        <w:rPr>
          <w:rStyle w:val="25"/>
          <w:color w:val="auto"/>
          <w:highlight w:val="none"/>
        </w:rPr>
      </w:pPr>
      <w:bookmarkStart w:id="50" w:name="_Toc5692"/>
      <w:bookmarkStart w:id="51" w:name="_Toc15396608"/>
      <w:bookmarkStart w:id="52"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bookmarkEnd w:id="50"/>
      <w:bookmarkEnd w:id="51"/>
      <w:bookmarkEnd w:id="52"/>
      <w:r>
        <w:rPr>
          <w:rStyle w:val="25"/>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416.74</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368.67</w:t>
      </w:r>
      <w:r>
        <w:rPr>
          <w:rFonts w:hint="eastAsia" w:ascii="仿宋" w:hAnsi="仿宋" w:eastAsia="仿宋"/>
          <w:color w:val="auto"/>
          <w:sz w:val="32"/>
          <w:szCs w:val="32"/>
          <w:highlight w:val="none"/>
        </w:rPr>
        <w:t>万元，主要包括：基本工资、津贴补贴、奖金、机关事业单位基本养老保险缴费、职业年金缴费、</w:t>
      </w:r>
      <w:r>
        <w:rPr>
          <w:rFonts w:hint="eastAsia" w:ascii="仿宋" w:hAnsi="仿宋" w:eastAsia="仿宋"/>
          <w:color w:val="auto"/>
          <w:sz w:val="32"/>
          <w:szCs w:val="32"/>
          <w:highlight w:val="none"/>
          <w:lang w:eastAsia="zh-CN"/>
        </w:rPr>
        <w:t>职工基本医疗保险缴费、</w:t>
      </w:r>
      <w:r>
        <w:rPr>
          <w:rFonts w:hint="eastAsia" w:ascii="仿宋" w:hAnsi="仿宋" w:eastAsia="仿宋"/>
          <w:color w:val="auto"/>
          <w:sz w:val="32"/>
          <w:szCs w:val="32"/>
          <w:highlight w:val="none"/>
        </w:rPr>
        <w:t>其他社会保障缴费、</w:t>
      </w:r>
      <w:r>
        <w:rPr>
          <w:rFonts w:hint="eastAsia" w:ascii="仿宋" w:hAnsi="仿宋" w:eastAsia="仿宋"/>
          <w:color w:val="auto"/>
          <w:sz w:val="32"/>
          <w:szCs w:val="32"/>
          <w:highlight w:val="none"/>
          <w:lang w:eastAsia="zh-CN"/>
        </w:rPr>
        <w:t>住房公积金、</w:t>
      </w:r>
      <w:r>
        <w:rPr>
          <w:rFonts w:hint="eastAsia" w:ascii="仿宋" w:hAnsi="仿宋" w:eastAsia="仿宋"/>
          <w:color w:val="auto"/>
          <w:sz w:val="32"/>
          <w:szCs w:val="32"/>
          <w:highlight w:val="none"/>
        </w:rPr>
        <w:t>其他工资福利支出、离休费、生活补助、奖励金等。</w:t>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48.07</w:t>
      </w:r>
      <w:r>
        <w:rPr>
          <w:rFonts w:hint="eastAsia" w:ascii="仿宋" w:hAnsi="仿宋" w:eastAsia="仿宋"/>
          <w:color w:val="auto"/>
          <w:sz w:val="32"/>
          <w:szCs w:val="32"/>
          <w:highlight w:val="none"/>
        </w:rPr>
        <w:t>万元，主要包括：办公费、咨询费、水费、电费、物业管理费、差旅费、维修（护）费、公务接待费、劳务费、工会经费、福利费、公务用车运行维护费、其他交通费、其他商品和服务支出等。</w:t>
      </w:r>
    </w:p>
    <w:p>
      <w:pPr>
        <w:spacing w:line="600" w:lineRule="exact"/>
        <w:ind w:firstLine="640"/>
        <w:outlineLvl w:val="1"/>
        <w:rPr>
          <w:rStyle w:val="25"/>
          <w:rFonts w:ascii="黑体" w:hAnsi="黑体" w:eastAsia="黑体"/>
          <w:b w:val="0"/>
          <w:color w:val="auto"/>
          <w:highlight w:val="none"/>
        </w:rPr>
      </w:pPr>
      <w:bookmarkStart w:id="53" w:name="_Toc15377215"/>
      <w:bookmarkStart w:id="54" w:name="_Toc28033"/>
      <w:bookmarkStart w:id="55" w:name="_Toc15396609"/>
      <w:r>
        <w:rPr>
          <w:rFonts w:hint="eastAsia" w:ascii="黑体" w:eastAsia="黑体"/>
          <w:color w:val="auto"/>
          <w:sz w:val="32"/>
          <w:szCs w:val="32"/>
          <w:highlight w:val="none"/>
        </w:rPr>
        <w:t>七、</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三公”经费财政拨款支出决算情况说明</w:t>
      </w:r>
      <w:bookmarkEnd w:id="53"/>
      <w:bookmarkEnd w:id="54"/>
      <w:bookmarkEnd w:id="55"/>
    </w:p>
    <w:p>
      <w:pPr>
        <w:spacing w:line="600" w:lineRule="exact"/>
        <w:ind w:firstLine="640"/>
        <w:outlineLvl w:val="2"/>
        <w:rPr>
          <w:rFonts w:ascii="仿宋" w:hAnsi="仿宋" w:eastAsia="仿宋"/>
          <w:b/>
          <w:color w:val="auto"/>
          <w:sz w:val="32"/>
          <w:szCs w:val="32"/>
          <w:highlight w:val="none"/>
        </w:rPr>
      </w:pPr>
      <w:bookmarkStart w:id="56" w:name="_Toc15377216"/>
      <w:bookmarkStart w:id="57" w:name="_Toc10911"/>
      <w:r>
        <w:rPr>
          <w:rFonts w:hint="eastAsia" w:ascii="仿宋" w:hAnsi="仿宋" w:eastAsia="仿宋"/>
          <w:b/>
          <w:color w:val="auto"/>
          <w:sz w:val="32"/>
          <w:szCs w:val="32"/>
          <w:highlight w:val="none"/>
        </w:rPr>
        <w:t>（一）“三公”经费财政拨款支出决算总体情况说明</w:t>
      </w:r>
      <w:bookmarkEnd w:id="56"/>
      <w:bookmarkEnd w:id="57"/>
    </w:p>
    <w:p>
      <w:pPr>
        <w:spacing w:line="600" w:lineRule="exact"/>
        <w:ind w:firstLine="640"/>
        <w:rPr>
          <w:rFonts w:hint="default"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3.67</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29.36</w:t>
      </w:r>
      <w:r>
        <w:rPr>
          <w:rFonts w:ascii="仿宋" w:hAnsi="仿宋" w:eastAsia="仿宋"/>
          <w:color w:val="auto"/>
          <w:sz w:val="32"/>
          <w:szCs w:val="32"/>
          <w:highlight w:val="none"/>
        </w:rPr>
        <w:t>%</w:t>
      </w:r>
      <w:r>
        <w:rPr>
          <w:rFonts w:hint="eastAsia" w:ascii="仿宋" w:hAnsi="仿宋" w:eastAsia="仿宋"/>
          <w:color w:val="auto"/>
          <w:sz w:val="32"/>
          <w:szCs w:val="32"/>
          <w:highlight w:val="none"/>
        </w:rPr>
        <w:t>，决算数小于预算数的主要原因是</w:t>
      </w:r>
      <w:r>
        <w:rPr>
          <w:rFonts w:hint="eastAsia" w:ascii="仿宋" w:hAnsi="仿宋" w:eastAsia="仿宋"/>
          <w:color w:val="auto"/>
          <w:sz w:val="32"/>
          <w:szCs w:val="32"/>
          <w:highlight w:val="none"/>
          <w:lang w:val="en-US" w:eastAsia="zh-CN"/>
        </w:rPr>
        <w:t>机构改革后单位职能划出、车辆减少</w:t>
      </w:r>
      <w:r>
        <w:rPr>
          <w:rFonts w:hint="eastAsia" w:ascii="仿宋" w:hAnsi="仿宋" w:eastAsia="仿宋"/>
          <w:color w:val="auto"/>
          <w:sz w:val="32"/>
          <w:szCs w:val="32"/>
          <w:highlight w:val="none"/>
        </w:rPr>
        <w:t>。</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w:t>
      </w:r>
      <w:r>
        <w:rPr>
          <w:rFonts w:hint="eastAsia" w:ascii="仿宋" w:hAnsi="仿宋" w:eastAsia="仿宋"/>
          <w:color w:val="auto"/>
          <w:sz w:val="32"/>
          <w:szCs w:val="32"/>
          <w:highlight w:val="none"/>
          <w:lang w:eastAsia="zh-CN"/>
        </w:rPr>
        <w:t>较</w:t>
      </w:r>
      <w:r>
        <w:rPr>
          <w:rFonts w:hint="eastAsia" w:ascii="仿宋" w:hAnsi="仿宋" w:eastAsia="仿宋"/>
          <w:color w:val="auto"/>
          <w:sz w:val="32"/>
          <w:szCs w:val="32"/>
          <w:highlight w:val="none"/>
          <w:lang w:val="en-US" w:eastAsia="zh-CN"/>
        </w:rPr>
        <w:t>2020年减少6.66万元，下降64.47%，主要原因是机构改革后车辆划出，公务用车运行维护费支出减少。</w:t>
      </w:r>
    </w:p>
    <w:p>
      <w:pPr>
        <w:spacing w:line="600" w:lineRule="exact"/>
        <w:ind w:firstLine="640"/>
        <w:outlineLvl w:val="2"/>
        <w:rPr>
          <w:rFonts w:ascii="仿宋" w:hAnsi="仿宋" w:eastAsia="仿宋"/>
          <w:b/>
          <w:color w:val="auto"/>
          <w:sz w:val="32"/>
          <w:szCs w:val="32"/>
          <w:highlight w:val="none"/>
        </w:rPr>
      </w:pPr>
      <w:bookmarkStart w:id="58" w:name="_Toc434"/>
      <w:bookmarkStart w:id="59" w:name="_Toc15377217"/>
      <w:r>
        <w:rPr>
          <w:rFonts w:hint="eastAsia" w:ascii="仿宋" w:hAnsi="仿宋" w:eastAsia="仿宋"/>
          <w:b/>
          <w:color w:val="auto"/>
          <w:sz w:val="32"/>
          <w:szCs w:val="32"/>
          <w:highlight w:val="none"/>
        </w:rPr>
        <w:t>（二）“三公”经费财政拨款支出决算具体情况说明</w:t>
      </w:r>
      <w:bookmarkEnd w:id="58"/>
      <w:bookmarkEnd w:id="59"/>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万元；公务用车购置及运行维护费支出决算</w:t>
      </w:r>
      <w:r>
        <w:rPr>
          <w:rFonts w:hint="eastAsia" w:ascii="仿宋" w:hAnsi="仿宋" w:eastAsia="仿宋"/>
          <w:color w:val="auto"/>
          <w:sz w:val="32"/>
          <w:szCs w:val="32"/>
          <w:highlight w:val="none"/>
          <w:lang w:val="en-US" w:eastAsia="zh-CN"/>
        </w:rPr>
        <w:t>2.42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65.94</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1.25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34.06</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Style w:val="2"/>
      </w:pPr>
      <w:r>
        <w:rPr>
          <w:rFonts w:hint="eastAsia" w:eastAsia="仿宋"/>
          <w:lang w:eastAsia="zh-CN"/>
        </w:rPr>
        <w:drawing>
          <wp:inline distT="0" distB="0" distL="114300" distR="114300">
            <wp:extent cx="5080000" cy="3810000"/>
            <wp:effectExtent l="4445" t="4445" r="5715" b="1079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pPr>
        <w:spacing w:line="600" w:lineRule="exact"/>
        <w:ind w:firstLine="640"/>
        <w:rPr>
          <w:rFonts w:hint="eastAsia" w:eastAsia="仿宋_GB2312"/>
          <w:lang w:eastAsia="zh-CN"/>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w:t>
      </w:r>
      <w:r>
        <w:rPr>
          <w:rFonts w:hint="eastAsia" w:ascii="仿宋_GB2312" w:eastAsia="仿宋_GB2312"/>
          <w:b/>
          <w:color w:val="auto"/>
          <w:sz w:val="32"/>
          <w:szCs w:val="32"/>
          <w:highlight w:val="none"/>
          <w:lang w:eastAsia="zh-CN"/>
        </w:rPr>
        <w:t>（境）</w:t>
      </w:r>
      <w:r>
        <w:rPr>
          <w:rFonts w:hint="eastAsia" w:ascii="仿宋_GB2312" w:eastAsia="仿宋_GB2312"/>
          <w:b/>
          <w:color w:val="auto"/>
          <w:sz w:val="32"/>
          <w:szCs w:val="32"/>
          <w:highlight w:val="none"/>
        </w:rPr>
        <w:t>经费</w:t>
      </w:r>
      <w:r>
        <w:rPr>
          <w:rFonts w:hint="eastAsia" w:ascii="仿宋_GB2312" w:eastAsia="仿宋_GB2312"/>
          <w:b/>
          <w:color w:val="auto"/>
          <w:sz w:val="32"/>
          <w:szCs w:val="32"/>
          <w:highlight w:val="none"/>
          <w:lang w:val="en-US" w:eastAsia="zh-CN"/>
        </w:rPr>
        <w:t>支出</w:t>
      </w:r>
      <w:r>
        <w:rPr>
          <w:rFonts w:hint="eastAsia" w:ascii="仿宋_GB2312" w:eastAsia="仿宋_GB2312"/>
          <w:b w:val="0"/>
          <w:bCs/>
          <w:color w:val="auto"/>
          <w:sz w:val="32"/>
          <w:szCs w:val="32"/>
          <w:highlight w:val="none"/>
        </w:rPr>
        <w:t>0万元</w:t>
      </w:r>
      <w:r>
        <w:rPr>
          <w:rFonts w:hint="eastAsia" w:ascii="仿宋_GB2312" w:eastAsia="仿宋_GB2312"/>
          <w:b/>
          <w:color w:val="auto"/>
          <w:sz w:val="32"/>
          <w:szCs w:val="32"/>
          <w:highlight w:val="none"/>
        </w:rPr>
        <w:t>，</w:t>
      </w:r>
      <w:r>
        <w:rPr>
          <w:rFonts w:hint="eastAsia" w:ascii="仿宋_GB2312" w:eastAsia="仿宋_GB2312"/>
          <w:b w:val="0"/>
          <w:bCs/>
          <w:color w:val="auto"/>
          <w:sz w:val="32"/>
          <w:szCs w:val="32"/>
          <w:highlight w:val="none"/>
          <w:lang w:eastAsia="zh-CN"/>
        </w:rPr>
        <w:t>当年未安排因公出国（境）经费预算，支出决算较上年无变化。</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2.42</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22</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7.31</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75.13</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机构改革车辆划出</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val="en-US" w:eastAsia="zh-CN"/>
        </w:rPr>
        <w:t>其中轿车1辆</w:t>
      </w:r>
      <w:r>
        <w:rPr>
          <w:rFonts w:hint="eastAsia" w:ascii="仿宋_GB2312" w:eastAsia="仿宋_GB2312"/>
          <w:color w:val="auto"/>
          <w:sz w:val="32"/>
          <w:szCs w:val="32"/>
          <w:highlight w:val="none"/>
        </w:rPr>
        <w:t>。</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2.42</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val="en-US" w:eastAsia="zh-CN"/>
        </w:rPr>
        <w:t>日常公务出行</w:t>
      </w:r>
      <w:r>
        <w:rPr>
          <w:rFonts w:hint="eastAsia" w:ascii="仿宋_GB2312" w:eastAsia="仿宋_GB2312"/>
          <w:color w:val="auto"/>
          <w:sz w:val="32"/>
          <w:szCs w:val="32"/>
          <w:highlight w:val="none"/>
        </w:rPr>
        <w:t>等所需的公务用车燃料费、维修费、过路过桥费、保险费等支出。</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1.25</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83.33</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0.6万元</w:t>
      </w:r>
      <w:r>
        <w:rPr>
          <w:rFonts w:hint="eastAsia" w:ascii="仿宋_GB2312" w:eastAsia="仿宋_GB2312"/>
          <w:color w:val="auto"/>
          <w:sz w:val="32"/>
          <w:szCs w:val="32"/>
          <w:highlight w:val="none"/>
        </w:rPr>
        <w:t>增加</w:t>
      </w:r>
      <w:r>
        <w:rPr>
          <w:rFonts w:hint="eastAsia" w:ascii="仿宋_GB2312" w:eastAsia="仿宋_GB2312"/>
          <w:color w:val="auto"/>
          <w:sz w:val="32"/>
          <w:szCs w:val="32"/>
          <w:highlight w:val="none"/>
          <w:lang w:val="en-US" w:eastAsia="zh-CN"/>
        </w:rPr>
        <w:t>0.65</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108.33</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疫情缓和，接待人次增多</w:t>
      </w:r>
      <w:r>
        <w:rPr>
          <w:rFonts w:hint="eastAsia" w:ascii="仿宋_GB2312" w:eastAsia="仿宋_GB2312"/>
          <w:color w:val="auto"/>
          <w:sz w:val="32"/>
          <w:szCs w:val="32"/>
          <w:highlight w:val="none"/>
        </w:rPr>
        <w:t>。其中：</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1.25</w:t>
      </w:r>
      <w:r>
        <w:rPr>
          <w:rFonts w:hint="eastAsia" w:ascii="仿宋_GB2312" w:eastAsia="仿宋_GB2312"/>
          <w:color w:val="auto"/>
          <w:sz w:val="32"/>
          <w:szCs w:val="32"/>
          <w:highlight w:val="none"/>
        </w:rPr>
        <w:t>万元，主要用于执行公务用餐费等。国内公务接待</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108</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1.25</w:t>
      </w:r>
      <w:r>
        <w:rPr>
          <w:rFonts w:hint="eastAsia" w:ascii="仿宋_GB2312" w:eastAsia="仿宋_GB2312"/>
          <w:color w:val="auto"/>
          <w:sz w:val="32"/>
          <w:szCs w:val="32"/>
          <w:highlight w:val="none"/>
        </w:rPr>
        <w:t>万元，具体内容包括：</w:t>
      </w:r>
      <w:r>
        <w:rPr>
          <w:rFonts w:hint="eastAsia" w:ascii="仿宋_GB2312" w:eastAsia="仿宋_GB2312"/>
          <w:color w:val="auto"/>
          <w:sz w:val="32"/>
          <w:szCs w:val="32"/>
          <w:highlight w:val="none"/>
          <w:lang w:val="en-US" w:eastAsia="zh-CN"/>
        </w:rPr>
        <w:t>省航务局来广安全督查，支出0.07万元。省交通运输厅安全检查，支出0.04万元。南充市航务管理局考察学习水上应急救助项目建设，支出0.15万元。部水运局调研嘉陵江通航建筑物联合调度，支出0.33万元。省交通厅调研水路交通情况，支出0.20万元。乐山市港航发展中心来广交流，支出0.15万元。省海事局来广调研海事情况，支出0.18万元。泸州市交通运输局来广交流，支出0.13万元。</w:t>
      </w:r>
    </w:p>
    <w:p>
      <w:pPr>
        <w:spacing w:line="600" w:lineRule="exact"/>
        <w:ind w:firstLine="643" w:firstLineChars="200"/>
        <w:rPr>
          <w:rFonts w:hint="eastAsia" w:ascii="仿宋_GB2312" w:eastAsia="仿宋_GB2312"/>
          <w:color w:val="auto"/>
          <w:sz w:val="32"/>
          <w:szCs w:val="32"/>
          <w:highlight w:val="none"/>
          <w:lang w:val="en-US" w:eastAsia="zh-CN"/>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pPr>
        <w:spacing w:line="600" w:lineRule="exact"/>
        <w:ind w:firstLine="640"/>
        <w:outlineLvl w:val="1"/>
        <w:rPr>
          <w:rStyle w:val="25"/>
          <w:rFonts w:hint="default" w:ascii="黑体" w:hAnsi="黑体" w:eastAsia="黑体"/>
          <w:color w:val="auto"/>
          <w:highlight w:val="none"/>
          <w:lang w:val="en-US" w:eastAsia="zh-CN"/>
        </w:rPr>
      </w:pPr>
      <w:bookmarkStart w:id="60" w:name="_Toc15396610"/>
      <w:bookmarkStart w:id="61" w:name="_Toc2981"/>
      <w:bookmarkStart w:id="62" w:name="_Toc15377218"/>
      <w:r>
        <w:rPr>
          <w:rFonts w:hint="eastAsia" w:ascii="黑体" w:eastAsia="黑体"/>
          <w:color w:val="auto"/>
          <w:sz w:val="32"/>
          <w:szCs w:val="32"/>
          <w:highlight w:val="none"/>
        </w:rPr>
        <w:t>八、</w:t>
      </w:r>
      <w:r>
        <w:rPr>
          <w:rStyle w:val="25"/>
          <w:rFonts w:hint="eastAsia" w:ascii="黑体" w:hAnsi="黑体" w:eastAsia="黑体"/>
          <w:b w:val="0"/>
          <w:color w:val="auto"/>
          <w:highlight w:val="none"/>
        </w:rPr>
        <w:t>政府性基金预算支出决算情况说明</w:t>
      </w:r>
      <w:bookmarkEnd w:id="60"/>
      <w:bookmarkEnd w:id="61"/>
      <w:bookmarkEnd w:id="62"/>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248.19</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5"/>
          <w:rFonts w:ascii="黑体" w:hAnsi="黑体" w:eastAsia="黑体"/>
          <w:b w:val="0"/>
          <w:color w:val="auto"/>
          <w:highlight w:val="none"/>
        </w:rPr>
      </w:pPr>
      <w:bookmarkStart w:id="63" w:name="_Toc15377219"/>
      <w:bookmarkStart w:id="64" w:name="_Toc15396611"/>
      <w:bookmarkStart w:id="65" w:name="_Toc20727"/>
      <w:r>
        <w:rPr>
          <w:rStyle w:val="25"/>
          <w:rFonts w:hint="eastAsia" w:ascii="黑体" w:hAnsi="黑体" w:eastAsia="黑体"/>
          <w:b w:val="0"/>
          <w:color w:val="auto"/>
          <w:highlight w:val="none"/>
        </w:rPr>
        <w:t>国有资本经营预算支出决算情况说明</w:t>
      </w:r>
      <w:bookmarkEnd w:id="63"/>
      <w:bookmarkEnd w:id="64"/>
      <w:bookmarkEnd w:id="65"/>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5"/>
          <w:rFonts w:hint="eastAsia" w:ascii="黑体" w:hAnsi="黑体" w:eastAsia="黑体"/>
          <w:b w:val="0"/>
          <w:color w:val="auto"/>
          <w:highlight w:val="none"/>
        </w:rPr>
      </w:pPr>
      <w:bookmarkStart w:id="66" w:name="_Toc25969"/>
      <w:bookmarkStart w:id="67" w:name="_Toc15377221"/>
      <w:bookmarkStart w:id="68" w:name="_Toc15396612"/>
      <w:r>
        <w:rPr>
          <w:rStyle w:val="25"/>
          <w:rFonts w:hint="eastAsia" w:ascii="黑体" w:hAnsi="黑体" w:eastAsia="黑体"/>
          <w:b w:val="0"/>
          <w:color w:val="auto"/>
          <w:highlight w:val="none"/>
          <w:lang w:val="en-US" w:eastAsia="zh-CN"/>
        </w:rPr>
        <w:t>预算绩效管理情况</w:t>
      </w:r>
      <w:bookmarkEnd w:id="66"/>
    </w:p>
    <w:p>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根据预算绩效管理要求，本部门在2021年度预算编制阶段，组织对船舶检验与修造管理专项工作经费项目（项目名称）等</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个项目开展了预算事前绩效评估，对</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个项目编制了绩效目标，预算执行过程中，选取8个项目开展绩效监控，年终执行完毕后，对8个项目开展了绩效自评。（有追加项目）同时，本部门对2021年部门整体开展绩效自评，</w:t>
      </w:r>
      <w:r>
        <w:rPr>
          <w:rFonts w:hint="eastAsia" w:ascii="仿宋_GB2312" w:hAnsi="仿宋_GB2312" w:eastAsia="仿宋_GB2312" w:cs="仿宋_GB2312"/>
          <w:color w:val="auto"/>
          <w:sz w:val="32"/>
          <w:szCs w:val="32"/>
          <w:highlight w:val="none"/>
          <w:lang w:val="en-US" w:eastAsia="zh-CN"/>
        </w:rPr>
        <w:t>2021年部门预算项目绩效目标自评表见附件（第四部分）</w:t>
      </w:r>
      <w:r>
        <w:rPr>
          <w:rFonts w:hint="eastAsia" w:ascii="仿宋_GB2312" w:hAnsi="仿宋_GB2312" w:eastAsia="仿宋_GB2312" w:cs="仿宋_GB2312"/>
          <w:color w:val="auto"/>
          <w:sz w:val="32"/>
          <w:szCs w:val="32"/>
          <w:highlight w:val="none"/>
        </w:rPr>
        <w:t>。</w:t>
      </w:r>
    </w:p>
    <w:p>
      <w:pPr>
        <w:numPr>
          <w:ilvl w:val="0"/>
          <w:numId w:val="3"/>
        </w:numPr>
        <w:spacing w:line="600" w:lineRule="exact"/>
        <w:ind w:firstLine="640"/>
        <w:outlineLvl w:val="1"/>
        <w:rPr>
          <w:rStyle w:val="25"/>
          <w:rFonts w:hint="eastAsia" w:ascii="黑体" w:hAnsi="黑体" w:eastAsia="黑体"/>
          <w:b w:val="0"/>
          <w:color w:val="auto"/>
          <w:highlight w:val="none"/>
        </w:rPr>
      </w:pPr>
      <w:bookmarkStart w:id="69" w:name="_Toc4323"/>
      <w:r>
        <w:rPr>
          <w:rStyle w:val="25"/>
          <w:rFonts w:hint="eastAsia" w:ascii="黑体" w:hAnsi="黑体" w:eastAsia="黑体"/>
          <w:b w:val="0"/>
          <w:color w:val="auto"/>
          <w:highlight w:val="none"/>
        </w:rPr>
        <w:t>其他重要事项的情况说明</w:t>
      </w:r>
      <w:bookmarkEnd w:id="67"/>
      <w:bookmarkEnd w:id="68"/>
      <w:bookmarkEnd w:id="69"/>
    </w:p>
    <w:p>
      <w:pPr>
        <w:spacing w:line="600" w:lineRule="exact"/>
        <w:ind w:firstLine="643" w:firstLineChars="200"/>
        <w:outlineLvl w:val="2"/>
        <w:rPr>
          <w:rFonts w:ascii="仿宋" w:hAnsi="仿宋" w:eastAsia="仿宋"/>
          <w:color w:val="auto"/>
          <w:sz w:val="32"/>
          <w:szCs w:val="32"/>
          <w:highlight w:val="none"/>
        </w:rPr>
      </w:pPr>
      <w:bookmarkStart w:id="70" w:name="_Toc15377222"/>
      <w:bookmarkStart w:id="71" w:name="_Toc20827"/>
      <w:r>
        <w:rPr>
          <w:rFonts w:hint="eastAsia" w:ascii="仿宋" w:hAnsi="仿宋" w:eastAsia="仿宋"/>
          <w:b/>
          <w:color w:val="auto"/>
          <w:sz w:val="32"/>
          <w:szCs w:val="32"/>
          <w:highlight w:val="none"/>
        </w:rPr>
        <w:t>（一）机关运行经费支出情况</w:t>
      </w:r>
      <w:bookmarkEnd w:id="70"/>
      <w:bookmarkEnd w:id="71"/>
    </w:p>
    <w:p>
      <w:pPr>
        <w:spacing w:line="600" w:lineRule="exact"/>
        <w:ind w:firstLine="640" w:firstLineChars="200"/>
        <w:rPr>
          <w:rFonts w:hint="default" w:ascii="仿宋_GB2312" w:eastAsia="仿宋_GB2312"/>
          <w:color w:val="auto"/>
          <w:sz w:val="32"/>
          <w:szCs w:val="32"/>
          <w:highlight w:val="none"/>
          <w:lang w:val="en-US"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广元市港航发展中心</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48.07</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67.81万元</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19.74</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val="en-US" w:eastAsia="zh-CN"/>
        </w:rPr>
        <w:t>29.11</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机构改革人员减少，持续做好过紧日子政策要求。</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2" w:name="_Toc15377223"/>
      <w:bookmarkStart w:id="73" w:name="_Toc3897"/>
      <w:r>
        <w:rPr>
          <w:rFonts w:hint="eastAsia" w:ascii="仿宋" w:hAnsi="仿宋" w:eastAsia="仿宋"/>
          <w:b/>
          <w:color w:val="auto"/>
          <w:sz w:val="32"/>
          <w:szCs w:val="32"/>
          <w:highlight w:val="none"/>
        </w:rPr>
        <w:t>（二）政府采购支出情况</w:t>
      </w:r>
      <w:bookmarkEnd w:id="72"/>
      <w:bookmarkEnd w:id="73"/>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广元市港航发展中心</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39.55</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39.55</w:t>
      </w:r>
      <w:r>
        <w:rPr>
          <w:rFonts w:hint="eastAsia" w:ascii="仿宋_GB2312" w:eastAsia="仿宋_GB2312"/>
          <w:color w:val="auto"/>
          <w:sz w:val="32"/>
          <w:szCs w:val="32"/>
          <w:highlight w:val="none"/>
        </w:rPr>
        <w:t>万元。主要用于水上交通安全监测综合信息系统计算机存储资源采购。授予中小企业合同金额</w:t>
      </w:r>
      <w:r>
        <w:rPr>
          <w:rFonts w:hint="eastAsia" w:ascii="仿宋_GB2312" w:eastAsia="仿宋_GB2312"/>
          <w:color w:val="auto"/>
          <w:sz w:val="32"/>
          <w:szCs w:val="32"/>
          <w:highlight w:val="none"/>
          <w:lang w:val="en-US" w:eastAsia="zh-CN"/>
        </w:rPr>
        <w:t>39.55</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100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39.55</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100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4" w:name="_Toc16574"/>
      <w:bookmarkStart w:id="75" w:name="_Toc15377224"/>
      <w:r>
        <w:rPr>
          <w:rFonts w:hint="eastAsia" w:ascii="仿宋" w:hAnsi="仿宋" w:eastAsia="仿宋"/>
          <w:b/>
          <w:color w:val="auto"/>
          <w:sz w:val="32"/>
          <w:szCs w:val="32"/>
          <w:highlight w:val="none"/>
        </w:rPr>
        <w:t>（三）国有资产占有使用情况</w:t>
      </w:r>
      <w:bookmarkEnd w:id="74"/>
      <w:bookmarkEnd w:id="75"/>
    </w:p>
    <w:p>
      <w:pPr>
        <w:autoSpaceDE w:val="0"/>
        <w:autoSpaceDN w:val="0"/>
        <w:adjustRightInd w:val="0"/>
        <w:spacing w:line="600" w:lineRule="exact"/>
        <w:ind w:firstLine="640" w:firstLineChars="200"/>
        <w:jc w:val="left"/>
        <w:rPr>
          <w:highlight w:val="yellow"/>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广元市港航发展中心</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辆，其中：其他用车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其他用车主要是用于</w:t>
      </w:r>
      <w:r>
        <w:rPr>
          <w:rFonts w:hint="eastAsia" w:ascii="仿宋_GB2312" w:eastAsia="仿宋_GB2312"/>
          <w:color w:val="auto"/>
          <w:sz w:val="32"/>
          <w:szCs w:val="32"/>
          <w:highlight w:val="none"/>
          <w:lang w:val="en-US" w:eastAsia="zh-CN"/>
        </w:rPr>
        <w:t>保障出差检查工作及应急抢险。</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4"/>
        </w:numPr>
        <w:spacing w:line="600" w:lineRule="exact"/>
        <w:ind w:firstLine="660" w:firstLineChars="150"/>
        <w:jc w:val="center"/>
        <w:outlineLvl w:val="0"/>
        <w:rPr>
          <w:rStyle w:val="24"/>
          <w:rFonts w:ascii="黑体" w:hAnsi="黑体" w:eastAsia="黑体"/>
          <w:b w:val="0"/>
          <w:color w:val="auto"/>
          <w:highlight w:val="none"/>
        </w:rPr>
      </w:pPr>
      <w:bookmarkStart w:id="76" w:name="_Toc15377225"/>
      <w:bookmarkStart w:id="77" w:name="_Toc28673"/>
      <w:bookmarkStart w:id="78" w:name="_Toc15396613"/>
      <w:r>
        <w:rPr>
          <w:rFonts w:hint="eastAsia" w:ascii="黑体" w:hAnsi="黑体" w:eastAsia="黑体"/>
          <w:color w:val="auto"/>
          <w:sz w:val="44"/>
          <w:szCs w:val="44"/>
          <w:highlight w:val="none"/>
        </w:rPr>
        <w:t>名</w:t>
      </w:r>
      <w:r>
        <w:rPr>
          <w:rStyle w:val="24"/>
          <w:rFonts w:hint="eastAsia" w:ascii="黑体" w:hAnsi="黑体" w:eastAsia="黑体"/>
          <w:b w:val="0"/>
          <w:color w:val="auto"/>
          <w:highlight w:val="none"/>
        </w:rPr>
        <w:t>词解释</w:t>
      </w:r>
      <w:bookmarkEnd w:id="76"/>
      <w:bookmarkEnd w:id="77"/>
      <w:bookmarkEnd w:id="78"/>
    </w:p>
    <w:p>
      <w:pPr>
        <w:spacing w:line="600" w:lineRule="exact"/>
        <w:jc w:val="left"/>
        <w:rPr>
          <w:rFonts w:ascii="宋体"/>
          <w:b/>
          <w:color w:val="auto"/>
          <w:sz w:val="44"/>
          <w:szCs w:val="4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default" w:eastAsia="仿宋_GB2312"/>
          <w:lang w:val="en-US" w:eastAsia="zh-CN"/>
        </w:rPr>
      </w:pPr>
      <w:bookmarkStart w:id="79" w:name="_Toc29271"/>
      <w:bookmarkStart w:id="80" w:name="_Toc23756"/>
      <w:bookmarkStart w:id="81" w:name="_Toc15396614"/>
      <w:bookmarkStart w:id="82" w:name="_Toc15377226"/>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财政拨款收入：指单位从同级财政部门取得的财政预算资金。</w:t>
      </w:r>
      <w:bookmarkEnd w:id="7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eastAsia="仿宋_GB2312"/>
          <w:color w:val="auto"/>
          <w:sz w:val="32"/>
          <w:szCs w:val="32"/>
          <w:highlight w:val="none"/>
        </w:rPr>
      </w:pPr>
      <w:bookmarkStart w:id="83" w:name="_Toc1072"/>
      <w:r>
        <w:rPr>
          <w:rFonts w:hint="eastAsia" w:ascii="仿宋_GB2312" w:eastAsia="仿宋_GB2312"/>
          <w:color w:val="auto"/>
          <w:sz w:val="32"/>
          <w:szCs w:val="32"/>
          <w:highlight w:val="none"/>
        </w:rPr>
        <w:t>2.其他收入：指单位取得的除上述收入以外的各项收入</w:t>
      </w:r>
      <w:r>
        <w:rPr>
          <w:rFonts w:hint="eastAsia" w:ascii="仿宋_GB2312" w:eastAsia="仿宋_GB2312"/>
          <w:color w:val="auto"/>
          <w:sz w:val="32"/>
          <w:szCs w:val="32"/>
          <w:highlight w:val="none"/>
          <w:lang w:val="en-US" w:eastAsia="zh-CN"/>
        </w:rPr>
        <w:t>,主要是交通运输局拨水毁资金</w:t>
      </w:r>
      <w:r>
        <w:rPr>
          <w:rFonts w:hint="eastAsia" w:ascii="仿宋_GB2312" w:eastAsia="仿宋_GB2312"/>
          <w:color w:val="auto"/>
          <w:sz w:val="32"/>
          <w:szCs w:val="32"/>
          <w:highlight w:val="none"/>
        </w:rPr>
        <w:t>。</w:t>
      </w:r>
      <w:bookmarkEnd w:id="8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eastAsia="仿宋_GB2312"/>
          <w:color w:val="auto"/>
          <w:sz w:val="32"/>
          <w:szCs w:val="32"/>
          <w:highlight w:val="none"/>
        </w:rPr>
      </w:pPr>
      <w:bookmarkStart w:id="84" w:name="_Toc17288"/>
      <w:r>
        <w:rPr>
          <w:rFonts w:hint="eastAsia" w:ascii="仿宋_GB2312" w:eastAsia="仿宋_GB2312"/>
          <w:color w:val="auto"/>
          <w:sz w:val="32"/>
          <w:szCs w:val="32"/>
          <w:highlight w:val="none"/>
        </w:rPr>
        <w:t>3.年初结转和结余：指以前年度尚未完成、结转到本年按有关规定继续使用的资金。</w:t>
      </w:r>
      <w:bookmarkEnd w:id="84"/>
      <w:r>
        <w:rPr>
          <w:rFonts w:hint="eastAsia" w:ascii="仿宋_GB2312" w:eastAsia="仿宋_GB2312"/>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eastAsia="仿宋_GB2312"/>
          <w:color w:val="auto"/>
          <w:sz w:val="32"/>
          <w:szCs w:val="32"/>
          <w:highlight w:val="none"/>
        </w:rPr>
      </w:pPr>
      <w:bookmarkStart w:id="85" w:name="_Toc17995"/>
      <w:r>
        <w:rPr>
          <w:rFonts w:hint="eastAsia" w:ascii="仿宋_GB2312" w:eastAsia="仿宋_GB2312"/>
          <w:color w:val="auto"/>
          <w:sz w:val="32"/>
          <w:szCs w:val="32"/>
          <w:highlight w:val="none"/>
        </w:rPr>
        <w:t>4.年末结转和结余：指单位按有关规定结转到下年或以后年度继续使用的资金。</w:t>
      </w:r>
      <w:bookmarkEnd w:id="85"/>
      <w:r>
        <w:rPr>
          <w:rFonts w:hint="eastAsia" w:ascii="仿宋_GB2312" w:eastAsia="仿宋_GB2312"/>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0"/>
        <w:rPr>
          <w:rFonts w:hint="eastAsia" w:ascii="仿宋_GB2312" w:eastAsia="仿宋_GB2312"/>
          <w:color w:val="auto"/>
          <w:sz w:val="32"/>
          <w:szCs w:val="32"/>
          <w:highlight w:val="none"/>
        </w:rPr>
      </w:pPr>
      <w:bookmarkStart w:id="86" w:name="_Toc23884"/>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.社会保障和就业</w:t>
      </w:r>
      <w:r>
        <w:rPr>
          <w:rFonts w:hint="eastAsia" w:ascii="仿宋_GB2312" w:eastAsia="仿宋_GB2312"/>
          <w:color w:val="auto"/>
          <w:sz w:val="32"/>
          <w:szCs w:val="32"/>
          <w:highlight w:val="none"/>
          <w:lang w:eastAsia="zh-CN"/>
        </w:rPr>
        <w:t>支出</w:t>
      </w:r>
      <w:r>
        <w:rPr>
          <w:rFonts w:hint="eastAsia" w:ascii="仿宋_GB2312" w:eastAsia="仿宋_GB2312"/>
          <w:color w:val="auto"/>
          <w:sz w:val="32"/>
          <w:szCs w:val="32"/>
          <w:highlight w:val="none"/>
        </w:rPr>
        <w:t>（类）行政事业单位养老支出（款）事业单位离退休（项）：反映事业单位开支的离退休经费。</w:t>
      </w:r>
      <w:bookmarkEnd w:id="8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0"/>
        <w:rPr>
          <w:rFonts w:hint="eastAsia" w:ascii="仿宋_GB2312" w:eastAsia="仿宋_GB2312"/>
          <w:color w:val="auto"/>
          <w:sz w:val="32"/>
          <w:szCs w:val="32"/>
          <w:highlight w:val="none"/>
          <w:lang w:val="en-US" w:eastAsia="zh-CN"/>
        </w:rPr>
      </w:pPr>
      <w:bookmarkStart w:id="87" w:name="_Toc9513"/>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社会保障和就业</w:t>
      </w:r>
      <w:r>
        <w:rPr>
          <w:rFonts w:hint="eastAsia" w:ascii="仿宋_GB2312" w:eastAsia="仿宋_GB2312"/>
          <w:color w:val="auto"/>
          <w:sz w:val="32"/>
          <w:szCs w:val="32"/>
          <w:highlight w:val="none"/>
          <w:lang w:eastAsia="zh-CN"/>
        </w:rPr>
        <w:t>支出</w:t>
      </w:r>
      <w:r>
        <w:rPr>
          <w:rFonts w:hint="eastAsia" w:ascii="仿宋_GB2312" w:eastAsia="仿宋_GB2312"/>
          <w:color w:val="auto"/>
          <w:sz w:val="32"/>
          <w:szCs w:val="32"/>
          <w:highlight w:val="none"/>
        </w:rPr>
        <w:t>（类）行政事业单位养老支出（款）机关事业单位基本养老保险缴费支出（项）：反映</w:t>
      </w:r>
      <w:r>
        <w:rPr>
          <w:rFonts w:hint="eastAsia" w:ascii="仿宋_GB2312" w:eastAsia="仿宋_GB2312"/>
          <w:color w:val="auto"/>
          <w:sz w:val="32"/>
          <w:szCs w:val="32"/>
          <w:highlight w:val="none"/>
          <w:lang w:eastAsia="zh-CN"/>
        </w:rPr>
        <w:t>机关事业单位实施养老保险制度由单位实际缴纳的基本养老保险费支出</w:t>
      </w:r>
      <w:r>
        <w:rPr>
          <w:rFonts w:hint="eastAsia" w:ascii="仿宋_GB2312" w:eastAsia="仿宋_GB2312"/>
          <w:color w:val="auto"/>
          <w:sz w:val="32"/>
          <w:szCs w:val="32"/>
          <w:highlight w:val="none"/>
        </w:rPr>
        <w:t>。</w:t>
      </w:r>
      <w:bookmarkEnd w:id="8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0"/>
        <w:rPr>
          <w:rFonts w:hint="eastAsia" w:ascii="仿宋_GB2312" w:eastAsia="仿宋_GB2312"/>
          <w:color w:val="auto"/>
          <w:sz w:val="32"/>
          <w:szCs w:val="32"/>
          <w:highlight w:val="none"/>
        </w:rPr>
      </w:pPr>
      <w:bookmarkStart w:id="88" w:name="_Toc65"/>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.社会保障和就业</w:t>
      </w:r>
      <w:r>
        <w:rPr>
          <w:rFonts w:hint="eastAsia" w:ascii="仿宋_GB2312" w:eastAsia="仿宋_GB2312"/>
          <w:color w:val="auto"/>
          <w:sz w:val="32"/>
          <w:szCs w:val="32"/>
          <w:highlight w:val="none"/>
          <w:lang w:eastAsia="zh-CN"/>
        </w:rPr>
        <w:t>支出</w:t>
      </w:r>
      <w:r>
        <w:rPr>
          <w:rFonts w:hint="eastAsia" w:ascii="仿宋_GB2312" w:eastAsia="仿宋_GB2312"/>
          <w:color w:val="auto"/>
          <w:sz w:val="32"/>
          <w:szCs w:val="32"/>
          <w:highlight w:val="none"/>
        </w:rPr>
        <w:t>（类）行政事业单位养老支出（款）机关事业单位职业年金缴费支出（项）：反映</w:t>
      </w:r>
      <w:r>
        <w:rPr>
          <w:rFonts w:hint="eastAsia" w:ascii="仿宋_GB2312" w:eastAsia="仿宋_GB2312"/>
          <w:color w:val="auto"/>
          <w:sz w:val="32"/>
          <w:szCs w:val="32"/>
          <w:highlight w:val="none"/>
          <w:lang w:eastAsia="zh-CN"/>
        </w:rPr>
        <w:t>行政事业单位实施养老保险制度由单位实际缴纳的职业年金支出</w:t>
      </w:r>
      <w:r>
        <w:rPr>
          <w:rFonts w:hint="eastAsia" w:ascii="仿宋_GB2312" w:eastAsia="仿宋_GB2312"/>
          <w:color w:val="auto"/>
          <w:sz w:val="32"/>
          <w:szCs w:val="32"/>
          <w:highlight w:val="none"/>
        </w:rPr>
        <w:t>。</w:t>
      </w:r>
      <w:bookmarkEnd w:id="8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0"/>
        <w:rPr>
          <w:rFonts w:hint="eastAsia" w:ascii="仿宋_GB2312" w:eastAsia="仿宋_GB2312"/>
          <w:color w:val="auto"/>
          <w:sz w:val="32"/>
          <w:szCs w:val="32"/>
          <w:highlight w:val="none"/>
        </w:rPr>
      </w:pPr>
      <w:bookmarkStart w:id="89" w:name="_Toc30753"/>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社会保障和就业</w:t>
      </w:r>
      <w:r>
        <w:rPr>
          <w:rFonts w:hint="eastAsia" w:ascii="仿宋_GB2312" w:eastAsia="仿宋_GB2312"/>
          <w:color w:val="auto"/>
          <w:sz w:val="32"/>
          <w:szCs w:val="32"/>
          <w:highlight w:val="none"/>
          <w:lang w:eastAsia="zh-CN"/>
        </w:rPr>
        <w:t>支出</w:t>
      </w:r>
      <w:r>
        <w:rPr>
          <w:rFonts w:hint="eastAsia" w:ascii="仿宋_GB2312" w:eastAsia="仿宋_GB2312"/>
          <w:color w:val="auto"/>
          <w:sz w:val="32"/>
          <w:szCs w:val="32"/>
          <w:highlight w:val="none"/>
        </w:rPr>
        <w:t>（类）其他社会保障和就业支出（款）其他社会保障和就业支出（项）：反映其他用于社会保障和就业方面的支出。</w:t>
      </w:r>
      <w:bookmarkEnd w:id="8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0"/>
        <w:rPr>
          <w:rFonts w:hint="eastAsia" w:ascii="仿宋_GB2312" w:eastAsia="仿宋_GB2312"/>
          <w:color w:val="auto"/>
          <w:sz w:val="32"/>
          <w:szCs w:val="32"/>
          <w:highlight w:val="none"/>
        </w:rPr>
      </w:pPr>
      <w:bookmarkStart w:id="90" w:name="_Toc24898"/>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卫生健康支出（类）行政事业单位医疗（款）事业单位医疗（项）：反映财政部门集中安排的事业单位基本医疗保险经费，未参加医疗保险的事业单位的公费医疗经费，按国家规定享受离休人员待遇人员的医疗经费。</w:t>
      </w:r>
      <w:bookmarkEnd w:id="9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0"/>
        <w:rPr>
          <w:rFonts w:hint="eastAsia" w:ascii="仿宋_GB2312" w:eastAsia="仿宋_GB2312"/>
          <w:color w:val="auto"/>
          <w:sz w:val="32"/>
          <w:szCs w:val="32"/>
          <w:highlight w:val="none"/>
        </w:rPr>
      </w:pPr>
      <w:bookmarkStart w:id="91" w:name="_Toc22938"/>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.交通运输支出（类）公路水路运输（款）行政运行（项）：反映行政单位（包括实行公务员管理的事业单位）的基本支出。</w:t>
      </w:r>
      <w:bookmarkEnd w:id="9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0"/>
        <w:rPr>
          <w:rFonts w:hint="eastAsia" w:ascii="仿宋_GB2312" w:eastAsia="仿宋_GB2312"/>
          <w:color w:val="auto"/>
          <w:sz w:val="32"/>
          <w:szCs w:val="32"/>
          <w:highlight w:val="none"/>
        </w:rPr>
      </w:pPr>
      <w:bookmarkStart w:id="92" w:name="_Toc17927"/>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.交通运输支出（类）公路水路运输（款）一般行政管理事务（项）：反映行政单位（包括实行公务员管理的事业单位）未单独设置项级科目的其他项目支出。</w:t>
      </w:r>
      <w:bookmarkEnd w:id="9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0"/>
        <w:rPr>
          <w:rFonts w:hint="eastAsia" w:ascii="仿宋_GB2312" w:eastAsia="仿宋_GB2312"/>
          <w:color w:val="auto"/>
          <w:sz w:val="32"/>
          <w:szCs w:val="32"/>
          <w:highlight w:val="none"/>
        </w:rPr>
      </w:pPr>
      <w:bookmarkStart w:id="93" w:name="_Toc1249"/>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.交通运输支出（类）公路水路运输（款）航道维护（项）：指内河航道整治、维护方面的支出。</w:t>
      </w:r>
      <w:bookmarkEnd w:id="9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0"/>
        <w:rPr>
          <w:rFonts w:hint="eastAsia" w:ascii="仿宋_GB2312" w:eastAsia="仿宋_GB2312"/>
          <w:color w:val="auto"/>
          <w:sz w:val="32"/>
          <w:szCs w:val="32"/>
          <w:highlight w:val="none"/>
        </w:rPr>
      </w:pPr>
      <w:bookmarkStart w:id="94" w:name="_Toc9316"/>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.交通运输支出（类）公路水路运输（款）其他公路水路运输支出（项）：反映其他用于公路水路运输方面的支出。</w:t>
      </w:r>
      <w:bookmarkEnd w:id="94"/>
    </w:p>
    <w:p>
      <w:pPr>
        <w:pStyle w:val="2"/>
        <w:ind w:firstLine="640" w:firstLineChars="200"/>
        <w:rPr>
          <w:rFonts w:hint="eastAsia" w:eastAsia="仿宋_GB2312"/>
          <w:lang w:eastAsia="zh-CN"/>
        </w:rPr>
      </w:pPr>
      <w:r>
        <w:rPr>
          <w:rFonts w:hint="eastAsia"/>
          <w:color w:val="auto"/>
          <w:sz w:val="32"/>
          <w:szCs w:val="32"/>
          <w:highlight w:val="none"/>
          <w:lang w:val="en-US" w:eastAsia="zh-CN"/>
        </w:rPr>
        <w:t>14.</w:t>
      </w:r>
      <w:r>
        <w:rPr>
          <w:rFonts w:hint="eastAsia" w:ascii="仿宋_GB2312" w:eastAsia="仿宋_GB2312"/>
          <w:color w:val="auto"/>
          <w:sz w:val="32"/>
          <w:szCs w:val="32"/>
          <w:highlight w:val="none"/>
        </w:rPr>
        <w:t>交通运输支出（类）</w:t>
      </w:r>
      <w:r>
        <w:rPr>
          <w:rFonts w:hint="eastAsia"/>
          <w:color w:val="auto"/>
          <w:sz w:val="32"/>
          <w:szCs w:val="32"/>
          <w:highlight w:val="none"/>
          <w:lang w:eastAsia="zh-CN"/>
        </w:rPr>
        <w:t>港口建设费安排的支出（款）航道建设和维护（项）：反映港口建设费安排用于航道整治、维护方面的支出。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0"/>
        <w:rPr>
          <w:rFonts w:hint="eastAsia" w:ascii="仿宋_GB2312" w:eastAsia="仿宋_GB2312"/>
          <w:color w:val="auto"/>
          <w:sz w:val="32"/>
          <w:szCs w:val="32"/>
          <w:highlight w:val="none"/>
        </w:rPr>
      </w:pPr>
      <w:bookmarkStart w:id="95" w:name="_Toc14420"/>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.住房保障支出（类）住房改革支出（款）住房公积金（项）：反映行政事业单位按人力资源和社会保障部、财政部规定的基本工资和津贴补贴以及规定比例为职工缴纳的住房公积金。</w:t>
      </w:r>
      <w:bookmarkEnd w:id="9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0"/>
        <w:rPr>
          <w:rFonts w:hint="eastAsia" w:ascii="仿宋_GB2312" w:eastAsia="仿宋_GB2312"/>
          <w:color w:val="auto"/>
          <w:sz w:val="32"/>
          <w:szCs w:val="32"/>
          <w:highlight w:val="none"/>
        </w:rPr>
      </w:pPr>
      <w:bookmarkStart w:id="96" w:name="_Toc20742"/>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.基本支出：指为保障机构正常运转、完成日常工作任务而发生的人员支出和公用支出。</w:t>
      </w:r>
      <w:bookmarkEnd w:id="9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eastAsia="仿宋_GB2312"/>
          <w:color w:val="auto"/>
          <w:sz w:val="32"/>
          <w:szCs w:val="32"/>
          <w:highlight w:val="none"/>
        </w:rPr>
      </w:pPr>
      <w:bookmarkStart w:id="97" w:name="_Toc17820"/>
      <w:r>
        <w:rPr>
          <w:rFonts w:hint="eastAsia" w:ascii="仿宋_GB2312" w:eastAsia="仿宋_GB2312"/>
          <w:color w:val="auto"/>
          <w:sz w:val="32"/>
          <w:szCs w:val="32"/>
          <w:highlight w:val="none"/>
          <w:lang w:val="en-US" w:eastAsia="zh-CN"/>
        </w:rPr>
        <w:t>17</w:t>
      </w:r>
      <w:r>
        <w:rPr>
          <w:rFonts w:hint="eastAsia" w:ascii="仿宋_GB2312" w:eastAsia="仿宋_GB2312"/>
          <w:color w:val="auto"/>
          <w:sz w:val="32"/>
          <w:szCs w:val="32"/>
          <w:highlight w:val="none"/>
        </w:rPr>
        <w:t>.项目支出：指在基本支出之外为完成特定行政任务和事业发展目标所发生的支出。</w:t>
      </w:r>
      <w:bookmarkEnd w:id="97"/>
      <w:r>
        <w:rPr>
          <w:rFonts w:hint="eastAsia" w:ascii="仿宋_GB2312" w:eastAsia="仿宋_GB2312"/>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0"/>
        <w:rPr>
          <w:rFonts w:hint="eastAsia" w:ascii="仿宋_GB2312" w:eastAsia="仿宋_GB2312"/>
          <w:color w:val="auto"/>
          <w:sz w:val="32"/>
          <w:szCs w:val="32"/>
          <w:highlight w:val="none"/>
        </w:rPr>
      </w:pPr>
      <w:bookmarkStart w:id="98" w:name="_Toc14151"/>
      <w:r>
        <w:rPr>
          <w:rFonts w:hint="eastAsia" w:ascii="仿宋_GB2312" w:eastAsia="仿宋_GB2312"/>
          <w:color w:val="auto"/>
          <w:sz w:val="32"/>
          <w:szCs w:val="32"/>
          <w:highlight w:val="none"/>
          <w:lang w:val="en-US" w:eastAsia="zh-CN"/>
        </w:rPr>
        <w:t>18</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bookmarkEnd w:id="9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0"/>
        <w:rPr>
          <w:rFonts w:ascii="宋体"/>
          <w:b/>
          <w:color w:val="auto"/>
          <w:sz w:val="44"/>
          <w:szCs w:val="44"/>
          <w:highlight w:val="none"/>
        </w:rPr>
      </w:pPr>
      <w:bookmarkStart w:id="99" w:name="_Toc4532"/>
      <w:r>
        <w:rPr>
          <w:rFonts w:hint="eastAsia" w:ascii="仿宋_GB2312" w:eastAsia="仿宋_GB2312"/>
          <w:color w:val="auto"/>
          <w:sz w:val="32"/>
          <w:szCs w:val="32"/>
          <w:highlight w:val="none"/>
          <w:lang w:val="en-US" w:eastAsia="zh-CN"/>
        </w:rPr>
        <w:t>19</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办公用房水电费、办公用房物业管理费、公务用车运行维护费以及其他费用。</w:t>
      </w:r>
      <w:r>
        <w:rPr>
          <w:rFonts w:ascii="宋体"/>
          <w:b/>
          <w:color w:val="auto"/>
          <w:sz w:val="44"/>
          <w:szCs w:val="44"/>
          <w:highlight w:val="none"/>
        </w:rPr>
        <w:br w:type="page"/>
      </w:r>
      <w:bookmarkEnd w:id="99"/>
    </w:p>
    <w:p>
      <w:pPr>
        <w:spacing w:line="600" w:lineRule="exact"/>
        <w:jc w:val="center"/>
        <w:outlineLvl w:val="0"/>
        <w:rPr>
          <w:rStyle w:val="24"/>
          <w:rFonts w:ascii="黑体" w:hAnsi="黑体" w:eastAsia="黑体"/>
          <w:b w:val="0"/>
          <w:color w:val="auto"/>
          <w:highlight w:val="none"/>
        </w:rPr>
      </w:pPr>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四部分 附件</w:t>
      </w:r>
      <w:bookmarkEnd w:id="80"/>
      <w:bookmarkEnd w:id="81"/>
    </w:p>
    <w:p>
      <w:pPr>
        <w:pStyle w:val="2"/>
        <w:rPr>
          <w:rFonts w:hint="eastAsia"/>
          <w:color w:val="auto"/>
          <w:highlight w:val="none"/>
          <w:lang w:val="zh-CN"/>
        </w:rPr>
      </w:pPr>
      <w:r>
        <w:rPr>
          <w:rFonts w:hint="eastAsia" w:hAnsi="宋体" w:cs="宋体"/>
          <w:color w:val="auto"/>
          <w:kern w:val="0"/>
          <w:sz w:val="32"/>
          <w:szCs w:val="32"/>
          <w:highlight w:val="none"/>
          <w:shd w:val="clear" w:color="auto" w:fill="FFFFFF"/>
          <w:lang w:val="zh-CN"/>
        </w:rPr>
        <w:t>附件</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en-US" w:eastAsia="zh-CN" w:bidi="ar-SA"/>
        </w:rPr>
      </w:pPr>
      <w:bookmarkStart w:id="100" w:name="_Toc15396618"/>
      <w:r>
        <w:rPr>
          <w:rFonts w:hint="eastAsia" w:ascii="方正小标宋简体" w:hAnsi="方正小标宋简体" w:eastAsia="方正小标宋简体" w:cs="方正小标宋简体"/>
          <w:color w:val="auto"/>
          <w:kern w:val="2"/>
          <w:sz w:val="40"/>
          <w:szCs w:val="40"/>
          <w:highlight w:val="none"/>
          <w:lang w:val="en-US" w:eastAsia="zh-CN" w:bidi="ar-SA"/>
        </w:rPr>
        <w:t>2021年水上交通安全监测综合信息系统采购</w:t>
      </w:r>
    </w:p>
    <w:p>
      <w:pPr>
        <w:keepNext w:val="0"/>
        <w:keepLines w:val="0"/>
        <w:pageBreakBefore w:val="0"/>
        <w:widowControl w:val="0"/>
        <w:kinsoku/>
        <w:wordWrap/>
        <w:overflowPunct/>
        <w:topLinePunct w:val="0"/>
        <w:autoSpaceDE/>
        <w:autoSpaceDN/>
        <w:bidi w:val="0"/>
        <w:spacing w:line="600" w:lineRule="exact"/>
        <w:jc w:val="center"/>
        <w:textAlignment w:val="auto"/>
        <w:outlineLvl w:val="1"/>
        <w:rPr>
          <w:rFonts w:hint="eastAsia" w:ascii="方正小标宋简体" w:hAnsi="方正小标宋简体" w:eastAsia="方正小标宋简体" w:cs="方正小标宋简体"/>
          <w:color w:val="auto"/>
          <w:kern w:val="2"/>
          <w:sz w:val="40"/>
          <w:szCs w:val="40"/>
          <w:highlight w:val="none"/>
          <w:lang w:val="zh-CN" w:eastAsia="zh-CN" w:bidi="ar-SA"/>
        </w:rPr>
      </w:pPr>
      <w:bookmarkStart w:id="101" w:name="_Toc9957"/>
      <w:r>
        <w:rPr>
          <w:rFonts w:hint="eastAsia" w:ascii="方正小标宋简体" w:hAnsi="方正小标宋简体" w:eastAsia="方正小标宋简体" w:cs="方正小标宋简体"/>
          <w:color w:val="auto"/>
          <w:kern w:val="2"/>
          <w:sz w:val="40"/>
          <w:szCs w:val="40"/>
          <w:highlight w:val="none"/>
          <w:lang w:val="en-US" w:eastAsia="zh-CN" w:bidi="ar-SA"/>
        </w:rPr>
        <w:t>项目</w:t>
      </w:r>
      <w:r>
        <w:rPr>
          <w:rFonts w:hint="eastAsia" w:ascii="方正小标宋简体" w:hAnsi="方正小标宋简体" w:eastAsia="方正小标宋简体" w:cs="方正小标宋简体"/>
          <w:color w:val="auto"/>
          <w:kern w:val="2"/>
          <w:sz w:val="40"/>
          <w:szCs w:val="40"/>
          <w:highlight w:val="none"/>
          <w:lang w:val="zh-CN" w:eastAsia="zh-CN" w:bidi="ar-SA"/>
        </w:rPr>
        <w:t>支出绩效自评报告</w:t>
      </w:r>
      <w:bookmarkEnd w:id="101"/>
    </w:p>
    <w:p>
      <w:pPr>
        <w:keepNext w:val="0"/>
        <w:keepLines w:val="0"/>
        <w:pageBreakBefore w:val="0"/>
        <w:widowControl w:val="0"/>
        <w:kinsoku/>
        <w:wordWrap/>
        <w:overflowPunct/>
        <w:topLinePunct w:val="0"/>
        <w:autoSpaceDE/>
        <w:autoSpaceDN/>
        <w:bidi w:val="0"/>
        <w:spacing w:line="600" w:lineRule="exact"/>
        <w:ind w:firstLine="640"/>
        <w:jc w:val="center"/>
        <w:textAlignment w:val="auto"/>
        <w:rPr>
          <w:rFonts w:ascii="宋体" w:hAnsi="宋体" w:eastAsia="宋体" w:cs="Times New Roman"/>
          <w:color w:val="auto"/>
          <w:kern w:val="2"/>
          <w:sz w:val="32"/>
          <w:szCs w:val="32"/>
          <w:highlight w:val="none"/>
          <w:lang w:val="zh-CN" w:eastAsia="zh-CN" w:bidi="ar-SA"/>
        </w:rPr>
      </w:pPr>
    </w:p>
    <w:p>
      <w:pPr>
        <w:adjustRightInd w:val="0"/>
        <w:snapToGrid w:val="0"/>
        <w:spacing w:line="576" w:lineRule="exact"/>
        <w:ind w:firstLine="720"/>
        <w:outlineLvl w:val="1"/>
        <w:rPr>
          <w:rFonts w:hint="eastAsia" w:ascii="黑体" w:hAnsi="黑体" w:eastAsia="黑体" w:cs="黑体"/>
          <w:bCs/>
          <w:sz w:val="32"/>
          <w:szCs w:val="32"/>
          <w:lang w:val="zh-CN"/>
        </w:rPr>
      </w:pPr>
      <w:bookmarkStart w:id="102" w:name="_Toc20043"/>
      <w:r>
        <w:rPr>
          <w:rFonts w:hint="eastAsia" w:ascii="黑体" w:hAnsi="黑体" w:eastAsia="黑体" w:cs="黑体"/>
          <w:bCs/>
          <w:sz w:val="32"/>
          <w:szCs w:val="32"/>
        </w:rPr>
        <w:t>一、</w:t>
      </w:r>
      <w:r>
        <w:rPr>
          <w:rFonts w:hint="eastAsia" w:ascii="黑体" w:hAnsi="黑体" w:eastAsia="黑体" w:cs="黑体"/>
          <w:bCs/>
          <w:sz w:val="32"/>
          <w:szCs w:val="32"/>
          <w:lang w:val="zh-CN"/>
        </w:rPr>
        <w:t>项目概况</w:t>
      </w:r>
      <w:bookmarkEnd w:id="102"/>
    </w:p>
    <w:p>
      <w:pPr>
        <w:numPr>
          <w:ilvl w:val="0"/>
          <w:numId w:val="5"/>
        </w:numPr>
        <w:adjustRightInd w:val="0"/>
        <w:snapToGrid w:val="0"/>
        <w:spacing w:line="576" w:lineRule="exact"/>
        <w:ind w:firstLine="720"/>
        <w:rPr>
          <w:rFonts w:hint="eastAsia" w:ascii="仿宋_GB2312" w:hAnsi="仿宋_GB2312" w:eastAsia="仿宋_GB2312" w:cs="仿宋_GB2312"/>
          <w:sz w:val="32"/>
          <w:szCs w:val="32"/>
        </w:rPr>
      </w:pPr>
      <w:r>
        <w:rPr>
          <w:rFonts w:hint="eastAsia" w:ascii="楷体_GB2312" w:hAnsi="楷体_GB2312" w:eastAsia="楷体_GB2312" w:cs="楷体_GB2312"/>
          <w:bCs/>
          <w:sz w:val="32"/>
          <w:szCs w:val="32"/>
          <w:lang w:val="zh-CN"/>
        </w:rPr>
        <w:t>项目</w:t>
      </w:r>
      <w:r>
        <w:rPr>
          <w:rFonts w:hint="eastAsia" w:ascii="楷体_GB2312" w:hAnsi="楷体_GB2312" w:eastAsia="楷体_GB2312" w:cs="楷体_GB2312"/>
          <w:bCs/>
          <w:sz w:val="32"/>
          <w:szCs w:val="32"/>
          <w:lang w:val="en-US" w:eastAsia="zh-CN"/>
        </w:rPr>
        <w:t>基本情况。</w:t>
      </w:r>
      <w:r>
        <w:rPr>
          <w:rFonts w:hint="eastAsia" w:ascii="仿宋_GB2312" w:hAnsi="仿宋_GB2312" w:eastAsia="仿宋_GB2312" w:cs="仿宋_GB2312"/>
          <w:sz w:val="32"/>
          <w:szCs w:val="32"/>
          <w:lang w:val="en-US" w:eastAsia="zh-CN"/>
        </w:rPr>
        <w:t>项目主管部门实施该项目。项目资金由以前年度省级专项资金形成。资金专门用于该项目。资金分配属于专款专用。</w:t>
      </w:r>
    </w:p>
    <w:p>
      <w:pPr>
        <w:numPr>
          <w:ilvl w:val="0"/>
          <w:numId w:val="5"/>
        </w:numPr>
        <w:adjustRightInd w:val="0"/>
        <w:snapToGrid w:val="0"/>
        <w:spacing w:line="576" w:lineRule="exact"/>
        <w:ind w:firstLine="720"/>
        <w:rPr>
          <w:rFonts w:hint="eastAsia" w:ascii="仿宋_GB2312" w:hAnsi="宋体" w:eastAsia="仿宋_GB2312"/>
          <w:sz w:val="32"/>
          <w:szCs w:val="32"/>
          <w:lang w:val="zh-CN"/>
        </w:rPr>
      </w:pPr>
      <w:r>
        <w:rPr>
          <w:rFonts w:hint="eastAsia" w:ascii="楷体_GB2312" w:hAnsi="楷体_GB2312" w:eastAsia="楷体_GB2312" w:cs="楷体_GB2312"/>
          <w:bCs/>
          <w:sz w:val="32"/>
          <w:szCs w:val="32"/>
          <w:lang w:val="zh-CN"/>
        </w:rPr>
        <w:t>项目绩效目标。</w:t>
      </w:r>
    </w:p>
    <w:p>
      <w:pPr>
        <w:keepNext w:val="0"/>
        <w:keepLines w:val="0"/>
        <w:pageBreakBefore w:val="0"/>
        <w:widowControl w:val="0"/>
        <w:numPr>
          <w:ilvl w:val="0"/>
          <w:numId w:val="6"/>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sz w:val="32"/>
          <w:szCs w:val="32"/>
          <w:lang w:val="zh-CN"/>
        </w:rPr>
      </w:pPr>
      <w:r>
        <w:rPr>
          <w:rFonts w:hint="eastAsia" w:ascii="仿宋_GB2312" w:hAnsi="宋体" w:eastAsia="仿宋_GB2312"/>
          <w:sz w:val="32"/>
          <w:szCs w:val="32"/>
          <w:lang w:val="zh-CN"/>
        </w:rPr>
        <w:t>实现通航水域“全方位覆盖、全天候监控、快速反应”的现代化水上交通安全监管系统和救助体系，有效防范和坚决遏制发生重特大事故，实现广元“四型海事”、海事“三化”发展目标，保障广元重点水域通航环境安全与通畅，实现广元海事监管信息化、智慧化、现代化。</w:t>
      </w:r>
    </w:p>
    <w:p>
      <w:pPr>
        <w:keepNext w:val="0"/>
        <w:keepLines w:val="0"/>
        <w:pageBreakBefore w:val="0"/>
        <w:widowControl w:val="0"/>
        <w:numPr>
          <w:ilvl w:val="0"/>
          <w:numId w:val="6"/>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sz w:val="32"/>
          <w:szCs w:val="32"/>
          <w:lang w:val="zh-CN"/>
        </w:rPr>
      </w:pPr>
      <w:r>
        <w:rPr>
          <w:rFonts w:hint="eastAsia" w:ascii="仿宋_GB2312" w:hAnsi="宋体" w:eastAsia="仿宋_GB2312"/>
          <w:sz w:val="32"/>
          <w:szCs w:val="32"/>
          <w:lang w:val="zh-CN"/>
        </w:rPr>
        <w:t>航道视频监控</w:t>
      </w:r>
      <w:r>
        <w:rPr>
          <w:rFonts w:hint="eastAsia" w:ascii="仿宋_GB2312" w:hAnsi="宋体" w:eastAsia="仿宋_GB2312"/>
          <w:sz w:val="32"/>
          <w:szCs w:val="32"/>
          <w:lang w:val="zh-CN"/>
        </w:rPr>
        <w:tab/>
      </w:r>
      <w:r>
        <w:rPr>
          <w:rFonts w:hint="eastAsia" w:ascii="仿宋_GB2312" w:hAnsi="宋体" w:eastAsia="仿宋_GB2312"/>
          <w:sz w:val="32"/>
          <w:szCs w:val="32"/>
          <w:lang w:val="zh-CN"/>
        </w:rPr>
        <w:t>15处、码头监控5处、水位检测1处、拟定全市通航水域信息化建设、维护规划1处；开展两个港口作业区、三个通航建筑物及亭子湖、白龙湖、升钟水库等重点区域信息化实施督导工作，指导县区完善信息化硬件及软件设施建设和维护工作8处、工程合格率100%、完成水上交通信息化建设内容2020-2021年；严格控制项目建设费用574.75万；提高政府效率、树立良好形象；确保航运安全、支撑经济发展；丰富监管手段、增强管理水平；促进信息公开、正确引导市场；节约人力、时间等管理成本；加强硬件管理、提升使用效率；提高运输效率、降低货运成本；通过建立网络系统监测预警，以减少实地巡航对河道、航道生态系统干扰；为全市通航水域安全监管提供巡航监控、区域监管以及综合指挥等海事监管功能；开展重点时段、重点区域信息化设施的维护、升级改造，每个季度不少于一次的嘉陵江高等级航道专项信息化维护；服务对象满意度</w:t>
      </w:r>
      <w:r>
        <w:rPr>
          <w:rFonts w:hint="eastAsia" w:ascii="仿宋_GB2312" w:hAnsi="宋体" w:eastAsia="仿宋_GB2312"/>
          <w:sz w:val="32"/>
          <w:szCs w:val="32"/>
          <w:lang w:val="zh-CN"/>
        </w:rPr>
        <w:tab/>
      </w:r>
      <w:r>
        <w:rPr>
          <w:rFonts w:hint="eastAsia" w:ascii="仿宋_GB2312" w:hAnsi="宋体" w:eastAsia="仿宋_GB2312"/>
          <w:sz w:val="32"/>
          <w:szCs w:val="32"/>
          <w:lang w:val="zh-CN"/>
        </w:rPr>
        <w:t>&gt;=90%。</w:t>
      </w:r>
      <w:r>
        <w:rPr>
          <w:rFonts w:hint="eastAsia" w:ascii="仿宋_GB2312" w:hAnsi="仿宋_GB2312" w:eastAsia="仿宋_GB2312" w:cs="仿宋_GB2312"/>
          <w:sz w:val="32"/>
          <w:szCs w:val="32"/>
          <w:lang w:val="zh-CN" w:eastAsia="zh-CN"/>
        </w:rPr>
        <w:t>资金申报相符性。</w:t>
      </w:r>
    </w:p>
    <w:p>
      <w:pPr>
        <w:keepNext w:val="0"/>
        <w:keepLines w:val="0"/>
        <w:pageBreakBefore w:val="0"/>
        <w:widowControl w:val="0"/>
        <w:numPr>
          <w:ilvl w:val="0"/>
          <w:numId w:val="6"/>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sz w:val="32"/>
          <w:szCs w:val="32"/>
          <w:lang w:val="zh-CN"/>
        </w:rPr>
      </w:pPr>
      <w:r>
        <w:rPr>
          <w:rFonts w:hint="eastAsia" w:ascii="仿宋_GB2312" w:hAnsi="仿宋_GB2312" w:eastAsia="仿宋_GB2312" w:cs="仿宋_GB2312"/>
          <w:sz w:val="32"/>
          <w:szCs w:val="32"/>
          <w:lang w:val="zh-CN" w:eastAsia="zh-CN"/>
        </w:rPr>
        <w:t>项目申报内容与具体实施内容相符、申报目标合理可行。</w:t>
      </w:r>
    </w:p>
    <w:p>
      <w:pPr>
        <w:numPr>
          <w:ilvl w:val="0"/>
          <w:numId w:val="5"/>
        </w:numPr>
        <w:adjustRightInd w:val="0"/>
        <w:snapToGrid w:val="0"/>
        <w:spacing w:line="576" w:lineRule="exact"/>
        <w:ind w:firstLine="720"/>
        <w:rPr>
          <w:rFonts w:hint="eastAsia" w:ascii="仿宋_GB2312" w:hAnsi="宋体" w:eastAsia="仿宋_GB2312" w:cs="Times New Roman"/>
          <w:sz w:val="32"/>
          <w:szCs w:val="32"/>
          <w:lang w:val="zh-CN" w:eastAsia="zh-CN"/>
        </w:rPr>
      </w:pPr>
      <w:r>
        <w:rPr>
          <w:rFonts w:hint="eastAsia" w:ascii="楷体_GB2312" w:hAnsi="楷体_GB2312" w:eastAsia="楷体_GB2312" w:cs="楷体_GB2312"/>
          <w:bCs/>
          <w:sz w:val="32"/>
          <w:szCs w:val="32"/>
          <w:lang w:val="zh-CN"/>
        </w:rPr>
        <w:t>项目</w:t>
      </w:r>
      <w:r>
        <w:rPr>
          <w:rFonts w:hint="eastAsia" w:ascii="楷体_GB2312" w:hAnsi="楷体_GB2312" w:eastAsia="楷体_GB2312" w:cs="楷体_GB2312"/>
          <w:bCs/>
          <w:sz w:val="32"/>
          <w:szCs w:val="32"/>
          <w:lang w:val="en-US" w:eastAsia="zh-CN"/>
        </w:rPr>
        <w:t>自评步骤及方法。</w:t>
      </w:r>
      <w:r>
        <w:rPr>
          <w:rFonts w:hint="eastAsia" w:ascii="仿宋_GB2312" w:hAnsi="宋体" w:eastAsia="仿宋_GB2312" w:cs="Times New Roman"/>
          <w:sz w:val="32"/>
          <w:szCs w:val="32"/>
          <w:lang w:val="en-US" w:eastAsia="zh-CN"/>
        </w:rPr>
        <w:t>业务科室对照《2022年市级专项预算项目支出绩效评价指标体系》完善相关指标并进行自评打分。</w:t>
      </w:r>
    </w:p>
    <w:p>
      <w:pPr>
        <w:adjustRightInd w:val="0"/>
        <w:snapToGrid w:val="0"/>
        <w:spacing w:line="576" w:lineRule="exact"/>
        <w:ind w:firstLine="720"/>
        <w:outlineLvl w:val="1"/>
        <w:rPr>
          <w:rFonts w:hint="eastAsia" w:ascii="黑体" w:hAnsi="黑体" w:eastAsia="黑体" w:cs="黑体"/>
          <w:bCs/>
          <w:sz w:val="32"/>
          <w:szCs w:val="32"/>
        </w:rPr>
      </w:pPr>
      <w:bookmarkStart w:id="103" w:name="_Toc500"/>
      <w:r>
        <w:rPr>
          <w:rFonts w:hint="eastAsia" w:ascii="黑体" w:hAnsi="黑体" w:eastAsia="黑体" w:cs="黑体"/>
          <w:bCs/>
          <w:sz w:val="32"/>
          <w:szCs w:val="32"/>
        </w:rPr>
        <w:t>二、项目实施及管理情况</w:t>
      </w:r>
      <w:bookmarkEnd w:id="103"/>
    </w:p>
    <w:p>
      <w:pPr>
        <w:adjustRightInd w:val="0"/>
        <w:snapToGrid w:val="0"/>
        <w:spacing w:line="576" w:lineRule="exact"/>
        <w:ind w:firstLine="720"/>
        <w:rPr>
          <w:rFonts w:hint="eastAsia" w:ascii="楷体_GB2312" w:hAnsi="楷体_GB2312" w:eastAsia="楷体_GB2312" w:cs="楷体_GB2312"/>
          <w:bCs/>
          <w:sz w:val="32"/>
          <w:szCs w:val="32"/>
          <w:lang w:val="zh-CN"/>
        </w:rPr>
      </w:pPr>
      <w:r>
        <w:rPr>
          <w:rFonts w:hint="eastAsia" w:ascii="楷体_GB2312" w:hAnsi="楷体_GB2312" w:eastAsia="楷体_GB2312" w:cs="楷体_GB2312"/>
          <w:bCs/>
          <w:sz w:val="32"/>
          <w:szCs w:val="32"/>
          <w:lang w:val="zh-CN"/>
        </w:rPr>
        <w:t>（一）项目资金申报及批复情况。</w:t>
      </w:r>
    </w:p>
    <w:p>
      <w:pPr>
        <w:adjustRightInd w:val="0"/>
        <w:snapToGrid w:val="0"/>
        <w:spacing w:line="576" w:lineRule="exact"/>
        <w:ind w:firstLine="720"/>
        <w:rPr>
          <w:rFonts w:hint="eastAsia" w:ascii="楷体_GB2312" w:hAnsi="楷体_GB2312" w:eastAsia="楷体_GB2312" w:cs="楷体_GB2312"/>
          <w:bCs/>
          <w:sz w:val="32"/>
          <w:szCs w:val="32"/>
          <w:lang w:val="zh-CN"/>
        </w:rPr>
      </w:pPr>
      <w:r>
        <w:rPr>
          <w:rFonts w:hint="eastAsia" w:ascii="仿宋_GB2312" w:hAnsi="仿宋_GB2312" w:eastAsia="仿宋_GB2312" w:cs="仿宋_GB2312"/>
          <w:sz w:val="32"/>
          <w:szCs w:val="32"/>
          <w:lang w:val="zh-CN"/>
        </w:rPr>
        <w:t>项目资金申报</w:t>
      </w:r>
      <w:r>
        <w:rPr>
          <w:rFonts w:hint="eastAsia" w:ascii="仿宋_GB2312" w:hAnsi="仿宋_GB2312" w:eastAsia="仿宋_GB2312" w:cs="仿宋_GB2312"/>
          <w:sz w:val="32"/>
          <w:szCs w:val="32"/>
        </w:rPr>
        <w:t>321.48万元</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zh-CN"/>
        </w:rPr>
        <w:t>批复</w:t>
      </w:r>
      <w:r>
        <w:rPr>
          <w:rFonts w:hint="eastAsia" w:ascii="仿宋_GB2312" w:hAnsi="仿宋_GB2312" w:eastAsia="仿宋_GB2312" w:cs="仿宋_GB2312"/>
          <w:sz w:val="32"/>
          <w:szCs w:val="32"/>
        </w:rPr>
        <w:t>321.48万元。</w:t>
      </w:r>
    </w:p>
    <w:p>
      <w:pPr>
        <w:numPr>
          <w:ilvl w:val="0"/>
          <w:numId w:val="7"/>
        </w:numPr>
        <w:adjustRightInd w:val="0"/>
        <w:snapToGrid w:val="0"/>
        <w:spacing w:line="576" w:lineRule="exact"/>
        <w:ind w:firstLine="720"/>
        <w:rPr>
          <w:rFonts w:hint="eastAsia" w:ascii="楷体_GB2312" w:hAnsi="楷体_GB2312" w:eastAsia="楷体_GB2312" w:cs="楷体_GB2312"/>
          <w:bCs/>
          <w:sz w:val="32"/>
          <w:szCs w:val="32"/>
          <w:lang w:val="zh-CN"/>
        </w:rPr>
      </w:pPr>
      <w:r>
        <w:rPr>
          <w:rFonts w:hint="eastAsia" w:ascii="楷体_GB2312" w:hAnsi="楷体_GB2312" w:eastAsia="楷体_GB2312" w:cs="楷体_GB2312"/>
          <w:bCs/>
          <w:sz w:val="32"/>
          <w:szCs w:val="32"/>
          <w:lang w:val="zh-CN"/>
        </w:rPr>
        <w:t>资金计划、到位及使用情况。</w:t>
      </w:r>
    </w:p>
    <w:p>
      <w:pPr>
        <w:adjustRightInd w:val="0"/>
        <w:snapToGrid w:val="0"/>
        <w:spacing w:line="576" w:lineRule="exact"/>
        <w:ind w:firstLine="720"/>
        <w:rPr>
          <w:rFonts w:hint="eastAsia" w:ascii="仿宋_GB2312" w:hAnsi="宋体" w:eastAsia="仿宋_GB2312" w:cs="Times New Roman"/>
          <w:sz w:val="32"/>
          <w:szCs w:val="32"/>
          <w:lang w:val="zh-CN"/>
        </w:rPr>
      </w:pPr>
      <w:r>
        <w:rPr>
          <w:rFonts w:hint="eastAsia" w:ascii="仿宋_GB2312" w:hAnsi="宋体" w:eastAsia="仿宋_GB2312" w:cs="Times New Roman"/>
          <w:sz w:val="32"/>
          <w:szCs w:val="32"/>
          <w:lang w:val="zh-CN"/>
        </w:rPr>
        <w:t>1.资金计划及到位。该项目资金计划321.48万元，截止评价时点实际到位321.48万元，为省级财政拨款资金，资金到位率100%。</w:t>
      </w:r>
    </w:p>
    <w:p>
      <w:pPr>
        <w:adjustRightInd w:val="0"/>
        <w:snapToGrid w:val="0"/>
        <w:spacing w:line="576"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2.资金使用。截止评价时点项目资金的实际支出</w:t>
      </w:r>
      <w:r>
        <w:rPr>
          <w:rFonts w:hint="eastAsia" w:ascii="仿宋_GB2312" w:hAnsi="宋体" w:eastAsia="仿宋_GB2312"/>
          <w:sz w:val="32"/>
          <w:szCs w:val="32"/>
        </w:rPr>
        <w:t>256.42万元</w:t>
      </w:r>
      <w:r>
        <w:rPr>
          <w:rFonts w:hint="eastAsia" w:ascii="仿宋_GB2312" w:hAnsi="宋体" w:eastAsia="仿宋_GB2312"/>
          <w:sz w:val="32"/>
          <w:szCs w:val="32"/>
          <w:lang w:val="zh-CN"/>
        </w:rPr>
        <w:t>，主要用于水上交通安全监测综合信息系统采购支出。支付依据合规合法，资金支付</w:t>
      </w:r>
      <w:r>
        <w:rPr>
          <w:rFonts w:hint="eastAsia" w:ascii="仿宋_GB2312" w:hAnsi="宋体" w:eastAsia="仿宋_GB2312"/>
          <w:sz w:val="32"/>
          <w:szCs w:val="32"/>
          <w:lang w:val="en-US" w:eastAsia="zh-CN"/>
        </w:rPr>
        <w:t>按照合同进度付款。</w:t>
      </w:r>
    </w:p>
    <w:p>
      <w:pPr>
        <w:adjustRightInd w:val="0"/>
        <w:snapToGrid w:val="0"/>
        <w:spacing w:line="576" w:lineRule="exact"/>
        <w:ind w:firstLine="720"/>
        <w:rPr>
          <w:rFonts w:hint="eastAsia" w:ascii="仿宋_GB2312" w:hAnsi="宋体" w:eastAsia="仿宋_GB2312"/>
          <w:sz w:val="32"/>
          <w:szCs w:val="32"/>
          <w:lang w:val="zh-CN"/>
        </w:rPr>
      </w:pPr>
      <w:r>
        <w:rPr>
          <w:rFonts w:hint="eastAsia" w:ascii="楷体_GB2312" w:hAnsi="楷体_GB2312" w:eastAsia="楷体_GB2312" w:cs="楷体_GB2312"/>
          <w:bCs/>
          <w:sz w:val="32"/>
          <w:szCs w:val="32"/>
          <w:lang w:val="zh-CN"/>
        </w:rPr>
        <w:t>（</w:t>
      </w:r>
      <w:r>
        <w:rPr>
          <w:rFonts w:hint="eastAsia" w:ascii="楷体_GB2312" w:hAnsi="楷体_GB2312" w:eastAsia="楷体_GB2312" w:cs="楷体_GB2312"/>
          <w:bCs/>
          <w:sz w:val="32"/>
          <w:szCs w:val="32"/>
          <w:lang w:val="en-US" w:eastAsia="zh-CN"/>
        </w:rPr>
        <w:t>三</w:t>
      </w:r>
      <w:r>
        <w:rPr>
          <w:rFonts w:hint="eastAsia" w:ascii="楷体_GB2312" w:hAnsi="楷体_GB2312" w:eastAsia="楷体_GB2312" w:cs="楷体_GB2312"/>
          <w:bCs/>
          <w:sz w:val="32"/>
          <w:szCs w:val="32"/>
          <w:lang w:val="zh-CN"/>
        </w:rPr>
        <w:t>）项目财务管理情况。</w:t>
      </w:r>
      <w:r>
        <w:rPr>
          <w:rFonts w:hint="eastAsia" w:ascii="仿宋_GB2312" w:hAnsi="宋体" w:eastAsia="仿宋_GB2312"/>
          <w:sz w:val="32"/>
          <w:szCs w:val="32"/>
          <w:lang w:val="zh-CN"/>
        </w:rPr>
        <w:t>项目会计核算及账务处理</w:t>
      </w:r>
      <w:r>
        <w:rPr>
          <w:rFonts w:hint="eastAsia" w:ascii="仿宋_GB2312" w:hAnsi="宋体" w:eastAsia="仿宋_GB2312"/>
          <w:sz w:val="32"/>
          <w:szCs w:val="32"/>
        </w:rPr>
        <w:t>按照《预算法》《单位内控制度》</w:t>
      </w:r>
      <w:r>
        <w:rPr>
          <w:rFonts w:hint="eastAsia" w:ascii="仿宋_GB2312" w:hAnsi="宋体" w:eastAsia="仿宋_GB2312"/>
          <w:sz w:val="32"/>
          <w:szCs w:val="32"/>
          <w:lang w:val="zh-CN"/>
        </w:rPr>
        <w:t>等相关</w:t>
      </w:r>
      <w:r>
        <w:rPr>
          <w:rFonts w:hint="eastAsia" w:ascii="仿宋_GB2312" w:hAnsi="宋体" w:eastAsia="仿宋_GB2312"/>
          <w:sz w:val="32"/>
          <w:szCs w:val="32"/>
        </w:rPr>
        <w:t>规定，</w:t>
      </w:r>
      <w:r>
        <w:rPr>
          <w:rFonts w:hint="eastAsia" w:ascii="仿宋_GB2312" w:hAnsi="宋体" w:eastAsia="仿宋_GB2312"/>
          <w:sz w:val="32"/>
          <w:szCs w:val="32"/>
          <w:lang w:val="zh-CN"/>
        </w:rPr>
        <w:t>严格执行财务管理制度、财务处理及时、会计核算规范。</w:t>
      </w:r>
    </w:p>
    <w:p>
      <w:pPr>
        <w:adjustRightInd w:val="0"/>
        <w:snapToGrid w:val="0"/>
        <w:spacing w:line="576" w:lineRule="exact"/>
        <w:ind w:firstLine="720"/>
        <w:outlineLvl w:val="1"/>
        <w:rPr>
          <w:rFonts w:hint="eastAsia" w:ascii="黑体" w:hAnsi="黑体" w:eastAsia="黑体" w:cs="黑体"/>
          <w:bCs/>
          <w:sz w:val="32"/>
          <w:szCs w:val="32"/>
          <w:lang w:val="zh-CN" w:eastAsia="zh-CN"/>
        </w:rPr>
      </w:pPr>
      <w:bookmarkStart w:id="104" w:name="_Toc30875"/>
      <w:r>
        <w:rPr>
          <w:rFonts w:hint="eastAsia" w:ascii="黑体" w:hAnsi="黑体" w:eastAsia="黑体" w:cs="黑体"/>
          <w:bCs/>
          <w:sz w:val="32"/>
          <w:szCs w:val="32"/>
          <w:lang w:val="zh-CN" w:eastAsia="zh-CN"/>
        </w:rPr>
        <w:t>三、项目组织实施情况</w:t>
      </w:r>
      <w:bookmarkEnd w:id="104"/>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cs="Times New Roman"/>
          <w:b w:val="0"/>
          <w:bCs w:val="0"/>
          <w:sz w:val="32"/>
          <w:szCs w:val="32"/>
          <w:lang w:val="zh-CN"/>
        </w:rPr>
      </w:pPr>
      <w:r>
        <w:rPr>
          <w:rFonts w:hint="eastAsia" w:ascii="楷体_GB2312" w:hAnsi="宋体" w:eastAsia="楷体_GB2312" w:cs="Times New Roman"/>
          <w:b w:val="0"/>
          <w:bCs w:val="0"/>
          <w:sz w:val="32"/>
          <w:szCs w:val="32"/>
          <w:lang w:val="zh-CN"/>
        </w:rPr>
        <w:t>（一）项目组织架构及实施流程。</w:t>
      </w:r>
      <w:r>
        <w:rPr>
          <w:rFonts w:hint="eastAsia" w:ascii="仿宋_GB2312" w:hAnsi="宋体" w:eastAsia="仿宋_GB2312" w:cs="Times New Roman"/>
          <w:b w:val="0"/>
          <w:bCs w:val="0"/>
          <w:sz w:val="32"/>
          <w:szCs w:val="32"/>
          <w:lang w:val="zh-CN"/>
        </w:rPr>
        <w:t>根据政府采购管理要求，港航发展中心政府采购领导小组，作为政府采购的领导机构，由</w:t>
      </w:r>
      <w:r>
        <w:rPr>
          <w:rFonts w:hint="eastAsia" w:ascii="仿宋_GB2312" w:hAnsi="宋体" w:eastAsia="仿宋_GB2312" w:cs="Times New Roman"/>
          <w:b w:val="0"/>
          <w:bCs w:val="0"/>
          <w:sz w:val="32"/>
          <w:szCs w:val="32"/>
          <w:lang w:val="en-US" w:eastAsia="zh-CN"/>
        </w:rPr>
        <w:t>中心主任</w:t>
      </w:r>
      <w:r>
        <w:rPr>
          <w:rFonts w:hint="eastAsia" w:ascii="仿宋_GB2312" w:hAnsi="宋体" w:eastAsia="仿宋_GB2312" w:cs="Times New Roman"/>
          <w:b w:val="0"/>
          <w:bCs w:val="0"/>
          <w:sz w:val="32"/>
          <w:szCs w:val="32"/>
          <w:lang w:val="zh-CN"/>
        </w:rPr>
        <w:t>和相关科室的负责人组成。</w:t>
      </w:r>
      <w:r>
        <w:rPr>
          <w:rFonts w:hint="eastAsia" w:ascii="仿宋_GB2312" w:hAnsi="宋体" w:eastAsia="仿宋_GB2312" w:cs="Times New Roman"/>
          <w:b w:val="0"/>
          <w:bCs w:val="0"/>
          <w:sz w:val="32"/>
          <w:szCs w:val="32"/>
          <w:lang w:val="en-US" w:eastAsia="zh-CN"/>
        </w:rPr>
        <w:t>综合科</w:t>
      </w:r>
      <w:r>
        <w:rPr>
          <w:rFonts w:hint="eastAsia" w:ascii="仿宋_GB2312" w:hAnsi="宋体" w:eastAsia="仿宋_GB2312" w:cs="Times New Roman"/>
          <w:b w:val="0"/>
          <w:bCs w:val="0"/>
          <w:sz w:val="32"/>
          <w:szCs w:val="32"/>
          <w:lang w:val="zh-CN"/>
        </w:rPr>
        <w:t>为政府采购工作的具体管理部门，负责政府采购的管理和监督工作。相关科室根据职能分工和预算管理权限，履行政府采购相关具体职责。部门集中采购项目应通过委托的集中采购机构进行采购。</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仿宋_GB2312" w:hAnsi="宋体" w:eastAsia="仿宋_GB2312" w:cs="Times New Roman"/>
          <w:b w:val="0"/>
          <w:bCs w:val="0"/>
          <w:sz w:val="32"/>
          <w:szCs w:val="32"/>
          <w:lang w:val="zh-CN"/>
        </w:rPr>
      </w:pPr>
      <w:r>
        <w:rPr>
          <w:rFonts w:hint="eastAsia" w:ascii="楷体_GB2312" w:hAnsi="宋体" w:eastAsia="楷体_GB2312" w:cs="Times New Roman"/>
          <w:b w:val="0"/>
          <w:bCs w:val="0"/>
          <w:sz w:val="32"/>
          <w:szCs w:val="32"/>
          <w:lang w:val="zh-CN"/>
        </w:rPr>
        <w:t>（二）项目管理情况。</w:t>
      </w:r>
      <w:r>
        <w:rPr>
          <w:rFonts w:hint="eastAsia" w:ascii="仿宋_GB2312" w:hAnsi="宋体" w:eastAsia="仿宋_GB2312" w:cs="Times New Roman"/>
          <w:b w:val="0"/>
          <w:bCs w:val="0"/>
          <w:sz w:val="32"/>
          <w:szCs w:val="32"/>
          <w:lang w:val="zh-CN"/>
        </w:rPr>
        <w:t>项目实施执行招投标、政府采购、项目公示制等相关规定。</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仿宋_GB2312" w:hAnsi="宋体" w:eastAsia="仿宋_GB2312" w:cs="Times New Roman"/>
          <w:b w:val="0"/>
          <w:bCs w:val="0"/>
          <w:sz w:val="32"/>
          <w:szCs w:val="32"/>
          <w:lang w:val="zh-CN"/>
        </w:rPr>
      </w:pPr>
      <w:r>
        <w:rPr>
          <w:rFonts w:hint="eastAsia" w:ascii="楷体_GB2312" w:hAnsi="宋体" w:eastAsia="楷体_GB2312" w:cs="Times New Roman"/>
          <w:b w:val="0"/>
          <w:bCs w:val="0"/>
          <w:sz w:val="32"/>
          <w:szCs w:val="32"/>
          <w:lang w:val="zh-CN"/>
        </w:rPr>
        <w:t>（三）项目监管情况。</w:t>
      </w:r>
      <w:r>
        <w:rPr>
          <w:rFonts w:hint="eastAsia" w:ascii="仿宋_GB2312" w:hAnsi="宋体" w:eastAsia="仿宋_GB2312" w:cs="Times New Roman"/>
          <w:b w:val="0"/>
          <w:bCs w:val="0"/>
          <w:sz w:val="32"/>
          <w:szCs w:val="32"/>
          <w:lang w:val="en-US" w:eastAsia="zh-CN"/>
        </w:rPr>
        <w:t>综合科</w:t>
      </w:r>
      <w:r>
        <w:rPr>
          <w:rFonts w:hint="eastAsia" w:ascii="仿宋_GB2312" w:hAnsi="宋体" w:eastAsia="仿宋_GB2312" w:cs="Times New Roman"/>
          <w:b w:val="0"/>
          <w:bCs w:val="0"/>
          <w:sz w:val="32"/>
          <w:szCs w:val="32"/>
          <w:lang w:val="zh-CN"/>
        </w:rPr>
        <w:t>为政府采购工作的具体管理部门，负责政府采购的管理和监督工作。</w:t>
      </w:r>
      <w:r>
        <w:rPr>
          <w:rFonts w:hint="eastAsia" w:ascii="仿宋_GB2312" w:hAnsi="宋体" w:eastAsia="仿宋_GB2312" w:cs="Times New Roman"/>
          <w:b w:val="0"/>
          <w:bCs w:val="0"/>
          <w:sz w:val="32"/>
          <w:szCs w:val="32"/>
          <w:lang w:val="en-US" w:eastAsia="zh-CN"/>
        </w:rPr>
        <w:t>通过中心主任办公会每月通报项目进展情况，及时对项目实施进行督促，实现了项目与计划基本相符。</w:t>
      </w:r>
    </w:p>
    <w:p>
      <w:pPr>
        <w:adjustRightInd w:val="0"/>
        <w:snapToGrid w:val="0"/>
        <w:spacing w:line="576" w:lineRule="exact"/>
        <w:ind w:firstLine="720"/>
        <w:outlineLvl w:val="1"/>
        <w:rPr>
          <w:rFonts w:hint="eastAsia" w:ascii="黑体" w:hAnsi="黑体" w:eastAsia="黑体" w:cs="黑体"/>
          <w:bCs/>
          <w:sz w:val="32"/>
          <w:szCs w:val="32"/>
          <w:lang w:val="zh-CN"/>
        </w:rPr>
      </w:pPr>
      <w:bookmarkStart w:id="105" w:name="_Toc29232"/>
      <w:r>
        <w:rPr>
          <w:rFonts w:hint="eastAsia" w:ascii="黑体" w:hAnsi="黑体" w:eastAsia="黑体" w:cs="黑体"/>
          <w:bCs/>
          <w:sz w:val="32"/>
          <w:szCs w:val="32"/>
          <w:lang w:val="en-US" w:eastAsia="zh-CN"/>
        </w:rPr>
        <w:t>四</w:t>
      </w:r>
      <w:r>
        <w:rPr>
          <w:rFonts w:hint="eastAsia" w:ascii="黑体" w:hAnsi="黑体" w:eastAsia="黑体" w:cs="黑体"/>
          <w:bCs/>
          <w:sz w:val="32"/>
          <w:szCs w:val="32"/>
        </w:rPr>
        <w:t>、项目绩效情况</w:t>
      </w:r>
      <w:bookmarkEnd w:id="105"/>
      <w:r>
        <w:rPr>
          <w:rFonts w:hint="eastAsia" w:ascii="黑体" w:hAnsi="黑体" w:eastAsia="黑体" w:cs="黑体"/>
          <w:bCs/>
          <w:sz w:val="32"/>
          <w:szCs w:val="32"/>
          <w:lang w:val="zh-CN"/>
        </w:rPr>
        <w:tab/>
      </w:r>
    </w:p>
    <w:p>
      <w:pPr>
        <w:adjustRightInd w:val="0"/>
        <w:snapToGrid w:val="0"/>
        <w:spacing w:line="576" w:lineRule="exact"/>
        <w:ind w:firstLine="720"/>
        <w:rPr>
          <w:rFonts w:hint="eastAsia" w:ascii="楷体_GB2312" w:hAnsi="楷体_GB2312" w:eastAsia="楷体_GB2312" w:cs="楷体_GB2312"/>
          <w:bCs/>
          <w:sz w:val="32"/>
          <w:szCs w:val="32"/>
          <w:lang w:val="zh-CN"/>
        </w:rPr>
      </w:pPr>
      <w:r>
        <w:rPr>
          <w:rFonts w:hint="eastAsia" w:ascii="楷体_GB2312" w:hAnsi="楷体_GB2312" w:eastAsia="楷体_GB2312" w:cs="楷体_GB2312"/>
          <w:bCs/>
          <w:sz w:val="32"/>
          <w:szCs w:val="32"/>
          <w:lang w:val="zh-CN"/>
        </w:rPr>
        <w:t>（一）项目完成情况。</w:t>
      </w:r>
    </w:p>
    <w:p>
      <w:pPr>
        <w:adjustRightInd w:val="0"/>
        <w:snapToGrid w:val="0"/>
        <w:spacing w:line="576"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建设航道视频监控15处，码头监控5处，水位监测1处，拟定全市通航水域信息化建设、维护规划1处。开展两个港口作业区、三个通航建筑物及亭子湖、白龙湖、升钟水库等重点区域信息化实施督导工作，指导县区完善信息化硬件及软件设施建设和维护工作8处，工程合格率100%，完成2020年至2021年水上交通信息化建设内容。</w:t>
      </w:r>
    </w:p>
    <w:p>
      <w:pPr>
        <w:adjustRightInd w:val="0"/>
        <w:snapToGrid w:val="0"/>
        <w:spacing w:line="576" w:lineRule="exact"/>
        <w:ind w:firstLine="720"/>
        <w:rPr>
          <w:rFonts w:hint="eastAsia" w:ascii="楷体_GB2312" w:hAnsi="楷体_GB2312" w:eastAsia="楷体_GB2312" w:cs="楷体_GB2312"/>
          <w:bCs/>
          <w:sz w:val="32"/>
          <w:szCs w:val="32"/>
          <w:lang w:val="zh-CN"/>
        </w:rPr>
      </w:pPr>
      <w:r>
        <w:rPr>
          <w:rFonts w:hint="eastAsia" w:ascii="楷体_GB2312" w:hAnsi="楷体_GB2312" w:eastAsia="楷体_GB2312" w:cs="楷体_GB2312"/>
          <w:bCs/>
          <w:sz w:val="32"/>
          <w:szCs w:val="32"/>
          <w:lang w:val="zh-CN"/>
        </w:rPr>
        <w:t>（</w:t>
      </w:r>
      <w:r>
        <w:rPr>
          <w:rFonts w:hint="eastAsia" w:ascii="楷体_GB2312" w:hAnsi="楷体_GB2312" w:eastAsia="楷体_GB2312" w:cs="楷体_GB2312"/>
          <w:bCs/>
          <w:sz w:val="32"/>
          <w:szCs w:val="32"/>
        </w:rPr>
        <w:t>二</w:t>
      </w:r>
      <w:r>
        <w:rPr>
          <w:rFonts w:hint="eastAsia" w:ascii="楷体_GB2312" w:hAnsi="楷体_GB2312" w:eastAsia="楷体_GB2312" w:cs="楷体_GB2312"/>
          <w:bCs/>
          <w:sz w:val="32"/>
          <w:szCs w:val="32"/>
          <w:lang w:val="zh-CN"/>
        </w:rPr>
        <w:t>）项目效益情况。</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1.提高政府效率、树立良好形象；确保航运安全、支撑经济发展；丰富监管手段、增强管理水平；促进信息公开、正确引导市场。</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2.节约人力、时间等管理成本；加强硬件管理、提升使用效率；提高运输效率、降低货运成本。</w:t>
      </w:r>
      <w:r>
        <w:rPr>
          <w:rFonts w:hint="eastAsia" w:ascii="仿宋_GB2312" w:eastAsia="仿宋_GB2312"/>
          <w:sz w:val="32"/>
          <w:szCs w:val="32"/>
        </w:rPr>
        <w:tab/>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3.通过建立网络系统监测预警，以减少实地巡航对河道、航道生态系统干扰。</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4.为全市通航水域安全监管提供巡航监控、区域监管以及综合指挥等功能。</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1"/>
        <w:rPr>
          <w:rFonts w:ascii="黑体" w:hAnsi="宋体" w:eastAsia="黑体" w:cs="Times New Roman"/>
          <w:b w:val="0"/>
          <w:bCs w:val="0"/>
          <w:sz w:val="32"/>
          <w:szCs w:val="32"/>
        </w:rPr>
      </w:pPr>
      <w:bookmarkStart w:id="106" w:name="_Toc30082"/>
      <w:r>
        <w:rPr>
          <w:rFonts w:hint="eastAsia" w:ascii="黑体" w:hAnsi="宋体" w:eastAsia="黑体" w:cs="Times New Roman"/>
          <w:b w:val="0"/>
          <w:bCs w:val="0"/>
          <w:sz w:val="32"/>
          <w:szCs w:val="32"/>
        </w:rPr>
        <w:t>五、评价结论及建议</w:t>
      </w:r>
      <w:bookmarkEnd w:id="106"/>
    </w:p>
    <w:p>
      <w:pPr>
        <w:adjustRightInd w:val="0"/>
        <w:snapToGrid w:val="0"/>
        <w:spacing w:line="576" w:lineRule="exact"/>
        <w:ind w:firstLine="720"/>
        <w:rPr>
          <w:rFonts w:hint="default"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zh-CN"/>
        </w:rPr>
        <w:t>（一）评价结论。</w:t>
      </w:r>
      <w:r>
        <w:rPr>
          <w:rFonts w:hint="eastAsia" w:ascii="楷体_GB2312" w:hAnsi="楷体_GB2312" w:eastAsia="楷体_GB2312" w:cs="楷体_GB2312"/>
          <w:bCs/>
          <w:sz w:val="32"/>
          <w:szCs w:val="32"/>
          <w:lang w:val="en-US" w:eastAsia="zh-CN"/>
        </w:rPr>
        <w:t>从该项目完成度来看，总体按照合同进度实施，项目资金按照工程量拨付。从该项目运行情况来看，已验收进入试运行阶段，目前运行效果较为理想。</w:t>
      </w:r>
    </w:p>
    <w:p>
      <w:pPr>
        <w:adjustRightInd w:val="0"/>
        <w:snapToGrid w:val="0"/>
        <w:spacing w:line="576" w:lineRule="exact"/>
        <w:ind w:firstLine="720"/>
        <w:rPr>
          <w:rFonts w:hint="eastAsia" w:ascii="仿宋_GB2312" w:hAnsi="宋体" w:eastAsia="仿宋_GB2312"/>
          <w:sz w:val="32"/>
          <w:szCs w:val="32"/>
        </w:rPr>
      </w:pPr>
      <w:r>
        <w:rPr>
          <w:rFonts w:hint="eastAsia" w:ascii="楷体_GB2312" w:hAnsi="楷体_GB2312" w:eastAsia="楷体_GB2312" w:cs="楷体_GB2312"/>
          <w:bCs/>
          <w:sz w:val="32"/>
          <w:szCs w:val="32"/>
          <w:lang w:val="zh-CN"/>
        </w:rPr>
        <w:t>（</w:t>
      </w:r>
      <w:r>
        <w:rPr>
          <w:rFonts w:hint="eastAsia" w:ascii="楷体_GB2312" w:hAnsi="楷体_GB2312" w:eastAsia="楷体_GB2312" w:cs="楷体_GB2312"/>
          <w:bCs/>
          <w:sz w:val="32"/>
          <w:szCs w:val="32"/>
          <w:lang w:val="en-US" w:eastAsia="zh-CN"/>
        </w:rPr>
        <w:t>二</w:t>
      </w:r>
      <w:r>
        <w:rPr>
          <w:rFonts w:hint="eastAsia" w:ascii="楷体_GB2312" w:hAnsi="楷体_GB2312" w:eastAsia="楷体_GB2312" w:cs="楷体_GB2312"/>
          <w:bCs/>
          <w:sz w:val="32"/>
          <w:szCs w:val="32"/>
          <w:lang w:val="zh-CN"/>
        </w:rPr>
        <w:t>）存在的问题。</w:t>
      </w:r>
      <w:r>
        <w:rPr>
          <w:rFonts w:hint="eastAsia" w:ascii="仿宋_GB2312" w:hAnsi="宋体" w:eastAsia="仿宋_GB2312"/>
          <w:sz w:val="32"/>
          <w:szCs w:val="32"/>
        </w:rPr>
        <w:t>该项目为政府采购项目，项目资金量大、报备环节多、程序繁杂、支付期跨度大，按照财政局政策规定资金2年未支付完需收回，有硬性工作需要的项目再打报告申请。</w:t>
      </w:r>
    </w:p>
    <w:p>
      <w:pPr>
        <w:adjustRightInd w:val="0"/>
        <w:snapToGrid w:val="0"/>
        <w:spacing w:line="576" w:lineRule="exact"/>
        <w:ind w:firstLine="720"/>
        <w:rPr>
          <w:rFonts w:ascii="仿宋_GB2312" w:hAnsi="仿宋_GB2312" w:eastAsia="仿宋_GB2312" w:cs="仿宋_GB2312"/>
          <w:sz w:val="32"/>
          <w:szCs w:val="32"/>
        </w:rPr>
      </w:pPr>
      <w:r>
        <w:rPr>
          <w:rFonts w:hint="eastAsia" w:ascii="楷体_GB2312" w:hAnsi="楷体_GB2312" w:eastAsia="楷体_GB2312" w:cs="楷体_GB2312"/>
          <w:bCs/>
          <w:sz w:val="32"/>
          <w:szCs w:val="32"/>
          <w:lang w:val="zh-CN"/>
        </w:rPr>
        <w:t>（</w:t>
      </w:r>
      <w:r>
        <w:rPr>
          <w:rFonts w:hint="eastAsia" w:ascii="楷体_GB2312" w:hAnsi="楷体_GB2312" w:eastAsia="楷体_GB2312" w:cs="楷体_GB2312"/>
          <w:bCs/>
          <w:sz w:val="32"/>
          <w:szCs w:val="32"/>
          <w:lang w:val="en-US" w:eastAsia="zh-CN"/>
        </w:rPr>
        <w:t>三</w:t>
      </w:r>
      <w:r>
        <w:rPr>
          <w:rFonts w:hint="eastAsia" w:ascii="楷体_GB2312" w:hAnsi="楷体_GB2312" w:eastAsia="楷体_GB2312" w:cs="楷体_GB2312"/>
          <w:bCs/>
          <w:sz w:val="32"/>
          <w:szCs w:val="32"/>
          <w:lang w:val="zh-CN"/>
        </w:rPr>
        <w:t>）相关建议。</w:t>
      </w:r>
      <w:r>
        <w:rPr>
          <w:rFonts w:hint="eastAsia" w:ascii="仿宋_GB2312" w:hAnsi="宋体" w:eastAsia="仿宋_GB2312"/>
          <w:sz w:val="32"/>
          <w:szCs w:val="32"/>
        </w:rPr>
        <w:t>有合同且资金有保障的项目，特事特办不执行资金2年收回规定，以减少申报环节业务量。</w:t>
      </w:r>
    </w:p>
    <w:p>
      <w:pPr>
        <w:pStyle w:val="2"/>
        <w:rPr>
          <w:rFonts w:hint="eastAsia"/>
          <w:color w:val="auto"/>
          <w:highlight w:val="none"/>
          <w:lang w:val="zh-CN"/>
        </w:rPr>
      </w:pPr>
    </w:p>
    <w:p>
      <w:pPr>
        <w:pStyle w:val="2"/>
        <w:rPr>
          <w:rFonts w:hint="eastAsia"/>
          <w:color w:val="auto"/>
          <w:highlight w:val="none"/>
          <w:lang w:val="zh-CN"/>
        </w:rPr>
      </w:pPr>
      <w:r>
        <w:drawing>
          <wp:inline distT="0" distB="0" distL="114300" distR="114300">
            <wp:extent cx="5267325" cy="6696075"/>
            <wp:effectExtent l="0" t="0" r="5715" b="9525"/>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pic:cNvPicPr>
                      <a:picLocks noChangeAspect="1"/>
                    </pic:cNvPicPr>
                  </pic:nvPicPr>
                  <pic:blipFill>
                    <a:blip r:embed="rId13"/>
                    <a:stretch>
                      <a:fillRect/>
                    </a:stretch>
                  </pic:blipFill>
                  <pic:spPr>
                    <a:xfrm>
                      <a:off x="0" y="0"/>
                      <a:ext cx="5267325" cy="6696075"/>
                    </a:xfrm>
                    <a:prstGeom prst="rect">
                      <a:avLst/>
                    </a:prstGeom>
                    <a:noFill/>
                    <a:ln>
                      <a:noFill/>
                    </a:ln>
                  </pic:spPr>
                </pic:pic>
              </a:graphicData>
            </a:graphic>
          </wp:inline>
        </w:drawing>
      </w:r>
    </w:p>
    <w:p>
      <w:pPr>
        <w:rPr>
          <w:rFonts w:hint="eastAsia"/>
          <w:color w:val="auto"/>
          <w:highlight w:val="none"/>
          <w:lang w:val="zh-CN"/>
        </w:rPr>
      </w:pPr>
      <w:r>
        <w:rPr>
          <w:rFonts w:hint="eastAsia"/>
          <w:color w:val="auto"/>
          <w:highlight w:val="none"/>
          <w:lang w:val="zh-CN"/>
        </w:rPr>
        <w:br w:type="page"/>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en-US" w:eastAsia="zh-CN" w:bidi="ar-SA"/>
        </w:rPr>
      </w:pPr>
      <w:r>
        <w:rPr>
          <w:rFonts w:hint="eastAsia" w:ascii="方正小标宋简体" w:hAnsi="方正小标宋简体" w:eastAsia="方正小标宋简体" w:cs="方正小标宋简体"/>
          <w:color w:val="auto"/>
          <w:kern w:val="2"/>
          <w:sz w:val="40"/>
          <w:szCs w:val="40"/>
          <w:highlight w:val="none"/>
          <w:lang w:val="en-US" w:eastAsia="zh-CN" w:bidi="ar-SA"/>
        </w:rPr>
        <w:t>2021年船舶检验与修造管理项目</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zh-CN" w:eastAsia="zh-CN" w:bidi="ar-SA"/>
        </w:rPr>
      </w:pPr>
      <w:r>
        <w:rPr>
          <w:rFonts w:hint="eastAsia" w:ascii="方正小标宋简体" w:hAnsi="方正小标宋简体" w:eastAsia="方正小标宋简体" w:cs="方正小标宋简体"/>
          <w:color w:val="auto"/>
          <w:kern w:val="2"/>
          <w:sz w:val="40"/>
          <w:szCs w:val="40"/>
          <w:highlight w:val="none"/>
          <w:lang w:val="zh-CN" w:eastAsia="zh-CN" w:bidi="ar-SA"/>
        </w:rPr>
        <w:t>支出绩效自评报告</w:t>
      </w:r>
    </w:p>
    <w:p>
      <w:pPr>
        <w:pStyle w:val="2"/>
        <w:rPr>
          <w:rFonts w:hint="eastAsia"/>
          <w:lang w:val="zh-CN" w:eastAsia="zh-CN"/>
        </w:rPr>
      </w:pPr>
    </w:p>
    <w:p>
      <w:pPr>
        <w:adjustRightInd w:val="0"/>
        <w:snapToGrid w:val="0"/>
        <w:spacing w:line="576" w:lineRule="exact"/>
        <w:ind w:firstLine="720"/>
        <w:outlineLvl w:val="1"/>
        <w:rPr>
          <w:rFonts w:hint="eastAsia" w:ascii="黑体" w:hAnsi="黑体" w:eastAsia="黑体" w:cs="黑体"/>
          <w:bCs/>
          <w:sz w:val="32"/>
          <w:szCs w:val="32"/>
          <w:lang w:val="zh-CN"/>
        </w:rPr>
      </w:pPr>
      <w:bookmarkStart w:id="107" w:name="_Toc16714"/>
      <w:r>
        <w:rPr>
          <w:rFonts w:hint="eastAsia" w:ascii="黑体" w:hAnsi="黑体" w:eastAsia="黑体" w:cs="黑体"/>
          <w:bCs/>
          <w:sz w:val="32"/>
          <w:szCs w:val="32"/>
        </w:rPr>
        <w:t>一、</w:t>
      </w:r>
      <w:r>
        <w:rPr>
          <w:rFonts w:hint="eastAsia" w:ascii="黑体" w:hAnsi="黑体" w:eastAsia="黑体" w:cs="黑体"/>
          <w:bCs/>
          <w:sz w:val="32"/>
          <w:szCs w:val="32"/>
          <w:lang w:val="zh-CN"/>
        </w:rPr>
        <w:t>项目概况</w:t>
      </w:r>
      <w:bookmarkEnd w:id="107"/>
    </w:p>
    <w:p>
      <w:pPr>
        <w:numPr>
          <w:ilvl w:val="0"/>
          <w:numId w:val="8"/>
        </w:numPr>
        <w:adjustRightInd w:val="0"/>
        <w:snapToGrid w:val="0"/>
        <w:spacing w:line="576" w:lineRule="exact"/>
        <w:ind w:firstLine="720"/>
        <w:rPr>
          <w:rFonts w:hint="eastAsia" w:ascii="华文楷体" w:hAnsi="华文楷体" w:eastAsia="华文楷体" w:cs="华文楷体"/>
          <w:sz w:val="32"/>
          <w:szCs w:val="32"/>
        </w:rPr>
      </w:pPr>
      <w:r>
        <w:rPr>
          <w:rFonts w:hint="eastAsia" w:ascii="华文楷体" w:hAnsi="华文楷体" w:eastAsia="华文楷体" w:cs="华文楷体"/>
          <w:sz w:val="32"/>
          <w:szCs w:val="32"/>
        </w:rPr>
        <w:t>项目基本情况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zh-CN"/>
        </w:rPr>
        <w:t>项目主管</w:t>
      </w:r>
      <w:r>
        <w:rPr>
          <w:rFonts w:hint="eastAsia" w:ascii="仿宋_GB2312" w:hAnsi="宋体" w:eastAsia="仿宋_GB2312"/>
          <w:sz w:val="32"/>
          <w:szCs w:val="32"/>
          <w:lang w:val="en-US" w:eastAsia="zh-CN"/>
        </w:rPr>
        <w:t>部门</w:t>
      </w:r>
      <w:r>
        <w:rPr>
          <w:rFonts w:hint="eastAsia" w:ascii="仿宋_GB2312" w:hAnsi="宋体" w:eastAsia="仿宋_GB2312"/>
          <w:sz w:val="32"/>
          <w:szCs w:val="32"/>
          <w:lang w:val="zh-CN"/>
        </w:rPr>
        <w:t>实施该项目。</w:t>
      </w:r>
      <w:r>
        <w:rPr>
          <w:rFonts w:hint="eastAsia" w:ascii="仿宋_GB2312" w:hAnsi="宋体" w:eastAsia="仿宋_GB2312"/>
          <w:sz w:val="32"/>
          <w:szCs w:val="32"/>
          <w:lang w:val="en-US" w:eastAsia="zh-CN"/>
        </w:rPr>
        <w:t>根据工作职能职责申报项目资金。项目资金仅对船舶方面的工作费用进行报销。项目资金专款专用。</w:t>
      </w:r>
    </w:p>
    <w:p>
      <w:pPr>
        <w:numPr>
          <w:ilvl w:val="0"/>
          <w:numId w:val="8"/>
        </w:numPr>
        <w:adjustRightInd w:val="0"/>
        <w:snapToGrid w:val="0"/>
        <w:spacing w:line="576" w:lineRule="exact"/>
        <w:ind w:firstLine="720"/>
        <w:rPr>
          <w:rFonts w:hint="eastAsia" w:ascii="华文楷体" w:hAnsi="华文楷体" w:eastAsia="华文楷体" w:cs="华文楷体"/>
          <w:sz w:val="32"/>
          <w:szCs w:val="32"/>
          <w:lang w:val="zh-CN"/>
        </w:rPr>
      </w:pPr>
      <w:r>
        <w:rPr>
          <w:rFonts w:hint="eastAsia" w:ascii="华文楷体" w:hAnsi="华文楷体" w:eastAsia="华文楷体" w:cs="华文楷体"/>
          <w:sz w:val="32"/>
          <w:szCs w:val="32"/>
          <w:lang w:val="zh-CN"/>
        </w:rPr>
        <w:t>项目绩效目标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sz w:val="32"/>
          <w:szCs w:val="32"/>
          <w:lang w:val="zh-CN"/>
        </w:rPr>
      </w:pPr>
      <w:r>
        <w:rPr>
          <w:rFonts w:hint="eastAsia" w:ascii="仿宋_GB2312" w:hAnsi="宋体" w:eastAsia="仿宋_GB2312"/>
          <w:sz w:val="32"/>
          <w:szCs w:val="32"/>
          <w:lang w:val="en-US" w:eastAsia="zh-CN"/>
        </w:rPr>
        <w:t>1.</w:t>
      </w:r>
      <w:r>
        <w:rPr>
          <w:rFonts w:hint="eastAsia" w:ascii="仿宋_GB2312" w:hAnsi="宋体" w:eastAsia="仿宋_GB2312"/>
          <w:sz w:val="32"/>
          <w:szCs w:val="32"/>
          <w:lang w:val="zh-CN"/>
        </w:rPr>
        <w:t>完成全市船舶建造检验、营运检验、船舶设计图纸审查工作，加强对船舶修造企业业务指导，严把船舶建造和检验关确保船舶建造质量。积极与市农业农村局对接，梳理渔船检验相关业务，加强渔船检验人员适任制资格培训考试工作，确保渔船检验业务平稳有序地开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2.船舶检验&gt;=433艘；新建船舶设计图及建造检查=实际新增船舶数；加强渔船检验人员适任制资格培训考试工作&gt;=2次；全年2021年1月-12月；运输成本</w:t>
      </w:r>
      <w:r>
        <w:rPr>
          <w:rFonts w:hint="eastAsia" w:ascii="仿宋_GB2312" w:hAnsi="宋体" w:eastAsia="仿宋_GB2312"/>
          <w:sz w:val="32"/>
          <w:szCs w:val="32"/>
          <w:lang w:val="en-US" w:eastAsia="zh-CN"/>
        </w:rPr>
        <w:tab/>
      </w:r>
      <w:r>
        <w:rPr>
          <w:rFonts w:hint="eastAsia" w:ascii="仿宋_GB2312" w:hAnsi="宋体" w:eastAsia="仿宋_GB2312"/>
          <w:sz w:val="32"/>
          <w:szCs w:val="32"/>
          <w:lang w:val="en-US" w:eastAsia="zh-CN"/>
        </w:rPr>
        <w:t>&gt;=下降15%；运输时间&gt;=降低20%；运量增加</w:t>
      </w:r>
      <w:r>
        <w:rPr>
          <w:rFonts w:hint="eastAsia" w:ascii="仿宋_GB2312" w:hAnsi="宋体" w:eastAsia="仿宋_GB2312"/>
          <w:sz w:val="32"/>
          <w:szCs w:val="32"/>
          <w:lang w:val="en-US" w:eastAsia="zh-CN"/>
        </w:rPr>
        <w:tab/>
      </w:r>
      <w:r>
        <w:rPr>
          <w:rFonts w:hint="eastAsia" w:ascii="仿宋_GB2312" w:hAnsi="宋体" w:eastAsia="仿宋_GB2312"/>
          <w:sz w:val="32"/>
          <w:szCs w:val="32"/>
          <w:lang w:val="en-US" w:eastAsia="zh-CN"/>
        </w:rPr>
        <w:t>&gt;30%；货物装卸时间缩短=2倍；新能源船舶图纸设计、审批工作；新能源渡船和充电桩设施的试点建造工作； 满意度指标</w:t>
      </w:r>
      <w:r>
        <w:rPr>
          <w:rFonts w:hint="eastAsia" w:ascii="仿宋_GB2312" w:hAnsi="宋体" w:eastAsia="仿宋_GB2312"/>
          <w:sz w:val="32"/>
          <w:szCs w:val="32"/>
          <w:lang w:val="en-US" w:eastAsia="zh-CN"/>
        </w:rPr>
        <w:tab/>
      </w:r>
      <w:r>
        <w:rPr>
          <w:rFonts w:hint="eastAsia" w:ascii="仿宋_GB2312" w:hAnsi="宋体" w:eastAsia="仿宋_GB2312"/>
          <w:sz w:val="32"/>
          <w:szCs w:val="32"/>
          <w:lang w:val="en-US" w:eastAsia="zh-CN"/>
        </w:rPr>
        <w:t>&gt;=95%。</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sz w:val="32"/>
          <w:szCs w:val="32"/>
          <w:lang w:val="zh-CN"/>
        </w:rPr>
      </w:pPr>
      <w:r>
        <w:rPr>
          <w:rFonts w:hint="eastAsia" w:ascii="仿宋_GB2312" w:hAnsi="宋体" w:eastAsia="仿宋_GB2312"/>
          <w:sz w:val="32"/>
          <w:szCs w:val="32"/>
          <w:lang w:val="en-US" w:eastAsia="zh-CN"/>
        </w:rPr>
        <w:t>3.</w:t>
      </w:r>
      <w:r>
        <w:rPr>
          <w:rFonts w:hint="eastAsia" w:ascii="仿宋_GB2312" w:hAnsi="宋体" w:eastAsia="仿宋_GB2312"/>
          <w:sz w:val="32"/>
          <w:szCs w:val="32"/>
          <w:lang w:val="zh-CN"/>
        </w:rPr>
        <w:t>项目申报内容与具体实施内容相符、申报目标合理可行。</w:t>
      </w:r>
    </w:p>
    <w:p>
      <w:pPr>
        <w:numPr>
          <w:ilvl w:val="0"/>
          <w:numId w:val="8"/>
        </w:numPr>
        <w:adjustRightInd w:val="0"/>
        <w:snapToGrid w:val="0"/>
        <w:spacing w:line="576" w:lineRule="exact"/>
        <w:ind w:firstLine="720"/>
        <w:rPr>
          <w:rFonts w:hint="eastAsia" w:ascii="华文楷体" w:hAnsi="华文楷体" w:eastAsia="华文楷体" w:cs="华文楷体"/>
          <w:sz w:val="32"/>
          <w:szCs w:val="32"/>
          <w:lang w:val="zh-CN"/>
        </w:rPr>
      </w:pPr>
      <w:r>
        <w:rPr>
          <w:rFonts w:hint="eastAsia" w:ascii="华文楷体" w:hAnsi="华文楷体" w:eastAsia="华文楷体" w:cs="华文楷体"/>
          <w:sz w:val="32"/>
          <w:szCs w:val="32"/>
          <w:lang w:val="zh-CN"/>
        </w:rPr>
        <w:t>项目自评步骤及方法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cs="Times New Roman"/>
          <w:sz w:val="32"/>
          <w:szCs w:val="32"/>
          <w:lang w:val="zh-CN" w:eastAsia="zh-CN"/>
        </w:rPr>
      </w:pPr>
      <w:r>
        <w:rPr>
          <w:rFonts w:hint="eastAsia" w:ascii="仿宋_GB2312" w:hAnsi="宋体" w:eastAsia="仿宋_GB2312" w:cs="Times New Roman"/>
          <w:sz w:val="32"/>
          <w:szCs w:val="32"/>
          <w:lang w:val="zh-CN" w:eastAsia="zh-CN"/>
        </w:rPr>
        <w:t>业务科室对照《2022年市级专项预算项目支出绩效评价指标体系》，完善相关指标并进行自评打分。</w:t>
      </w:r>
    </w:p>
    <w:p>
      <w:pPr>
        <w:numPr>
          <w:ilvl w:val="0"/>
          <w:numId w:val="9"/>
        </w:numPr>
        <w:adjustRightInd w:val="0"/>
        <w:snapToGrid w:val="0"/>
        <w:spacing w:line="576" w:lineRule="exact"/>
        <w:ind w:firstLine="720"/>
        <w:outlineLvl w:val="1"/>
        <w:rPr>
          <w:rFonts w:hint="eastAsia" w:ascii="黑体" w:hAnsi="黑体" w:eastAsia="黑体" w:cs="黑体"/>
          <w:bCs/>
          <w:sz w:val="32"/>
          <w:szCs w:val="32"/>
        </w:rPr>
      </w:pPr>
      <w:bookmarkStart w:id="108" w:name="_Toc10984"/>
      <w:r>
        <w:rPr>
          <w:rFonts w:hint="eastAsia" w:ascii="黑体" w:hAnsi="黑体" w:eastAsia="黑体" w:cs="黑体"/>
          <w:bCs/>
          <w:sz w:val="32"/>
          <w:szCs w:val="32"/>
        </w:rPr>
        <w:t>项目资金申报及使用情况</w:t>
      </w:r>
      <w:bookmarkEnd w:id="108"/>
    </w:p>
    <w:p>
      <w:pPr>
        <w:keepNext w:val="0"/>
        <w:keepLines w:val="0"/>
        <w:pageBreakBefore w:val="0"/>
        <w:widowControl w:val="0"/>
        <w:numPr>
          <w:ilvl w:val="0"/>
          <w:numId w:val="10"/>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sz w:val="32"/>
          <w:szCs w:val="32"/>
        </w:rPr>
      </w:pPr>
      <w:r>
        <w:rPr>
          <w:rFonts w:hint="eastAsia" w:ascii="楷体_GB2312" w:hAnsi="宋体" w:eastAsia="楷体_GB2312" w:cs="Times New Roman"/>
          <w:b w:val="0"/>
          <w:bCs w:val="0"/>
          <w:sz w:val="32"/>
          <w:szCs w:val="32"/>
          <w:lang w:val="zh-CN"/>
        </w:rPr>
        <w:t>项目资金申报及批复情况。</w:t>
      </w:r>
      <w:r>
        <w:rPr>
          <w:rFonts w:hint="eastAsia" w:ascii="仿宋_GB2312" w:hAnsi="宋体" w:eastAsia="仿宋_GB2312"/>
          <w:sz w:val="32"/>
          <w:szCs w:val="32"/>
          <w:lang w:val="zh-CN"/>
        </w:rPr>
        <w:t>项目资金申报</w:t>
      </w:r>
      <w:r>
        <w:rPr>
          <w:rFonts w:hint="eastAsia" w:ascii="仿宋_GB2312" w:hAnsi="宋体" w:eastAsia="仿宋_GB2312"/>
          <w:sz w:val="32"/>
          <w:szCs w:val="32"/>
        </w:rPr>
        <w:t>5万元</w:t>
      </w:r>
      <w:r>
        <w:rPr>
          <w:rFonts w:hint="eastAsia" w:ascii="仿宋_GB2312" w:hAnsi="宋体" w:eastAsia="仿宋_GB2312"/>
          <w:sz w:val="32"/>
          <w:szCs w:val="32"/>
          <w:lang w:val="zh-CN"/>
        </w:rPr>
        <w:t>、</w:t>
      </w:r>
      <w:r>
        <w:rPr>
          <w:rFonts w:hint="eastAsia" w:ascii="仿宋_GB2312" w:hAnsi="宋体" w:eastAsia="仿宋_GB2312"/>
          <w:sz w:val="32"/>
          <w:szCs w:val="32"/>
        </w:rPr>
        <w:t>财政</w:t>
      </w:r>
      <w:r>
        <w:rPr>
          <w:rFonts w:hint="eastAsia" w:ascii="仿宋_GB2312" w:hAnsi="宋体" w:eastAsia="仿宋_GB2312"/>
          <w:sz w:val="32"/>
          <w:szCs w:val="32"/>
          <w:lang w:val="zh-CN"/>
        </w:rPr>
        <w:t>批复</w:t>
      </w:r>
      <w:r>
        <w:rPr>
          <w:rFonts w:hint="eastAsia" w:ascii="仿宋_GB2312" w:hAnsi="宋体" w:eastAsia="仿宋_GB2312"/>
          <w:sz w:val="32"/>
          <w:szCs w:val="32"/>
        </w:rPr>
        <w:t>5万元。</w:t>
      </w:r>
    </w:p>
    <w:p>
      <w:pPr>
        <w:keepNext w:val="0"/>
        <w:keepLines w:val="0"/>
        <w:pageBreakBefore w:val="0"/>
        <w:widowControl w:val="0"/>
        <w:numPr>
          <w:ilvl w:val="0"/>
          <w:numId w:val="10"/>
        </w:numPr>
        <w:kinsoku/>
        <w:wordWrap/>
        <w:overflowPunct/>
        <w:topLinePunct w:val="0"/>
        <w:autoSpaceDE/>
        <w:autoSpaceDN/>
        <w:bidi w:val="0"/>
        <w:adjustRightInd w:val="0"/>
        <w:snapToGrid w:val="0"/>
        <w:spacing w:line="576" w:lineRule="exact"/>
        <w:ind w:firstLine="640" w:firstLineChars="200"/>
        <w:textAlignment w:val="auto"/>
        <w:rPr>
          <w:rFonts w:hint="eastAsia" w:ascii="华文楷体" w:hAnsi="华文楷体" w:eastAsia="华文楷体" w:cs="华文楷体"/>
          <w:b w:val="0"/>
          <w:bCs w:val="0"/>
          <w:sz w:val="32"/>
          <w:szCs w:val="32"/>
          <w:lang w:val="zh-CN"/>
        </w:rPr>
      </w:pPr>
      <w:r>
        <w:rPr>
          <w:rFonts w:hint="eastAsia" w:ascii="华文楷体" w:hAnsi="华文楷体" w:eastAsia="华文楷体" w:cs="华文楷体"/>
          <w:b w:val="0"/>
          <w:bCs w:val="0"/>
          <w:sz w:val="32"/>
          <w:szCs w:val="32"/>
          <w:lang w:val="zh-CN"/>
        </w:rPr>
        <w:t>资金计划、到位及使用情况</w:t>
      </w:r>
    </w:p>
    <w:p>
      <w:pPr>
        <w:keepNext w:val="0"/>
        <w:keepLines w:val="0"/>
        <w:pageBreakBefore w:val="0"/>
        <w:widowControl w:val="0"/>
        <w:numPr>
          <w:ilvl w:val="0"/>
          <w:numId w:val="11"/>
        </w:numPr>
        <w:kinsoku/>
        <w:wordWrap/>
        <w:overflowPunct/>
        <w:topLinePunct w:val="0"/>
        <w:autoSpaceDE/>
        <w:autoSpaceDN/>
        <w:bidi w:val="0"/>
        <w:adjustRightInd w:val="0"/>
        <w:snapToGrid w:val="0"/>
        <w:spacing w:line="576" w:lineRule="exact"/>
        <w:ind w:firstLine="640" w:firstLineChars="200"/>
        <w:textAlignment w:val="auto"/>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zh-CN"/>
        </w:rPr>
        <w:t>资金计划及到位。</w:t>
      </w:r>
      <w:r>
        <w:rPr>
          <w:rFonts w:hint="eastAsia" w:ascii="仿宋_GB2312" w:hAnsi="宋体" w:eastAsia="仿宋_GB2312" w:cs="Times New Roman"/>
          <w:sz w:val="32"/>
          <w:szCs w:val="32"/>
          <w:lang w:val="zh-CN" w:eastAsia="zh-CN"/>
        </w:rPr>
        <w:t>该项目资金计划5万元项目资金申报5万元，财政批复5万元，截止评价时点实际到位5万元，为本级财政拨款资金，资金到位率100%。</w:t>
      </w:r>
    </w:p>
    <w:p>
      <w:pPr>
        <w:keepNext w:val="0"/>
        <w:keepLines w:val="0"/>
        <w:pageBreakBefore w:val="0"/>
        <w:widowControl w:val="0"/>
        <w:numPr>
          <w:ilvl w:val="0"/>
          <w:numId w:val="11"/>
        </w:numPr>
        <w:kinsoku/>
        <w:wordWrap/>
        <w:overflowPunct/>
        <w:topLinePunct w:val="0"/>
        <w:autoSpaceDE/>
        <w:autoSpaceDN/>
        <w:bidi w:val="0"/>
        <w:adjustRightInd w:val="0"/>
        <w:snapToGrid w:val="0"/>
        <w:spacing w:line="576" w:lineRule="exact"/>
        <w:ind w:firstLine="640" w:firstLineChars="200"/>
        <w:textAlignment w:val="auto"/>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zh-CN"/>
        </w:rPr>
        <w:t>资金使用。</w:t>
      </w:r>
      <w:r>
        <w:rPr>
          <w:rFonts w:hint="eastAsia" w:ascii="仿宋_GB2312" w:hAnsi="宋体" w:eastAsia="仿宋_GB2312" w:cs="Times New Roman"/>
          <w:sz w:val="32"/>
          <w:szCs w:val="32"/>
          <w:lang w:val="en-US" w:eastAsia="zh-CN"/>
        </w:rPr>
        <w:t>已全部使用完毕，</w:t>
      </w:r>
      <w:r>
        <w:rPr>
          <w:rFonts w:hint="eastAsia" w:ascii="仿宋_GB2312" w:hAnsi="宋体" w:eastAsia="仿宋_GB2312"/>
          <w:sz w:val="32"/>
          <w:szCs w:val="32"/>
          <w:lang w:val="zh-CN"/>
        </w:rPr>
        <w:t>支付依据合规合法，资金支付与预算相符。</w:t>
      </w:r>
    </w:p>
    <w:p>
      <w:pPr>
        <w:adjustRightInd w:val="0"/>
        <w:snapToGrid w:val="0"/>
        <w:spacing w:line="576" w:lineRule="exact"/>
        <w:ind w:firstLine="720"/>
        <w:rPr>
          <w:rFonts w:hint="eastAsia" w:ascii="华文楷体" w:hAnsi="华文楷体" w:eastAsia="华文楷体" w:cs="华文楷体"/>
          <w:b w:val="0"/>
          <w:bCs w:val="0"/>
          <w:sz w:val="32"/>
          <w:szCs w:val="32"/>
          <w:lang w:val="zh-CN"/>
        </w:rPr>
      </w:pPr>
      <w:r>
        <w:rPr>
          <w:rFonts w:hint="eastAsia" w:ascii="楷体_GB2312" w:hAnsi="楷体_GB2312" w:eastAsia="楷体_GB2312" w:cs="楷体_GB2312"/>
          <w:bCs/>
          <w:sz w:val="32"/>
          <w:szCs w:val="32"/>
          <w:lang w:val="zh-CN"/>
        </w:rPr>
        <w:t>（</w:t>
      </w:r>
      <w:r>
        <w:rPr>
          <w:rFonts w:hint="eastAsia" w:ascii="楷体_GB2312" w:hAnsi="楷体_GB2312" w:eastAsia="楷体_GB2312" w:cs="楷体_GB2312"/>
          <w:bCs/>
          <w:sz w:val="32"/>
          <w:szCs w:val="32"/>
          <w:lang w:val="en-US" w:eastAsia="zh-CN"/>
        </w:rPr>
        <w:t>三</w:t>
      </w:r>
      <w:r>
        <w:rPr>
          <w:rFonts w:hint="eastAsia" w:ascii="楷体_GB2312" w:hAnsi="楷体_GB2312" w:eastAsia="楷体_GB2312" w:cs="楷体_GB2312"/>
          <w:bCs/>
          <w:sz w:val="32"/>
          <w:szCs w:val="32"/>
          <w:lang w:val="zh-CN"/>
        </w:rPr>
        <w:t>）项目财务管理情况。</w:t>
      </w:r>
      <w:r>
        <w:rPr>
          <w:rFonts w:hint="eastAsia" w:ascii="仿宋_GB2312" w:hAnsi="宋体" w:eastAsia="仿宋_GB2312"/>
          <w:sz w:val="32"/>
          <w:szCs w:val="32"/>
          <w:lang w:val="zh-CN"/>
        </w:rPr>
        <w:t>项目会计核算及账务处理</w:t>
      </w:r>
      <w:r>
        <w:rPr>
          <w:rFonts w:hint="eastAsia" w:ascii="仿宋_GB2312" w:hAnsi="宋体" w:eastAsia="仿宋_GB2312"/>
          <w:sz w:val="32"/>
          <w:szCs w:val="32"/>
        </w:rPr>
        <w:t>按照《预算法》《单位内控制度》</w:t>
      </w:r>
      <w:r>
        <w:rPr>
          <w:rFonts w:hint="eastAsia" w:ascii="仿宋_GB2312" w:hAnsi="宋体" w:eastAsia="仿宋_GB2312"/>
          <w:sz w:val="32"/>
          <w:szCs w:val="32"/>
          <w:lang w:val="zh-CN"/>
        </w:rPr>
        <w:t>等相关</w:t>
      </w:r>
      <w:r>
        <w:rPr>
          <w:rFonts w:hint="eastAsia" w:ascii="仿宋_GB2312" w:hAnsi="宋体" w:eastAsia="仿宋_GB2312"/>
          <w:sz w:val="32"/>
          <w:szCs w:val="32"/>
        </w:rPr>
        <w:t>规定，</w:t>
      </w:r>
      <w:r>
        <w:rPr>
          <w:rFonts w:hint="eastAsia" w:ascii="仿宋_GB2312" w:hAnsi="宋体" w:eastAsia="仿宋_GB2312"/>
          <w:sz w:val="32"/>
          <w:szCs w:val="32"/>
          <w:lang w:val="zh-CN"/>
        </w:rPr>
        <w:t>严格执行财务管理制度、财务处理及时、会计核算规范。</w:t>
      </w:r>
    </w:p>
    <w:p>
      <w:pPr>
        <w:adjustRightInd w:val="0"/>
        <w:snapToGrid w:val="0"/>
        <w:spacing w:line="576" w:lineRule="exact"/>
        <w:ind w:firstLine="720"/>
        <w:outlineLvl w:val="1"/>
        <w:rPr>
          <w:rFonts w:hint="eastAsia" w:ascii="黑体" w:hAnsi="黑体" w:eastAsia="黑体" w:cs="黑体"/>
          <w:bCs/>
          <w:sz w:val="32"/>
          <w:szCs w:val="32"/>
        </w:rPr>
      </w:pPr>
      <w:bookmarkStart w:id="109" w:name="_Toc23706"/>
      <w:r>
        <w:rPr>
          <w:rFonts w:hint="eastAsia" w:ascii="黑体" w:hAnsi="黑体" w:eastAsia="黑体" w:cs="黑体"/>
          <w:bCs/>
          <w:sz w:val="32"/>
          <w:szCs w:val="32"/>
          <w:lang w:val="en-US" w:eastAsia="zh-CN"/>
        </w:rPr>
        <w:t>三、</w:t>
      </w:r>
      <w:r>
        <w:rPr>
          <w:rFonts w:hint="eastAsia" w:ascii="黑体" w:hAnsi="黑体" w:eastAsia="黑体" w:cs="黑体"/>
          <w:bCs/>
          <w:sz w:val="32"/>
          <w:szCs w:val="32"/>
        </w:rPr>
        <w:t>项目实施及管理情况</w:t>
      </w:r>
      <w:bookmarkEnd w:id="109"/>
    </w:p>
    <w:p>
      <w:pPr>
        <w:adjustRightInd w:val="0"/>
        <w:snapToGrid w:val="0"/>
        <w:spacing w:line="576" w:lineRule="exact"/>
        <w:ind w:firstLine="720"/>
        <w:rPr>
          <w:rFonts w:hint="eastAsia" w:ascii="仿宋_GB2312" w:hAnsi="宋体" w:eastAsia="仿宋_GB2312"/>
          <w:sz w:val="32"/>
          <w:szCs w:val="32"/>
          <w:lang w:val="en-US" w:eastAsia="zh-CN"/>
        </w:rPr>
      </w:pPr>
      <w:r>
        <w:rPr>
          <w:rFonts w:hint="eastAsia" w:ascii="楷体_GB2312" w:hAnsi="楷体_GB2312" w:eastAsia="楷体_GB2312" w:cs="楷体_GB2312"/>
          <w:bCs/>
          <w:sz w:val="32"/>
          <w:szCs w:val="32"/>
          <w:lang w:val="zh-CN"/>
        </w:rPr>
        <w:t>（</w:t>
      </w:r>
      <w:r>
        <w:rPr>
          <w:rFonts w:hint="eastAsia" w:ascii="楷体_GB2312" w:hAnsi="楷体_GB2312" w:eastAsia="楷体_GB2312" w:cs="楷体_GB2312"/>
          <w:bCs/>
          <w:sz w:val="32"/>
          <w:szCs w:val="32"/>
          <w:lang w:val="en-US" w:eastAsia="zh-CN"/>
        </w:rPr>
        <w:t>一</w:t>
      </w:r>
      <w:r>
        <w:rPr>
          <w:rFonts w:hint="eastAsia" w:ascii="楷体_GB2312" w:hAnsi="楷体_GB2312" w:eastAsia="楷体_GB2312" w:cs="楷体_GB2312"/>
          <w:bCs/>
          <w:sz w:val="32"/>
          <w:szCs w:val="32"/>
          <w:lang w:val="zh-CN"/>
        </w:rPr>
        <w:t>）项目组织架构及实施流程。</w:t>
      </w:r>
      <w:r>
        <w:rPr>
          <w:rFonts w:hint="eastAsia" w:ascii="仿宋_GB2312" w:hAnsi="宋体" w:eastAsia="仿宋_GB2312"/>
          <w:sz w:val="32"/>
          <w:szCs w:val="32"/>
          <w:lang w:val="en-US" w:eastAsia="zh-CN"/>
        </w:rPr>
        <w:t>由船检科牵头，对全市船舶进行检验与修造开展专项工作。</w:t>
      </w:r>
      <w:r>
        <w:rPr>
          <w:rFonts w:hint="eastAsia" w:ascii="仿宋_GB2312" w:hAnsi="宋体" w:eastAsia="仿宋_GB2312"/>
          <w:sz w:val="32"/>
          <w:szCs w:val="32"/>
          <w:lang w:val="zh-CN"/>
        </w:rPr>
        <w:t>该经费项目主要用于船舶检验与修造管理专项工作经费项目支出。</w:t>
      </w:r>
    </w:p>
    <w:p>
      <w:pPr>
        <w:adjustRightInd w:val="0"/>
        <w:snapToGrid w:val="0"/>
        <w:spacing w:line="576" w:lineRule="exact"/>
        <w:ind w:firstLine="720"/>
        <w:rPr>
          <w:rFonts w:hint="eastAsia" w:ascii="仿宋_GB2312" w:hAnsi="宋体" w:eastAsia="仿宋_GB2312"/>
          <w:sz w:val="32"/>
          <w:szCs w:val="32"/>
          <w:lang w:val="zh-CN"/>
        </w:rPr>
      </w:pPr>
      <w:r>
        <w:rPr>
          <w:rFonts w:hint="eastAsia" w:ascii="楷体_GB2312" w:hAnsi="楷体_GB2312" w:eastAsia="楷体_GB2312" w:cs="楷体_GB2312"/>
          <w:bCs/>
          <w:sz w:val="32"/>
          <w:szCs w:val="32"/>
          <w:lang w:val="zh-CN"/>
        </w:rPr>
        <w:t>（二）项目管理情况。</w:t>
      </w:r>
      <w:r>
        <w:rPr>
          <w:rFonts w:hint="eastAsia" w:ascii="仿宋_GB2312" w:hAnsi="宋体" w:eastAsia="仿宋_GB2312" w:cs="Times New Roman"/>
          <w:b w:val="0"/>
          <w:bCs w:val="0"/>
          <w:sz w:val="32"/>
          <w:szCs w:val="32"/>
          <w:lang w:val="en-US" w:eastAsia="zh-CN"/>
        </w:rPr>
        <w:t>按照《预算法》对项目进行预算公开，每季度进行绩效项目分析。</w:t>
      </w:r>
    </w:p>
    <w:p>
      <w:pPr>
        <w:adjustRightInd w:val="0"/>
        <w:snapToGrid w:val="0"/>
        <w:spacing w:line="576" w:lineRule="exact"/>
        <w:ind w:firstLine="720"/>
        <w:rPr>
          <w:rFonts w:hint="eastAsia" w:ascii="楷体_GB2312" w:hAnsi="楷体_GB2312" w:eastAsia="楷体_GB2312" w:cs="楷体_GB2312"/>
          <w:bCs/>
          <w:sz w:val="32"/>
          <w:szCs w:val="32"/>
          <w:lang w:val="zh-CN"/>
        </w:rPr>
      </w:pPr>
      <w:r>
        <w:rPr>
          <w:rFonts w:hint="eastAsia" w:ascii="楷体_GB2312" w:hAnsi="楷体_GB2312" w:eastAsia="楷体_GB2312" w:cs="楷体_GB2312"/>
          <w:bCs/>
          <w:sz w:val="32"/>
          <w:szCs w:val="32"/>
          <w:lang w:val="zh-CN"/>
        </w:rPr>
        <w:t>（三）项目监管情况。</w:t>
      </w:r>
      <w:r>
        <w:rPr>
          <w:rFonts w:hint="eastAsia" w:ascii="仿宋_GB2312" w:hAnsi="宋体" w:eastAsia="仿宋_GB2312"/>
          <w:sz w:val="32"/>
          <w:szCs w:val="32"/>
          <w:lang w:val="zh-CN"/>
        </w:rPr>
        <w:t>该经费项目主要用于船舶检验与修造管理专项工作经费项目支出。</w:t>
      </w:r>
      <w:r>
        <w:rPr>
          <w:rFonts w:hint="eastAsia" w:ascii="仿宋_GB2312" w:hAnsi="宋体" w:eastAsia="仿宋_GB2312"/>
          <w:sz w:val="32"/>
          <w:szCs w:val="32"/>
          <w:lang w:val="en-US" w:eastAsia="zh-CN"/>
        </w:rPr>
        <w:t>每月通过中心主任办公会对项目进度情况进行通报，</w:t>
      </w:r>
      <w:r>
        <w:rPr>
          <w:rFonts w:hint="eastAsia" w:ascii="仿宋_GB2312" w:hAnsi="宋体" w:eastAsia="仿宋_GB2312"/>
          <w:sz w:val="32"/>
          <w:szCs w:val="32"/>
          <w:lang w:val="zh-CN"/>
        </w:rPr>
        <w:t>截止评价日，基本完成了资金的申报、审核、支付流程。截止评价时点项目资金的实际支出</w:t>
      </w:r>
      <w:r>
        <w:rPr>
          <w:rFonts w:hint="eastAsia" w:ascii="仿宋_GB2312" w:hAnsi="宋体" w:eastAsia="仿宋_GB2312"/>
          <w:sz w:val="32"/>
          <w:szCs w:val="32"/>
        </w:rPr>
        <w:t>5万元</w:t>
      </w:r>
      <w:r>
        <w:rPr>
          <w:rFonts w:hint="eastAsia" w:ascii="仿宋_GB2312" w:hAnsi="宋体" w:eastAsia="仿宋_GB2312"/>
          <w:sz w:val="32"/>
          <w:szCs w:val="32"/>
          <w:lang w:val="zh-CN"/>
        </w:rPr>
        <w:t>，主要用于船舶检验与修造管理专项工作经费项目支出。支付依据合规合法，资金支付与预算相符。</w:t>
      </w:r>
    </w:p>
    <w:p>
      <w:pPr>
        <w:adjustRightInd w:val="0"/>
        <w:snapToGrid w:val="0"/>
        <w:spacing w:line="576" w:lineRule="exact"/>
        <w:ind w:firstLine="720"/>
        <w:outlineLvl w:val="1"/>
        <w:rPr>
          <w:rFonts w:hint="eastAsia" w:ascii="黑体" w:hAnsi="黑体" w:eastAsia="黑体" w:cs="黑体"/>
          <w:bCs/>
          <w:sz w:val="32"/>
          <w:szCs w:val="32"/>
          <w:lang w:val="zh-CN"/>
        </w:rPr>
      </w:pPr>
      <w:bookmarkStart w:id="110" w:name="_Toc15247"/>
      <w:r>
        <w:rPr>
          <w:rFonts w:hint="eastAsia" w:ascii="黑体" w:hAnsi="黑体" w:eastAsia="黑体" w:cs="黑体"/>
          <w:bCs/>
          <w:sz w:val="32"/>
          <w:szCs w:val="32"/>
          <w:lang w:val="en-US" w:eastAsia="zh-CN"/>
        </w:rPr>
        <w:t>四</w:t>
      </w:r>
      <w:r>
        <w:rPr>
          <w:rFonts w:hint="eastAsia" w:ascii="黑体" w:hAnsi="黑体" w:eastAsia="黑体" w:cs="黑体"/>
          <w:bCs/>
          <w:sz w:val="32"/>
          <w:szCs w:val="32"/>
        </w:rPr>
        <w:t>、项目绩效情况</w:t>
      </w:r>
      <w:bookmarkEnd w:id="110"/>
      <w:r>
        <w:rPr>
          <w:rFonts w:hint="eastAsia" w:ascii="黑体" w:hAnsi="黑体" w:eastAsia="黑体" w:cs="黑体"/>
          <w:bCs/>
          <w:sz w:val="32"/>
          <w:szCs w:val="32"/>
          <w:lang w:val="zh-CN"/>
        </w:rPr>
        <w:tab/>
      </w:r>
    </w:p>
    <w:p>
      <w:pPr>
        <w:adjustRightInd w:val="0"/>
        <w:snapToGrid w:val="0"/>
        <w:spacing w:line="576" w:lineRule="exact"/>
        <w:ind w:firstLine="720"/>
        <w:rPr>
          <w:rFonts w:hint="eastAsia" w:ascii="楷体_GB2312" w:hAnsi="楷体_GB2312" w:eastAsia="楷体_GB2312" w:cs="楷体_GB2312"/>
          <w:bCs/>
          <w:sz w:val="32"/>
          <w:szCs w:val="32"/>
          <w:lang w:val="zh-CN"/>
        </w:rPr>
      </w:pPr>
      <w:r>
        <w:rPr>
          <w:rFonts w:hint="eastAsia" w:ascii="楷体_GB2312" w:hAnsi="楷体_GB2312" w:eastAsia="楷体_GB2312" w:cs="楷体_GB2312"/>
          <w:bCs/>
          <w:sz w:val="32"/>
          <w:szCs w:val="32"/>
          <w:lang w:val="zh-CN"/>
        </w:rPr>
        <w:t>（一）项目完成情况。</w:t>
      </w:r>
    </w:p>
    <w:p>
      <w:pPr>
        <w:adjustRightInd w:val="0"/>
        <w:snapToGrid w:val="0"/>
        <w:spacing w:line="576" w:lineRule="exact"/>
        <w:ind w:firstLine="720"/>
        <w:rPr>
          <w:rFonts w:hint="eastAsia" w:ascii="仿宋_GB2312" w:hAnsi="宋体" w:eastAsia="仿宋_GB2312"/>
          <w:sz w:val="32"/>
          <w:szCs w:val="32"/>
          <w:lang w:val="zh-CN"/>
        </w:rPr>
      </w:pPr>
      <w:r>
        <w:rPr>
          <w:rFonts w:hint="eastAsia" w:ascii="仿宋_GB2312" w:eastAsia="仿宋_GB2312"/>
          <w:sz w:val="32"/>
          <w:szCs w:val="32"/>
        </w:rPr>
        <w:t>认真把好船舶安全源头关，完成新建船舶图纸审查12套，完成船舶建造检验9艘、营运检验138艘，完成渔船检验57艘，完成“兴川江”8号、9号两艘千吨级多用途货船倾斜及试航实验、系泊实验，完成嘉陵江流域最大运输船舶的建造检验工作。</w:t>
      </w:r>
    </w:p>
    <w:p>
      <w:pPr>
        <w:adjustRightInd w:val="0"/>
        <w:snapToGrid w:val="0"/>
        <w:spacing w:line="576" w:lineRule="exact"/>
        <w:ind w:firstLine="720"/>
        <w:rPr>
          <w:rFonts w:hint="eastAsia" w:ascii="楷体_GB2312" w:hAnsi="楷体_GB2312" w:eastAsia="楷体_GB2312" w:cs="楷体_GB2312"/>
          <w:bCs/>
          <w:sz w:val="32"/>
          <w:szCs w:val="32"/>
          <w:lang w:val="zh-CN"/>
        </w:rPr>
      </w:pPr>
      <w:r>
        <w:rPr>
          <w:rFonts w:hint="eastAsia" w:ascii="楷体_GB2312" w:hAnsi="楷体_GB2312" w:eastAsia="楷体_GB2312" w:cs="楷体_GB2312"/>
          <w:bCs/>
          <w:sz w:val="32"/>
          <w:szCs w:val="32"/>
          <w:lang w:val="zh-CN"/>
        </w:rPr>
        <w:t>（</w:t>
      </w:r>
      <w:r>
        <w:rPr>
          <w:rFonts w:hint="eastAsia" w:ascii="楷体_GB2312" w:hAnsi="楷体_GB2312" w:eastAsia="楷体_GB2312" w:cs="楷体_GB2312"/>
          <w:bCs/>
          <w:sz w:val="32"/>
          <w:szCs w:val="32"/>
        </w:rPr>
        <w:t>二</w:t>
      </w:r>
      <w:r>
        <w:rPr>
          <w:rFonts w:hint="eastAsia" w:ascii="楷体_GB2312" w:hAnsi="楷体_GB2312" w:eastAsia="楷体_GB2312" w:cs="楷体_GB2312"/>
          <w:bCs/>
          <w:sz w:val="32"/>
          <w:szCs w:val="32"/>
          <w:lang w:val="zh-CN"/>
        </w:rPr>
        <w:t>）项目效益情况。</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填补了川东北大型船舶检验空白，全省船检工作现场会、全省船检业务培训会先后在我市召开。</w:t>
      </w:r>
    </w:p>
    <w:p>
      <w:pPr>
        <w:spacing w:line="576" w:lineRule="exact"/>
        <w:ind w:firstLine="640" w:firstLineChars="200"/>
        <w:outlineLvl w:val="1"/>
        <w:rPr>
          <w:rFonts w:hint="eastAsia" w:ascii="黑体" w:hAnsi="黑体" w:eastAsia="黑体" w:cs="黑体"/>
          <w:bCs/>
          <w:sz w:val="32"/>
          <w:szCs w:val="32"/>
        </w:rPr>
      </w:pPr>
      <w:bookmarkStart w:id="111" w:name="_Toc17278"/>
      <w:r>
        <w:rPr>
          <w:rFonts w:hint="eastAsia" w:ascii="黑体" w:hAnsi="黑体" w:eastAsia="黑体" w:cs="黑体"/>
          <w:bCs/>
          <w:sz w:val="32"/>
          <w:szCs w:val="32"/>
          <w:lang w:val="en-US" w:eastAsia="zh-CN"/>
        </w:rPr>
        <w:t>五</w:t>
      </w:r>
      <w:r>
        <w:rPr>
          <w:rFonts w:hint="eastAsia" w:ascii="黑体" w:hAnsi="黑体" w:eastAsia="黑体" w:cs="黑体"/>
          <w:bCs/>
          <w:sz w:val="32"/>
          <w:szCs w:val="32"/>
        </w:rPr>
        <w:t>、问题及建议</w:t>
      </w:r>
      <w:bookmarkEnd w:id="111"/>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cs="Times New Roman"/>
          <w:sz w:val="32"/>
          <w:szCs w:val="32"/>
          <w:lang w:val="zh-CN"/>
        </w:rPr>
      </w:pPr>
      <w:r>
        <w:rPr>
          <w:rFonts w:hint="eastAsia" w:ascii="楷体_GB2312" w:hAnsi="楷体_GB2312" w:eastAsia="楷体_GB2312" w:cs="楷体_GB2312"/>
          <w:bCs/>
          <w:sz w:val="32"/>
          <w:szCs w:val="32"/>
          <w:lang w:val="zh-CN"/>
        </w:rPr>
        <w:t>（一）评价结论。</w:t>
      </w:r>
      <w:r>
        <w:rPr>
          <w:rFonts w:hint="eastAsia" w:ascii="仿宋_GB2312" w:hAnsi="宋体" w:eastAsia="仿宋_GB2312" w:cs="Times New Roman"/>
          <w:sz w:val="32"/>
          <w:szCs w:val="32"/>
          <w:lang w:val="en-US" w:eastAsia="zh-CN"/>
        </w:rPr>
        <w:t>此专项资金解决了部分船检师外出进行船检以及调研工作的差旅费、工作必要开支，保障了该项工作能基本完成。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sz w:val="32"/>
          <w:szCs w:val="32"/>
          <w:highlight w:val="yellow"/>
        </w:rPr>
      </w:pPr>
      <w:r>
        <w:rPr>
          <w:rFonts w:hint="eastAsia" w:ascii="楷体_GB2312" w:hAnsi="楷体_GB2312" w:eastAsia="楷体_GB2312" w:cs="楷体_GB2312"/>
          <w:bCs/>
          <w:sz w:val="32"/>
          <w:szCs w:val="32"/>
          <w:lang w:val="zh-CN"/>
        </w:rPr>
        <w:t>（</w:t>
      </w:r>
      <w:r>
        <w:rPr>
          <w:rFonts w:hint="eastAsia" w:ascii="楷体_GB2312" w:hAnsi="楷体_GB2312" w:eastAsia="楷体_GB2312" w:cs="楷体_GB2312"/>
          <w:bCs/>
          <w:sz w:val="32"/>
          <w:szCs w:val="32"/>
          <w:lang w:val="en-US" w:eastAsia="zh-CN"/>
        </w:rPr>
        <w:t>二</w:t>
      </w:r>
      <w:r>
        <w:rPr>
          <w:rFonts w:hint="eastAsia" w:ascii="楷体_GB2312" w:hAnsi="楷体_GB2312" w:eastAsia="楷体_GB2312" w:cs="楷体_GB2312"/>
          <w:bCs/>
          <w:sz w:val="32"/>
          <w:szCs w:val="32"/>
          <w:lang w:val="zh-CN"/>
        </w:rPr>
        <w:t>）存在的问题。</w:t>
      </w:r>
      <w:r>
        <w:rPr>
          <w:rFonts w:hint="eastAsia" w:ascii="仿宋_GB2312" w:hAnsi="宋体" w:eastAsia="仿宋_GB2312"/>
          <w:sz w:val="32"/>
          <w:szCs w:val="32"/>
        </w:rPr>
        <w:t>中心承担了全市船舶建造检验及20米以上大船营运检验职责，加之2020年市农业农村局渔船检验职责全部转隶至我中心船舶检验机构，中心船舶检验工作任务重、压力大，而中心目前仅有验船师2名，远远无法满足全市船舶检验工作需要，有可能导致船舶脱检、迟检。</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黑体" w:hAnsi="黑体" w:eastAsia="黑体"/>
          <w:color w:val="auto"/>
          <w:sz w:val="44"/>
          <w:szCs w:val="44"/>
          <w:highlight w:val="none"/>
        </w:rPr>
      </w:pPr>
      <w:r>
        <w:rPr>
          <w:rFonts w:hint="eastAsia" w:ascii="楷体_GB2312" w:hAnsi="楷体_GB2312" w:eastAsia="楷体_GB2312" w:cs="楷体_GB2312"/>
          <w:bCs/>
          <w:sz w:val="32"/>
          <w:szCs w:val="32"/>
          <w:lang w:val="zh-CN"/>
        </w:rPr>
        <w:t>（</w:t>
      </w:r>
      <w:r>
        <w:rPr>
          <w:rFonts w:hint="eastAsia" w:ascii="楷体_GB2312" w:hAnsi="楷体_GB2312" w:eastAsia="楷体_GB2312" w:cs="楷体_GB2312"/>
          <w:bCs/>
          <w:sz w:val="32"/>
          <w:szCs w:val="32"/>
          <w:lang w:val="en-US" w:eastAsia="zh-CN"/>
        </w:rPr>
        <w:t>三</w:t>
      </w:r>
      <w:r>
        <w:rPr>
          <w:rFonts w:hint="eastAsia" w:ascii="楷体_GB2312" w:hAnsi="楷体_GB2312" w:eastAsia="楷体_GB2312" w:cs="楷体_GB2312"/>
          <w:bCs/>
          <w:sz w:val="32"/>
          <w:szCs w:val="32"/>
          <w:lang w:val="zh-CN"/>
        </w:rPr>
        <w:t>）相关建议。</w:t>
      </w:r>
      <w:r>
        <w:rPr>
          <w:rFonts w:hint="eastAsia" w:ascii="仿宋_GB2312" w:hAnsi="宋体" w:eastAsia="仿宋_GB2312"/>
          <w:sz w:val="32"/>
          <w:szCs w:val="32"/>
        </w:rPr>
        <w:t>增加相关福利待遇，激励职工考取注册验船师资格，化解验船师短缺矛盾。</w:t>
      </w:r>
      <w:r>
        <w:rPr>
          <w:rFonts w:hint="eastAsia" w:ascii="黑体" w:hAnsi="黑体" w:eastAsia="黑体"/>
          <w:color w:val="auto"/>
          <w:sz w:val="44"/>
          <w:szCs w:val="44"/>
          <w:highlight w:val="none"/>
        </w:rPr>
        <w:br w:type="page"/>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en-US" w:eastAsia="zh-CN" w:bidi="ar-SA"/>
        </w:rPr>
      </w:pPr>
      <w:r>
        <w:drawing>
          <wp:anchor distT="0" distB="0" distL="114935" distR="114935" simplePos="0" relativeHeight="251665408" behindDoc="0" locked="0" layoutInCell="1" allowOverlap="1">
            <wp:simplePos x="0" y="0"/>
            <wp:positionH relativeFrom="column">
              <wp:posOffset>41910</wp:posOffset>
            </wp:positionH>
            <wp:positionV relativeFrom="paragraph">
              <wp:posOffset>93980</wp:posOffset>
            </wp:positionV>
            <wp:extent cx="5269230" cy="6055360"/>
            <wp:effectExtent l="0" t="0" r="3810" b="10160"/>
            <wp:wrapTopAndBottom/>
            <wp:docPr id="1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pic:cNvPicPr>
                      <a:picLocks noChangeAspect="1"/>
                    </pic:cNvPicPr>
                  </pic:nvPicPr>
                  <pic:blipFill>
                    <a:blip r:embed="rId14"/>
                    <a:stretch>
                      <a:fillRect/>
                    </a:stretch>
                  </pic:blipFill>
                  <pic:spPr>
                    <a:xfrm>
                      <a:off x="0" y="0"/>
                      <a:ext cx="5269230" cy="6055360"/>
                    </a:xfrm>
                    <a:prstGeom prst="rect">
                      <a:avLst/>
                    </a:prstGeom>
                    <a:noFill/>
                    <a:ln>
                      <a:noFill/>
                    </a:ln>
                  </pic:spPr>
                </pic:pic>
              </a:graphicData>
            </a:graphic>
          </wp:anchor>
        </w:drawing>
      </w:r>
      <w:r>
        <w:rPr>
          <w:rFonts w:hint="eastAsia" w:ascii="黑体" w:hAnsi="黑体" w:eastAsia="黑体"/>
          <w:color w:val="auto"/>
          <w:sz w:val="44"/>
          <w:szCs w:val="44"/>
          <w:highlight w:val="none"/>
        </w:rPr>
        <w:br w:type="page"/>
      </w:r>
      <w:r>
        <w:rPr>
          <w:rFonts w:hint="eastAsia" w:ascii="方正小标宋简体" w:hAnsi="方正小标宋简体" w:eastAsia="方正小标宋简体" w:cs="方正小标宋简体"/>
          <w:color w:val="auto"/>
          <w:kern w:val="2"/>
          <w:sz w:val="40"/>
          <w:szCs w:val="40"/>
          <w:highlight w:val="none"/>
          <w:lang w:val="en-US" w:eastAsia="zh-CN" w:bidi="ar-SA"/>
        </w:rPr>
        <w:t>2021年嘉陵江数字航道平台运行维护项目</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zh-CN" w:eastAsia="zh-CN" w:bidi="ar-SA"/>
        </w:rPr>
      </w:pPr>
      <w:r>
        <w:rPr>
          <w:rFonts w:hint="eastAsia" w:ascii="方正小标宋简体" w:hAnsi="方正小标宋简体" w:eastAsia="方正小标宋简体" w:cs="方正小标宋简体"/>
          <w:color w:val="auto"/>
          <w:kern w:val="2"/>
          <w:sz w:val="40"/>
          <w:szCs w:val="40"/>
          <w:highlight w:val="none"/>
          <w:lang w:val="zh-CN" w:eastAsia="zh-CN" w:bidi="ar-SA"/>
        </w:rPr>
        <w:t>支出绩效自评报告</w:t>
      </w:r>
    </w:p>
    <w:p>
      <w:pPr>
        <w:rPr>
          <w:rFonts w:hint="eastAsia" w:ascii="黑体" w:hAnsi="黑体" w:eastAsia="黑体" w:cs="黑体"/>
          <w:bCs/>
          <w:sz w:val="32"/>
          <w:szCs w:val="32"/>
        </w:rPr>
      </w:pPr>
    </w:p>
    <w:p>
      <w:pPr>
        <w:outlineLvl w:val="1"/>
        <w:rPr>
          <w:rFonts w:hint="eastAsia" w:ascii="黑体" w:hAnsi="黑体" w:eastAsia="黑体" w:cs="黑体"/>
          <w:bCs/>
          <w:sz w:val="32"/>
          <w:szCs w:val="32"/>
          <w:lang w:val="zh-CN"/>
        </w:rPr>
      </w:pPr>
      <w:bookmarkStart w:id="112" w:name="_Toc31353"/>
      <w:r>
        <w:rPr>
          <w:rFonts w:hint="eastAsia" w:ascii="黑体" w:hAnsi="黑体" w:eastAsia="黑体" w:cs="黑体"/>
          <w:bCs/>
          <w:sz w:val="32"/>
          <w:szCs w:val="32"/>
        </w:rPr>
        <w:t>一、</w:t>
      </w:r>
      <w:r>
        <w:rPr>
          <w:rFonts w:hint="eastAsia" w:ascii="黑体" w:hAnsi="黑体" w:eastAsia="黑体" w:cs="黑体"/>
          <w:bCs/>
          <w:sz w:val="32"/>
          <w:szCs w:val="32"/>
          <w:lang w:val="zh-CN"/>
        </w:rPr>
        <w:t>项目概况</w:t>
      </w:r>
      <w:bookmarkEnd w:id="112"/>
    </w:p>
    <w:p>
      <w:pPr>
        <w:numPr>
          <w:ilvl w:val="0"/>
          <w:numId w:val="12"/>
        </w:numPr>
        <w:adjustRightInd w:val="0"/>
        <w:snapToGrid w:val="0"/>
        <w:spacing w:line="576" w:lineRule="exact"/>
        <w:ind w:firstLine="720"/>
        <w:rPr>
          <w:rFonts w:hint="eastAsia" w:ascii="仿宋_GB2312" w:hAnsi="仿宋_GB2312" w:eastAsia="仿宋_GB2312" w:cs="仿宋_GB2312"/>
          <w:sz w:val="32"/>
          <w:szCs w:val="32"/>
        </w:rPr>
      </w:pPr>
      <w:r>
        <w:rPr>
          <w:rFonts w:hint="eastAsia" w:ascii="楷体_GB2312" w:hAnsi="楷体_GB2312" w:eastAsia="楷体_GB2312" w:cs="楷体_GB2312"/>
          <w:bCs/>
          <w:sz w:val="32"/>
          <w:szCs w:val="32"/>
          <w:lang w:val="zh-CN"/>
        </w:rPr>
        <w:t>项目基本情况。</w:t>
      </w:r>
      <w:r>
        <w:rPr>
          <w:rFonts w:hint="eastAsia" w:ascii="仿宋_GB2312" w:hAnsi="仿宋_GB2312" w:eastAsia="仿宋_GB2312" w:cs="仿宋_GB2312"/>
          <w:sz w:val="32"/>
          <w:szCs w:val="32"/>
          <w:lang w:val="en-US" w:eastAsia="zh-CN"/>
        </w:rPr>
        <w:t>该项目由主管部门自主实施，是根据工作职能职责设立，项目资金全部专款专用于</w:t>
      </w:r>
      <w:r>
        <w:rPr>
          <w:rFonts w:hint="eastAsia" w:ascii="仿宋_GB2312" w:hAnsi="仿宋_GB2312" w:eastAsia="仿宋_GB2312" w:cs="仿宋_GB2312"/>
          <w:sz w:val="32"/>
          <w:szCs w:val="32"/>
        </w:rPr>
        <w:t>嘉陵江数字航道平台运行维护</w:t>
      </w:r>
      <w:r>
        <w:rPr>
          <w:rFonts w:hint="eastAsia" w:ascii="仿宋_GB2312" w:hAnsi="仿宋_GB2312" w:eastAsia="仿宋_GB2312" w:cs="仿宋_GB2312"/>
          <w:sz w:val="32"/>
          <w:szCs w:val="32"/>
          <w:lang w:eastAsia="zh-CN"/>
        </w:rPr>
        <w:t>。</w:t>
      </w:r>
    </w:p>
    <w:p>
      <w:pPr>
        <w:numPr>
          <w:ilvl w:val="0"/>
          <w:numId w:val="12"/>
        </w:numPr>
        <w:adjustRightInd w:val="0"/>
        <w:snapToGrid w:val="0"/>
        <w:spacing w:line="576" w:lineRule="exact"/>
        <w:ind w:firstLine="720"/>
        <w:rPr>
          <w:rFonts w:hint="eastAsia" w:ascii="仿宋_GB2312" w:hAnsi="宋体" w:eastAsia="仿宋_GB2312"/>
          <w:sz w:val="32"/>
          <w:szCs w:val="32"/>
          <w:lang w:val="zh-CN"/>
        </w:rPr>
      </w:pPr>
      <w:r>
        <w:rPr>
          <w:rFonts w:hint="eastAsia" w:ascii="楷体_GB2312" w:hAnsi="楷体_GB2312" w:eastAsia="楷体_GB2312" w:cs="楷体_GB2312"/>
          <w:bCs/>
          <w:sz w:val="32"/>
          <w:szCs w:val="32"/>
          <w:lang w:val="zh-CN"/>
        </w:rPr>
        <w:t>项目绩效目标。</w:t>
      </w:r>
    </w:p>
    <w:p>
      <w:pPr>
        <w:keepNext w:val="0"/>
        <w:keepLines w:val="0"/>
        <w:pageBreakBefore w:val="0"/>
        <w:widowControl w:val="0"/>
        <w:numPr>
          <w:ilvl w:val="0"/>
          <w:numId w:val="13"/>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zh-CN"/>
        </w:rPr>
        <w:t>实现嘉陵江高等级航道可视化，管养科学化，为航道管养提供科学依据，为船舶企业和船主提供清晰可见的嘉陵江电子航道图，优化船舶过闸安检互认机制，达到“一次认证全江通行”，为建设成渝地区北向重要门户枢纽和生态康养“后花园”贡献广元水运力量。</w:t>
      </w:r>
    </w:p>
    <w:p>
      <w:pPr>
        <w:keepNext w:val="0"/>
        <w:keepLines w:val="0"/>
        <w:pageBreakBefore w:val="0"/>
        <w:widowControl w:val="0"/>
        <w:numPr>
          <w:ilvl w:val="0"/>
          <w:numId w:val="13"/>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sz w:val="32"/>
          <w:szCs w:val="32"/>
          <w:lang w:val="zh-CN"/>
        </w:rPr>
      </w:pPr>
      <w:r>
        <w:rPr>
          <w:rFonts w:hint="eastAsia" w:ascii="仿宋_GB2312" w:hAnsi="宋体" w:eastAsia="仿宋_GB2312"/>
          <w:sz w:val="32"/>
          <w:szCs w:val="32"/>
          <w:lang w:val="zh-CN"/>
        </w:rPr>
        <w:t>航道监控=15处、码头监控=5处、水位监测=4处、通航建筑物及船闸=3处；拟定全市通航水域信息化建设、维护规划</w:t>
      </w:r>
      <w:r>
        <w:rPr>
          <w:rFonts w:hint="eastAsia" w:ascii="仿宋_GB2312" w:hAnsi="宋体" w:eastAsia="仿宋_GB2312"/>
          <w:sz w:val="32"/>
          <w:szCs w:val="32"/>
          <w:lang w:val="zh-CN"/>
        </w:rPr>
        <w:tab/>
      </w:r>
      <w:r>
        <w:rPr>
          <w:rFonts w:hint="eastAsia" w:ascii="仿宋_GB2312" w:hAnsi="宋体" w:eastAsia="仿宋_GB2312"/>
          <w:sz w:val="32"/>
          <w:szCs w:val="32"/>
          <w:lang w:val="zh-CN"/>
        </w:rPr>
        <w:t>=100%；实现通航水域“全方位覆盖”的现代化水上交通信息化综合管理，提升航道及通航建筑物通行效率，全面服务于航运事业发展=100%、对两个港口作业区、三个通航建筑物及亭子湖、白龙湖、升钟水库等重点区域的信息化设施建设维护进行专项督导=8处；全年</w:t>
      </w:r>
      <w:r>
        <w:rPr>
          <w:rFonts w:hint="eastAsia" w:ascii="仿宋_GB2312" w:hAnsi="宋体" w:eastAsia="仿宋_GB2312"/>
          <w:sz w:val="32"/>
          <w:szCs w:val="32"/>
          <w:lang w:val="zh-CN"/>
        </w:rPr>
        <w:tab/>
      </w:r>
      <w:r>
        <w:rPr>
          <w:rFonts w:hint="eastAsia" w:ascii="仿宋_GB2312" w:hAnsi="宋体" w:eastAsia="仿宋_GB2312"/>
          <w:sz w:val="32"/>
          <w:szCs w:val="32"/>
          <w:lang w:val="zh-CN"/>
        </w:rPr>
        <w:t>2021年1月-12月；平台运行及维护费用</w:t>
      </w:r>
      <w:r>
        <w:rPr>
          <w:rFonts w:hint="eastAsia" w:ascii="仿宋_GB2312" w:hAnsi="宋体" w:eastAsia="仿宋_GB2312"/>
          <w:sz w:val="32"/>
          <w:szCs w:val="32"/>
          <w:lang w:val="zh-CN"/>
        </w:rPr>
        <w:tab/>
      </w:r>
      <w:r>
        <w:rPr>
          <w:rFonts w:hint="eastAsia" w:ascii="仿宋_GB2312" w:hAnsi="宋体" w:eastAsia="仿宋_GB2312"/>
          <w:sz w:val="32"/>
          <w:szCs w:val="32"/>
          <w:lang w:val="zh-CN"/>
        </w:rPr>
        <w:t>&lt;=12.31万元；落实信息化建设维护工作，提高信息化维护监管能力，为成渝经济圈协同发展贡献广元水运力量；服务对象满意度</w:t>
      </w:r>
      <w:r>
        <w:rPr>
          <w:rFonts w:hint="eastAsia" w:ascii="仿宋_GB2312" w:hAnsi="宋体" w:eastAsia="仿宋_GB2312"/>
          <w:sz w:val="32"/>
          <w:szCs w:val="32"/>
          <w:lang w:val="zh-CN"/>
        </w:rPr>
        <w:tab/>
      </w:r>
      <w:r>
        <w:rPr>
          <w:rFonts w:hint="eastAsia" w:ascii="仿宋_GB2312" w:hAnsi="宋体" w:eastAsia="仿宋_GB2312"/>
          <w:sz w:val="32"/>
          <w:szCs w:val="32"/>
          <w:lang w:val="zh-CN"/>
        </w:rPr>
        <w:t>&gt;=90%。</w:t>
      </w:r>
    </w:p>
    <w:p>
      <w:pPr>
        <w:keepNext w:val="0"/>
        <w:keepLines w:val="0"/>
        <w:pageBreakBefore w:val="0"/>
        <w:widowControl w:val="0"/>
        <w:numPr>
          <w:ilvl w:val="0"/>
          <w:numId w:val="13"/>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sz w:val="32"/>
          <w:szCs w:val="32"/>
          <w:lang w:val="zh-CN"/>
        </w:rPr>
      </w:pPr>
      <w:r>
        <w:rPr>
          <w:rFonts w:hint="eastAsia" w:ascii="仿宋_GB2312" w:hAnsi="宋体" w:eastAsia="仿宋_GB2312"/>
          <w:sz w:val="32"/>
          <w:szCs w:val="32"/>
          <w:lang w:val="zh-CN"/>
        </w:rPr>
        <w:t>项目申报内容与具体实施内容相符、申报目标合理可行。</w:t>
      </w:r>
    </w:p>
    <w:p>
      <w:pPr>
        <w:numPr>
          <w:ilvl w:val="0"/>
          <w:numId w:val="12"/>
        </w:numPr>
        <w:adjustRightInd w:val="0"/>
        <w:snapToGrid w:val="0"/>
        <w:spacing w:line="576" w:lineRule="exact"/>
        <w:ind w:firstLine="720"/>
        <w:rPr>
          <w:rFonts w:hint="eastAsia" w:ascii="仿宋_GB2312" w:hAnsi="宋体" w:eastAsia="仿宋_GB2312" w:cs="Times New Roman"/>
          <w:sz w:val="32"/>
          <w:szCs w:val="32"/>
          <w:lang w:val="zh-CN" w:eastAsia="zh-CN"/>
        </w:rPr>
      </w:pPr>
      <w:r>
        <w:rPr>
          <w:rFonts w:hint="eastAsia" w:ascii="楷体_GB2312" w:hAnsi="楷体_GB2312" w:eastAsia="楷体_GB2312" w:cs="楷体_GB2312"/>
          <w:bCs/>
          <w:sz w:val="32"/>
          <w:szCs w:val="32"/>
          <w:lang w:val="zh-CN"/>
        </w:rPr>
        <w:t>项目自评步骤及方法。</w:t>
      </w:r>
      <w:r>
        <w:rPr>
          <w:rFonts w:hint="eastAsia" w:ascii="仿宋_GB2312" w:hAnsi="宋体" w:eastAsia="仿宋_GB2312" w:cs="Times New Roman"/>
          <w:sz w:val="32"/>
          <w:szCs w:val="32"/>
          <w:lang w:val="zh-CN" w:eastAsia="zh-CN"/>
        </w:rPr>
        <w:t>业务科室对照《2022年市级专项预算项目支出绩效评价指标体系》，完善相关指标并进行自评打分。</w:t>
      </w:r>
    </w:p>
    <w:p>
      <w:pPr>
        <w:adjustRightInd w:val="0"/>
        <w:snapToGrid w:val="0"/>
        <w:spacing w:line="576" w:lineRule="exact"/>
        <w:ind w:firstLine="720"/>
        <w:outlineLvl w:val="1"/>
        <w:rPr>
          <w:rFonts w:hint="eastAsia" w:ascii="黑体" w:hAnsi="黑体" w:eastAsia="黑体" w:cs="黑体"/>
          <w:bCs/>
          <w:sz w:val="32"/>
          <w:szCs w:val="32"/>
        </w:rPr>
      </w:pPr>
      <w:bookmarkStart w:id="113" w:name="_Toc29091"/>
      <w:r>
        <w:rPr>
          <w:rFonts w:hint="eastAsia" w:ascii="黑体" w:hAnsi="黑体" w:eastAsia="黑体" w:cs="黑体"/>
          <w:bCs/>
          <w:sz w:val="32"/>
          <w:szCs w:val="32"/>
        </w:rPr>
        <w:t>二、项目实施及管理情况</w:t>
      </w:r>
      <w:bookmarkEnd w:id="113"/>
    </w:p>
    <w:p>
      <w:pPr>
        <w:adjustRightInd w:val="0"/>
        <w:snapToGrid w:val="0"/>
        <w:spacing w:line="576" w:lineRule="exact"/>
        <w:ind w:firstLine="720"/>
        <w:rPr>
          <w:rFonts w:hint="eastAsia" w:ascii="仿宋_GB2312" w:hAnsi="宋体" w:eastAsia="仿宋_GB2312" w:cs="Times New Roman"/>
          <w:sz w:val="32"/>
          <w:szCs w:val="32"/>
          <w:lang w:val="zh-CN"/>
        </w:rPr>
      </w:pPr>
      <w:r>
        <w:rPr>
          <w:rFonts w:hint="eastAsia" w:ascii="楷体_GB2312" w:hAnsi="楷体_GB2312" w:eastAsia="楷体_GB2312" w:cs="楷体_GB2312"/>
          <w:bCs/>
          <w:sz w:val="32"/>
          <w:szCs w:val="32"/>
          <w:lang w:val="zh-CN"/>
        </w:rPr>
        <w:t>（一）项目资金申报及批复情况。</w:t>
      </w:r>
      <w:r>
        <w:rPr>
          <w:rFonts w:hint="eastAsia" w:ascii="仿宋_GB2312" w:hAnsi="宋体" w:eastAsia="仿宋_GB2312" w:cs="Times New Roman"/>
          <w:sz w:val="32"/>
          <w:szCs w:val="32"/>
          <w:lang w:val="zh-CN"/>
        </w:rPr>
        <w:t>项目资金申报7.31万元、财政批复7.31万元。</w:t>
      </w:r>
    </w:p>
    <w:p>
      <w:pPr>
        <w:adjustRightInd w:val="0"/>
        <w:snapToGrid w:val="0"/>
        <w:spacing w:line="576" w:lineRule="exact"/>
        <w:ind w:firstLine="720"/>
        <w:rPr>
          <w:rFonts w:hint="eastAsia" w:ascii="楷体_GB2312" w:hAnsi="楷体_GB2312" w:eastAsia="楷体_GB2312" w:cs="楷体_GB2312"/>
          <w:bCs/>
          <w:sz w:val="32"/>
          <w:szCs w:val="32"/>
          <w:lang w:val="zh-CN"/>
        </w:rPr>
      </w:pPr>
      <w:r>
        <w:rPr>
          <w:rFonts w:hint="eastAsia" w:ascii="楷体_GB2312" w:hAnsi="楷体_GB2312" w:eastAsia="楷体_GB2312" w:cs="楷体_GB2312"/>
          <w:bCs/>
          <w:sz w:val="32"/>
          <w:szCs w:val="32"/>
          <w:lang w:val="zh-CN"/>
        </w:rPr>
        <w:t>（</w:t>
      </w:r>
      <w:r>
        <w:rPr>
          <w:rFonts w:hint="eastAsia" w:ascii="楷体_GB2312" w:hAnsi="楷体_GB2312" w:eastAsia="楷体_GB2312" w:cs="楷体_GB2312"/>
          <w:bCs/>
          <w:sz w:val="32"/>
          <w:szCs w:val="32"/>
          <w:lang w:val="en-US" w:eastAsia="zh-CN"/>
        </w:rPr>
        <w:t>二</w:t>
      </w:r>
      <w:r>
        <w:rPr>
          <w:rFonts w:hint="eastAsia" w:ascii="楷体_GB2312" w:hAnsi="楷体_GB2312" w:eastAsia="楷体_GB2312" w:cs="楷体_GB2312"/>
          <w:bCs/>
          <w:sz w:val="32"/>
          <w:szCs w:val="32"/>
          <w:lang w:val="zh-CN"/>
        </w:rPr>
        <w:t>）资金计划、到位及使用情况。</w:t>
      </w:r>
    </w:p>
    <w:p>
      <w:pPr>
        <w:adjustRightInd w:val="0"/>
        <w:snapToGrid w:val="0"/>
        <w:spacing w:line="576" w:lineRule="exact"/>
        <w:ind w:firstLine="720"/>
        <w:rPr>
          <w:rFonts w:hint="eastAsia" w:ascii="仿宋_GB2312" w:hAnsi="宋体" w:eastAsia="仿宋_GB2312"/>
          <w:sz w:val="32"/>
          <w:szCs w:val="32"/>
        </w:rPr>
      </w:pPr>
      <w:r>
        <w:rPr>
          <w:rFonts w:hint="eastAsia" w:ascii="仿宋_GB2312" w:hAnsi="宋体" w:eastAsia="仿宋_GB2312"/>
          <w:sz w:val="32"/>
          <w:szCs w:val="32"/>
          <w:lang w:val="zh-CN"/>
        </w:rPr>
        <w:t>1．资金计划及到位。该项目资金计划</w:t>
      </w:r>
      <w:r>
        <w:rPr>
          <w:rFonts w:hint="eastAsia" w:ascii="仿宋_GB2312" w:hAnsi="宋体" w:eastAsia="仿宋_GB2312"/>
          <w:sz w:val="32"/>
          <w:szCs w:val="32"/>
        </w:rPr>
        <w:t>7.31万元，</w:t>
      </w:r>
      <w:r>
        <w:rPr>
          <w:rFonts w:hint="eastAsia" w:ascii="仿宋_GB2312" w:hAnsi="宋体" w:eastAsia="仿宋_GB2312"/>
          <w:sz w:val="32"/>
          <w:szCs w:val="32"/>
          <w:lang w:val="zh-CN"/>
        </w:rPr>
        <w:t>截止评价时点实际到位</w:t>
      </w:r>
      <w:r>
        <w:rPr>
          <w:rFonts w:hint="eastAsia" w:ascii="仿宋_GB2312" w:hAnsi="宋体" w:eastAsia="仿宋_GB2312"/>
          <w:sz w:val="32"/>
          <w:szCs w:val="32"/>
        </w:rPr>
        <w:t>7.31万元</w:t>
      </w:r>
      <w:r>
        <w:rPr>
          <w:rFonts w:hint="eastAsia" w:ascii="仿宋_GB2312" w:hAnsi="宋体" w:eastAsia="仿宋_GB2312"/>
          <w:sz w:val="32"/>
          <w:szCs w:val="32"/>
          <w:lang w:val="zh-CN"/>
        </w:rPr>
        <w:t>，</w:t>
      </w:r>
      <w:r>
        <w:rPr>
          <w:rStyle w:val="30"/>
          <w:rFonts w:ascii="仿宋_GB2312" w:hAnsi="宋体" w:eastAsia="仿宋_GB2312"/>
          <w:sz w:val="32"/>
          <w:szCs w:val="32"/>
        </w:rPr>
        <w:t>为本级财政拨款资金</w:t>
      </w:r>
      <w:r>
        <w:rPr>
          <w:rStyle w:val="30"/>
          <w:rFonts w:hint="eastAsia" w:ascii="仿宋_GB2312" w:hAnsi="宋体" w:eastAsia="仿宋_GB2312"/>
          <w:sz w:val="32"/>
          <w:szCs w:val="32"/>
        </w:rPr>
        <w:t>，</w:t>
      </w:r>
      <w:r>
        <w:rPr>
          <w:rFonts w:hint="eastAsia" w:ascii="仿宋_GB2312" w:hAnsi="宋体" w:eastAsia="仿宋_GB2312"/>
          <w:sz w:val="32"/>
          <w:szCs w:val="32"/>
          <w:lang w:val="zh-CN"/>
        </w:rPr>
        <w:t>资金到位率</w:t>
      </w:r>
      <w:r>
        <w:rPr>
          <w:rFonts w:hint="eastAsia" w:ascii="仿宋_GB2312" w:hAnsi="宋体" w:eastAsia="仿宋_GB2312"/>
          <w:sz w:val="32"/>
          <w:szCs w:val="32"/>
        </w:rPr>
        <w:t>100%。</w:t>
      </w:r>
    </w:p>
    <w:p>
      <w:pPr>
        <w:adjustRightInd w:val="0"/>
        <w:snapToGrid w:val="0"/>
        <w:spacing w:line="576"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2．资金使用。截止评价时点项目资金的实际支出</w:t>
      </w:r>
      <w:r>
        <w:rPr>
          <w:rFonts w:hint="eastAsia" w:ascii="仿宋_GB2312" w:hAnsi="宋体" w:eastAsia="仿宋_GB2312"/>
          <w:sz w:val="32"/>
          <w:szCs w:val="32"/>
        </w:rPr>
        <w:t>7.31万元</w:t>
      </w:r>
      <w:r>
        <w:rPr>
          <w:rFonts w:hint="eastAsia" w:ascii="仿宋_GB2312" w:hAnsi="宋体" w:eastAsia="仿宋_GB2312"/>
          <w:sz w:val="32"/>
          <w:szCs w:val="32"/>
          <w:lang w:val="zh-CN"/>
        </w:rPr>
        <w:t>，主要用于嘉陵江数字航道平台运行维护项目支出。支付依据合规合法，资金支付与预算相符。</w:t>
      </w:r>
    </w:p>
    <w:p>
      <w:pPr>
        <w:adjustRightInd w:val="0"/>
        <w:snapToGrid w:val="0"/>
        <w:spacing w:line="576" w:lineRule="exact"/>
        <w:ind w:firstLine="720"/>
        <w:rPr>
          <w:rFonts w:hint="eastAsia" w:ascii="仿宋_GB2312" w:hAnsi="宋体" w:eastAsia="仿宋_GB2312"/>
          <w:sz w:val="32"/>
          <w:szCs w:val="32"/>
          <w:lang w:val="zh-CN"/>
        </w:rPr>
      </w:pPr>
      <w:r>
        <w:rPr>
          <w:rFonts w:hint="eastAsia" w:ascii="楷体_GB2312" w:hAnsi="楷体_GB2312" w:eastAsia="楷体_GB2312" w:cs="楷体_GB2312"/>
          <w:bCs/>
          <w:sz w:val="32"/>
          <w:szCs w:val="32"/>
          <w:lang w:val="zh-CN"/>
        </w:rPr>
        <w:t>（</w:t>
      </w:r>
      <w:r>
        <w:rPr>
          <w:rFonts w:hint="eastAsia" w:ascii="楷体_GB2312" w:hAnsi="楷体_GB2312" w:eastAsia="楷体_GB2312" w:cs="楷体_GB2312"/>
          <w:bCs/>
          <w:sz w:val="32"/>
          <w:szCs w:val="32"/>
          <w:lang w:val="en-US" w:eastAsia="zh-CN"/>
        </w:rPr>
        <w:t>三</w:t>
      </w:r>
      <w:r>
        <w:rPr>
          <w:rFonts w:hint="eastAsia" w:ascii="楷体_GB2312" w:hAnsi="楷体_GB2312" w:eastAsia="楷体_GB2312" w:cs="楷体_GB2312"/>
          <w:bCs/>
          <w:sz w:val="32"/>
          <w:szCs w:val="32"/>
          <w:lang w:val="zh-CN"/>
        </w:rPr>
        <w:t>）项目财务管理情况。</w:t>
      </w:r>
      <w:r>
        <w:rPr>
          <w:rFonts w:hint="eastAsia" w:ascii="仿宋_GB2312" w:hAnsi="宋体" w:eastAsia="仿宋_GB2312"/>
          <w:sz w:val="32"/>
          <w:szCs w:val="32"/>
          <w:lang w:val="zh-CN"/>
        </w:rPr>
        <w:t>项目会计核算及账务处理</w:t>
      </w:r>
      <w:r>
        <w:rPr>
          <w:rFonts w:hint="eastAsia" w:ascii="仿宋_GB2312" w:hAnsi="宋体" w:eastAsia="仿宋_GB2312"/>
          <w:sz w:val="32"/>
          <w:szCs w:val="32"/>
        </w:rPr>
        <w:t>按照《预算法》《单位内控制度》</w:t>
      </w:r>
      <w:r>
        <w:rPr>
          <w:rFonts w:hint="eastAsia" w:ascii="仿宋_GB2312" w:hAnsi="宋体" w:eastAsia="仿宋_GB2312"/>
          <w:sz w:val="32"/>
          <w:szCs w:val="32"/>
          <w:lang w:val="zh-CN"/>
        </w:rPr>
        <w:t>等相关</w:t>
      </w:r>
      <w:r>
        <w:rPr>
          <w:rFonts w:hint="eastAsia" w:ascii="仿宋_GB2312" w:hAnsi="宋体" w:eastAsia="仿宋_GB2312"/>
          <w:sz w:val="32"/>
          <w:szCs w:val="32"/>
        </w:rPr>
        <w:t>规定，</w:t>
      </w:r>
      <w:r>
        <w:rPr>
          <w:rFonts w:hint="eastAsia" w:ascii="仿宋_GB2312" w:hAnsi="宋体" w:eastAsia="仿宋_GB2312"/>
          <w:sz w:val="32"/>
          <w:szCs w:val="32"/>
          <w:lang w:val="zh-CN"/>
        </w:rPr>
        <w:t>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1"/>
        <w:rPr>
          <w:rFonts w:ascii="黑体" w:hAnsi="宋体" w:eastAsia="黑体" w:cs="Times New Roman"/>
          <w:b w:val="0"/>
          <w:bCs w:val="0"/>
          <w:sz w:val="32"/>
          <w:szCs w:val="32"/>
        </w:rPr>
      </w:pPr>
      <w:bookmarkStart w:id="114" w:name="_Toc24198"/>
      <w:r>
        <w:rPr>
          <w:rFonts w:hint="eastAsia" w:ascii="黑体" w:hAnsi="宋体" w:eastAsia="黑体" w:cs="Times New Roman"/>
          <w:b w:val="0"/>
          <w:bCs w:val="0"/>
          <w:sz w:val="32"/>
          <w:szCs w:val="32"/>
        </w:rPr>
        <w:t>三、项目实施及管理情况</w:t>
      </w:r>
      <w:bookmarkEnd w:id="114"/>
    </w:p>
    <w:p>
      <w:pPr>
        <w:adjustRightInd w:val="0"/>
        <w:snapToGrid w:val="0"/>
        <w:spacing w:line="576" w:lineRule="exact"/>
        <w:ind w:firstLine="720"/>
        <w:rPr>
          <w:rFonts w:hint="eastAsia" w:ascii="楷体_GB2312" w:hAnsi="楷体_GB2312" w:eastAsia="楷体_GB2312" w:cs="楷体_GB2312"/>
          <w:bCs/>
          <w:sz w:val="32"/>
          <w:szCs w:val="32"/>
          <w:lang w:val="zh-CN"/>
        </w:rPr>
      </w:pPr>
      <w:r>
        <w:rPr>
          <w:rFonts w:hint="eastAsia" w:ascii="楷体_GB2312" w:hAnsi="宋体" w:eastAsia="楷体_GB2312" w:cs="Times New Roman"/>
          <w:b w:val="0"/>
          <w:bCs w:val="0"/>
          <w:sz w:val="32"/>
          <w:szCs w:val="32"/>
          <w:lang w:val="zh-CN"/>
        </w:rPr>
        <w:t>（一）项目组织架构及实施流程。</w:t>
      </w:r>
      <w:r>
        <w:rPr>
          <w:rFonts w:hint="eastAsia" w:ascii="楷体_GB2312" w:hAnsi="宋体" w:eastAsia="楷体_GB2312" w:cs="Times New Roman"/>
          <w:b w:val="0"/>
          <w:bCs w:val="0"/>
          <w:sz w:val="32"/>
          <w:szCs w:val="32"/>
          <w:lang w:val="en-US" w:eastAsia="zh-CN"/>
        </w:rPr>
        <w:t>该项目由信息科牵头实施，</w:t>
      </w:r>
      <w:r>
        <w:rPr>
          <w:rFonts w:hint="eastAsia" w:ascii="仿宋_GB2312" w:hAnsi="宋体" w:eastAsia="仿宋_GB2312"/>
          <w:sz w:val="32"/>
          <w:szCs w:val="32"/>
          <w:lang w:val="zh-CN"/>
        </w:rPr>
        <w:t>经费项目用于嘉陵江数字航道平台运行维护项目支出。截止评价日，基本完成了资金的申报、审核、支付流程。</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仿宋_GB2312" w:hAnsi="宋体" w:eastAsia="楷体_GB2312" w:cs="Times New Roman"/>
          <w:b w:val="0"/>
          <w:bCs w:val="0"/>
          <w:sz w:val="32"/>
          <w:szCs w:val="32"/>
          <w:lang w:val="en-US" w:eastAsia="zh-CN"/>
        </w:rPr>
      </w:pPr>
      <w:r>
        <w:rPr>
          <w:rFonts w:hint="eastAsia" w:ascii="楷体_GB2312" w:hAnsi="宋体" w:eastAsia="楷体_GB2312" w:cs="Times New Roman"/>
          <w:b w:val="0"/>
          <w:bCs w:val="0"/>
          <w:sz w:val="32"/>
          <w:szCs w:val="32"/>
          <w:lang w:val="zh-CN"/>
        </w:rPr>
        <w:t>（二）项目管理情况。</w:t>
      </w:r>
      <w:r>
        <w:rPr>
          <w:rFonts w:hint="eastAsia" w:ascii="仿宋_GB2312" w:hAnsi="宋体" w:eastAsia="仿宋_GB2312" w:cs="Times New Roman"/>
          <w:b w:val="0"/>
          <w:bCs w:val="0"/>
          <w:sz w:val="32"/>
          <w:szCs w:val="32"/>
          <w:lang w:val="en-US" w:eastAsia="zh-CN"/>
        </w:rPr>
        <w:t>按照《预算法》对项目进行预算公开，每季度进行绩效项目分析。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cs="Times New Roman"/>
          <w:b w:val="0"/>
          <w:bCs w:val="0"/>
          <w:sz w:val="32"/>
          <w:szCs w:val="32"/>
          <w:lang w:val="zh-CN"/>
        </w:rPr>
      </w:pPr>
      <w:r>
        <w:rPr>
          <w:rFonts w:hint="eastAsia" w:ascii="楷体_GB2312" w:hAnsi="宋体" w:eastAsia="楷体_GB2312" w:cs="Times New Roman"/>
          <w:b w:val="0"/>
          <w:bCs w:val="0"/>
          <w:sz w:val="32"/>
          <w:szCs w:val="32"/>
          <w:lang w:val="zh-CN"/>
        </w:rPr>
        <w:t>（三）项目监管情况。</w:t>
      </w:r>
      <w:r>
        <w:rPr>
          <w:rFonts w:hint="eastAsia" w:ascii="仿宋_GB2312" w:hAnsi="宋体" w:eastAsia="仿宋_GB2312" w:cs="Times New Roman"/>
          <w:b w:val="0"/>
          <w:bCs w:val="0"/>
          <w:sz w:val="32"/>
          <w:szCs w:val="32"/>
          <w:lang w:val="zh-CN"/>
        </w:rPr>
        <w:t>通过中心主任办公会每月通报项目进展情况，及时对项目实施进行督促，实现了项目与计划基本相符。</w:t>
      </w:r>
    </w:p>
    <w:p>
      <w:pPr>
        <w:adjustRightInd w:val="0"/>
        <w:snapToGrid w:val="0"/>
        <w:spacing w:line="576" w:lineRule="exact"/>
        <w:ind w:firstLine="720"/>
        <w:outlineLvl w:val="1"/>
        <w:rPr>
          <w:rFonts w:hint="eastAsia" w:ascii="黑体" w:hAnsi="黑体" w:eastAsia="黑体" w:cs="黑体"/>
          <w:bCs/>
          <w:sz w:val="32"/>
          <w:szCs w:val="32"/>
          <w:lang w:val="zh-CN"/>
        </w:rPr>
      </w:pPr>
      <w:bookmarkStart w:id="115" w:name="_Toc27814"/>
      <w:r>
        <w:rPr>
          <w:rFonts w:hint="eastAsia" w:ascii="黑体" w:hAnsi="黑体" w:eastAsia="黑体" w:cs="黑体"/>
          <w:bCs/>
          <w:sz w:val="32"/>
          <w:szCs w:val="32"/>
          <w:lang w:val="en-US" w:eastAsia="zh-CN"/>
        </w:rPr>
        <w:t>四</w:t>
      </w:r>
      <w:r>
        <w:rPr>
          <w:rFonts w:hint="eastAsia" w:ascii="黑体" w:hAnsi="黑体" w:eastAsia="黑体" w:cs="黑体"/>
          <w:bCs/>
          <w:sz w:val="32"/>
          <w:szCs w:val="32"/>
        </w:rPr>
        <w:t>、项目绩效情况</w:t>
      </w:r>
      <w:bookmarkEnd w:id="115"/>
      <w:r>
        <w:rPr>
          <w:rFonts w:hint="eastAsia" w:ascii="黑体" w:hAnsi="黑体" w:eastAsia="黑体" w:cs="黑体"/>
          <w:bCs/>
          <w:sz w:val="32"/>
          <w:szCs w:val="32"/>
          <w:lang w:val="zh-CN"/>
        </w:rPr>
        <w:tab/>
      </w:r>
    </w:p>
    <w:p>
      <w:pPr>
        <w:adjustRightInd w:val="0"/>
        <w:snapToGrid w:val="0"/>
        <w:spacing w:line="576" w:lineRule="exact"/>
        <w:ind w:firstLine="720"/>
        <w:rPr>
          <w:rFonts w:hint="eastAsia" w:ascii="楷体_GB2312" w:hAnsi="楷体_GB2312" w:eastAsia="楷体_GB2312" w:cs="楷体_GB2312"/>
          <w:bCs/>
          <w:sz w:val="32"/>
          <w:szCs w:val="32"/>
          <w:lang w:val="zh-CN"/>
        </w:rPr>
      </w:pPr>
      <w:r>
        <w:rPr>
          <w:rFonts w:hint="eastAsia" w:ascii="楷体_GB2312" w:hAnsi="楷体_GB2312" w:eastAsia="楷体_GB2312" w:cs="楷体_GB2312"/>
          <w:bCs/>
          <w:sz w:val="32"/>
          <w:szCs w:val="32"/>
          <w:lang w:val="zh-CN"/>
        </w:rPr>
        <w:t>（一）项目完成情况。</w:t>
      </w:r>
    </w:p>
    <w:p>
      <w:pPr>
        <w:adjustRightInd w:val="0"/>
        <w:snapToGrid w:val="0"/>
        <w:spacing w:line="576"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实现通航水域“全方位覆盖”的现代化水上交通信息化综合管理，提升航道及通航建筑物通行效率，全面服务于航运事业发展。对两个港口作业区、三个通航建筑物及亭子湖、白龙湖、升钟水库等重点区域的信息化设施建设维护进行专项督导。</w:t>
      </w:r>
    </w:p>
    <w:p>
      <w:pPr>
        <w:adjustRightInd w:val="0"/>
        <w:snapToGrid w:val="0"/>
        <w:spacing w:line="576" w:lineRule="exact"/>
        <w:ind w:firstLine="720"/>
        <w:rPr>
          <w:rFonts w:hint="eastAsia" w:ascii="楷体_GB2312" w:hAnsi="楷体_GB2312" w:eastAsia="楷体_GB2312" w:cs="楷体_GB2312"/>
          <w:bCs/>
          <w:sz w:val="32"/>
          <w:szCs w:val="32"/>
          <w:lang w:val="zh-CN"/>
        </w:rPr>
      </w:pPr>
      <w:r>
        <w:rPr>
          <w:rFonts w:hint="eastAsia" w:ascii="楷体_GB2312" w:hAnsi="楷体_GB2312" w:eastAsia="楷体_GB2312" w:cs="楷体_GB2312"/>
          <w:bCs/>
          <w:sz w:val="32"/>
          <w:szCs w:val="32"/>
          <w:lang w:val="zh-CN"/>
        </w:rPr>
        <w:t>（</w:t>
      </w:r>
      <w:r>
        <w:rPr>
          <w:rFonts w:hint="eastAsia" w:ascii="楷体_GB2312" w:hAnsi="楷体_GB2312" w:eastAsia="楷体_GB2312" w:cs="楷体_GB2312"/>
          <w:bCs/>
          <w:sz w:val="32"/>
          <w:szCs w:val="32"/>
        </w:rPr>
        <w:t>二</w:t>
      </w:r>
      <w:r>
        <w:rPr>
          <w:rFonts w:hint="eastAsia" w:ascii="楷体_GB2312" w:hAnsi="楷体_GB2312" w:eastAsia="楷体_GB2312" w:cs="楷体_GB2312"/>
          <w:bCs/>
          <w:sz w:val="32"/>
          <w:szCs w:val="32"/>
          <w:lang w:val="zh-CN"/>
        </w:rPr>
        <w:t>）项目效益情况。</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实现嘉陵江高等级航道及渡口、码头、船闸等港口航道设施可视化，管养科学化，为航道管养提供科学依据，落实信息化建设维护工作，提高信息化维护监管能力，为建设成渝地区北向重要门户枢纽和生态康养“后花园”贡献广元水运力量。</w:t>
      </w:r>
    </w:p>
    <w:p>
      <w:pPr>
        <w:spacing w:line="576" w:lineRule="exact"/>
        <w:ind w:firstLine="640" w:firstLineChars="200"/>
        <w:outlineLvl w:val="1"/>
        <w:rPr>
          <w:rFonts w:hint="eastAsia" w:ascii="黑体" w:hAnsi="黑体" w:eastAsia="黑体" w:cs="黑体"/>
          <w:bCs/>
          <w:sz w:val="32"/>
          <w:szCs w:val="32"/>
        </w:rPr>
      </w:pPr>
      <w:bookmarkStart w:id="116" w:name="_Toc8219"/>
      <w:r>
        <w:rPr>
          <w:rFonts w:hint="eastAsia" w:ascii="黑体" w:hAnsi="黑体" w:eastAsia="黑体" w:cs="黑体"/>
          <w:bCs/>
          <w:sz w:val="32"/>
          <w:szCs w:val="32"/>
          <w:lang w:val="en-US" w:eastAsia="zh-CN"/>
        </w:rPr>
        <w:t>五</w:t>
      </w:r>
      <w:r>
        <w:rPr>
          <w:rFonts w:hint="eastAsia" w:ascii="黑体" w:hAnsi="黑体" w:eastAsia="黑体" w:cs="黑体"/>
          <w:bCs/>
          <w:sz w:val="32"/>
          <w:szCs w:val="32"/>
        </w:rPr>
        <w:t>、问题及建议</w:t>
      </w:r>
      <w:bookmarkEnd w:id="116"/>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sz w:val="32"/>
          <w:szCs w:val="32"/>
          <w:lang w:val="en-US" w:eastAsia="zh-CN"/>
        </w:rPr>
      </w:pPr>
      <w:r>
        <w:rPr>
          <w:rFonts w:hint="eastAsia" w:ascii="楷体_GB2312" w:hAnsi="宋体" w:eastAsia="楷体_GB2312" w:cs="Times New Roman"/>
          <w:b w:val="0"/>
          <w:bCs w:val="0"/>
          <w:sz w:val="32"/>
          <w:szCs w:val="32"/>
          <w:lang w:val="zh-CN"/>
        </w:rPr>
        <w:t>（一）评价结论。</w:t>
      </w:r>
      <w:r>
        <w:rPr>
          <w:rFonts w:hint="eastAsia" w:ascii="仿宋_GB2312" w:hAnsi="宋体" w:eastAsia="仿宋_GB2312"/>
          <w:sz w:val="32"/>
          <w:szCs w:val="32"/>
          <w:lang w:val="en-US" w:eastAsia="zh-CN"/>
        </w:rPr>
        <w:t>信息化建设项目随着专业化、一体化的发展，在航道管养上提供了科学依据，将管养效率大大提高，该项目的可持续运行十分有必要。</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sz w:val="32"/>
          <w:szCs w:val="32"/>
        </w:rPr>
      </w:pPr>
      <w:r>
        <w:rPr>
          <w:rFonts w:hint="eastAsia" w:ascii="楷体_GB2312" w:hAnsi="楷体_GB2312" w:eastAsia="楷体_GB2312" w:cs="楷体_GB2312"/>
          <w:bCs/>
          <w:sz w:val="32"/>
          <w:szCs w:val="32"/>
          <w:lang w:val="zh-CN"/>
        </w:rPr>
        <w:t>（</w:t>
      </w:r>
      <w:r>
        <w:rPr>
          <w:rFonts w:hint="eastAsia" w:ascii="楷体_GB2312" w:hAnsi="楷体_GB2312" w:eastAsia="楷体_GB2312" w:cs="楷体_GB2312"/>
          <w:bCs/>
          <w:sz w:val="32"/>
          <w:szCs w:val="32"/>
          <w:lang w:val="en-US" w:eastAsia="zh-CN"/>
        </w:rPr>
        <w:t>二</w:t>
      </w:r>
      <w:r>
        <w:rPr>
          <w:rFonts w:hint="eastAsia" w:ascii="楷体_GB2312" w:hAnsi="楷体_GB2312" w:eastAsia="楷体_GB2312" w:cs="楷体_GB2312"/>
          <w:bCs/>
          <w:sz w:val="32"/>
          <w:szCs w:val="32"/>
          <w:lang w:val="zh-CN"/>
        </w:rPr>
        <w:t>）存在的问题。</w:t>
      </w:r>
      <w:r>
        <w:rPr>
          <w:rFonts w:hint="eastAsia" w:ascii="仿宋_GB2312" w:hAnsi="宋体" w:eastAsia="仿宋_GB2312"/>
          <w:sz w:val="32"/>
          <w:szCs w:val="32"/>
        </w:rPr>
        <w:t>信息化建设不仅需要硬件设备支撑，建设好该项目的同时更需要培养专业人员加以应用，才能发挥其实际价值，目前急缺专业操作维护人员。</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sz w:val="32"/>
          <w:szCs w:val="32"/>
        </w:rPr>
      </w:pPr>
      <w:r>
        <w:rPr>
          <w:rFonts w:hint="eastAsia" w:ascii="楷体_GB2312" w:hAnsi="楷体_GB2312" w:eastAsia="楷体_GB2312" w:cs="楷体_GB2312"/>
          <w:bCs/>
          <w:sz w:val="32"/>
          <w:szCs w:val="32"/>
          <w:lang w:val="zh-CN"/>
        </w:rPr>
        <w:t>（</w:t>
      </w:r>
      <w:r>
        <w:rPr>
          <w:rFonts w:hint="eastAsia" w:ascii="楷体_GB2312" w:hAnsi="楷体_GB2312" w:eastAsia="楷体_GB2312" w:cs="楷体_GB2312"/>
          <w:bCs/>
          <w:sz w:val="32"/>
          <w:szCs w:val="32"/>
          <w:lang w:val="en-US" w:eastAsia="zh-CN"/>
        </w:rPr>
        <w:t>三</w:t>
      </w:r>
      <w:r>
        <w:rPr>
          <w:rFonts w:hint="eastAsia" w:ascii="楷体_GB2312" w:hAnsi="楷体_GB2312" w:eastAsia="楷体_GB2312" w:cs="楷体_GB2312"/>
          <w:bCs/>
          <w:sz w:val="32"/>
          <w:szCs w:val="32"/>
          <w:lang w:val="zh-CN"/>
        </w:rPr>
        <w:t>）相关建议。</w:t>
      </w:r>
      <w:r>
        <w:rPr>
          <w:rFonts w:hint="eastAsia" w:ascii="仿宋_GB2312" w:hAnsi="宋体" w:eastAsia="仿宋_GB2312"/>
          <w:sz w:val="32"/>
          <w:szCs w:val="32"/>
        </w:rPr>
        <w:t>配套相关专业人员培训费用。</w:t>
      </w:r>
    </w:p>
    <w:p>
      <w:pPr>
        <w:rPr>
          <w:rFonts w:hint="eastAsia" w:ascii="仿宋_GB2312" w:hAnsi="宋体" w:eastAsia="仿宋_GB2312"/>
          <w:sz w:val="32"/>
          <w:szCs w:val="32"/>
        </w:rPr>
      </w:pPr>
      <w:r>
        <w:rPr>
          <w:rFonts w:hint="eastAsia" w:ascii="仿宋_GB2312" w:hAnsi="宋体" w:eastAsia="仿宋_GB2312"/>
          <w:sz w:val="32"/>
          <w:szCs w:val="32"/>
        </w:rPr>
        <w:br w:type="page"/>
      </w:r>
    </w:p>
    <w:p>
      <w:pPr>
        <w:rPr>
          <w:rFonts w:hint="eastAsia"/>
        </w:rPr>
      </w:pPr>
    </w:p>
    <w:p>
      <w:pPr>
        <w:pStyle w:val="2"/>
        <w:rPr>
          <w:rFonts w:hint="eastAsia"/>
        </w:rPr>
      </w:pPr>
      <w:r>
        <w:drawing>
          <wp:inline distT="0" distB="0" distL="114300" distR="114300">
            <wp:extent cx="5267325" cy="7472680"/>
            <wp:effectExtent l="0" t="0" r="5715" b="1016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15"/>
                    <a:stretch>
                      <a:fillRect/>
                    </a:stretch>
                  </pic:blipFill>
                  <pic:spPr>
                    <a:xfrm>
                      <a:off x="0" y="0"/>
                      <a:ext cx="5267325" cy="747268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en-US" w:eastAsia="zh-CN" w:bidi="ar-SA"/>
        </w:rPr>
      </w:pPr>
      <w:r>
        <w:rPr>
          <w:rFonts w:hint="eastAsia"/>
        </w:rPr>
        <w:br w:type="page"/>
      </w:r>
      <w:r>
        <w:rPr>
          <w:rFonts w:hint="eastAsia" w:ascii="方正小标宋简体" w:hAnsi="方正小标宋简体" w:eastAsia="方正小标宋简体" w:cs="方正小标宋简体"/>
          <w:color w:val="auto"/>
          <w:kern w:val="2"/>
          <w:sz w:val="40"/>
          <w:szCs w:val="40"/>
          <w:highlight w:val="none"/>
          <w:lang w:val="en-US" w:eastAsia="zh-CN" w:bidi="ar-SA"/>
        </w:rPr>
        <w:t>2021年嘉陵江上石盘至两江口航道养护工程</w:t>
      </w:r>
    </w:p>
    <w:p>
      <w:pPr>
        <w:keepNext w:val="0"/>
        <w:keepLines w:val="0"/>
        <w:pageBreakBefore w:val="0"/>
        <w:widowControl w:val="0"/>
        <w:kinsoku/>
        <w:wordWrap/>
        <w:overflowPunct/>
        <w:topLinePunct w:val="0"/>
        <w:autoSpaceDE/>
        <w:autoSpaceDN/>
        <w:bidi w:val="0"/>
        <w:spacing w:line="600" w:lineRule="exact"/>
        <w:jc w:val="center"/>
        <w:textAlignment w:val="auto"/>
        <w:outlineLvl w:val="1"/>
        <w:rPr>
          <w:rFonts w:hint="eastAsia" w:ascii="方正小标宋简体" w:hAnsi="方正小标宋简体" w:eastAsia="方正小标宋简体" w:cs="方正小标宋简体"/>
          <w:color w:val="auto"/>
          <w:kern w:val="2"/>
          <w:sz w:val="40"/>
          <w:szCs w:val="40"/>
          <w:highlight w:val="none"/>
          <w:lang w:val="zh-CN" w:eastAsia="zh-CN" w:bidi="ar-SA"/>
        </w:rPr>
      </w:pPr>
      <w:bookmarkStart w:id="117" w:name="_Toc6064"/>
      <w:r>
        <w:rPr>
          <w:rFonts w:hint="eastAsia" w:ascii="方正小标宋简体" w:hAnsi="方正小标宋简体" w:eastAsia="方正小标宋简体" w:cs="方正小标宋简体"/>
          <w:color w:val="auto"/>
          <w:kern w:val="2"/>
          <w:sz w:val="40"/>
          <w:szCs w:val="40"/>
          <w:highlight w:val="none"/>
          <w:lang w:val="en-US" w:eastAsia="zh-CN" w:bidi="ar-SA"/>
        </w:rPr>
        <w:t>项目</w:t>
      </w:r>
      <w:r>
        <w:rPr>
          <w:rFonts w:hint="eastAsia" w:ascii="方正小标宋简体" w:hAnsi="方正小标宋简体" w:eastAsia="方正小标宋简体" w:cs="方正小标宋简体"/>
          <w:color w:val="auto"/>
          <w:kern w:val="2"/>
          <w:sz w:val="40"/>
          <w:szCs w:val="40"/>
          <w:highlight w:val="none"/>
          <w:lang w:val="zh-CN" w:eastAsia="zh-CN" w:bidi="ar-SA"/>
        </w:rPr>
        <w:t>支出绩效自评报告</w:t>
      </w:r>
      <w:bookmarkEnd w:id="117"/>
    </w:p>
    <w:p>
      <w:pPr>
        <w:rPr>
          <w:rFonts w:hint="eastAsia"/>
        </w:rPr>
      </w:pPr>
    </w:p>
    <w:p>
      <w:pPr>
        <w:adjustRightInd w:val="0"/>
        <w:snapToGrid w:val="0"/>
        <w:spacing w:line="576" w:lineRule="exact"/>
        <w:ind w:firstLine="720"/>
        <w:outlineLvl w:val="1"/>
        <w:rPr>
          <w:rFonts w:hint="eastAsia" w:ascii="黑体" w:hAnsi="黑体" w:eastAsia="黑体" w:cs="黑体"/>
          <w:bCs/>
          <w:sz w:val="32"/>
          <w:szCs w:val="32"/>
          <w:lang w:val="zh-CN"/>
        </w:rPr>
      </w:pPr>
      <w:bookmarkStart w:id="118" w:name="_Toc14533"/>
      <w:r>
        <w:rPr>
          <w:rFonts w:hint="eastAsia" w:ascii="黑体" w:hAnsi="黑体" w:eastAsia="黑体" w:cs="黑体"/>
          <w:bCs/>
          <w:sz w:val="32"/>
          <w:szCs w:val="32"/>
        </w:rPr>
        <w:t>一、</w:t>
      </w:r>
      <w:r>
        <w:rPr>
          <w:rFonts w:hint="eastAsia" w:ascii="黑体" w:hAnsi="黑体" w:eastAsia="黑体" w:cs="黑体"/>
          <w:bCs/>
          <w:sz w:val="32"/>
          <w:szCs w:val="32"/>
          <w:lang w:val="zh-CN"/>
        </w:rPr>
        <w:t>项目概况</w:t>
      </w:r>
      <w:bookmarkEnd w:id="118"/>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default" w:ascii="仿宋_GB2312" w:hAnsi="宋体" w:eastAsia="仿宋_GB2312"/>
          <w:sz w:val="32"/>
          <w:szCs w:val="32"/>
          <w:lang w:val="en-US" w:eastAsia="zh-CN"/>
        </w:rPr>
      </w:pPr>
      <w:r>
        <w:rPr>
          <w:rFonts w:hint="eastAsia" w:ascii="楷体_GB2312" w:hAnsi="宋体" w:eastAsia="楷体_GB2312" w:cs="Times New Roman"/>
          <w:b w:val="0"/>
          <w:bCs w:val="0"/>
          <w:sz w:val="32"/>
          <w:szCs w:val="32"/>
          <w:lang w:val="zh-CN"/>
        </w:rPr>
        <w:t>（一）项目基本情况。</w:t>
      </w:r>
      <w:r>
        <w:rPr>
          <w:rFonts w:hint="eastAsia" w:ascii="仿宋_GB2312" w:hAnsi="宋体" w:eastAsia="仿宋_GB2312"/>
          <w:sz w:val="32"/>
          <w:szCs w:val="32"/>
          <w:lang w:val="zh-CN"/>
        </w:rPr>
        <w:t>项目主管</w:t>
      </w:r>
      <w:r>
        <w:rPr>
          <w:rFonts w:hint="eastAsia" w:ascii="仿宋_GB2312" w:hAnsi="宋体" w:eastAsia="仿宋_GB2312"/>
          <w:sz w:val="32"/>
          <w:szCs w:val="32"/>
          <w:lang w:val="en-US" w:eastAsia="zh-CN"/>
        </w:rPr>
        <w:t>部门</w:t>
      </w:r>
      <w:r>
        <w:rPr>
          <w:rFonts w:hint="eastAsia" w:ascii="仿宋_GB2312" w:hAnsi="宋体" w:eastAsia="仿宋_GB2312"/>
          <w:sz w:val="32"/>
          <w:szCs w:val="32"/>
          <w:lang w:val="zh-CN"/>
        </w:rPr>
        <w:t>实施该项目。</w:t>
      </w:r>
      <w:r>
        <w:rPr>
          <w:rFonts w:hint="eastAsia" w:ascii="仿宋_GB2312" w:hAnsi="宋体" w:eastAsia="仿宋_GB2312"/>
          <w:sz w:val="32"/>
          <w:szCs w:val="32"/>
          <w:lang w:val="en-US" w:eastAsia="zh-CN"/>
        </w:rPr>
        <w:t>根据高等级航道养护管理职能职责申报项目资金。项目资金仅对</w:t>
      </w:r>
      <w:r>
        <w:rPr>
          <w:rFonts w:hint="eastAsia" w:ascii="仿宋_GB2312" w:hAnsi="仿宋_GB2312" w:eastAsia="仿宋_GB2312" w:cs="仿宋_GB2312"/>
          <w:sz w:val="32"/>
          <w:szCs w:val="32"/>
        </w:rPr>
        <w:t>2021年嘉陵江上石盘至两江口航道养护工程项目</w:t>
      </w:r>
      <w:r>
        <w:rPr>
          <w:rFonts w:hint="eastAsia" w:ascii="仿宋_GB2312" w:hAnsi="仿宋_GB2312" w:eastAsia="仿宋_GB2312" w:cs="仿宋_GB2312"/>
          <w:sz w:val="32"/>
          <w:szCs w:val="32"/>
          <w:lang w:val="en-US" w:eastAsia="zh-CN"/>
        </w:rPr>
        <w:t>支出，做到</w:t>
      </w:r>
      <w:r>
        <w:rPr>
          <w:rFonts w:hint="eastAsia" w:ascii="仿宋_GB2312" w:hAnsi="宋体" w:eastAsia="仿宋_GB2312"/>
          <w:sz w:val="32"/>
          <w:szCs w:val="32"/>
          <w:lang w:val="en-US" w:eastAsia="zh-CN"/>
        </w:rPr>
        <w:t>项目资金专款专用。</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楷体_GB2312" w:hAnsi="宋体" w:eastAsia="楷体_GB2312" w:cs="Times New Roman"/>
          <w:b w:val="0"/>
          <w:bCs w:val="0"/>
          <w:sz w:val="32"/>
          <w:szCs w:val="32"/>
          <w:lang w:val="zh-CN"/>
        </w:rPr>
      </w:pPr>
      <w:r>
        <w:rPr>
          <w:rFonts w:hint="eastAsia" w:ascii="楷体_GB2312" w:hAnsi="宋体" w:eastAsia="楷体_GB2312" w:cs="Times New Roman"/>
          <w:b w:val="0"/>
          <w:bCs w:val="0"/>
          <w:sz w:val="32"/>
          <w:szCs w:val="32"/>
          <w:lang w:val="zh-CN"/>
        </w:rPr>
        <w:t>（二）项目绩效目标。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cs="Times New Roman"/>
          <w:sz w:val="32"/>
          <w:szCs w:val="32"/>
          <w:lang w:val="zh-CN" w:eastAsia="zh-CN"/>
        </w:rPr>
      </w:pP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lang w:val="zh-CN" w:eastAsia="zh-CN"/>
        </w:rPr>
        <w:t>对嘉陵江上石盘至两江口航道进行疏浚，保障航道通航尺度，确保航道通畅。</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cs="Times New Roman"/>
          <w:sz w:val="32"/>
          <w:szCs w:val="32"/>
          <w:lang w:val="zh-CN" w:eastAsia="zh-CN"/>
        </w:rPr>
      </w:pPr>
      <w:r>
        <w:rPr>
          <w:rFonts w:hint="eastAsia" w:ascii="仿宋_GB2312" w:hAnsi="宋体" w:eastAsia="仿宋_GB2312" w:cs="Times New Roman"/>
          <w:sz w:val="32"/>
          <w:szCs w:val="32"/>
          <w:lang w:val="en-US" w:eastAsia="zh-CN"/>
        </w:rPr>
        <w:t>2.</w:t>
      </w:r>
      <w:r>
        <w:rPr>
          <w:rFonts w:hint="eastAsia" w:ascii="仿宋_GB2312" w:hAnsi="宋体" w:eastAsia="仿宋_GB2312" w:cs="Times New Roman"/>
          <w:sz w:val="32"/>
          <w:szCs w:val="32"/>
          <w:lang w:val="zh-CN" w:eastAsia="zh-CN"/>
        </w:rPr>
        <w:t>疏浚长度7000</w:t>
      </w:r>
      <w:r>
        <w:rPr>
          <w:rFonts w:hint="eastAsia" w:ascii="仿宋_GB2312" w:hAnsi="宋体" w:eastAsia="仿宋_GB2312" w:cs="Times New Roman"/>
          <w:sz w:val="32"/>
          <w:szCs w:val="32"/>
          <w:lang w:val="en-US" w:eastAsia="zh-CN"/>
        </w:rPr>
        <w:t>米</w:t>
      </w:r>
      <w:r>
        <w:rPr>
          <w:rFonts w:hint="eastAsia" w:ascii="仿宋_GB2312" w:hAnsi="宋体" w:eastAsia="仿宋_GB2312" w:cs="Times New Roman"/>
          <w:sz w:val="32"/>
          <w:szCs w:val="32"/>
          <w:lang w:val="zh-CN" w:eastAsia="zh-CN"/>
        </w:rPr>
        <w:t>=507786m³、4处丁坝=9278m³、满足航道通航尺度1.0×24×130m（水深×直线段宽度（双线）×弯曲半径）；2021年度完成项目建设=60天；严格控制在预算范围内883万元&lt;=883万元；保障船舶正常通行100吨级船舶；控制施工对水环境的影响、缩短工期；保障航道畅通=100%；船舶业主满意度&gt;=90%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cs="Times New Roman"/>
          <w:sz w:val="32"/>
          <w:szCs w:val="32"/>
          <w:lang w:val="zh-CN" w:eastAsia="zh-CN"/>
        </w:rPr>
      </w:pPr>
      <w:r>
        <w:rPr>
          <w:rFonts w:hint="eastAsia" w:ascii="仿宋_GB2312" w:hAnsi="宋体" w:eastAsia="仿宋_GB2312" w:cs="Times New Roman"/>
          <w:sz w:val="32"/>
          <w:szCs w:val="32"/>
          <w:lang w:val="en-US" w:eastAsia="zh-CN"/>
        </w:rPr>
        <w:t>3.</w:t>
      </w:r>
      <w:r>
        <w:rPr>
          <w:rFonts w:hint="eastAsia" w:ascii="仿宋_GB2312" w:hAnsi="宋体" w:eastAsia="仿宋_GB2312" w:cs="Times New Roman"/>
          <w:sz w:val="32"/>
          <w:szCs w:val="32"/>
          <w:lang w:val="zh-CN" w:eastAsia="zh-CN"/>
        </w:rPr>
        <w:t>项目申报内容与具体实施内容相符、申报目标合理可行。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cs="Times New Roman"/>
          <w:sz w:val="32"/>
          <w:szCs w:val="32"/>
          <w:lang w:val="zh-CN" w:eastAsia="zh-CN"/>
        </w:rPr>
      </w:pPr>
      <w:r>
        <w:rPr>
          <w:rFonts w:hint="eastAsia" w:ascii="楷体_GB2312" w:hAnsi="宋体" w:eastAsia="楷体_GB2312" w:cs="Times New Roman"/>
          <w:b w:val="0"/>
          <w:bCs w:val="0"/>
          <w:sz w:val="32"/>
          <w:szCs w:val="32"/>
          <w:lang w:val="zh-CN"/>
        </w:rPr>
        <w:t>（三）项目自评步骤及方法。</w:t>
      </w:r>
      <w:r>
        <w:rPr>
          <w:rFonts w:hint="eastAsia" w:ascii="仿宋_GB2312" w:hAnsi="宋体" w:eastAsia="仿宋_GB2312" w:cs="Times New Roman"/>
          <w:sz w:val="32"/>
          <w:szCs w:val="32"/>
          <w:lang w:val="zh-CN" w:eastAsia="zh-CN"/>
        </w:rPr>
        <w:t>业务科室对照《2022年市级专项预算项目支出绩效评价指标体系》完善相关指标并进行自评打分。</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1"/>
        <w:rPr>
          <w:rFonts w:ascii="黑体" w:hAnsi="宋体" w:eastAsia="黑体" w:cs="Times New Roman"/>
          <w:b w:val="0"/>
          <w:bCs w:val="0"/>
          <w:sz w:val="32"/>
          <w:szCs w:val="32"/>
        </w:rPr>
      </w:pPr>
      <w:bookmarkStart w:id="119" w:name="_Toc17657"/>
      <w:r>
        <w:rPr>
          <w:rFonts w:hint="eastAsia" w:ascii="黑体" w:hAnsi="宋体" w:eastAsia="黑体" w:cs="Times New Roman"/>
          <w:b w:val="0"/>
          <w:bCs w:val="0"/>
          <w:sz w:val="32"/>
          <w:szCs w:val="32"/>
        </w:rPr>
        <w:t>二、项目资金申报及使用情况</w:t>
      </w:r>
      <w:bookmarkEnd w:id="119"/>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楷体_GB2312" w:hAnsi="宋体" w:eastAsia="楷体_GB2312" w:cs="Times New Roman"/>
          <w:b w:val="0"/>
          <w:bCs w:val="0"/>
          <w:sz w:val="32"/>
          <w:szCs w:val="32"/>
          <w:lang w:val="zh-CN"/>
        </w:rPr>
      </w:pPr>
      <w:r>
        <w:rPr>
          <w:rFonts w:hint="eastAsia" w:ascii="楷体_GB2312" w:hAnsi="宋体" w:eastAsia="楷体_GB2312" w:cs="Times New Roman"/>
          <w:b w:val="0"/>
          <w:bCs w:val="0"/>
          <w:sz w:val="32"/>
          <w:szCs w:val="32"/>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cs="Times New Roman"/>
          <w:b w:val="0"/>
          <w:bCs w:val="0"/>
          <w:sz w:val="32"/>
          <w:szCs w:val="32"/>
          <w:lang w:val="zh-CN"/>
        </w:rPr>
      </w:pPr>
      <w:r>
        <w:rPr>
          <w:rFonts w:hint="eastAsia" w:ascii="仿宋_GB2312" w:hAnsi="宋体" w:eastAsia="仿宋_GB2312" w:cs="Times New Roman"/>
          <w:b w:val="0"/>
          <w:bCs w:val="0"/>
          <w:sz w:val="32"/>
          <w:szCs w:val="32"/>
          <w:lang w:val="zh-CN"/>
        </w:rPr>
        <w:t>项目资金申报883万元、财政批复883万元。</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仿宋_GB2312" w:hAnsi="宋体" w:eastAsia="仿宋_GB2312" w:cs="Times New Roman"/>
          <w:b w:val="0"/>
          <w:bCs w:val="0"/>
          <w:sz w:val="32"/>
          <w:szCs w:val="32"/>
          <w:lang w:val="zh-CN"/>
        </w:rPr>
      </w:pPr>
      <w:r>
        <w:rPr>
          <w:rFonts w:hint="eastAsia" w:ascii="楷体_GB2312" w:hAnsi="宋体" w:eastAsia="楷体_GB2312" w:cs="Times New Roman"/>
          <w:b w:val="0"/>
          <w:bCs w:val="0"/>
          <w:sz w:val="32"/>
          <w:szCs w:val="32"/>
          <w:lang w:val="zh-CN"/>
        </w:rPr>
        <w:t>（二）资金计划、到位及使用情况。</w:t>
      </w:r>
    </w:p>
    <w:p>
      <w:pPr>
        <w:adjustRightInd w:val="0"/>
        <w:snapToGrid w:val="0"/>
        <w:spacing w:line="576" w:lineRule="exact"/>
        <w:ind w:firstLine="720"/>
        <w:rPr>
          <w:rFonts w:hint="eastAsia" w:ascii="仿宋_GB2312" w:hAnsi="宋体" w:eastAsia="仿宋_GB2312" w:cs="Times New Roman"/>
          <w:sz w:val="32"/>
          <w:szCs w:val="32"/>
        </w:rPr>
      </w:pPr>
      <w:r>
        <w:rPr>
          <w:rFonts w:hint="eastAsia" w:ascii="仿宋_GB2312" w:hAnsi="宋体" w:eastAsia="仿宋_GB2312" w:cs="Times New Roman"/>
          <w:sz w:val="32"/>
          <w:szCs w:val="32"/>
          <w:lang w:val="zh-CN"/>
        </w:rPr>
        <w:t>1．资金计划及到位。该项目资金计划</w:t>
      </w:r>
      <w:r>
        <w:rPr>
          <w:rFonts w:hint="eastAsia" w:ascii="仿宋_GB2312" w:hAnsi="宋体" w:eastAsia="仿宋_GB2312" w:cs="Times New Roman"/>
          <w:sz w:val="32"/>
          <w:szCs w:val="32"/>
        </w:rPr>
        <w:t>883万元，</w:t>
      </w:r>
      <w:r>
        <w:rPr>
          <w:rFonts w:hint="eastAsia" w:ascii="仿宋_GB2312" w:hAnsi="宋体" w:eastAsia="仿宋_GB2312" w:cs="Times New Roman"/>
          <w:sz w:val="32"/>
          <w:szCs w:val="32"/>
          <w:lang w:val="zh-CN"/>
        </w:rPr>
        <w:t>截止评价时点实际到位</w:t>
      </w:r>
      <w:r>
        <w:rPr>
          <w:rFonts w:hint="eastAsia" w:ascii="仿宋_GB2312" w:hAnsi="宋体" w:eastAsia="仿宋_GB2312" w:cs="Times New Roman"/>
          <w:sz w:val="32"/>
          <w:szCs w:val="32"/>
        </w:rPr>
        <w:t>883万元</w:t>
      </w:r>
      <w:r>
        <w:rPr>
          <w:rFonts w:hint="eastAsia" w:ascii="仿宋_GB2312" w:hAnsi="宋体" w:eastAsia="仿宋_GB2312" w:cs="Times New Roman"/>
          <w:sz w:val="32"/>
          <w:szCs w:val="32"/>
          <w:lang w:val="zh-CN"/>
        </w:rPr>
        <w:t>，</w:t>
      </w:r>
      <w:r>
        <w:rPr>
          <w:rStyle w:val="30"/>
          <w:rFonts w:ascii="仿宋_GB2312" w:hAnsi="宋体" w:eastAsia="仿宋_GB2312" w:cs="Times New Roman"/>
          <w:sz w:val="32"/>
          <w:szCs w:val="32"/>
        </w:rPr>
        <w:t>为</w:t>
      </w:r>
      <w:r>
        <w:rPr>
          <w:rStyle w:val="30"/>
          <w:rFonts w:hint="eastAsia" w:ascii="仿宋_GB2312" w:hAnsi="宋体" w:eastAsia="仿宋_GB2312" w:cs="Times New Roman"/>
          <w:sz w:val="32"/>
          <w:szCs w:val="32"/>
        </w:rPr>
        <w:t>省级</w:t>
      </w:r>
      <w:r>
        <w:rPr>
          <w:rStyle w:val="30"/>
          <w:rFonts w:ascii="仿宋_GB2312" w:hAnsi="宋体" w:eastAsia="仿宋_GB2312" w:cs="Times New Roman"/>
          <w:sz w:val="32"/>
          <w:szCs w:val="32"/>
        </w:rPr>
        <w:t>财政拨款资金</w:t>
      </w:r>
      <w:r>
        <w:rPr>
          <w:rStyle w:val="30"/>
          <w:rFonts w:hint="eastAsia" w:ascii="仿宋_GB2312" w:hAnsi="宋体" w:eastAsia="仿宋_GB2312" w:cs="Times New Roman"/>
          <w:sz w:val="32"/>
          <w:szCs w:val="32"/>
        </w:rPr>
        <w:t>，</w:t>
      </w:r>
      <w:r>
        <w:rPr>
          <w:rFonts w:hint="eastAsia" w:ascii="仿宋_GB2312" w:hAnsi="宋体" w:eastAsia="仿宋_GB2312" w:cs="Times New Roman"/>
          <w:sz w:val="32"/>
          <w:szCs w:val="32"/>
          <w:lang w:val="zh-CN"/>
        </w:rPr>
        <w:t>资金到位率</w:t>
      </w:r>
      <w:r>
        <w:rPr>
          <w:rFonts w:hint="eastAsia" w:ascii="仿宋_GB2312" w:hAnsi="宋体" w:eastAsia="仿宋_GB2312" w:cs="Times New Roman"/>
          <w:sz w:val="32"/>
          <w:szCs w:val="32"/>
        </w:rPr>
        <w:t>100%。</w:t>
      </w:r>
    </w:p>
    <w:p>
      <w:pPr>
        <w:adjustRightInd w:val="0"/>
        <w:snapToGrid w:val="0"/>
        <w:spacing w:line="576" w:lineRule="exact"/>
        <w:ind w:firstLine="720"/>
        <w:rPr>
          <w:rFonts w:hint="eastAsia" w:ascii="仿宋_GB2312" w:hAnsi="宋体" w:eastAsia="仿宋_GB2312" w:cs="Times New Roman"/>
          <w:sz w:val="32"/>
          <w:szCs w:val="32"/>
          <w:lang w:val="zh-CN"/>
        </w:rPr>
      </w:pPr>
      <w:r>
        <w:rPr>
          <w:rFonts w:hint="eastAsia" w:ascii="仿宋_GB2312" w:hAnsi="宋体" w:eastAsia="仿宋_GB2312" w:cs="Times New Roman"/>
          <w:sz w:val="32"/>
          <w:szCs w:val="32"/>
          <w:lang w:val="zh-CN"/>
        </w:rPr>
        <w:t>2．资金使用。截止评价时点项目资金的实际支出</w:t>
      </w:r>
      <w:r>
        <w:rPr>
          <w:rFonts w:hint="eastAsia" w:ascii="仿宋_GB2312" w:hAnsi="宋体" w:eastAsia="仿宋_GB2312" w:cs="Times New Roman"/>
          <w:sz w:val="32"/>
          <w:szCs w:val="32"/>
        </w:rPr>
        <w:t>883万元</w:t>
      </w:r>
      <w:r>
        <w:rPr>
          <w:rFonts w:hint="eastAsia" w:ascii="仿宋_GB2312" w:hAnsi="宋体" w:eastAsia="仿宋_GB2312" w:cs="Times New Roman"/>
          <w:sz w:val="32"/>
          <w:szCs w:val="32"/>
          <w:lang w:val="zh-CN"/>
        </w:rPr>
        <w:t>，主要用于嘉陵江上石盘至两江口航道</w:t>
      </w:r>
      <w:r>
        <w:rPr>
          <w:rFonts w:hint="eastAsia" w:ascii="仿宋_GB2312" w:hAnsi="宋体" w:eastAsia="仿宋_GB2312" w:cs="Times New Roman"/>
          <w:sz w:val="32"/>
          <w:szCs w:val="32"/>
        </w:rPr>
        <w:t>养护</w:t>
      </w:r>
      <w:r>
        <w:rPr>
          <w:rFonts w:hint="eastAsia" w:ascii="仿宋_GB2312" w:hAnsi="宋体" w:eastAsia="仿宋_GB2312" w:cs="Times New Roman"/>
          <w:sz w:val="32"/>
          <w:szCs w:val="32"/>
          <w:lang w:val="zh-CN"/>
        </w:rPr>
        <w:t>支出。支付依据合规合法，资金支付与预算相符。</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楷体_GB2312" w:hAnsi="宋体" w:eastAsia="楷体_GB2312" w:cs="Times New Roman"/>
          <w:b w:val="0"/>
          <w:bCs w:val="0"/>
          <w:sz w:val="32"/>
          <w:szCs w:val="32"/>
          <w:lang w:val="zh-CN"/>
        </w:rPr>
      </w:pPr>
      <w:r>
        <w:rPr>
          <w:rFonts w:hint="eastAsia" w:ascii="楷体_GB2312" w:hAnsi="宋体" w:eastAsia="楷体_GB2312" w:cs="Times New Roman"/>
          <w:b w:val="0"/>
          <w:bCs w:val="0"/>
          <w:sz w:val="32"/>
          <w:szCs w:val="32"/>
          <w:lang w:val="zh-CN"/>
        </w:rPr>
        <w:t>（三）项目财务管理情况。</w:t>
      </w:r>
    </w:p>
    <w:p>
      <w:pPr>
        <w:adjustRightInd w:val="0"/>
        <w:snapToGrid w:val="0"/>
        <w:spacing w:line="576"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项目会计核算及账务处理</w:t>
      </w:r>
      <w:r>
        <w:rPr>
          <w:rFonts w:hint="eastAsia" w:ascii="仿宋_GB2312" w:hAnsi="宋体" w:eastAsia="仿宋_GB2312"/>
          <w:sz w:val="32"/>
          <w:szCs w:val="32"/>
        </w:rPr>
        <w:t>按照《预算法》《单位内控制度》</w:t>
      </w:r>
      <w:r>
        <w:rPr>
          <w:rFonts w:hint="eastAsia" w:ascii="仿宋_GB2312" w:hAnsi="宋体" w:eastAsia="仿宋_GB2312"/>
          <w:sz w:val="32"/>
          <w:szCs w:val="32"/>
          <w:lang w:val="zh-CN"/>
        </w:rPr>
        <w:t>等相关</w:t>
      </w:r>
      <w:r>
        <w:rPr>
          <w:rFonts w:hint="eastAsia" w:ascii="仿宋_GB2312" w:hAnsi="宋体" w:eastAsia="仿宋_GB2312"/>
          <w:sz w:val="32"/>
          <w:szCs w:val="32"/>
        </w:rPr>
        <w:t>规定，</w:t>
      </w:r>
      <w:r>
        <w:rPr>
          <w:rFonts w:hint="eastAsia" w:ascii="仿宋_GB2312" w:hAnsi="宋体" w:eastAsia="仿宋_GB2312"/>
          <w:sz w:val="32"/>
          <w:szCs w:val="32"/>
          <w:lang w:val="zh-CN"/>
        </w:rPr>
        <w:t>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1"/>
        <w:rPr>
          <w:rFonts w:ascii="黑体" w:hAnsi="宋体" w:eastAsia="黑体" w:cs="Times New Roman"/>
          <w:b w:val="0"/>
          <w:bCs w:val="0"/>
          <w:sz w:val="32"/>
          <w:szCs w:val="32"/>
        </w:rPr>
      </w:pPr>
      <w:bookmarkStart w:id="120" w:name="_Toc32056"/>
      <w:r>
        <w:rPr>
          <w:rFonts w:hint="eastAsia" w:ascii="黑体" w:hAnsi="宋体" w:eastAsia="黑体" w:cs="Times New Roman"/>
          <w:b w:val="0"/>
          <w:bCs w:val="0"/>
          <w:sz w:val="32"/>
          <w:szCs w:val="32"/>
        </w:rPr>
        <w:t>三、项目实施及管理情况</w:t>
      </w:r>
      <w:bookmarkEnd w:id="120"/>
    </w:p>
    <w:p>
      <w:pPr>
        <w:adjustRightInd w:val="0"/>
        <w:snapToGrid w:val="0"/>
        <w:spacing w:line="576" w:lineRule="exact"/>
        <w:ind w:firstLine="720"/>
        <w:rPr>
          <w:rFonts w:hint="eastAsia" w:ascii="楷体_GB2312" w:hAnsi="楷体_GB2312" w:eastAsia="楷体_GB2312" w:cs="楷体_GB2312"/>
          <w:bCs/>
          <w:sz w:val="32"/>
          <w:szCs w:val="32"/>
          <w:lang w:val="zh-CN"/>
        </w:rPr>
      </w:pPr>
      <w:r>
        <w:rPr>
          <w:rFonts w:hint="eastAsia" w:ascii="楷体_GB2312" w:hAnsi="宋体" w:eastAsia="楷体_GB2312" w:cs="Times New Roman"/>
          <w:b w:val="0"/>
          <w:bCs w:val="0"/>
          <w:sz w:val="32"/>
          <w:szCs w:val="32"/>
          <w:lang w:val="zh-CN"/>
        </w:rPr>
        <w:t>（一）项目组织架构及实施流程。</w:t>
      </w:r>
      <w:r>
        <w:rPr>
          <w:rFonts w:hint="eastAsia" w:ascii="楷体_GB2312" w:hAnsi="宋体" w:eastAsia="楷体_GB2312" w:cs="Times New Roman"/>
          <w:b w:val="0"/>
          <w:bCs w:val="0"/>
          <w:sz w:val="32"/>
          <w:szCs w:val="32"/>
          <w:lang w:val="en-US" w:eastAsia="zh-CN"/>
        </w:rPr>
        <w:t>由港口科牵头，</w:t>
      </w:r>
      <w:r>
        <w:rPr>
          <w:rFonts w:hint="eastAsia" w:ascii="仿宋_GB2312" w:hAnsi="仿宋_GB2312" w:eastAsia="仿宋_GB2312" w:cs="仿宋_GB2312"/>
          <w:sz w:val="32"/>
          <w:szCs w:val="32"/>
          <w:lang w:val="en-US" w:eastAsia="zh-CN"/>
        </w:rPr>
        <w:t>项目主管部门在实施该项目。项目资金由省级补助资金构成。资金分配属于专款专用</w:t>
      </w:r>
      <w:r>
        <w:rPr>
          <w:rFonts w:hint="eastAsia" w:ascii="仿宋_GB2312" w:hAnsi="宋体" w:eastAsia="仿宋_GB2312" w:cs="Times New Roman"/>
          <w:sz w:val="32"/>
          <w:szCs w:val="32"/>
          <w:lang w:val="zh-CN"/>
        </w:rPr>
        <w:t>于嘉陵江上石盘至两江口航道</w:t>
      </w:r>
      <w:r>
        <w:rPr>
          <w:rFonts w:hint="eastAsia" w:ascii="仿宋_GB2312" w:hAnsi="宋体" w:eastAsia="仿宋_GB2312" w:cs="Times New Roman"/>
          <w:sz w:val="32"/>
          <w:szCs w:val="32"/>
        </w:rPr>
        <w:t>养护</w:t>
      </w:r>
      <w:r>
        <w:rPr>
          <w:rFonts w:hint="eastAsia" w:ascii="仿宋_GB2312" w:hAnsi="宋体" w:eastAsia="仿宋_GB2312" w:cs="Times New Roman"/>
          <w:sz w:val="32"/>
          <w:szCs w:val="32"/>
          <w:lang w:val="zh-CN"/>
        </w:rPr>
        <w:t>支出。截止评价日，基本完成了资金的申报、审核、支付流程。</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仿宋_GB2312" w:hAnsi="宋体" w:eastAsia="仿宋_GB2312" w:cs="Times New Roman"/>
          <w:b w:val="0"/>
          <w:bCs w:val="0"/>
          <w:sz w:val="32"/>
          <w:szCs w:val="32"/>
          <w:lang w:val="zh-CN"/>
        </w:rPr>
      </w:pPr>
      <w:r>
        <w:rPr>
          <w:rFonts w:hint="eastAsia" w:ascii="楷体_GB2312" w:hAnsi="宋体" w:eastAsia="楷体_GB2312" w:cs="Times New Roman"/>
          <w:b w:val="0"/>
          <w:bCs w:val="0"/>
          <w:sz w:val="32"/>
          <w:szCs w:val="32"/>
          <w:lang w:val="zh-CN"/>
        </w:rPr>
        <w:t>（二）项目管理情况。</w:t>
      </w:r>
      <w:r>
        <w:rPr>
          <w:rFonts w:hint="eastAsia" w:ascii="仿宋_GB2312" w:hAnsi="宋体" w:eastAsia="仿宋_GB2312" w:cs="Times New Roman"/>
          <w:b w:val="0"/>
          <w:bCs w:val="0"/>
          <w:sz w:val="32"/>
          <w:szCs w:val="32"/>
          <w:lang w:val="en-US" w:eastAsia="zh-CN"/>
        </w:rPr>
        <w:t>按照《预算法》对项目进行预算公开，每季度进行绩效项目分析。</w:t>
      </w:r>
    </w:p>
    <w:p>
      <w:pPr>
        <w:adjustRightInd w:val="0"/>
        <w:snapToGrid w:val="0"/>
        <w:spacing w:line="576" w:lineRule="exact"/>
        <w:ind w:firstLine="720"/>
        <w:rPr>
          <w:rFonts w:ascii="仿宋_GB2312" w:hAnsi="宋体" w:eastAsia="仿宋_GB2312" w:cs="Times New Roman"/>
          <w:b w:val="0"/>
          <w:bCs w:val="0"/>
          <w:sz w:val="32"/>
          <w:szCs w:val="32"/>
          <w:lang w:val="zh-CN"/>
        </w:rPr>
      </w:pPr>
      <w:r>
        <w:rPr>
          <w:rFonts w:hint="eastAsia" w:ascii="楷体_GB2312" w:hAnsi="宋体" w:eastAsia="楷体_GB2312" w:cs="Times New Roman"/>
          <w:b w:val="0"/>
          <w:bCs w:val="0"/>
          <w:sz w:val="32"/>
          <w:szCs w:val="32"/>
          <w:lang w:val="zh-CN"/>
        </w:rPr>
        <w:t>（三）项目监管情况。</w:t>
      </w:r>
      <w:r>
        <w:rPr>
          <w:rFonts w:hint="eastAsia" w:ascii="仿宋_GB2312" w:hAnsi="宋体" w:eastAsia="仿宋_GB2312"/>
          <w:sz w:val="32"/>
          <w:szCs w:val="32"/>
          <w:lang w:val="en-US" w:eastAsia="zh-CN"/>
        </w:rPr>
        <w:t>每月通过中心主任办公会对项目进度情况进行通报，</w:t>
      </w:r>
      <w:r>
        <w:rPr>
          <w:rFonts w:hint="eastAsia" w:ascii="仿宋_GB2312" w:hAnsi="宋体" w:eastAsia="仿宋_GB2312"/>
          <w:sz w:val="32"/>
          <w:szCs w:val="32"/>
          <w:lang w:val="zh-CN"/>
        </w:rPr>
        <w:t>截止评价日，基本完成了资金的申报、审核、支付流程。截止评价时点项目资金的实际支出</w:t>
      </w:r>
      <w:r>
        <w:rPr>
          <w:rFonts w:hint="eastAsia" w:ascii="仿宋_GB2312" w:hAnsi="宋体" w:eastAsia="仿宋_GB2312"/>
          <w:sz w:val="32"/>
          <w:szCs w:val="32"/>
          <w:lang w:val="en-US" w:eastAsia="zh-CN"/>
        </w:rPr>
        <w:t>883</w:t>
      </w:r>
      <w:r>
        <w:rPr>
          <w:rFonts w:hint="eastAsia" w:ascii="仿宋_GB2312" w:hAnsi="宋体" w:eastAsia="仿宋_GB2312"/>
          <w:sz w:val="32"/>
          <w:szCs w:val="32"/>
        </w:rPr>
        <w:t>万元</w:t>
      </w:r>
      <w:r>
        <w:rPr>
          <w:rFonts w:hint="eastAsia" w:ascii="仿宋_GB2312" w:hAnsi="宋体" w:eastAsia="仿宋_GB2312"/>
          <w:sz w:val="32"/>
          <w:szCs w:val="32"/>
          <w:lang w:val="zh-CN"/>
        </w:rPr>
        <w:t>，支付依据合规合法，资金支付与预算相符。</w:t>
      </w:r>
    </w:p>
    <w:p>
      <w:pPr>
        <w:adjustRightInd w:val="0"/>
        <w:snapToGrid w:val="0"/>
        <w:spacing w:line="576" w:lineRule="exact"/>
        <w:ind w:firstLine="720"/>
        <w:outlineLvl w:val="1"/>
        <w:rPr>
          <w:rFonts w:hint="eastAsia" w:ascii="黑体" w:hAnsi="黑体" w:eastAsia="黑体" w:cs="黑体"/>
          <w:bCs/>
          <w:sz w:val="32"/>
          <w:szCs w:val="32"/>
          <w:lang w:val="zh-CN"/>
        </w:rPr>
      </w:pPr>
      <w:bookmarkStart w:id="121" w:name="_Toc31828"/>
      <w:r>
        <w:rPr>
          <w:rFonts w:hint="eastAsia" w:ascii="黑体" w:hAnsi="黑体" w:eastAsia="黑体" w:cs="黑体"/>
          <w:bCs/>
          <w:sz w:val="32"/>
          <w:szCs w:val="32"/>
          <w:lang w:val="en-US" w:eastAsia="zh-CN"/>
        </w:rPr>
        <w:t>四</w:t>
      </w:r>
      <w:r>
        <w:rPr>
          <w:rFonts w:hint="eastAsia" w:ascii="黑体" w:hAnsi="黑体" w:eastAsia="黑体" w:cs="黑体"/>
          <w:bCs/>
          <w:sz w:val="32"/>
          <w:szCs w:val="32"/>
        </w:rPr>
        <w:t>、项目绩效情况</w:t>
      </w:r>
      <w:bookmarkEnd w:id="121"/>
      <w:r>
        <w:rPr>
          <w:rFonts w:hint="eastAsia" w:ascii="黑体" w:hAnsi="黑体" w:eastAsia="黑体" w:cs="黑体"/>
          <w:bCs/>
          <w:sz w:val="32"/>
          <w:szCs w:val="32"/>
          <w:lang w:val="zh-CN"/>
        </w:rPr>
        <w:tab/>
      </w:r>
    </w:p>
    <w:p>
      <w:pPr>
        <w:adjustRightInd w:val="0"/>
        <w:snapToGrid w:val="0"/>
        <w:spacing w:line="576" w:lineRule="exact"/>
        <w:ind w:firstLine="720"/>
        <w:rPr>
          <w:rFonts w:hint="eastAsia" w:ascii="楷体_GB2312" w:hAnsi="楷体_GB2312" w:eastAsia="楷体_GB2312" w:cs="楷体_GB2312"/>
          <w:bCs/>
          <w:sz w:val="32"/>
          <w:szCs w:val="32"/>
          <w:lang w:val="zh-CN"/>
        </w:rPr>
      </w:pPr>
      <w:r>
        <w:rPr>
          <w:rFonts w:hint="eastAsia" w:ascii="楷体_GB2312" w:hAnsi="楷体_GB2312" w:eastAsia="楷体_GB2312" w:cs="楷体_GB2312"/>
          <w:bCs/>
          <w:sz w:val="32"/>
          <w:szCs w:val="32"/>
          <w:lang w:val="zh-CN"/>
        </w:rPr>
        <w:t>（一）项目完成情况。</w:t>
      </w:r>
    </w:p>
    <w:p>
      <w:pPr>
        <w:adjustRightInd w:val="0"/>
        <w:snapToGrid w:val="0"/>
        <w:spacing w:line="576" w:lineRule="exact"/>
        <w:ind w:firstLine="720"/>
        <w:rPr>
          <w:rFonts w:hint="eastAsia" w:ascii="仿宋_GB2312" w:hAnsi="宋体" w:eastAsia="仿宋_GB2312"/>
          <w:sz w:val="32"/>
          <w:szCs w:val="32"/>
          <w:lang w:val="zh-CN"/>
        </w:rPr>
      </w:pPr>
      <w:r>
        <w:rPr>
          <w:rFonts w:hint="eastAsia" w:ascii="仿宋_GB2312" w:hAnsi="宋体" w:eastAsia="仿宋_GB2312"/>
          <w:sz w:val="32"/>
          <w:szCs w:val="32"/>
        </w:rPr>
        <w:t>2021年度完成项目建设，</w:t>
      </w:r>
      <w:r>
        <w:rPr>
          <w:rFonts w:hint="eastAsia" w:ascii="仿宋_GB2312" w:hAnsi="宋体" w:eastAsia="仿宋_GB2312"/>
          <w:sz w:val="32"/>
          <w:szCs w:val="32"/>
          <w:lang w:val="zh-CN"/>
        </w:rPr>
        <w:t>疏浚长度7000米507786m³，4处丁坝9278m³，满足航道通航尺度1.0×24×130m（水深×直线段宽度（双线）×弯曲半径）。</w:t>
      </w:r>
      <w:r>
        <w:rPr>
          <w:rFonts w:hint="eastAsia" w:ascii="仿宋_GB2312" w:eastAsia="仿宋_GB2312"/>
          <w:sz w:val="32"/>
          <w:szCs w:val="32"/>
        </w:rPr>
        <w:t>控制施工对水环境的影响，保障100吨级船舶正常通行。</w:t>
      </w:r>
    </w:p>
    <w:p>
      <w:pPr>
        <w:adjustRightInd w:val="0"/>
        <w:snapToGrid w:val="0"/>
        <w:spacing w:line="576" w:lineRule="exact"/>
        <w:ind w:firstLine="720"/>
        <w:rPr>
          <w:rFonts w:hint="eastAsia" w:ascii="楷体_GB2312" w:hAnsi="楷体_GB2312" w:eastAsia="楷体_GB2312" w:cs="楷体_GB2312"/>
          <w:bCs/>
          <w:sz w:val="32"/>
          <w:szCs w:val="32"/>
          <w:lang w:val="zh-CN"/>
        </w:rPr>
      </w:pPr>
      <w:r>
        <w:rPr>
          <w:rFonts w:hint="eastAsia" w:ascii="楷体_GB2312" w:hAnsi="楷体_GB2312" w:eastAsia="楷体_GB2312" w:cs="楷体_GB2312"/>
          <w:bCs/>
          <w:sz w:val="32"/>
          <w:szCs w:val="32"/>
          <w:lang w:val="zh-CN"/>
        </w:rPr>
        <w:t>（</w:t>
      </w:r>
      <w:r>
        <w:rPr>
          <w:rFonts w:hint="eastAsia" w:ascii="楷体_GB2312" w:hAnsi="楷体_GB2312" w:eastAsia="楷体_GB2312" w:cs="楷体_GB2312"/>
          <w:bCs/>
          <w:sz w:val="32"/>
          <w:szCs w:val="32"/>
        </w:rPr>
        <w:t>二</w:t>
      </w:r>
      <w:r>
        <w:rPr>
          <w:rFonts w:hint="eastAsia" w:ascii="楷体_GB2312" w:hAnsi="楷体_GB2312" w:eastAsia="楷体_GB2312" w:cs="楷体_GB2312"/>
          <w:bCs/>
          <w:sz w:val="32"/>
          <w:szCs w:val="32"/>
          <w:lang w:val="zh-CN"/>
        </w:rPr>
        <w:t>）项目效益情况。</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以高质量航道管养为目标，严格按照《航道养护技术规范》、《内河航道绿色养护技术指南》，坚持管养并重、突出重点、分类维护、保障畅通的原则，全面加强了航道、航标、船艇、整治建筑物的维护管理。</w:t>
      </w:r>
    </w:p>
    <w:p>
      <w:pPr>
        <w:spacing w:line="576" w:lineRule="exact"/>
        <w:ind w:firstLine="640" w:firstLineChars="200"/>
        <w:outlineLvl w:val="1"/>
        <w:rPr>
          <w:rFonts w:hint="eastAsia" w:ascii="黑体" w:hAnsi="黑体" w:eastAsia="黑体" w:cs="黑体"/>
          <w:bCs/>
          <w:sz w:val="32"/>
          <w:szCs w:val="32"/>
        </w:rPr>
      </w:pPr>
      <w:bookmarkStart w:id="122" w:name="_Toc3110"/>
      <w:r>
        <w:rPr>
          <w:rFonts w:hint="eastAsia" w:ascii="黑体" w:hAnsi="黑体" w:eastAsia="黑体" w:cs="黑体"/>
          <w:bCs/>
          <w:sz w:val="32"/>
          <w:szCs w:val="32"/>
          <w:lang w:val="en-US" w:eastAsia="zh-CN"/>
        </w:rPr>
        <w:t>五</w:t>
      </w:r>
      <w:r>
        <w:rPr>
          <w:rFonts w:hint="eastAsia" w:ascii="黑体" w:hAnsi="黑体" w:eastAsia="黑体" w:cs="黑体"/>
          <w:bCs/>
          <w:sz w:val="32"/>
          <w:szCs w:val="32"/>
        </w:rPr>
        <w:t>、问题及建议</w:t>
      </w:r>
      <w:bookmarkEnd w:id="122"/>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cs="Times New Roman"/>
          <w:sz w:val="32"/>
          <w:szCs w:val="32"/>
          <w:lang w:val="zh-CN"/>
        </w:rPr>
      </w:pPr>
      <w:r>
        <w:rPr>
          <w:rFonts w:hint="eastAsia" w:ascii="楷体_GB2312" w:hAnsi="宋体" w:eastAsia="楷体_GB2312" w:cs="Times New Roman"/>
          <w:b w:val="0"/>
          <w:bCs w:val="0"/>
          <w:sz w:val="32"/>
          <w:szCs w:val="32"/>
          <w:lang w:val="zh-CN"/>
        </w:rPr>
        <w:t>（一）评价结论。</w:t>
      </w:r>
      <w:r>
        <w:rPr>
          <w:rFonts w:hint="eastAsia" w:ascii="仿宋_GB2312" w:hAnsi="宋体" w:eastAsia="仿宋_GB2312" w:cs="Times New Roman"/>
          <w:sz w:val="32"/>
          <w:szCs w:val="32"/>
          <w:lang w:val="en-US" w:eastAsia="zh-CN"/>
        </w:rPr>
        <w:t>该项目属于先实施再申报的应急抢险维护管理工程，具有很多不可控因素，如实施时间不可控、项目金额不可控、资金到位不可控等。</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仿宋_GB2312" w:hAnsi="宋体" w:eastAsia="仿宋_GB2312"/>
          <w:sz w:val="32"/>
          <w:szCs w:val="32"/>
        </w:rPr>
      </w:pPr>
      <w:r>
        <w:rPr>
          <w:rFonts w:hint="eastAsia" w:ascii="楷体_GB2312" w:hAnsi="楷体_GB2312" w:eastAsia="楷体_GB2312" w:cs="楷体_GB2312"/>
          <w:bCs/>
          <w:sz w:val="32"/>
          <w:szCs w:val="32"/>
          <w:lang w:val="zh-CN"/>
        </w:rPr>
        <w:t>（</w:t>
      </w:r>
      <w:r>
        <w:rPr>
          <w:rFonts w:hint="eastAsia" w:ascii="楷体_GB2312" w:hAnsi="楷体_GB2312" w:eastAsia="楷体_GB2312" w:cs="楷体_GB2312"/>
          <w:bCs/>
          <w:sz w:val="32"/>
          <w:szCs w:val="32"/>
          <w:lang w:val="en-US" w:eastAsia="zh-CN"/>
        </w:rPr>
        <w:t>二</w:t>
      </w:r>
      <w:r>
        <w:rPr>
          <w:rFonts w:hint="eastAsia" w:ascii="楷体_GB2312" w:hAnsi="楷体_GB2312" w:eastAsia="楷体_GB2312" w:cs="楷体_GB2312"/>
          <w:bCs/>
          <w:sz w:val="32"/>
          <w:szCs w:val="32"/>
          <w:lang w:val="zh-CN"/>
        </w:rPr>
        <w:t>）存在的问题。</w:t>
      </w:r>
      <w:r>
        <w:rPr>
          <w:rFonts w:hint="eastAsia" w:ascii="仿宋_GB2312" w:hAnsi="宋体" w:eastAsia="仿宋_GB2312"/>
          <w:sz w:val="32"/>
          <w:szCs w:val="32"/>
        </w:rPr>
        <w:t>高等级航道占比较低，需要加强高等级航道建设、养护相关申报。</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sz w:val="32"/>
          <w:szCs w:val="32"/>
        </w:rPr>
      </w:pPr>
      <w:r>
        <w:rPr>
          <w:rFonts w:hint="eastAsia" w:ascii="楷体_GB2312" w:hAnsi="楷体_GB2312" w:eastAsia="楷体_GB2312" w:cs="楷体_GB2312"/>
          <w:bCs/>
          <w:sz w:val="32"/>
          <w:szCs w:val="32"/>
          <w:lang w:val="zh-CN"/>
        </w:rPr>
        <w:t>（</w:t>
      </w:r>
      <w:r>
        <w:rPr>
          <w:rFonts w:hint="eastAsia" w:ascii="楷体_GB2312" w:hAnsi="楷体_GB2312" w:eastAsia="楷体_GB2312" w:cs="楷体_GB2312"/>
          <w:bCs/>
          <w:sz w:val="32"/>
          <w:szCs w:val="32"/>
          <w:lang w:val="en-US" w:eastAsia="zh-CN"/>
        </w:rPr>
        <w:t>三</w:t>
      </w:r>
      <w:r>
        <w:rPr>
          <w:rFonts w:hint="eastAsia" w:ascii="楷体_GB2312" w:hAnsi="楷体_GB2312" w:eastAsia="楷体_GB2312" w:cs="楷体_GB2312"/>
          <w:bCs/>
          <w:sz w:val="32"/>
          <w:szCs w:val="32"/>
          <w:lang w:val="zh-CN"/>
        </w:rPr>
        <w:t>）相关建议。</w:t>
      </w:r>
      <w:r>
        <w:rPr>
          <w:rFonts w:hint="eastAsia" w:ascii="仿宋_GB2312" w:hAnsi="宋体" w:eastAsia="仿宋_GB2312"/>
          <w:sz w:val="32"/>
          <w:szCs w:val="32"/>
        </w:rPr>
        <w:t>集中力量，集聚资源，补齐水运发展短板，挖掘水运发展潜力，进一步发展高等级航道建设。</w:t>
      </w:r>
    </w:p>
    <w:p>
      <w:pPr>
        <w:rPr>
          <w:rFonts w:hint="eastAsia"/>
        </w:rPr>
      </w:pPr>
      <w:r>
        <w:rPr>
          <w:rFonts w:hint="eastAsia"/>
        </w:rPr>
        <w:br w:type="page"/>
      </w:r>
    </w:p>
    <w:p>
      <w:r>
        <w:drawing>
          <wp:inline distT="0" distB="0" distL="114300" distR="114300">
            <wp:extent cx="5273675" cy="4605020"/>
            <wp:effectExtent l="0" t="0" r="14605" b="12700"/>
            <wp:docPr id="1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pic:cNvPicPr>
                      <a:picLocks noChangeAspect="1"/>
                    </pic:cNvPicPr>
                  </pic:nvPicPr>
                  <pic:blipFill>
                    <a:blip r:embed="rId16"/>
                    <a:stretch>
                      <a:fillRect/>
                    </a:stretch>
                  </pic:blipFill>
                  <pic:spPr>
                    <a:xfrm>
                      <a:off x="0" y="0"/>
                      <a:ext cx="5273675" cy="4605020"/>
                    </a:xfrm>
                    <a:prstGeom prst="rect">
                      <a:avLst/>
                    </a:prstGeom>
                    <a:noFill/>
                    <a:ln>
                      <a:noFill/>
                    </a:ln>
                  </pic:spPr>
                </pic:pic>
              </a:graphicData>
            </a:graphic>
          </wp:inline>
        </w:drawing>
      </w:r>
    </w:p>
    <w:p>
      <w:r>
        <w:br w:type="page"/>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en-US" w:eastAsia="zh-CN" w:bidi="ar-SA"/>
        </w:rPr>
      </w:pPr>
      <w:r>
        <w:rPr>
          <w:rFonts w:hint="eastAsia" w:ascii="方正小标宋简体" w:hAnsi="方正小标宋简体" w:eastAsia="方正小标宋简体" w:cs="方正小标宋简体"/>
          <w:color w:val="auto"/>
          <w:kern w:val="2"/>
          <w:sz w:val="40"/>
          <w:szCs w:val="40"/>
          <w:highlight w:val="none"/>
          <w:lang w:val="en-US" w:eastAsia="zh-CN" w:bidi="ar-SA"/>
        </w:rPr>
        <w:t>2021年病退职工护理费项目</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zh-CN" w:eastAsia="zh-CN" w:bidi="ar-SA"/>
        </w:rPr>
      </w:pPr>
      <w:r>
        <w:rPr>
          <w:rFonts w:hint="eastAsia" w:ascii="方正小标宋简体" w:hAnsi="方正小标宋简体" w:eastAsia="方正小标宋简体" w:cs="方正小标宋简体"/>
          <w:color w:val="auto"/>
          <w:kern w:val="2"/>
          <w:sz w:val="40"/>
          <w:szCs w:val="40"/>
          <w:highlight w:val="none"/>
          <w:lang w:val="zh-CN" w:eastAsia="zh-CN" w:bidi="ar-SA"/>
        </w:rPr>
        <w:t>支出绩效自评报告</w:t>
      </w:r>
    </w:p>
    <w:p>
      <w:pPr>
        <w:rPr>
          <w:rFonts w:hint="eastAsia"/>
        </w:rPr>
      </w:pP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1"/>
        <w:rPr>
          <w:rFonts w:ascii="黑体" w:hAnsi="宋体" w:eastAsia="黑体" w:cs="Times New Roman"/>
          <w:b w:val="0"/>
          <w:bCs w:val="0"/>
          <w:sz w:val="32"/>
          <w:szCs w:val="32"/>
          <w:lang w:val="zh-CN"/>
        </w:rPr>
      </w:pPr>
      <w:bookmarkStart w:id="123" w:name="_Toc26420"/>
      <w:r>
        <w:rPr>
          <w:rFonts w:hint="eastAsia" w:ascii="黑体" w:hAnsi="宋体" w:eastAsia="黑体" w:cs="Times New Roman"/>
          <w:b w:val="0"/>
          <w:bCs w:val="0"/>
          <w:sz w:val="32"/>
          <w:szCs w:val="32"/>
        </w:rPr>
        <w:t>一、</w:t>
      </w:r>
      <w:r>
        <w:rPr>
          <w:rFonts w:hint="eastAsia" w:ascii="黑体" w:hAnsi="宋体" w:eastAsia="黑体" w:cs="Times New Roman"/>
          <w:b w:val="0"/>
          <w:bCs w:val="0"/>
          <w:sz w:val="32"/>
          <w:szCs w:val="32"/>
          <w:lang w:val="zh-CN"/>
        </w:rPr>
        <w:t>项目概况</w:t>
      </w:r>
      <w:bookmarkEnd w:id="123"/>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楷体_GB2312" w:hAnsi="宋体" w:eastAsia="楷体_GB2312" w:cs="Times New Roman"/>
          <w:b w:val="0"/>
          <w:bCs w:val="0"/>
          <w:sz w:val="32"/>
          <w:szCs w:val="32"/>
          <w:lang w:val="zh-CN"/>
        </w:rPr>
      </w:pPr>
      <w:r>
        <w:rPr>
          <w:rFonts w:hint="eastAsia" w:ascii="楷体_GB2312" w:hAnsi="宋体" w:eastAsia="楷体_GB2312" w:cs="Times New Roman"/>
          <w:b w:val="0"/>
          <w:bCs w:val="0"/>
          <w:sz w:val="32"/>
          <w:szCs w:val="32"/>
          <w:lang w:val="zh-CN"/>
        </w:rPr>
        <w:t>（一）项目基本情况。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cs="Times New Roman"/>
          <w:b w:val="0"/>
          <w:bCs w:val="0"/>
          <w:sz w:val="32"/>
          <w:szCs w:val="32"/>
          <w:lang w:val="zh-CN"/>
        </w:rPr>
      </w:pPr>
      <w:r>
        <w:rPr>
          <w:rFonts w:hint="eastAsia" w:ascii="仿宋_GB2312" w:hAnsi="宋体" w:eastAsia="仿宋_GB2312" w:cs="Times New Roman"/>
          <w:b w:val="0"/>
          <w:bCs w:val="0"/>
          <w:sz w:val="32"/>
          <w:szCs w:val="32"/>
          <w:lang w:val="zh-CN"/>
        </w:rPr>
        <w:t>项目主管部门实施该项目。根据</w:t>
      </w:r>
      <w:r>
        <w:rPr>
          <w:rFonts w:hint="eastAsia" w:ascii="仿宋_GB2312" w:hAnsi="宋体" w:eastAsia="仿宋_GB2312" w:cs="Times New Roman"/>
          <w:b w:val="0"/>
          <w:bCs w:val="0"/>
          <w:sz w:val="32"/>
          <w:szCs w:val="32"/>
          <w:lang w:val="en-US" w:eastAsia="zh-CN"/>
        </w:rPr>
        <w:t>病退职工诉求向归口科室请示纳入专项</w:t>
      </w:r>
      <w:r>
        <w:rPr>
          <w:rFonts w:hint="eastAsia" w:ascii="仿宋_GB2312" w:hAnsi="宋体" w:eastAsia="仿宋_GB2312" w:cs="Times New Roman"/>
          <w:b w:val="0"/>
          <w:bCs w:val="0"/>
          <w:sz w:val="32"/>
          <w:szCs w:val="32"/>
          <w:lang w:val="zh-CN"/>
        </w:rPr>
        <w:t>申报项目资金。项目资金专款专用仅对</w:t>
      </w:r>
      <w:r>
        <w:rPr>
          <w:rFonts w:hint="eastAsia" w:ascii="仿宋_GB2312" w:hAnsi="宋体" w:eastAsia="仿宋_GB2312" w:cs="Times New Roman"/>
          <w:b w:val="0"/>
          <w:bCs w:val="0"/>
          <w:sz w:val="32"/>
          <w:szCs w:val="32"/>
          <w:lang w:val="en-US" w:eastAsia="zh-CN"/>
        </w:rPr>
        <w:t>病退职工支出</w:t>
      </w:r>
      <w:r>
        <w:rPr>
          <w:rFonts w:hint="eastAsia" w:ascii="仿宋_GB2312" w:hAnsi="宋体" w:eastAsia="仿宋_GB2312" w:cs="Times New Roman"/>
          <w:b w:val="0"/>
          <w:bCs w:val="0"/>
          <w:sz w:val="32"/>
          <w:szCs w:val="32"/>
          <w:lang w:val="zh-CN"/>
        </w:rPr>
        <w:t>。</w:t>
      </w:r>
    </w:p>
    <w:p>
      <w:pPr>
        <w:keepNext w:val="0"/>
        <w:keepLines w:val="0"/>
        <w:pageBreakBefore w:val="0"/>
        <w:widowControl w:val="0"/>
        <w:numPr>
          <w:ilvl w:val="0"/>
          <w:numId w:val="14"/>
        </w:numPr>
        <w:kinsoku/>
        <w:wordWrap/>
        <w:overflowPunct/>
        <w:topLinePunct w:val="0"/>
        <w:autoSpaceDE/>
        <w:autoSpaceDN/>
        <w:bidi w:val="0"/>
        <w:adjustRightInd w:val="0"/>
        <w:snapToGrid w:val="0"/>
        <w:spacing w:line="576" w:lineRule="exact"/>
        <w:ind w:firstLine="640" w:firstLineChars="200"/>
        <w:textAlignment w:val="auto"/>
        <w:rPr>
          <w:rFonts w:hint="eastAsia" w:ascii="楷体_GB2312" w:hAnsi="宋体" w:eastAsia="楷体_GB2312" w:cs="Times New Roman"/>
          <w:b w:val="0"/>
          <w:bCs w:val="0"/>
          <w:sz w:val="32"/>
          <w:szCs w:val="32"/>
          <w:lang w:val="zh-CN"/>
        </w:rPr>
      </w:pPr>
      <w:r>
        <w:rPr>
          <w:rFonts w:hint="eastAsia" w:ascii="楷体_GB2312" w:hAnsi="宋体" w:eastAsia="楷体_GB2312" w:cs="Times New Roman"/>
          <w:b w:val="0"/>
          <w:bCs w:val="0"/>
          <w:sz w:val="32"/>
          <w:szCs w:val="32"/>
          <w:lang w:val="zh-CN"/>
        </w:rPr>
        <w:t>项目绩效目标。</w:t>
      </w:r>
    </w:p>
    <w:p>
      <w:pPr>
        <w:keepNext w:val="0"/>
        <w:keepLines w:val="0"/>
        <w:pageBreakBefore w:val="0"/>
        <w:widowControl w:val="0"/>
        <w:numPr>
          <w:ilvl w:val="0"/>
          <w:numId w:val="15"/>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sz w:val="32"/>
          <w:szCs w:val="32"/>
          <w:lang w:val="zh-CN"/>
        </w:rPr>
      </w:pPr>
      <w:r>
        <w:rPr>
          <w:rFonts w:hint="eastAsia" w:ascii="仿宋_GB2312" w:hAnsi="宋体" w:eastAsia="仿宋_GB2312"/>
          <w:sz w:val="32"/>
          <w:szCs w:val="32"/>
          <w:lang w:val="zh-CN"/>
        </w:rPr>
        <w:t>按照市中级人民法院关于刘欣生活费用补贴的司法建议，给予病退职工刘欣4000元/月生活补贴，全年一次性6000元租房补贴，保障职工权益，消除不稳定因素。</w:t>
      </w:r>
    </w:p>
    <w:p>
      <w:pPr>
        <w:keepNext w:val="0"/>
        <w:keepLines w:val="0"/>
        <w:pageBreakBefore w:val="0"/>
        <w:widowControl w:val="0"/>
        <w:numPr>
          <w:ilvl w:val="0"/>
          <w:numId w:val="15"/>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sz w:val="32"/>
          <w:szCs w:val="32"/>
          <w:lang w:val="zh-CN"/>
        </w:rPr>
      </w:pPr>
      <w:r>
        <w:rPr>
          <w:rFonts w:hint="eastAsia" w:ascii="仿宋_GB2312" w:hAnsi="宋体" w:eastAsia="仿宋_GB2312" w:cs="Times New Roman"/>
          <w:b w:val="0"/>
          <w:bCs w:val="0"/>
          <w:sz w:val="32"/>
          <w:szCs w:val="32"/>
          <w:lang w:val="zh-CN"/>
        </w:rPr>
        <w:t>项目主要内容：护理病退职工=1人、保障全年生活=1人；及时签订护工合同2021年3月31日前；及时按照合同金额支付护理费用</w:t>
      </w:r>
      <w:r>
        <w:rPr>
          <w:rFonts w:hint="eastAsia" w:ascii="仿宋_GB2312" w:hAnsi="宋体" w:eastAsia="仿宋_GB2312" w:cs="Times New Roman"/>
          <w:b w:val="0"/>
          <w:bCs w:val="0"/>
          <w:sz w:val="32"/>
          <w:szCs w:val="32"/>
          <w:lang w:val="zh-CN"/>
        </w:rPr>
        <w:tab/>
      </w:r>
      <w:r>
        <w:rPr>
          <w:rFonts w:hint="eastAsia" w:ascii="仿宋_GB2312" w:hAnsi="宋体" w:eastAsia="仿宋_GB2312" w:cs="Times New Roman"/>
          <w:b w:val="0"/>
          <w:bCs w:val="0"/>
          <w:sz w:val="32"/>
          <w:szCs w:val="32"/>
          <w:lang w:val="zh-CN"/>
        </w:rPr>
        <w:t>12月30日前；每个月4000元生活补贴，全年一次性6000元租房补贴=5.4万元；保障职工权益，维护社会稳定；持续保障职工生活；职工满意度&gt;=95%。</w:t>
      </w:r>
    </w:p>
    <w:p>
      <w:pPr>
        <w:keepNext w:val="0"/>
        <w:keepLines w:val="0"/>
        <w:pageBreakBefore w:val="0"/>
        <w:widowControl w:val="0"/>
        <w:numPr>
          <w:ilvl w:val="0"/>
          <w:numId w:val="15"/>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sz w:val="32"/>
          <w:szCs w:val="32"/>
          <w:lang w:val="zh-CN"/>
        </w:rPr>
      </w:pPr>
      <w:r>
        <w:rPr>
          <w:rFonts w:hint="eastAsia" w:ascii="仿宋_GB2312" w:hAnsi="宋体" w:eastAsia="仿宋_GB2312"/>
          <w:sz w:val="32"/>
          <w:szCs w:val="32"/>
          <w:lang w:val="zh-CN"/>
        </w:rPr>
        <w:t>项目申报内容与具体实施内容相符、申报目标合理可行。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楷体_GB2312" w:hAnsi="宋体" w:eastAsia="楷体_GB2312" w:cs="Times New Roman"/>
          <w:b w:val="0"/>
          <w:bCs w:val="0"/>
          <w:sz w:val="32"/>
          <w:szCs w:val="32"/>
          <w:lang w:val="zh-CN"/>
        </w:rPr>
      </w:pPr>
      <w:r>
        <w:rPr>
          <w:rFonts w:hint="eastAsia" w:ascii="楷体_GB2312" w:hAnsi="宋体" w:eastAsia="楷体_GB2312" w:cs="Times New Roman"/>
          <w:b w:val="0"/>
          <w:bCs w:val="0"/>
          <w:sz w:val="32"/>
          <w:szCs w:val="32"/>
          <w:lang w:val="zh-CN"/>
        </w:rPr>
        <w:t>（三）项目自评步骤及方法。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sz w:val="32"/>
          <w:szCs w:val="32"/>
          <w:lang w:val="zh-CN"/>
        </w:rPr>
      </w:pPr>
      <w:r>
        <w:rPr>
          <w:rFonts w:hint="eastAsia" w:ascii="仿宋_GB2312" w:hAnsi="宋体" w:eastAsia="仿宋_GB2312" w:cs="Times New Roman"/>
          <w:sz w:val="32"/>
          <w:szCs w:val="32"/>
          <w:lang w:val="zh-CN" w:eastAsia="zh-CN"/>
        </w:rPr>
        <w:t>业务科室对照《2022年市级专项预算项目支出绩效评价指标体系》，完善相关指标并进行自评打分。</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1"/>
        <w:rPr>
          <w:rFonts w:ascii="黑体" w:hAnsi="宋体" w:eastAsia="黑体" w:cs="Times New Roman"/>
          <w:b w:val="0"/>
          <w:bCs w:val="0"/>
          <w:sz w:val="32"/>
          <w:szCs w:val="32"/>
        </w:rPr>
      </w:pPr>
      <w:bookmarkStart w:id="124" w:name="_Toc24748"/>
      <w:r>
        <w:rPr>
          <w:rFonts w:hint="eastAsia" w:ascii="黑体" w:hAnsi="宋体" w:eastAsia="黑体" w:cs="Times New Roman"/>
          <w:b w:val="0"/>
          <w:bCs w:val="0"/>
          <w:sz w:val="32"/>
          <w:szCs w:val="32"/>
        </w:rPr>
        <w:t>二、项目资金申报及使用情况</w:t>
      </w:r>
      <w:bookmarkEnd w:id="124"/>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楷体_GB2312" w:hAnsi="宋体" w:eastAsia="楷体_GB2312" w:cs="Times New Roman"/>
          <w:b w:val="0"/>
          <w:bCs w:val="0"/>
          <w:sz w:val="32"/>
          <w:szCs w:val="32"/>
          <w:lang w:val="zh-CN"/>
        </w:rPr>
      </w:pPr>
      <w:r>
        <w:rPr>
          <w:rFonts w:hint="eastAsia" w:ascii="楷体_GB2312" w:hAnsi="宋体" w:eastAsia="楷体_GB2312" w:cs="Times New Roman"/>
          <w:b w:val="0"/>
          <w:bCs w:val="0"/>
          <w:sz w:val="32"/>
          <w:szCs w:val="32"/>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仿宋_GB2312" w:hAnsi="宋体" w:eastAsia="仿宋_GB2312" w:cs="Times New Roman"/>
          <w:b w:val="0"/>
          <w:bCs w:val="0"/>
          <w:sz w:val="32"/>
          <w:szCs w:val="32"/>
          <w:lang w:val="zh-CN"/>
        </w:rPr>
      </w:pPr>
      <w:r>
        <w:rPr>
          <w:rFonts w:hint="eastAsia" w:ascii="仿宋_GB2312" w:hAnsi="宋体" w:eastAsia="仿宋_GB2312" w:cs="Times New Roman"/>
          <w:b w:val="0"/>
          <w:bCs w:val="0"/>
          <w:sz w:val="32"/>
          <w:szCs w:val="32"/>
          <w:lang w:val="zh-CN"/>
        </w:rPr>
        <w:t>项目资金申报5.4万元、财政批复5.4万元。</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仿宋_GB2312" w:hAnsi="宋体" w:eastAsia="仿宋_GB2312" w:cs="Times New Roman"/>
          <w:b w:val="0"/>
          <w:bCs w:val="0"/>
          <w:sz w:val="32"/>
          <w:szCs w:val="32"/>
          <w:lang w:val="zh-CN"/>
        </w:rPr>
      </w:pPr>
      <w:r>
        <w:rPr>
          <w:rFonts w:hint="eastAsia" w:ascii="楷体_GB2312" w:hAnsi="宋体" w:eastAsia="楷体_GB2312" w:cs="Times New Roman"/>
          <w:b w:val="0"/>
          <w:bCs w:val="0"/>
          <w:sz w:val="32"/>
          <w:szCs w:val="32"/>
          <w:lang w:val="zh-CN"/>
        </w:rPr>
        <w:t>（二）资金计划、到位及使用情况（可用表格形式反映）。</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1．资金计划及到位。该项目资金计划5.4万元，截止评价时点实际到位5.4万元，为本级财政拨款资金。</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2．资金使用。截止评价时点项目资金的实际支出5.4万元，主要用于病退职工刘欣生活补贴4.8万，全年一次性租房补贴0.6万元。支付依据合规合法，资金支付与预算相符，无虚列支出、挤占、挪用、转移财政资金行为。</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楷体_GB2312" w:hAnsi="宋体" w:eastAsia="楷体_GB2312" w:cs="Times New Roman"/>
          <w:b w:val="0"/>
          <w:bCs w:val="0"/>
          <w:sz w:val="32"/>
          <w:szCs w:val="32"/>
          <w:lang w:val="zh-CN"/>
        </w:rPr>
      </w:pPr>
      <w:r>
        <w:rPr>
          <w:rFonts w:hint="eastAsia" w:ascii="楷体_GB2312" w:hAnsi="宋体" w:eastAsia="楷体_GB2312" w:cs="Times New Roman"/>
          <w:b w:val="0"/>
          <w:bCs w:val="0"/>
          <w:sz w:val="32"/>
          <w:szCs w:val="32"/>
          <w:lang w:val="zh-CN"/>
        </w:rPr>
        <w:t>（三）项目财务管理情况。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sz w:val="32"/>
          <w:szCs w:val="32"/>
          <w:lang w:val="zh-CN"/>
        </w:rPr>
      </w:pPr>
      <w:r>
        <w:rPr>
          <w:rFonts w:hint="eastAsia" w:ascii="仿宋_GB2312" w:hAnsi="宋体" w:eastAsia="仿宋_GB2312"/>
          <w:sz w:val="32"/>
          <w:szCs w:val="32"/>
          <w:lang w:val="zh-CN"/>
        </w:rPr>
        <w:t>项目会计核算及账务处理</w:t>
      </w:r>
      <w:r>
        <w:rPr>
          <w:rFonts w:hint="eastAsia" w:ascii="仿宋_GB2312" w:hAnsi="宋体" w:eastAsia="仿宋_GB2312"/>
          <w:sz w:val="32"/>
          <w:szCs w:val="32"/>
        </w:rPr>
        <w:t>按照《预算法》《单位内控制度》</w:t>
      </w:r>
      <w:r>
        <w:rPr>
          <w:rFonts w:hint="eastAsia" w:ascii="仿宋_GB2312" w:hAnsi="宋体" w:eastAsia="仿宋_GB2312"/>
          <w:sz w:val="32"/>
          <w:szCs w:val="32"/>
          <w:lang w:val="zh-CN"/>
        </w:rPr>
        <w:t>等相关</w:t>
      </w:r>
      <w:r>
        <w:rPr>
          <w:rFonts w:hint="eastAsia" w:ascii="仿宋_GB2312" w:hAnsi="宋体" w:eastAsia="仿宋_GB2312"/>
          <w:sz w:val="32"/>
          <w:szCs w:val="32"/>
        </w:rPr>
        <w:t>规定，</w:t>
      </w:r>
      <w:r>
        <w:rPr>
          <w:rFonts w:hint="eastAsia" w:ascii="仿宋_GB2312" w:hAnsi="宋体" w:eastAsia="仿宋_GB2312"/>
          <w:sz w:val="32"/>
          <w:szCs w:val="32"/>
          <w:lang w:val="zh-CN"/>
        </w:rPr>
        <w:t>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1"/>
        <w:rPr>
          <w:rFonts w:ascii="黑体" w:hAnsi="宋体" w:eastAsia="黑体" w:cs="Times New Roman"/>
          <w:b w:val="0"/>
          <w:bCs w:val="0"/>
          <w:sz w:val="32"/>
          <w:szCs w:val="32"/>
        </w:rPr>
      </w:pPr>
      <w:bookmarkStart w:id="125" w:name="_Toc5581"/>
      <w:r>
        <w:rPr>
          <w:rFonts w:hint="eastAsia" w:ascii="黑体" w:hAnsi="宋体" w:eastAsia="黑体" w:cs="Times New Roman"/>
          <w:b w:val="0"/>
          <w:bCs w:val="0"/>
          <w:sz w:val="32"/>
          <w:szCs w:val="32"/>
        </w:rPr>
        <w:t>三、项目实施及管理情况</w:t>
      </w:r>
      <w:bookmarkEnd w:id="125"/>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楷体_GB2312" w:hAnsi="宋体" w:eastAsia="楷体_GB2312" w:cs="Times New Roman"/>
          <w:b w:val="0"/>
          <w:bCs w:val="0"/>
          <w:sz w:val="32"/>
          <w:szCs w:val="32"/>
          <w:lang w:val="zh-CN"/>
        </w:rPr>
      </w:pPr>
      <w:r>
        <w:rPr>
          <w:rFonts w:hint="eastAsia" w:ascii="楷体_GB2312" w:hAnsi="宋体" w:eastAsia="楷体_GB2312" w:cs="Times New Roman"/>
          <w:b w:val="0"/>
          <w:bCs w:val="0"/>
          <w:sz w:val="32"/>
          <w:szCs w:val="32"/>
          <w:lang w:val="zh-CN"/>
        </w:rPr>
        <w:t>（一）项目组织架构及实施流程。</w:t>
      </w:r>
      <w:r>
        <w:rPr>
          <w:rFonts w:hint="eastAsia" w:ascii="楷体_GB2312" w:hAnsi="宋体" w:eastAsia="楷体_GB2312" w:cs="Times New Roman"/>
          <w:b w:val="0"/>
          <w:bCs w:val="0"/>
          <w:sz w:val="32"/>
          <w:szCs w:val="32"/>
          <w:lang w:val="en-US" w:eastAsia="zh-CN"/>
        </w:rPr>
        <w:t>该项目由人事科牵头，</w:t>
      </w:r>
      <w:r>
        <w:rPr>
          <w:rFonts w:hint="eastAsia" w:ascii="仿宋_GB2312" w:hAnsi="宋体" w:eastAsia="仿宋_GB2312"/>
          <w:sz w:val="32"/>
          <w:szCs w:val="32"/>
          <w:lang w:val="zh-CN"/>
        </w:rPr>
        <w:t>经费项目主要用于</w:t>
      </w:r>
      <w:r>
        <w:rPr>
          <w:rFonts w:hint="eastAsia" w:ascii="仿宋_GB2312" w:hAnsi="宋体" w:eastAsia="仿宋_GB2312"/>
          <w:sz w:val="32"/>
          <w:szCs w:val="32"/>
        </w:rPr>
        <w:t>病退职工刘欣生活补贴4.8万元，全年一次性租房补贴0.6万元</w:t>
      </w:r>
      <w:r>
        <w:rPr>
          <w:rFonts w:hint="eastAsia" w:ascii="仿宋_GB2312" w:hAnsi="宋体" w:eastAsia="仿宋_GB2312"/>
          <w:sz w:val="32"/>
          <w:szCs w:val="32"/>
          <w:lang w:val="zh-CN"/>
        </w:rPr>
        <w:t>，截止评价日，基本完成了资金的申报、审核、支付流程。</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仿宋_GB2312" w:hAnsi="宋体" w:eastAsia="仿宋_GB2312" w:cs="Times New Roman"/>
          <w:b w:val="0"/>
          <w:bCs w:val="0"/>
          <w:sz w:val="32"/>
          <w:szCs w:val="32"/>
          <w:lang w:val="zh-CN"/>
        </w:rPr>
      </w:pPr>
      <w:r>
        <w:rPr>
          <w:rFonts w:hint="eastAsia" w:ascii="楷体_GB2312" w:hAnsi="宋体" w:eastAsia="楷体_GB2312" w:cs="Times New Roman"/>
          <w:b w:val="0"/>
          <w:bCs w:val="0"/>
          <w:sz w:val="32"/>
          <w:szCs w:val="32"/>
          <w:lang w:val="zh-CN"/>
        </w:rPr>
        <w:t>（二）项目管理情况。</w:t>
      </w:r>
      <w:r>
        <w:rPr>
          <w:rFonts w:hint="eastAsia" w:ascii="仿宋_GB2312" w:hAnsi="宋体" w:eastAsia="仿宋_GB2312" w:cs="Times New Roman"/>
          <w:b w:val="0"/>
          <w:bCs w:val="0"/>
          <w:sz w:val="32"/>
          <w:szCs w:val="32"/>
          <w:lang w:val="zh-CN"/>
        </w:rPr>
        <w:t>按照《预算法》对项目进行预算公开，每季度进行绩效项目分析。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cs="Times New Roman"/>
          <w:b w:val="0"/>
          <w:bCs w:val="0"/>
          <w:sz w:val="32"/>
          <w:szCs w:val="32"/>
          <w:lang w:val="zh-CN"/>
        </w:rPr>
      </w:pPr>
      <w:r>
        <w:rPr>
          <w:rFonts w:hint="eastAsia" w:ascii="楷体_GB2312" w:hAnsi="宋体" w:eastAsia="楷体_GB2312" w:cs="Times New Roman"/>
          <w:b w:val="0"/>
          <w:bCs w:val="0"/>
          <w:sz w:val="32"/>
          <w:szCs w:val="32"/>
          <w:lang w:val="zh-CN"/>
        </w:rPr>
        <w:t>（三）项目监管情况。</w:t>
      </w:r>
      <w:r>
        <w:rPr>
          <w:rFonts w:hint="eastAsia" w:ascii="仿宋_GB2312" w:hAnsi="宋体" w:eastAsia="仿宋_GB2312" w:cs="Times New Roman"/>
          <w:b w:val="0"/>
          <w:bCs w:val="0"/>
          <w:sz w:val="32"/>
          <w:szCs w:val="32"/>
          <w:lang w:val="zh-CN"/>
        </w:rPr>
        <w:t>通过中心主任办公会每月通报项目进展情况，及时对项目实施进行督促，实现了项目与计划基本相符。</w:t>
      </w:r>
    </w:p>
    <w:p>
      <w:pPr>
        <w:adjustRightInd w:val="0"/>
        <w:snapToGrid w:val="0"/>
        <w:spacing w:line="576" w:lineRule="exact"/>
        <w:ind w:firstLine="720"/>
        <w:outlineLvl w:val="1"/>
        <w:rPr>
          <w:rFonts w:hint="eastAsia" w:ascii="黑体" w:hAnsi="黑体" w:eastAsia="黑体" w:cs="黑体"/>
          <w:bCs/>
          <w:sz w:val="32"/>
          <w:szCs w:val="32"/>
          <w:lang w:val="zh-CN"/>
        </w:rPr>
      </w:pPr>
      <w:bookmarkStart w:id="126" w:name="_Toc3449"/>
      <w:r>
        <w:rPr>
          <w:rFonts w:hint="eastAsia" w:ascii="黑体" w:hAnsi="黑体" w:eastAsia="黑体" w:cs="黑体"/>
          <w:bCs/>
          <w:sz w:val="32"/>
          <w:szCs w:val="32"/>
          <w:lang w:val="en-US" w:eastAsia="zh-CN"/>
        </w:rPr>
        <w:t>四</w:t>
      </w:r>
      <w:r>
        <w:rPr>
          <w:rFonts w:hint="eastAsia" w:ascii="黑体" w:hAnsi="黑体" w:eastAsia="黑体" w:cs="黑体"/>
          <w:bCs/>
          <w:sz w:val="32"/>
          <w:szCs w:val="32"/>
        </w:rPr>
        <w:t>、项目绩效情况</w:t>
      </w:r>
      <w:bookmarkEnd w:id="126"/>
      <w:r>
        <w:rPr>
          <w:rFonts w:hint="eastAsia" w:ascii="黑体" w:hAnsi="黑体" w:eastAsia="黑体" w:cs="黑体"/>
          <w:bCs/>
          <w:sz w:val="32"/>
          <w:szCs w:val="32"/>
          <w:lang w:val="zh-CN"/>
        </w:rPr>
        <w:tab/>
      </w:r>
    </w:p>
    <w:p>
      <w:pPr>
        <w:adjustRightInd w:val="0"/>
        <w:snapToGrid w:val="0"/>
        <w:spacing w:line="576" w:lineRule="exact"/>
        <w:ind w:firstLine="720"/>
        <w:rPr>
          <w:rFonts w:hint="eastAsia" w:ascii="楷体_GB2312" w:hAnsi="楷体_GB2312" w:eastAsia="楷体_GB2312" w:cs="楷体_GB2312"/>
          <w:bCs/>
          <w:sz w:val="32"/>
          <w:szCs w:val="32"/>
          <w:lang w:val="zh-CN"/>
        </w:rPr>
      </w:pPr>
      <w:r>
        <w:rPr>
          <w:rFonts w:hint="eastAsia" w:ascii="楷体_GB2312" w:hAnsi="楷体_GB2312" w:eastAsia="楷体_GB2312" w:cs="楷体_GB2312"/>
          <w:bCs/>
          <w:sz w:val="32"/>
          <w:szCs w:val="32"/>
          <w:lang w:val="zh-CN"/>
        </w:rPr>
        <w:t>（一）项目完成情况。</w:t>
      </w:r>
    </w:p>
    <w:p>
      <w:pPr>
        <w:spacing w:line="576"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保障护理病退职工</w:t>
      </w:r>
      <w:r>
        <w:rPr>
          <w:rFonts w:hint="eastAsia" w:ascii="仿宋_GB2312" w:hAnsi="宋体" w:eastAsia="仿宋_GB2312"/>
          <w:sz w:val="32"/>
          <w:szCs w:val="32"/>
        </w:rPr>
        <w:t>刘欣</w:t>
      </w:r>
      <w:r>
        <w:rPr>
          <w:rFonts w:hint="eastAsia" w:ascii="仿宋_GB2312" w:hAnsi="宋体" w:eastAsia="仿宋_GB2312"/>
          <w:sz w:val="32"/>
          <w:szCs w:val="32"/>
          <w:lang w:val="zh-CN"/>
        </w:rPr>
        <w:t>全年生活</w:t>
      </w:r>
      <w:r>
        <w:rPr>
          <w:rFonts w:hint="eastAsia" w:ascii="仿宋_GB2312" w:hAnsi="宋体" w:eastAsia="仿宋_GB2312"/>
          <w:sz w:val="32"/>
          <w:szCs w:val="32"/>
        </w:rPr>
        <w:t>补贴4.8万元，按照季度支付护理费用及租房补贴。</w:t>
      </w:r>
    </w:p>
    <w:p>
      <w:pPr>
        <w:adjustRightInd w:val="0"/>
        <w:snapToGrid w:val="0"/>
        <w:spacing w:line="576" w:lineRule="exact"/>
        <w:ind w:firstLine="720"/>
        <w:rPr>
          <w:rFonts w:hint="eastAsia" w:ascii="楷体_GB2312" w:hAnsi="楷体_GB2312" w:eastAsia="楷体_GB2312" w:cs="楷体_GB2312"/>
          <w:bCs/>
          <w:sz w:val="32"/>
          <w:szCs w:val="32"/>
          <w:lang w:val="zh-CN"/>
        </w:rPr>
      </w:pPr>
      <w:r>
        <w:rPr>
          <w:rFonts w:hint="eastAsia" w:ascii="楷体_GB2312" w:hAnsi="楷体_GB2312" w:eastAsia="楷体_GB2312" w:cs="楷体_GB2312"/>
          <w:bCs/>
          <w:sz w:val="32"/>
          <w:szCs w:val="32"/>
          <w:lang w:val="zh-CN"/>
        </w:rPr>
        <w:t>（</w:t>
      </w:r>
      <w:r>
        <w:rPr>
          <w:rFonts w:hint="eastAsia" w:ascii="楷体_GB2312" w:hAnsi="楷体_GB2312" w:eastAsia="楷体_GB2312" w:cs="楷体_GB2312"/>
          <w:bCs/>
          <w:sz w:val="32"/>
          <w:szCs w:val="32"/>
        </w:rPr>
        <w:t>二</w:t>
      </w:r>
      <w:r>
        <w:rPr>
          <w:rFonts w:hint="eastAsia" w:ascii="楷体_GB2312" w:hAnsi="楷体_GB2312" w:eastAsia="楷体_GB2312" w:cs="楷体_GB2312"/>
          <w:bCs/>
          <w:sz w:val="32"/>
          <w:szCs w:val="32"/>
          <w:lang w:val="zh-CN"/>
        </w:rPr>
        <w:t>）项目效益情况。</w:t>
      </w:r>
    </w:p>
    <w:p>
      <w:pPr>
        <w:spacing w:line="576"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rPr>
        <w:t>该项目</w:t>
      </w:r>
      <w:r>
        <w:rPr>
          <w:rFonts w:hint="eastAsia" w:ascii="仿宋_GB2312" w:hAnsi="宋体" w:eastAsia="仿宋_GB2312"/>
          <w:sz w:val="32"/>
          <w:szCs w:val="32"/>
          <w:lang w:val="zh-CN"/>
        </w:rPr>
        <w:t>保障</w:t>
      </w:r>
      <w:r>
        <w:rPr>
          <w:rFonts w:hint="eastAsia" w:ascii="仿宋_GB2312" w:hAnsi="宋体" w:eastAsia="仿宋_GB2312"/>
          <w:sz w:val="32"/>
          <w:szCs w:val="32"/>
        </w:rPr>
        <w:t>了</w:t>
      </w:r>
      <w:r>
        <w:rPr>
          <w:rFonts w:hint="eastAsia" w:ascii="仿宋_GB2312" w:hAnsi="宋体" w:eastAsia="仿宋_GB2312"/>
          <w:sz w:val="32"/>
          <w:szCs w:val="32"/>
          <w:lang w:val="zh-CN"/>
        </w:rPr>
        <w:t>职工权益，消除了不稳定因素。</w:t>
      </w:r>
    </w:p>
    <w:p>
      <w:pPr>
        <w:spacing w:line="576" w:lineRule="exact"/>
        <w:ind w:firstLine="640" w:firstLineChars="200"/>
        <w:outlineLvl w:val="1"/>
        <w:rPr>
          <w:rFonts w:hint="eastAsia" w:ascii="黑体" w:hAnsi="黑体" w:eastAsia="黑体" w:cs="黑体"/>
          <w:bCs/>
          <w:sz w:val="32"/>
          <w:szCs w:val="32"/>
        </w:rPr>
      </w:pPr>
      <w:bookmarkStart w:id="127" w:name="_Toc11836"/>
      <w:r>
        <w:rPr>
          <w:rFonts w:hint="eastAsia" w:ascii="黑体" w:hAnsi="黑体" w:eastAsia="黑体" w:cs="黑体"/>
          <w:bCs/>
          <w:sz w:val="32"/>
          <w:szCs w:val="32"/>
          <w:lang w:val="en-US" w:eastAsia="zh-CN"/>
        </w:rPr>
        <w:t>五</w:t>
      </w:r>
      <w:r>
        <w:rPr>
          <w:rFonts w:hint="eastAsia" w:ascii="黑体" w:hAnsi="黑体" w:eastAsia="黑体" w:cs="黑体"/>
          <w:bCs/>
          <w:sz w:val="32"/>
          <w:szCs w:val="32"/>
        </w:rPr>
        <w:t>、问题及建议</w:t>
      </w:r>
      <w:bookmarkEnd w:id="127"/>
    </w:p>
    <w:p>
      <w:pPr>
        <w:adjustRightInd w:val="0"/>
        <w:snapToGrid w:val="0"/>
        <w:spacing w:line="576" w:lineRule="exact"/>
        <w:ind w:firstLine="720"/>
        <w:rPr>
          <w:rFonts w:hint="default" w:ascii="楷体_GB2312" w:hAnsi="楷体_GB2312" w:eastAsia="仿宋_GB2312" w:cs="楷体_GB2312"/>
          <w:bCs/>
          <w:sz w:val="32"/>
          <w:szCs w:val="32"/>
          <w:lang w:val="en-US" w:eastAsia="zh-CN"/>
        </w:rPr>
      </w:pPr>
      <w:r>
        <w:rPr>
          <w:rFonts w:hint="eastAsia" w:ascii="楷体_GB2312" w:hAnsi="楷体_GB2312" w:eastAsia="楷体_GB2312" w:cs="楷体_GB2312"/>
          <w:bCs/>
          <w:sz w:val="32"/>
          <w:szCs w:val="32"/>
          <w:lang w:val="zh-CN"/>
        </w:rPr>
        <w:t>（一）评价结论。</w:t>
      </w:r>
      <w:r>
        <w:rPr>
          <w:rFonts w:hint="eastAsia" w:ascii="仿宋_GB2312" w:hAnsi="宋体" w:eastAsia="仿宋_GB2312"/>
          <w:sz w:val="32"/>
          <w:szCs w:val="32"/>
          <w:lang w:val="en-US" w:eastAsia="zh-CN"/>
        </w:rPr>
        <w:t>该项目的实施保障了职工的权益，通过专项资金保障了职工护理及租房的切实需求。</w:t>
      </w:r>
    </w:p>
    <w:p>
      <w:pPr>
        <w:adjustRightInd w:val="0"/>
        <w:snapToGrid w:val="0"/>
        <w:spacing w:line="576" w:lineRule="exact"/>
        <w:ind w:firstLine="720"/>
        <w:rPr>
          <w:rFonts w:hint="eastAsia" w:ascii="仿宋_GB2312" w:hAnsi="宋体" w:eastAsia="仿宋_GB2312"/>
          <w:sz w:val="32"/>
          <w:szCs w:val="32"/>
        </w:rPr>
      </w:pPr>
      <w:r>
        <w:rPr>
          <w:rFonts w:hint="eastAsia" w:ascii="楷体_GB2312" w:hAnsi="楷体_GB2312" w:eastAsia="楷体_GB2312" w:cs="楷体_GB2312"/>
          <w:bCs/>
          <w:sz w:val="32"/>
          <w:szCs w:val="32"/>
          <w:lang w:val="zh-CN"/>
        </w:rPr>
        <w:t>（一）存在的问题。</w:t>
      </w:r>
      <w:r>
        <w:rPr>
          <w:rFonts w:hint="eastAsia" w:ascii="仿宋_GB2312" w:hAnsi="宋体" w:eastAsia="仿宋_GB2312"/>
          <w:sz w:val="32"/>
          <w:szCs w:val="32"/>
        </w:rPr>
        <w:t>随着疫情防控的常态化形势，物价及生活成本的增高，相应的租房和护工费用逐年上升，该项目既定的费用和职工诉求有一定的差距。</w:t>
      </w:r>
    </w:p>
    <w:p>
      <w:pPr>
        <w:adjustRightInd w:val="0"/>
        <w:snapToGrid w:val="0"/>
        <w:spacing w:line="576" w:lineRule="exact"/>
        <w:ind w:firstLine="720"/>
        <w:rPr>
          <w:rFonts w:hint="eastAsia" w:ascii="楷体_GB2312" w:hAnsi="楷体_GB2312" w:eastAsia="楷体_GB2312" w:cs="楷体_GB2312"/>
          <w:sz w:val="32"/>
          <w:szCs w:val="32"/>
        </w:rPr>
      </w:pPr>
      <w:r>
        <w:rPr>
          <w:rFonts w:hint="eastAsia" w:ascii="楷体_GB2312" w:hAnsi="楷体_GB2312" w:eastAsia="楷体_GB2312" w:cs="楷体_GB2312"/>
          <w:bCs/>
          <w:sz w:val="32"/>
          <w:szCs w:val="32"/>
          <w:lang w:val="zh-CN"/>
        </w:rPr>
        <w:t>（二）相关建议。</w:t>
      </w:r>
      <w:r>
        <w:rPr>
          <w:rFonts w:hint="eastAsia" w:ascii="仿宋_GB2312" w:hAnsi="宋体" w:eastAsia="仿宋_GB2312"/>
          <w:sz w:val="32"/>
          <w:szCs w:val="32"/>
        </w:rPr>
        <w:t>经考察、测算，结合物价等因素，建议按比例逐年提高该职工生活补贴及租房补贴。</w:t>
      </w:r>
    </w:p>
    <w:p>
      <w:pPr>
        <w:rPr>
          <w:rFonts w:hint="eastAsia"/>
        </w:rPr>
      </w:pPr>
      <w:r>
        <w:rPr>
          <w:rFonts w:hint="eastAsia"/>
        </w:rPr>
        <w:br w:type="page"/>
      </w:r>
      <w:r>
        <w:drawing>
          <wp:inline distT="0" distB="0" distL="114300" distR="114300">
            <wp:extent cx="5270500" cy="4757420"/>
            <wp:effectExtent l="0" t="0" r="2540" b="12700"/>
            <wp:docPr id="1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
                    <pic:cNvPicPr>
                      <a:picLocks noChangeAspect="1"/>
                    </pic:cNvPicPr>
                  </pic:nvPicPr>
                  <pic:blipFill>
                    <a:blip r:embed="rId17"/>
                    <a:stretch>
                      <a:fillRect/>
                    </a:stretch>
                  </pic:blipFill>
                  <pic:spPr>
                    <a:xfrm>
                      <a:off x="0" y="0"/>
                      <a:ext cx="5270500" cy="4757420"/>
                    </a:xfrm>
                    <a:prstGeom prst="rect">
                      <a:avLst/>
                    </a:prstGeom>
                    <a:noFill/>
                    <a:ln>
                      <a:noFill/>
                    </a:ln>
                  </pic:spPr>
                </pic:pic>
              </a:graphicData>
            </a:graphic>
          </wp:inline>
        </w:drawing>
      </w:r>
    </w:p>
    <w:p>
      <w:pPr>
        <w:rPr>
          <w:rFonts w:hint="eastAsia" w:ascii="黑体" w:hAnsi="黑体" w:eastAsia="黑体"/>
          <w:color w:val="auto"/>
          <w:sz w:val="44"/>
          <w:szCs w:val="44"/>
          <w:highlight w:val="none"/>
        </w:rPr>
      </w:pPr>
      <w:r>
        <w:rPr>
          <w:rFonts w:hint="eastAsia" w:ascii="黑体" w:hAnsi="黑体" w:eastAsia="黑体"/>
          <w:color w:val="auto"/>
          <w:sz w:val="44"/>
          <w:szCs w:val="44"/>
          <w:highlight w:val="none"/>
        </w:rPr>
        <w:br w:type="page"/>
      </w: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0"/>
        <w:rPr>
          <w:rFonts w:hint="eastAsia" w:ascii="仿宋" w:hAnsi="仿宋" w:eastAsia="仿宋"/>
          <w:b w:val="0"/>
          <w:color w:val="auto"/>
          <w:highlight w:val="none"/>
        </w:rPr>
      </w:pPr>
      <w:bookmarkStart w:id="128" w:name="_Toc3541"/>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 附表</w:t>
      </w:r>
      <w:bookmarkEnd w:id="82"/>
      <w:bookmarkEnd w:id="100"/>
      <w:bookmarkEnd w:id="128"/>
      <w:bookmarkStart w:id="129" w:name="_Toc15396619"/>
    </w:p>
    <w:p>
      <w:pPr>
        <w:pStyle w:val="4"/>
        <w:rPr>
          <w:rFonts w:ascii="仿宋" w:hAnsi="仿宋" w:eastAsia="仿宋"/>
          <w:color w:val="auto"/>
          <w:highlight w:val="none"/>
        </w:rPr>
      </w:pPr>
      <w:bookmarkStart w:id="130" w:name="_Toc24018"/>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bookmarkEnd w:id="129"/>
      <w:bookmarkEnd w:id="130"/>
    </w:p>
    <w:p>
      <w:pPr>
        <w:pStyle w:val="4"/>
        <w:rPr>
          <w:rFonts w:ascii="仿宋" w:hAnsi="仿宋" w:eastAsia="仿宋"/>
          <w:color w:val="auto"/>
          <w:highlight w:val="none"/>
        </w:rPr>
      </w:pPr>
      <w:bookmarkStart w:id="131" w:name="_Toc17457"/>
      <w:bookmarkStart w:id="132" w:name="_Toc15396620"/>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131"/>
      <w:bookmarkEnd w:id="132"/>
    </w:p>
    <w:p>
      <w:pPr>
        <w:pStyle w:val="4"/>
        <w:rPr>
          <w:rFonts w:ascii="仿宋" w:hAnsi="仿宋" w:eastAsia="仿宋"/>
          <w:color w:val="auto"/>
          <w:highlight w:val="none"/>
        </w:rPr>
      </w:pPr>
      <w:bookmarkStart w:id="133" w:name="_Toc26116"/>
      <w:bookmarkStart w:id="134" w:name="_Toc15396621"/>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133"/>
      <w:bookmarkEnd w:id="134"/>
    </w:p>
    <w:p>
      <w:pPr>
        <w:pStyle w:val="4"/>
        <w:rPr>
          <w:rFonts w:ascii="仿宋" w:hAnsi="仿宋" w:eastAsia="仿宋"/>
          <w:b w:val="0"/>
          <w:color w:val="auto"/>
          <w:highlight w:val="none"/>
        </w:rPr>
      </w:pPr>
      <w:bookmarkStart w:id="135" w:name="_Toc14825"/>
      <w:bookmarkStart w:id="136" w:name="_Toc15396622"/>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135"/>
      <w:bookmarkEnd w:id="136"/>
    </w:p>
    <w:p>
      <w:pPr>
        <w:pStyle w:val="4"/>
        <w:rPr>
          <w:rStyle w:val="25"/>
          <w:rFonts w:ascii="仿宋" w:hAnsi="仿宋" w:eastAsia="仿宋"/>
          <w:b w:val="0"/>
          <w:bCs w:val="0"/>
          <w:color w:val="auto"/>
          <w:highlight w:val="none"/>
        </w:rPr>
      </w:pPr>
      <w:bookmarkStart w:id="137" w:name="_Toc15396623"/>
      <w:bookmarkStart w:id="138" w:name="_Toc10636"/>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137"/>
      <w:bookmarkEnd w:id="138"/>
      <w:bookmarkStart w:id="139" w:name="_Toc15396624"/>
    </w:p>
    <w:p>
      <w:pPr>
        <w:pStyle w:val="4"/>
        <w:rPr>
          <w:rFonts w:ascii="仿宋" w:hAnsi="仿宋" w:eastAsia="仿宋"/>
          <w:color w:val="auto"/>
          <w:highlight w:val="none"/>
        </w:rPr>
      </w:pPr>
      <w:bookmarkStart w:id="140" w:name="_Toc4701"/>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139"/>
      <w:bookmarkEnd w:id="140"/>
    </w:p>
    <w:p>
      <w:pPr>
        <w:pStyle w:val="4"/>
        <w:rPr>
          <w:rFonts w:ascii="仿宋" w:hAnsi="仿宋" w:eastAsia="仿宋"/>
          <w:color w:val="auto"/>
          <w:highlight w:val="none"/>
        </w:rPr>
      </w:pPr>
      <w:bookmarkStart w:id="141" w:name="_Toc945"/>
      <w:bookmarkStart w:id="142" w:name="_Toc15396625"/>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141"/>
      <w:bookmarkEnd w:id="142"/>
    </w:p>
    <w:p>
      <w:pPr>
        <w:pStyle w:val="4"/>
        <w:rPr>
          <w:rFonts w:ascii="仿宋" w:hAnsi="仿宋" w:eastAsia="仿宋"/>
          <w:color w:val="auto"/>
          <w:highlight w:val="none"/>
        </w:rPr>
      </w:pPr>
      <w:bookmarkStart w:id="143" w:name="_Toc15396626"/>
      <w:bookmarkStart w:id="144" w:name="_Toc29581"/>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143"/>
      <w:bookmarkEnd w:id="144"/>
    </w:p>
    <w:p>
      <w:pPr>
        <w:pStyle w:val="4"/>
        <w:rPr>
          <w:rFonts w:ascii="仿宋" w:hAnsi="仿宋" w:eastAsia="仿宋"/>
          <w:color w:val="auto"/>
          <w:highlight w:val="none"/>
        </w:rPr>
      </w:pPr>
      <w:bookmarkStart w:id="145" w:name="_Toc15396627"/>
      <w:bookmarkStart w:id="146" w:name="_Toc17122"/>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145"/>
      <w:bookmarkEnd w:id="146"/>
    </w:p>
    <w:p>
      <w:pPr>
        <w:pStyle w:val="4"/>
        <w:rPr>
          <w:rFonts w:ascii="仿宋" w:hAnsi="仿宋" w:eastAsia="仿宋"/>
          <w:color w:val="auto"/>
          <w:highlight w:val="none"/>
        </w:rPr>
      </w:pPr>
      <w:bookmarkStart w:id="147" w:name="_Toc30938"/>
      <w:bookmarkStart w:id="148" w:name="_Toc15396628"/>
      <w:r>
        <w:rPr>
          <w:rStyle w:val="25"/>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般公共预算财政拨款“三公”经费支出决算表</w:t>
      </w:r>
      <w:bookmarkEnd w:id="147"/>
      <w:bookmarkEnd w:id="148"/>
    </w:p>
    <w:p>
      <w:pPr>
        <w:pStyle w:val="4"/>
        <w:rPr>
          <w:rFonts w:ascii="仿宋" w:hAnsi="仿宋" w:eastAsia="仿宋"/>
          <w:color w:val="auto"/>
          <w:highlight w:val="none"/>
        </w:rPr>
      </w:pPr>
      <w:bookmarkStart w:id="149" w:name="_Toc15396629"/>
      <w:bookmarkStart w:id="150" w:name="_Toc10492"/>
      <w:r>
        <w:rPr>
          <w:rStyle w:val="25"/>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bookmarkEnd w:id="149"/>
      <w:bookmarkEnd w:id="150"/>
    </w:p>
    <w:p>
      <w:pPr>
        <w:pStyle w:val="4"/>
        <w:rPr>
          <w:rFonts w:ascii="仿宋" w:hAnsi="仿宋" w:eastAsia="仿宋"/>
          <w:color w:val="auto"/>
          <w:highlight w:val="none"/>
        </w:rPr>
      </w:pPr>
      <w:bookmarkStart w:id="151" w:name="_Toc15396630"/>
      <w:bookmarkStart w:id="152" w:name="_Toc10403"/>
      <w:r>
        <w:rPr>
          <w:rStyle w:val="25"/>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府性基金预算财政拨款“三公”经费支出决算表</w:t>
      </w:r>
      <w:bookmarkEnd w:id="151"/>
      <w:bookmarkEnd w:id="152"/>
    </w:p>
    <w:p>
      <w:pPr>
        <w:pStyle w:val="4"/>
        <w:rPr>
          <w:rStyle w:val="25"/>
          <w:rFonts w:hint="eastAsia" w:ascii="仿宋" w:hAnsi="仿宋" w:eastAsia="仿宋"/>
          <w:b w:val="0"/>
          <w:bCs w:val="0"/>
          <w:color w:val="auto"/>
          <w:highlight w:val="none"/>
        </w:rPr>
      </w:pPr>
      <w:bookmarkStart w:id="153" w:name="_Toc9977"/>
      <w:bookmarkStart w:id="154" w:name="_Toc15396631"/>
      <w:r>
        <w:rPr>
          <w:rStyle w:val="25"/>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bookmarkEnd w:id="153"/>
      <w:bookmarkEnd w:id="154"/>
    </w:p>
    <w:p>
      <w:pPr>
        <w:rPr>
          <w:rFonts w:hint="eastAsia" w:eastAsia="仿宋"/>
          <w:color w:val="auto"/>
          <w:highlight w:val="none"/>
          <w:lang w:eastAsia="zh-CN"/>
        </w:rPr>
      </w:pPr>
      <w:bookmarkStart w:id="155" w:name="_Toc27591"/>
      <w:r>
        <w:rPr>
          <w:rStyle w:val="25"/>
          <w:rFonts w:hint="eastAsia" w:ascii="仿宋" w:hAnsi="仿宋" w:eastAsia="仿宋"/>
          <w:b w:val="0"/>
          <w:bCs w:val="0"/>
          <w:color w:val="auto"/>
          <w:highlight w:val="none"/>
          <w:lang w:eastAsia="zh-CN"/>
        </w:rPr>
        <w:t>十四、国有资本经营预算财政拨款支出决算表</w:t>
      </w:r>
      <w:bookmarkEnd w:id="15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D15271EA-D291-41FC-8575-42D26CD09CD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6959E15D-C48C-4F1B-AB61-473DD86010FE}"/>
  </w:font>
  <w:font w:name="Cambria">
    <w:panose1 w:val="02040503050406030204"/>
    <w:charset w:val="00"/>
    <w:family w:val="roman"/>
    <w:pitch w:val="default"/>
    <w:sig w:usb0="E00002FF" w:usb1="400004FF" w:usb2="00000000" w:usb3="00000000" w:csb0="2000019F" w:csb1="00000000"/>
    <w:embedRegular r:id="rId3" w:fontKey="{049858AB-04A0-45AE-BAAE-E679CD3FDE90}"/>
  </w:font>
  <w:font w:name="仿宋_GB2312">
    <w:panose1 w:val="02010609030101010101"/>
    <w:charset w:val="86"/>
    <w:family w:val="modern"/>
    <w:pitch w:val="default"/>
    <w:sig w:usb0="00000001" w:usb1="080E0000" w:usb2="00000000" w:usb3="00000000" w:csb0="00040000" w:csb1="00000000"/>
    <w:embedRegular r:id="rId4" w:fontKey="{8A279E29-EB05-483D-BDF2-B854F11748E3}"/>
  </w:font>
  <w:font w:name="仿宋">
    <w:panose1 w:val="02010609060101010101"/>
    <w:charset w:val="86"/>
    <w:family w:val="auto"/>
    <w:pitch w:val="default"/>
    <w:sig w:usb0="800002BF" w:usb1="38CF7CFA" w:usb2="00000016" w:usb3="00000000" w:csb0="00040001" w:csb1="00000000"/>
    <w:embedRegular r:id="rId5" w:fontKey="{9B45BE0C-C89C-4227-9B6F-FA073E4250AE}"/>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6" w:fontKey="{767ADB51-1EDF-4DDD-A7B5-63DB6F395624}"/>
  </w:font>
  <w:font w:name="华文楷体">
    <w:panose1 w:val="02010600040101010101"/>
    <w:charset w:val="86"/>
    <w:family w:val="auto"/>
    <w:pitch w:val="default"/>
    <w:sig w:usb0="00000287" w:usb1="080F0000" w:usb2="00000000" w:usb3="00000000" w:csb0="0004009F" w:csb1="DFD70000"/>
    <w:embedRegular r:id="rId7" w:fontKey="{225088EB-2D85-4114-B486-B42E88253BB3}"/>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C4751F"/>
    <w:multiLevelType w:val="singleLevel"/>
    <w:tmpl w:val="B1C4751F"/>
    <w:lvl w:ilvl="0" w:tentative="0">
      <w:start w:val="1"/>
      <w:numFmt w:val="decimal"/>
      <w:lvlText w:val="%1."/>
      <w:lvlJc w:val="left"/>
      <w:pPr>
        <w:tabs>
          <w:tab w:val="left" w:pos="312"/>
        </w:tabs>
      </w:pPr>
    </w:lvl>
  </w:abstractNum>
  <w:abstractNum w:abstractNumId="1">
    <w:nsid w:val="BDDD1B19"/>
    <w:multiLevelType w:val="singleLevel"/>
    <w:tmpl w:val="BDDD1B19"/>
    <w:lvl w:ilvl="0" w:tentative="0">
      <w:start w:val="1"/>
      <w:numFmt w:val="chineseCounting"/>
      <w:suff w:val="nothing"/>
      <w:lvlText w:val="（%1）"/>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DD7C13A2"/>
    <w:multiLevelType w:val="singleLevel"/>
    <w:tmpl w:val="DD7C13A2"/>
    <w:lvl w:ilvl="0" w:tentative="0">
      <w:start w:val="1"/>
      <w:numFmt w:val="chineseCounting"/>
      <w:suff w:val="nothing"/>
      <w:lvlText w:val="（%1）"/>
      <w:lvlJc w:val="left"/>
      <w:rPr>
        <w:rFonts w:hint="eastAsia"/>
      </w:rPr>
    </w:lvl>
  </w:abstractNum>
  <w:abstractNum w:abstractNumId="4">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5">
    <w:nsid w:val="E5B6B421"/>
    <w:multiLevelType w:val="singleLevel"/>
    <w:tmpl w:val="E5B6B421"/>
    <w:lvl w:ilvl="0" w:tentative="0">
      <w:start w:val="2"/>
      <w:numFmt w:val="chineseCounting"/>
      <w:suff w:val="nothing"/>
      <w:lvlText w:val="（%1）"/>
      <w:lvlJc w:val="left"/>
      <w:rPr>
        <w:rFonts w:hint="eastAsia"/>
      </w:rPr>
    </w:lvl>
  </w:abstractNum>
  <w:abstractNum w:abstractNumId="6">
    <w:nsid w:val="E94CA8EB"/>
    <w:multiLevelType w:val="singleLevel"/>
    <w:tmpl w:val="E94CA8EB"/>
    <w:lvl w:ilvl="0" w:tentative="0">
      <w:start w:val="1"/>
      <w:numFmt w:val="chineseCounting"/>
      <w:suff w:val="nothing"/>
      <w:lvlText w:val="（%1）"/>
      <w:lvlJc w:val="left"/>
      <w:rPr>
        <w:rFonts w:hint="eastAsia"/>
      </w:rPr>
    </w:lvl>
  </w:abstractNum>
  <w:abstractNum w:abstractNumId="7">
    <w:nsid w:val="F54C7F29"/>
    <w:multiLevelType w:val="singleLevel"/>
    <w:tmpl w:val="F54C7F29"/>
    <w:lvl w:ilvl="0" w:tentative="0">
      <w:start w:val="1"/>
      <w:numFmt w:val="decimal"/>
      <w:lvlText w:val="%1."/>
      <w:lvlJc w:val="left"/>
      <w:pPr>
        <w:tabs>
          <w:tab w:val="left" w:pos="312"/>
        </w:tabs>
      </w:pPr>
    </w:lvl>
  </w:abstractNum>
  <w:abstractNum w:abstractNumId="8">
    <w:nsid w:val="072543AB"/>
    <w:multiLevelType w:val="singleLevel"/>
    <w:tmpl w:val="072543AB"/>
    <w:lvl w:ilvl="0" w:tentative="0">
      <w:start w:val="1"/>
      <w:numFmt w:val="chineseCounting"/>
      <w:suff w:val="nothing"/>
      <w:lvlText w:val="（%1）"/>
      <w:lvlJc w:val="left"/>
      <w:rPr>
        <w:rFonts w:hint="eastAsia"/>
      </w:rPr>
    </w:lvl>
  </w:abstractNum>
  <w:abstractNum w:abstractNumId="9">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0">
    <w:nsid w:val="16D7C99E"/>
    <w:multiLevelType w:val="singleLevel"/>
    <w:tmpl w:val="16D7C99E"/>
    <w:lvl w:ilvl="0" w:tentative="0">
      <w:start w:val="2"/>
      <w:numFmt w:val="chineseCounting"/>
      <w:suff w:val="nothing"/>
      <w:lvlText w:val="（%1）"/>
      <w:lvlJc w:val="left"/>
      <w:rPr>
        <w:rFonts w:hint="eastAsia"/>
      </w:rPr>
    </w:lvl>
  </w:abstractNum>
  <w:abstractNum w:abstractNumId="11">
    <w:nsid w:val="3182DF4D"/>
    <w:multiLevelType w:val="singleLevel"/>
    <w:tmpl w:val="3182DF4D"/>
    <w:lvl w:ilvl="0" w:tentative="0">
      <w:start w:val="1"/>
      <w:numFmt w:val="decimal"/>
      <w:lvlText w:val="%1."/>
      <w:lvlJc w:val="left"/>
      <w:pPr>
        <w:tabs>
          <w:tab w:val="left" w:pos="312"/>
        </w:tabs>
      </w:pPr>
    </w:lvl>
  </w:abstractNum>
  <w:abstractNum w:abstractNumId="12">
    <w:nsid w:val="4DB33FCE"/>
    <w:multiLevelType w:val="singleLevel"/>
    <w:tmpl w:val="4DB33FCE"/>
    <w:lvl w:ilvl="0" w:tentative="0">
      <w:start w:val="1"/>
      <w:numFmt w:val="decimal"/>
      <w:lvlText w:val="%1."/>
      <w:lvlJc w:val="left"/>
      <w:pPr>
        <w:tabs>
          <w:tab w:val="left" w:pos="312"/>
        </w:tabs>
      </w:pPr>
    </w:lvl>
  </w:abstractNum>
  <w:abstractNum w:abstractNumId="13">
    <w:nsid w:val="4F07E91A"/>
    <w:multiLevelType w:val="singleLevel"/>
    <w:tmpl w:val="4F07E91A"/>
    <w:lvl w:ilvl="0" w:tentative="0">
      <w:start w:val="1"/>
      <w:numFmt w:val="chineseCounting"/>
      <w:suff w:val="nothing"/>
      <w:lvlText w:val="%1、"/>
      <w:lvlJc w:val="left"/>
      <w:rPr>
        <w:rFonts w:hint="eastAsia"/>
      </w:rPr>
    </w:lvl>
  </w:abstractNum>
  <w:abstractNum w:abstractNumId="14">
    <w:nsid w:val="77AD4344"/>
    <w:multiLevelType w:val="singleLevel"/>
    <w:tmpl w:val="77AD4344"/>
    <w:lvl w:ilvl="0" w:tentative="0">
      <w:start w:val="2"/>
      <w:numFmt w:val="chineseCounting"/>
      <w:suff w:val="nothing"/>
      <w:lvlText w:val="%1、"/>
      <w:lvlJc w:val="left"/>
      <w:rPr>
        <w:rFonts w:hint="eastAsia"/>
      </w:rPr>
    </w:lvl>
  </w:abstractNum>
  <w:num w:numId="1">
    <w:abstractNumId w:val="13"/>
  </w:num>
  <w:num w:numId="2">
    <w:abstractNumId w:val="9"/>
  </w:num>
  <w:num w:numId="3">
    <w:abstractNumId w:val="2"/>
  </w:num>
  <w:num w:numId="4">
    <w:abstractNumId w:val="4"/>
  </w:num>
  <w:num w:numId="5">
    <w:abstractNumId w:val="3"/>
  </w:num>
  <w:num w:numId="6">
    <w:abstractNumId w:val="11"/>
  </w:num>
  <w:num w:numId="7">
    <w:abstractNumId w:val="5"/>
  </w:num>
  <w:num w:numId="8">
    <w:abstractNumId w:val="1"/>
  </w:num>
  <w:num w:numId="9">
    <w:abstractNumId w:val="14"/>
  </w:num>
  <w:num w:numId="10">
    <w:abstractNumId w:val="8"/>
  </w:num>
  <w:num w:numId="11">
    <w:abstractNumId w:val="0"/>
  </w:num>
  <w:num w:numId="12">
    <w:abstractNumId w:val="6"/>
  </w:num>
  <w:num w:numId="13">
    <w:abstractNumId w:val="7"/>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wN2VlZDFkOTk2OWI1ZjQ0NDM3NDI3YjgyZjE0Mm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46"/>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A2032A3"/>
    <w:rsid w:val="0B8A37D8"/>
    <w:rsid w:val="0E501B62"/>
    <w:rsid w:val="10C055FF"/>
    <w:rsid w:val="11263560"/>
    <w:rsid w:val="118107EC"/>
    <w:rsid w:val="11DD6519"/>
    <w:rsid w:val="11E36248"/>
    <w:rsid w:val="16BB723D"/>
    <w:rsid w:val="18015F3F"/>
    <w:rsid w:val="1BE8440E"/>
    <w:rsid w:val="1D155CEE"/>
    <w:rsid w:val="1E57B329"/>
    <w:rsid w:val="20F57F95"/>
    <w:rsid w:val="210E30F7"/>
    <w:rsid w:val="22D60519"/>
    <w:rsid w:val="240371BF"/>
    <w:rsid w:val="25C741E6"/>
    <w:rsid w:val="27842671"/>
    <w:rsid w:val="28891158"/>
    <w:rsid w:val="29FD04D3"/>
    <w:rsid w:val="2ABE7A3E"/>
    <w:rsid w:val="2EFA178C"/>
    <w:rsid w:val="30B46D73"/>
    <w:rsid w:val="319F7F4E"/>
    <w:rsid w:val="335C6818"/>
    <w:rsid w:val="385602BE"/>
    <w:rsid w:val="39AE70AB"/>
    <w:rsid w:val="3C0C0783"/>
    <w:rsid w:val="3E1F0891"/>
    <w:rsid w:val="3F795B0E"/>
    <w:rsid w:val="3F9F3A96"/>
    <w:rsid w:val="40350D30"/>
    <w:rsid w:val="44D6593D"/>
    <w:rsid w:val="458D5F84"/>
    <w:rsid w:val="48A040B5"/>
    <w:rsid w:val="493C27E9"/>
    <w:rsid w:val="496F39ED"/>
    <w:rsid w:val="49FF41D3"/>
    <w:rsid w:val="4A185DC8"/>
    <w:rsid w:val="4A1C4E51"/>
    <w:rsid w:val="4BE068DB"/>
    <w:rsid w:val="4BF6002B"/>
    <w:rsid w:val="4ECE2238"/>
    <w:rsid w:val="51DB4B86"/>
    <w:rsid w:val="52FF08F2"/>
    <w:rsid w:val="55333C3E"/>
    <w:rsid w:val="5D94154F"/>
    <w:rsid w:val="64CA39A1"/>
    <w:rsid w:val="6C4A05C8"/>
    <w:rsid w:val="6DBC7384"/>
    <w:rsid w:val="72734D90"/>
    <w:rsid w:val="79E7B28D"/>
    <w:rsid w:val="7C775BAB"/>
    <w:rsid w:val="7EB464B2"/>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NormalCharacter"/>
    <w:qFormat/>
    <w:uiPriority w:val="0"/>
    <w:rPr>
      <w:rFonts w:ascii="Times New Roman" w:hAnsi="Times New Roman"/>
      <w:kern w:val="2"/>
      <w:sz w:val="21"/>
      <w:szCs w:val="24"/>
      <w:lang w:val="en-US" w:eastAsia="zh-CN" w:bidi="ar-SA"/>
    </w:rPr>
  </w:style>
  <w:style w:type="paragraph" w:customStyle="1" w:styleId="31">
    <w:name w:val="WPSOffice手动目录 1"/>
    <w:qFormat/>
    <w:uiPriority w:val="0"/>
    <w:pPr>
      <w:ind w:leftChars="0"/>
    </w:pPr>
    <w:rPr>
      <w:rFonts w:asciiTheme="minorHAnsi" w:hAnsiTheme="minorHAnsi" w:eastAsiaTheme="minorEastAsia" w:cstheme="minorBidi"/>
      <w:sz w:val="20"/>
      <w:szCs w:val="20"/>
    </w:rPr>
  </w:style>
  <w:style w:type="paragraph" w:customStyle="1" w:styleId="32">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5.emf"/><Relationship Id="rId16" Type="http://schemas.openxmlformats.org/officeDocument/2006/relationships/image" Target="media/image4.emf"/><Relationship Id="rId15" Type="http://schemas.openxmlformats.org/officeDocument/2006/relationships/image" Target="media/image3.emf"/><Relationship Id="rId14" Type="http://schemas.openxmlformats.org/officeDocument/2006/relationships/image" Target="media/image2.emf"/><Relationship Id="rId13" Type="http://schemas.openxmlformats.org/officeDocument/2006/relationships/image" Target="media/image1.emf"/><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1.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a:t>
            </a:r>
          </a:p>
        </c:rich>
      </c:tx>
      <c:layout>
        <c:manualLayout>
          <c:xMode val="edge"/>
          <c:yMode val="edge"/>
          <c:x val="0.423"/>
          <c:y val="0.0215"/>
        </c:manualLayout>
      </c:layout>
      <c:overlay val="0"/>
      <c:spPr>
        <a:noFill/>
        <a:ln>
          <a:noFill/>
        </a:ln>
        <a:effectLst/>
      </c:spPr>
    </c:title>
    <c:autoTitleDeleted val="0"/>
    <c:plotArea>
      <c:layout>
        <c:manualLayout>
          <c:layoutTarget val="inner"/>
          <c:xMode val="edge"/>
          <c:yMode val="edge"/>
          <c:x val="0.05495"/>
          <c:y val="0.00587659157688541"/>
          <c:w val="0.8938"/>
          <c:h val="0.667267384916748"/>
        </c:manualLayout>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delete val="1"/>
          </c:dLbls>
          <c:cat>
            <c:strRef>
              <c:f>Sheet1!$A$2</c:f>
              <c:strCache>
                <c:ptCount val="1"/>
                <c:pt idx="0">
                  <c:v>收、支决算总计</c:v>
                </c:pt>
              </c:strCache>
            </c:strRef>
          </c:cat>
          <c:val>
            <c:numRef>
              <c:f>Sheet1!$B$2</c:f>
              <c:numCache>
                <c:formatCode>General</c:formatCode>
                <c:ptCount val="1"/>
                <c:pt idx="0">
                  <c:v>4975.2</c:v>
                </c:pt>
              </c:numCache>
            </c:numRef>
          </c:val>
        </c:ser>
        <c:ser>
          <c:idx val="1"/>
          <c:order val="1"/>
          <c:tx>
            <c:strRef>
              <c:f>Sheet1!$C$1</c:f>
              <c:strCache>
                <c:ptCount val="1"/>
                <c:pt idx="0">
                  <c:v>2021年</c:v>
                </c:pt>
              </c:strCache>
            </c:strRef>
          </c:tx>
          <c:spPr>
            <a:solidFill>
              <a:schemeClr val="accent2"/>
            </a:solidFill>
            <a:ln>
              <a:noFill/>
            </a:ln>
            <a:effectLst/>
          </c:spPr>
          <c:invertIfNegative val="0"/>
          <c:dLbls>
            <c:delete val="1"/>
          </c:dLbls>
          <c:cat>
            <c:strRef>
              <c:f>Sheet1!$A$2</c:f>
              <c:strCache>
                <c:ptCount val="1"/>
                <c:pt idx="0">
                  <c:v>收、支决算总计</c:v>
                </c:pt>
              </c:strCache>
            </c:strRef>
          </c:cat>
          <c:val>
            <c:numRef>
              <c:f>Sheet1!$C$2</c:f>
              <c:numCache>
                <c:formatCode>General</c:formatCode>
                <c:ptCount val="1"/>
                <c:pt idx="0">
                  <c:v>3857.15</c:v>
                </c:pt>
              </c:numCache>
            </c:numRef>
          </c:val>
        </c:ser>
        <c:dLbls>
          <c:showLegendKey val="0"/>
          <c:showVal val="0"/>
          <c:showCatName val="0"/>
          <c:showSerName val="0"/>
          <c:showPercent val="0"/>
          <c:showBubbleSize val="0"/>
        </c:dLbls>
        <c:gapWidth val="219"/>
        <c:overlap val="-27"/>
        <c:axId val="485947442"/>
        <c:axId val="928127757"/>
      </c:barChart>
      <c:catAx>
        <c:axId val="48594744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8127757"/>
        <c:crosses val="autoZero"/>
        <c:auto val="1"/>
        <c:lblAlgn val="ctr"/>
        <c:lblOffset val="100"/>
        <c:noMultiLvlLbl val="0"/>
      </c:catAx>
      <c:valAx>
        <c:axId val="928127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594744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Sheet1!$A$2:$A$4</c:f>
              <c:strCache>
                <c:ptCount val="3"/>
                <c:pt idx="0">
                  <c:v>一般公共预算财政拨款收入</c:v>
                </c:pt>
                <c:pt idx="1">
                  <c:v>政府性基金预算财政拨款收入</c:v>
                </c:pt>
                <c:pt idx="2">
                  <c:v>其他收入</c:v>
                </c:pt>
              </c:strCache>
            </c:strRef>
          </c:cat>
          <c:val>
            <c:numRef>
              <c:f>Sheet1!$B$2:$B$4</c:f>
              <c:numCache>
                <c:formatCode>General</c:formatCode>
                <c:ptCount val="3"/>
                <c:pt idx="0">
                  <c:v>1343.73</c:v>
                </c:pt>
                <c:pt idx="1">
                  <c:v>199.19</c:v>
                </c:pt>
                <c:pt idx="2">
                  <c:v>440.99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ysClr val="windowText" lastClr="000000">
                  <a:lumMod val="65000"/>
                  <a:lumOff val="35000"/>
                </a:sys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rgbClr val="4F81BD"/>
              </a:solidFill>
              <a:ln w="19050">
                <a:solidFill>
                  <a:sysClr val="window" lastClr="FFFFFF"/>
                </a:solidFill>
              </a:ln>
              <a:effectLst/>
            </c:spPr>
          </c:dPt>
          <c:dPt>
            <c:idx val="1"/>
            <c:bubble3D val="0"/>
            <c:spPr>
              <a:solidFill>
                <a:srgbClr val="C0504D"/>
              </a:solidFill>
              <a:ln w="19050">
                <a:solidFill>
                  <a:sysClr val="window" lastClr="FFFFFF"/>
                </a:solidFill>
              </a:ln>
              <a:effectLst/>
            </c:spPr>
          </c:dPt>
          <c:dLbls>
            <c:delete val="1"/>
          </c:dLbls>
          <c:cat>
            <c:strRef>
              <c:f>Sheet1!$A$2:$A$3</c:f>
              <c:strCache>
                <c:ptCount val="2"/>
                <c:pt idx="0">
                  <c:v>基本支出</c:v>
                </c:pt>
                <c:pt idx="1">
                  <c:v>项目支出</c:v>
                </c:pt>
              </c:strCache>
            </c:strRef>
          </c:cat>
          <c:val>
            <c:numRef>
              <c:f>Sheet1!$B$2:$B$3</c:f>
              <c:numCache>
                <c:formatCode>General</c:formatCode>
                <c:ptCount val="2"/>
                <c:pt idx="0">
                  <c:v>416.74</c:v>
                </c:pt>
                <c:pt idx="1">
                  <c:v>1976.76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delete val="1"/>
          </c:dLbls>
          <c:cat>
            <c:strRef>
              <c:f>Sheet1!$A$2</c:f>
              <c:strCache>
                <c:ptCount val="1"/>
                <c:pt idx="0">
                  <c:v>财政拨款收、支决算总计</c:v>
                </c:pt>
              </c:strCache>
            </c:strRef>
          </c:cat>
          <c:val>
            <c:numRef>
              <c:f>Sheet1!$B$2</c:f>
              <c:numCache>
                <c:formatCode>General</c:formatCode>
                <c:ptCount val="1"/>
                <c:pt idx="0">
                  <c:v>1268.39</c:v>
                </c:pt>
              </c:numCache>
            </c:numRef>
          </c:val>
        </c:ser>
        <c:ser>
          <c:idx val="1"/>
          <c:order val="1"/>
          <c:tx>
            <c:strRef>
              <c:f>Sheet1!$C$1</c:f>
              <c:strCache>
                <c:ptCount val="1"/>
                <c:pt idx="0">
                  <c:v>2021年</c:v>
                </c:pt>
              </c:strCache>
            </c:strRef>
          </c:tx>
          <c:spPr>
            <a:solidFill>
              <a:schemeClr val="accent2"/>
            </a:solidFill>
            <a:ln>
              <a:noFill/>
            </a:ln>
            <a:effectLst/>
          </c:spPr>
          <c:invertIfNegative val="0"/>
          <c:dLbls>
            <c:delete val="1"/>
          </c:dLbls>
          <c:cat>
            <c:strRef>
              <c:f>Sheet1!$A$2</c:f>
              <c:strCache>
                <c:ptCount val="1"/>
                <c:pt idx="0">
                  <c:v>财政拨款收、支决算总计</c:v>
                </c:pt>
              </c:strCache>
            </c:strRef>
          </c:cat>
          <c:val>
            <c:numRef>
              <c:f>Sheet1!$C$2</c:f>
              <c:numCache>
                <c:formatCode>General</c:formatCode>
                <c:ptCount val="1"/>
                <c:pt idx="0">
                  <c:v>1921.95</c:v>
                </c:pt>
              </c:numCache>
            </c:numRef>
          </c:val>
        </c:ser>
        <c:dLbls>
          <c:showLegendKey val="0"/>
          <c:showVal val="0"/>
          <c:showCatName val="0"/>
          <c:showSerName val="0"/>
          <c:showPercent val="0"/>
          <c:showBubbleSize val="0"/>
        </c:dLbls>
        <c:gapWidth val="219"/>
        <c:overlap val="-27"/>
        <c:axId val="604672808"/>
        <c:axId val="143057683"/>
      </c:barChart>
      <c:catAx>
        <c:axId val="60467280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3057683"/>
        <c:crosses val="autoZero"/>
        <c:auto val="1"/>
        <c:lblAlgn val="ctr"/>
        <c:lblOffset val="100"/>
        <c:noMultiLvlLbl val="0"/>
      </c:catAx>
      <c:valAx>
        <c:axId val="1430576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467280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45"/>
          <c:y val="0.0386666666666667"/>
          <c:w val="0.8938"/>
          <c:h val="0.807233333333333"/>
        </c:manualLayout>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delete val="1"/>
          </c:dLbls>
          <c:cat>
            <c:strRef>
              <c:f>Sheet1!$A$2</c:f>
              <c:strCache>
                <c:ptCount val="1"/>
                <c:pt idx="0">
                  <c:v>一般公共预算财政拨款支出决算</c:v>
                </c:pt>
              </c:strCache>
            </c:strRef>
          </c:cat>
          <c:val>
            <c:numRef>
              <c:f>Sheet1!$B$2</c:f>
              <c:numCache>
                <c:formatCode>General</c:formatCode>
                <c:ptCount val="1"/>
                <c:pt idx="0">
                  <c:v>798.29</c:v>
                </c:pt>
              </c:numCache>
            </c:numRef>
          </c:val>
        </c:ser>
        <c:ser>
          <c:idx val="1"/>
          <c:order val="1"/>
          <c:tx>
            <c:strRef>
              <c:f>Sheet1!$C$1</c:f>
              <c:strCache>
                <c:ptCount val="1"/>
                <c:pt idx="0">
                  <c:v>2021年</c:v>
                </c:pt>
              </c:strCache>
            </c:strRef>
          </c:tx>
          <c:spPr>
            <a:solidFill>
              <a:schemeClr val="accent2"/>
            </a:solidFill>
            <a:ln>
              <a:noFill/>
            </a:ln>
            <a:effectLst/>
          </c:spPr>
          <c:invertIfNegative val="0"/>
          <c:dLbls>
            <c:delete val="1"/>
          </c:dLbls>
          <c:cat>
            <c:strRef>
              <c:f>Sheet1!$A$2</c:f>
              <c:strCache>
                <c:ptCount val="1"/>
                <c:pt idx="0">
                  <c:v>一般公共预算财政拨款支出决算</c:v>
                </c:pt>
              </c:strCache>
            </c:strRef>
          </c:cat>
          <c:val>
            <c:numRef>
              <c:f>Sheet1!$C$2</c:f>
              <c:numCache>
                <c:formatCode>General</c:formatCode>
                <c:ptCount val="1"/>
                <c:pt idx="0">
                  <c:v>1608.61</c:v>
                </c:pt>
              </c:numCache>
            </c:numRef>
          </c:val>
        </c:ser>
        <c:dLbls>
          <c:showLegendKey val="0"/>
          <c:showVal val="0"/>
          <c:showCatName val="0"/>
          <c:showSerName val="0"/>
          <c:showPercent val="0"/>
          <c:showBubbleSize val="0"/>
        </c:dLbls>
        <c:gapWidth val="219"/>
        <c:overlap val="-27"/>
        <c:axId val="435003646"/>
        <c:axId val="669062268"/>
      </c:barChart>
      <c:catAx>
        <c:axId val="43500364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9062268"/>
        <c:crosses val="autoZero"/>
        <c:auto val="1"/>
        <c:lblAlgn val="ctr"/>
        <c:lblOffset val="100"/>
        <c:noMultiLvlLbl val="0"/>
      </c:catAx>
      <c:valAx>
        <c:axId val="6690622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500364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一般公共预算财政拨款支出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社会保障和就业（类）</c:v>
                </c:pt>
                <c:pt idx="1">
                  <c:v>卫生健康（类）</c:v>
                </c:pt>
                <c:pt idx="2">
                  <c:v>交通运输（类）</c:v>
                </c:pt>
                <c:pt idx="3">
                  <c:v>住房保障（类）</c:v>
                </c:pt>
              </c:strCache>
            </c:strRef>
          </c:cat>
          <c:val>
            <c:numRef>
              <c:f>Sheet1!$B$2:$B$5</c:f>
              <c:numCache>
                <c:formatCode>General</c:formatCode>
                <c:ptCount val="4"/>
                <c:pt idx="0">
                  <c:v>79.18</c:v>
                </c:pt>
                <c:pt idx="1">
                  <c:v>11.73</c:v>
                </c:pt>
                <c:pt idx="2">
                  <c:v>1492.4</c:v>
                </c:pt>
                <c:pt idx="3">
                  <c:v>25.29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2.42</c:v>
                </c:pt>
                <c:pt idx="2">
                  <c:v>1.25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spPr>
      <a:ln w="19050">
        <a:solidFill>
          <a:sysClr val="window" lastClr="FFFFFF"/>
        </a:solidFill>
      </a:ln>
    </cs:spPr>
  </cs:dataPoint>
  <cs:dataPoint3D>
    <cs:lnRef idx="0"/>
    <cs:fillRef idx="1">
      <cs:styleClr val="auto"/>
    </cs:fillRef>
    <cs:effectRef idx="0"/>
    <cs:fontRef idx="minor">
      <a:sysClr val="windowText" lastClr="000000"/>
    </cs:fontRef>
    <cs:spPr>
      <a:ln w="25400">
        <a:solidFill>
          <a:sysClr val="window" lastClr="FFFFFF"/>
        </a:solidFill>
      </a:ln>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Company>四川省财政厅</Company>
  <Pages>46</Pages>
  <Words>15856</Words>
  <Characters>16903</Characters>
  <Lines>61</Lines>
  <Paragraphs>17</Paragraphs>
  <TotalTime>40</TotalTime>
  <ScaleCrop>false</ScaleCrop>
  <LinksUpToDate>false</LinksUpToDate>
  <CharactersWithSpaces>17141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dada ==</cp:lastModifiedBy>
  <cp:lastPrinted>2022-08-06T10:23:00Z</cp:lastPrinted>
  <dcterms:modified xsi:type="dcterms:W3CDTF">2023-06-25T08:44:32Z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D0FD8BFC082140409AD9A87091D1E9DE_13</vt:lpwstr>
  </property>
</Properties>
</file>