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 w:name="_Toc21783"/>
      <w:bookmarkStart w:id="2" w:name="_Toc7284"/>
      <w:bookmarkStart w:id="3" w:name="_Toc31066"/>
      <w:bookmarkStart w:id="4" w:name="_Toc15396476"/>
      <w:bookmarkStart w:id="5" w:name="_Toc15378442"/>
      <w:bookmarkStart w:id="6" w:name="_Toc15377426"/>
      <w:bookmarkStart w:id="7" w:name="_Toc15377194"/>
      <w:bookmarkStart w:id="8" w:name="_Toc15396598"/>
      <w:r>
        <w:rPr>
          <w:rFonts w:hint="eastAsia" w:ascii="方正小标宋简体" w:hAnsi="方正小标宋简体" w:eastAsia="方正小标宋简体" w:cs="方正小标宋简体"/>
          <w:color w:val="auto"/>
          <w:sz w:val="72"/>
          <w:szCs w:val="72"/>
          <w:highlight w:val="none"/>
          <w:lang w:val="en-US" w:eastAsia="zh-CN"/>
        </w:rPr>
        <w:t>广元市</w:t>
      </w:r>
      <w:bookmarkEnd w:id="0"/>
      <w:bookmarkStart w:id="9" w:name="_Toc15306268"/>
      <w:r>
        <w:rPr>
          <w:rFonts w:hint="eastAsia" w:ascii="方正小标宋简体" w:hAnsi="方正小标宋简体" w:eastAsia="方正小标宋简体" w:cs="方正小标宋简体"/>
          <w:color w:val="auto"/>
          <w:sz w:val="72"/>
          <w:szCs w:val="72"/>
          <w:highlight w:val="none"/>
          <w:lang w:val="en-US" w:eastAsia="zh-CN"/>
        </w:rPr>
        <w:t>航务管理局</w:t>
      </w:r>
      <w:bookmarkEnd w:id="1"/>
      <w:bookmarkEnd w:id="2"/>
      <w:bookmarkEnd w:id="3"/>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0" w:name="_Toc6541"/>
      <w:bookmarkStart w:id="11" w:name="_Toc22982"/>
      <w:bookmarkStart w:id="12" w:name="_Toc9325"/>
      <w:r>
        <w:rPr>
          <w:rFonts w:hint="eastAsia" w:ascii="方正小标宋简体" w:hAnsi="方正小标宋简体" w:eastAsia="方正小标宋简体" w:cs="方正小标宋简体"/>
          <w:color w:val="auto"/>
          <w:sz w:val="72"/>
          <w:szCs w:val="72"/>
          <w:highlight w:val="none"/>
          <w:lang w:val="en-US" w:eastAsia="zh-CN"/>
        </w:rPr>
        <w:t>广元航道段2021年单位</w:t>
      </w:r>
    </w:p>
    <w:p>
      <w:pPr>
        <w:adjustRightInd w:val="0"/>
        <w:snapToGrid w:val="0"/>
        <w:spacing w:line="360" w:lineRule="auto"/>
        <w:jc w:val="center"/>
        <w:outlineLvl w:val="0"/>
        <w:rPr>
          <w:rFonts w:ascii="方正小标宋简体" w:hAnsi="宋体" w:eastAsia="方正小标宋简体"/>
          <w:color w:val="auto"/>
          <w:sz w:val="36"/>
          <w:szCs w:val="36"/>
          <w:highlight w:val="none"/>
        </w:rPr>
        <w:sectPr>
          <w:headerReference r:id="rId4"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简体" w:hAnsi="方正小标宋简体" w:eastAsia="方正小标宋简体" w:cs="方正小标宋简体"/>
          <w:color w:val="auto"/>
          <w:sz w:val="72"/>
          <w:szCs w:val="72"/>
          <w:highlight w:val="none"/>
        </w:rPr>
        <w:t>决算</w:t>
      </w:r>
      <w:bookmarkEnd w:id="4"/>
      <w:bookmarkEnd w:id="5"/>
      <w:bookmarkEnd w:id="6"/>
      <w:bookmarkEnd w:id="7"/>
      <w:bookmarkEnd w:id="8"/>
      <w:bookmarkEnd w:id="9"/>
      <w:r>
        <w:rPr>
          <w:rFonts w:hint="eastAsia" w:ascii="方正小标宋简体" w:hAnsi="方正小标宋简体" w:eastAsia="方正小标宋简体" w:cs="方正小标宋简体"/>
          <w:color w:val="auto"/>
          <w:sz w:val="72"/>
          <w:szCs w:val="72"/>
          <w:highlight w:val="none"/>
          <w:lang w:eastAsia="zh-CN"/>
        </w:rPr>
        <w:t>公开</w:t>
      </w:r>
      <w:bookmarkEnd w:id="10"/>
      <w:bookmarkEnd w:id="11"/>
      <w:bookmarkEnd w:id="12"/>
    </w:p>
    <w:p>
      <w:pPr>
        <w:widowControl/>
        <w:jc w:val="center"/>
        <w:rPr>
          <w:rFonts w:hint="eastAsia" w:ascii="方正小标宋简体" w:hAnsi="宋体" w:eastAsia="方正小标宋简体"/>
          <w:color w:val="auto"/>
          <w:sz w:val="36"/>
          <w:szCs w:val="36"/>
          <w:highlight w:val="none"/>
          <w:lang w:eastAsia="zh-CN"/>
        </w:rPr>
      </w:pPr>
      <w:r>
        <w:rPr>
          <w:rFonts w:hint="eastAsia" w:ascii="方正小标宋简体" w:hAnsi="宋体" w:eastAsia="方正小标宋简体"/>
          <w:color w:val="auto"/>
          <w:sz w:val="36"/>
          <w:szCs w:val="36"/>
          <w:highlight w:val="none"/>
          <w:lang w:eastAsia="zh-CN"/>
        </w:rPr>
        <w:t>目录</w:t>
      </w: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bookmarkStart w:id="206" w:name="_GoBack"/>
      <w:bookmarkEnd w:id="206"/>
      <w:r>
        <w:rPr>
          <w:rFonts w:hint="eastAsia"/>
          <w:color w:val="auto"/>
          <w:highlight w:val="none"/>
        </w:rPr>
        <w:t>日</w:t>
      </w:r>
    </w:p>
    <w:p>
      <w:pPr>
        <w:widowControl/>
        <w:jc w:val="center"/>
        <w:rPr>
          <w:rFonts w:hint="eastAsia" w:ascii="方正小标宋简体" w:hAnsi="宋体" w:eastAsia="方正小标宋简体"/>
          <w:color w:val="auto"/>
          <w:sz w:val="28"/>
          <w:szCs w:val="28"/>
          <w:highlight w:val="none"/>
          <w:lang w:eastAsia="zh-CN"/>
        </w:rPr>
      </w:pPr>
    </w:p>
    <w:sdt>
      <w:sdtPr>
        <w:rPr>
          <w:rFonts w:ascii="宋体" w:hAnsi="宋体" w:eastAsia="宋体" w:cs="Times New Roman"/>
          <w:kern w:val="2"/>
          <w:sz w:val="21"/>
          <w:szCs w:val="24"/>
          <w:lang w:val="en-US" w:eastAsia="zh-CN" w:bidi="ar-SA"/>
        </w:rPr>
        <w:id w:val="147454285"/>
        <w15:color w:val="DBDBDB"/>
        <w:docPartObj>
          <w:docPartGallery w:val="Table of Contents"/>
          <w:docPartUnique/>
        </w:docPartObj>
      </w:sdtPr>
      <w:sdtEndPr>
        <w:rPr>
          <w:rFonts w:ascii="方正小标宋简体" w:hAnsi="宋体" w:eastAsia="方正小标宋简体" w:cs="Times New Roman"/>
          <w:b/>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"1-2" \u </w:instrText>
          </w:r>
          <w:r>
            <w:fldChar w:fldCharType="separate"/>
          </w:r>
        </w:p>
        <w:p>
          <w:pPr>
            <w:pStyle w:val="10"/>
            <w:tabs>
              <w:tab w:val="right" w:leader="dot" w:pos="8306"/>
              <w:tab w:val="clear" w:pos="8296"/>
            </w:tabs>
          </w:pPr>
          <w:r>
            <w:rPr>
              <w:rFonts w:hint="eastAsia" w:ascii="黑体" w:hAnsi="黑体" w:eastAsia="黑体"/>
              <w:color w:val="auto"/>
              <w:highlight w:val="none"/>
            </w:rPr>
            <w:t xml:space="preserve">第一部分 </w:t>
          </w:r>
          <w:r>
            <w:rPr>
              <w:rFonts w:hint="eastAsia" w:ascii="黑体" w:hAnsi="黑体" w:eastAsia="黑体"/>
              <w:color w:val="auto"/>
              <w:highlight w:val="none"/>
              <w:lang w:eastAsia="zh-CN"/>
            </w:rPr>
            <w:t>单位</w:t>
          </w:r>
          <w:r>
            <w:rPr>
              <w:rFonts w:hint="eastAsia" w:ascii="黑体" w:hAnsi="黑体" w:eastAsia="黑体"/>
              <w:bCs w:val="0"/>
              <w:color w:val="auto"/>
              <w:highlight w:val="none"/>
            </w:rPr>
            <w:t>概况</w:t>
          </w:r>
          <w:r>
            <w:tab/>
          </w:r>
          <w:r>
            <w:fldChar w:fldCharType="begin"/>
          </w:r>
          <w:r>
            <w:instrText xml:space="preserve"> PAGEREF _Toc19011 \h </w:instrText>
          </w:r>
          <w:r>
            <w:fldChar w:fldCharType="separate"/>
          </w:r>
          <w:r>
            <w:t>1</w:t>
          </w:r>
          <w:r>
            <w:fldChar w:fldCharType="end"/>
          </w:r>
        </w:p>
        <w:p>
          <w:pPr>
            <w:pStyle w:val="12"/>
            <w:tabs>
              <w:tab w:val="right" w:leader="dot" w:pos="8306"/>
              <w:tab w:val="clear" w:pos="8296"/>
            </w:tabs>
          </w:pPr>
          <w:r>
            <w:rPr>
              <w:rFonts w:hint="eastAsia" w:ascii="黑体" w:hAnsi="黑体" w:eastAsia="黑体"/>
              <w:bCs w:val="0"/>
              <w:color w:val="auto"/>
              <w:lang w:eastAsia="zh-CN"/>
            </w:rPr>
            <w:t xml:space="preserve">一、 </w:t>
          </w:r>
          <w:r>
            <w:rPr>
              <w:rFonts w:hint="eastAsia" w:ascii="黑体" w:hAnsi="黑体" w:eastAsia="黑体"/>
              <w:bCs w:val="0"/>
              <w:color w:val="auto"/>
              <w:highlight w:val="none"/>
            </w:rPr>
            <w:t>职能</w:t>
          </w:r>
          <w:r>
            <w:rPr>
              <w:rFonts w:hint="eastAsia" w:ascii="黑体" w:hAnsi="黑体" w:eastAsia="黑体"/>
              <w:bCs w:val="0"/>
              <w:color w:val="auto"/>
              <w:highlight w:val="none"/>
              <w:lang w:eastAsia="zh-CN"/>
            </w:rPr>
            <w:t>简介</w:t>
          </w:r>
          <w:r>
            <w:tab/>
          </w:r>
          <w:r>
            <w:fldChar w:fldCharType="begin"/>
          </w:r>
          <w:r>
            <w:instrText xml:space="preserve"> PAGEREF _Toc6540 \h </w:instrText>
          </w:r>
          <w:r>
            <w:fldChar w:fldCharType="separate"/>
          </w:r>
          <w:r>
            <w:t>1</w:t>
          </w:r>
          <w:r>
            <w:fldChar w:fldCharType="end"/>
          </w:r>
        </w:p>
        <w:p>
          <w:pPr>
            <w:pStyle w:val="12"/>
            <w:tabs>
              <w:tab w:val="right" w:leader="dot" w:pos="8306"/>
              <w:tab w:val="clear" w:pos="8296"/>
            </w:tabs>
          </w:pPr>
          <w:r>
            <w:rPr>
              <w:rFonts w:hint="eastAsia" w:ascii="黑体" w:hAnsi="黑体" w:eastAsia="黑体"/>
              <w:color w:val="auto"/>
              <w:highlight w:val="none"/>
              <w:lang w:val="en-US" w:eastAsia="zh-CN"/>
            </w:rPr>
            <w:t>二、2021年重点</w:t>
          </w:r>
          <w:r>
            <w:rPr>
              <w:rFonts w:hint="eastAsia" w:ascii="黑体" w:hAnsi="黑体" w:eastAsia="黑体"/>
              <w:color w:val="auto"/>
              <w:highlight w:val="none"/>
            </w:rPr>
            <w:t>工作</w:t>
          </w:r>
          <w:r>
            <w:rPr>
              <w:rFonts w:hint="eastAsia" w:ascii="黑体" w:hAnsi="黑体" w:eastAsia="黑体"/>
              <w:color w:val="auto"/>
              <w:highlight w:val="none"/>
              <w:lang w:eastAsia="zh-CN"/>
            </w:rPr>
            <w:t>完成情况</w:t>
          </w:r>
          <w:r>
            <w:tab/>
          </w:r>
          <w:r>
            <w:fldChar w:fldCharType="begin"/>
          </w:r>
          <w:r>
            <w:instrText xml:space="preserve"> PAGEREF _Toc14599 \h </w:instrText>
          </w:r>
          <w:r>
            <w:fldChar w:fldCharType="separate"/>
          </w:r>
          <w:r>
            <w:t>1</w:t>
          </w:r>
          <w:r>
            <w:fldChar w:fldCharType="end"/>
          </w:r>
        </w:p>
        <w:p>
          <w:pPr>
            <w:pStyle w:val="10"/>
            <w:tabs>
              <w:tab w:val="right" w:leader="dot" w:pos="8306"/>
              <w:tab w:val="clear" w:pos="8296"/>
            </w:tabs>
          </w:pPr>
          <w:r>
            <w:rPr>
              <w:rFonts w:hint="eastAsia" w:ascii="黑体" w:hAnsi="黑体" w:eastAsia="黑体"/>
              <w:bCs/>
              <w:color w:val="auto"/>
              <w:highlight w:val="none"/>
            </w:rPr>
            <w:t xml:space="preserve">第二部分 </w:t>
          </w:r>
          <w:r>
            <w:rPr>
              <w:rFonts w:hint="eastAsia" w:ascii="黑体" w:hAnsi="黑体" w:eastAsia="黑体"/>
              <w:bCs/>
              <w:color w:val="auto"/>
              <w:highlight w:val="none"/>
              <w:lang w:val="en-US" w:eastAsia="zh-CN"/>
            </w:rPr>
            <w:t>2021年度</w:t>
          </w:r>
          <w:r>
            <w:rPr>
              <w:rFonts w:hint="eastAsia" w:ascii="黑体" w:hAnsi="黑体" w:eastAsia="黑体"/>
              <w:bCs/>
              <w:color w:val="auto"/>
              <w:highlight w:val="none"/>
              <w:lang w:eastAsia="zh-CN"/>
            </w:rPr>
            <w:t>单位</w:t>
          </w:r>
          <w:r>
            <w:rPr>
              <w:rFonts w:hint="eastAsia" w:ascii="黑体" w:hAnsi="黑体" w:eastAsia="黑体"/>
              <w:bCs/>
              <w:color w:val="auto"/>
              <w:highlight w:val="none"/>
            </w:rPr>
            <w:t>决算情况说明</w:t>
          </w:r>
          <w:r>
            <w:tab/>
          </w:r>
          <w:r>
            <w:fldChar w:fldCharType="begin"/>
          </w:r>
          <w:r>
            <w:instrText xml:space="preserve"> PAGEREF _Toc24127 \h </w:instrText>
          </w:r>
          <w:r>
            <w:fldChar w:fldCharType="separate"/>
          </w:r>
          <w:r>
            <w:t>3</w:t>
          </w:r>
          <w:r>
            <w:fldChar w:fldCharType="end"/>
          </w:r>
        </w:p>
        <w:p>
          <w:pPr>
            <w:pStyle w:val="12"/>
            <w:tabs>
              <w:tab w:val="right" w:leader="dot" w:pos="8306"/>
              <w:tab w:val="clear" w:pos="8296"/>
            </w:tabs>
          </w:pPr>
          <w:r>
            <w:rPr>
              <w:rFonts w:hint="default" w:ascii="黑体" w:hAnsi="黑体" w:eastAsia="黑体"/>
              <w:color w:val="auto"/>
            </w:rPr>
            <w:t xml:space="preserve">一、 </w:t>
          </w:r>
          <w:r>
            <w:rPr>
              <w:rFonts w:hint="eastAsia" w:ascii="黑体" w:hAnsi="黑体" w:eastAsia="黑体"/>
              <w:color w:val="auto"/>
              <w:szCs w:val="32"/>
              <w:highlight w:val="none"/>
            </w:rPr>
            <w:t>收</w:t>
          </w:r>
          <w:r>
            <w:rPr>
              <w:rFonts w:hint="eastAsia" w:ascii="黑体" w:hAnsi="黑体" w:eastAsia="黑体"/>
              <w:color w:val="auto"/>
              <w:highlight w:val="none"/>
            </w:rPr>
            <w:t>入支出决算总体情况说明</w:t>
          </w:r>
          <w:r>
            <w:tab/>
          </w:r>
          <w:r>
            <w:fldChar w:fldCharType="begin"/>
          </w:r>
          <w:r>
            <w:instrText xml:space="preserve"> PAGEREF _Toc8328 \h </w:instrText>
          </w:r>
          <w:r>
            <w:fldChar w:fldCharType="separate"/>
          </w:r>
          <w:r>
            <w:t>3</w:t>
          </w:r>
          <w:r>
            <w:fldChar w:fldCharType="end"/>
          </w:r>
        </w:p>
        <w:p>
          <w:pPr>
            <w:pStyle w:val="12"/>
            <w:tabs>
              <w:tab w:val="right" w:leader="dot" w:pos="8306"/>
              <w:tab w:val="clear" w:pos="8296"/>
            </w:tabs>
          </w:pPr>
          <w:r>
            <w:rPr>
              <w:rFonts w:hint="default" w:ascii="黑体" w:hAnsi="黑体" w:eastAsia="黑体"/>
              <w:color w:val="auto"/>
            </w:rPr>
            <w:t xml:space="preserve">二、 </w:t>
          </w:r>
          <w:r>
            <w:rPr>
              <w:rFonts w:hint="eastAsia" w:ascii="黑体" w:hAnsi="黑体" w:eastAsia="黑体"/>
              <w:color w:val="auto"/>
              <w:szCs w:val="32"/>
              <w:highlight w:val="none"/>
            </w:rPr>
            <w:t>收</w:t>
          </w:r>
          <w:r>
            <w:rPr>
              <w:rFonts w:hint="eastAsia" w:ascii="黑体" w:hAnsi="黑体" w:eastAsia="黑体"/>
              <w:color w:val="auto"/>
              <w:highlight w:val="none"/>
            </w:rPr>
            <w:t>入决算情况说明</w:t>
          </w:r>
          <w:r>
            <w:tab/>
          </w:r>
          <w:r>
            <w:fldChar w:fldCharType="begin"/>
          </w:r>
          <w:r>
            <w:instrText xml:space="preserve"> PAGEREF _Toc19723 \h </w:instrText>
          </w:r>
          <w:r>
            <w:fldChar w:fldCharType="separate"/>
          </w:r>
          <w:r>
            <w:t>4</w:t>
          </w:r>
          <w:r>
            <w:fldChar w:fldCharType="end"/>
          </w:r>
        </w:p>
        <w:p>
          <w:pPr>
            <w:pStyle w:val="12"/>
            <w:tabs>
              <w:tab w:val="right" w:leader="dot" w:pos="8306"/>
              <w:tab w:val="clear" w:pos="8296"/>
            </w:tabs>
          </w:pPr>
          <w:r>
            <w:rPr>
              <w:rFonts w:hint="default" w:ascii="黑体" w:hAnsi="黑体" w:eastAsia="黑体"/>
              <w:color w:val="auto"/>
            </w:rPr>
            <w:t xml:space="preserve">三、 </w:t>
          </w:r>
          <w:r>
            <w:rPr>
              <w:rFonts w:hint="eastAsia" w:ascii="黑体" w:hAnsi="黑体" w:eastAsia="黑体"/>
              <w:color w:val="auto"/>
              <w:szCs w:val="32"/>
              <w:highlight w:val="none"/>
            </w:rPr>
            <w:t>支</w:t>
          </w:r>
          <w:r>
            <w:rPr>
              <w:rFonts w:hint="eastAsia" w:ascii="黑体" w:hAnsi="黑体" w:eastAsia="黑体"/>
              <w:color w:val="auto"/>
              <w:highlight w:val="none"/>
            </w:rPr>
            <w:t>出决算情况说明</w:t>
          </w:r>
          <w:r>
            <w:tab/>
          </w:r>
          <w:r>
            <w:fldChar w:fldCharType="begin"/>
          </w:r>
          <w:r>
            <w:instrText xml:space="preserve"> PAGEREF _Toc14116 \h </w:instrText>
          </w:r>
          <w:r>
            <w:fldChar w:fldCharType="separate"/>
          </w:r>
          <w:r>
            <w:t>5</w:t>
          </w:r>
          <w:r>
            <w:fldChar w:fldCharType="end"/>
          </w:r>
        </w:p>
        <w:p>
          <w:pPr>
            <w:pStyle w:val="12"/>
            <w:tabs>
              <w:tab w:val="right" w:leader="dot" w:pos="8306"/>
              <w:tab w:val="clear" w:pos="8296"/>
            </w:tabs>
          </w:pPr>
          <w:r>
            <w:rPr>
              <w:rFonts w:hint="eastAsia" w:ascii="黑体" w:hAnsi="黑体" w:eastAsia="黑体"/>
              <w:color w:val="auto"/>
              <w:szCs w:val="32"/>
              <w:highlight w:val="none"/>
            </w:rPr>
            <w:t>四、财</w:t>
          </w:r>
          <w:r>
            <w:rPr>
              <w:rFonts w:hint="eastAsia" w:ascii="黑体" w:hAnsi="黑体" w:eastAsia="黑体"/>
              <w:color w:val="auto"/>
              <w:highlight w:val="none"/>
            </w:rPr>
            <w:t>政拨款收入支出决算总体情况说明</w:t>
          </w:r>
          <w:r>
            <w:tab/>
          </w:r>
          <w:r>
            <w:fldChar w:fldCharType="begin"/>
          </w:r>
          <w:r>
            <w:instrText xml:space="preserve"> PAGEREF _Toc24271 \h </w:instrText>
          </w:r>
          <w:r>
            <w:fldChar w:fldCharType="separate"/>
          </w:r>
          <w:r>
            <w:t>5</w:t>
          </w:r>
          <w:r>
            <w:fldChar w:fldCharType="end"/>
          </w:r>
        </w:p>
        <w:p>
          <w:pPr>
            <w:pStyle w:val="12"/>
            <w:tabs>
              <w:tab w:val="right" w:leader="dot" w:pos="8306"/>
              <w:tab w:val="clear" w:pos="8296"/>
            </w:tabs>
          </w:pPr>
          <w:r>
            <w:rPr>
              <w:rFonts w:hint="eastAsia" w:ascii="黑体" w:hAnsi="黑体" w:eastAsia="黑体"/>
              <w:color w:val="auto"/>
              <w:szCs w:val="32"/>
              <w:highlight w:val="none"/>
            </w:rPr>
            <w:t>五、一</w:t>
          </w:r>
          <w:r>
            <w:rPr>
              <w:rFonts w:hint="eastAsia" w:ascii="黑体" w:hAnsi="黑体" w:eastAsia="黑体"/>
              <w:color w:val="auto"/>
              <w:highlight w:val="none"/>
            </w:rPr>
            <w:t>般公共预算财政拨款支出决算情况说明</w:t>
          </w:r>
          <w:r>
            <w:tab/>
          </w:r>
          <w:r>
            <w:fldChar w:fldCharType="begin"/>
          </w:r>
          <w:r>
            <w:instrText xml:space="preserve"> PAGEREF _Toc341 \h </w:instrText>
          </w:r>
          <w:r>
            <w:fldChar w:fldCharType="separate"/>
          </w:r>
          <w:r>
            <w:t>6</w:t>
          </w:r>
          <w:r>
            <w:fldChar w:fldCharType="end"/>
          </w:r>
        </w:p>
        <w:p>
          <w:pPr>
            <w:pStyle w:val="12"/>
            <w:tabs>
              <w:tab w:val="right" w:leader="dot" w:pos="8306"/>
              <w:tab w:val="clear" w:pos="8296"/>
            </w:tabs>
          </w:pPr>
          <w:r>
            <w:rPr>
              <w:rFonts w:hint="eastAsia" w:ascii="黑体" w:eastAsia="黑体"/>
              <w:color w:val="auto"/>
              <w:szCs w:val="32"/>
              <w:highlight w:val="none"/>
            </w:rPr>
            <w:t>六、</w:t>
          </w:r>
          <w:r>
            <w:rPr>
              <w:rFonts w:hint="eastAsia" w:ascii="黑体" w:hAnsi="黑体" w:eastAsia="黑体"/>
              <w:color w:val="auto"/>
              <w:szCs w:val="32"/>
              <w:highlight w:val="none"/>
            </w:rPr>
            <w:t>一</w:t>
          </w:r>
          <w:r>
            <w:rPr>
              <w:rFonts w:hint="eastAsia" w:ascii="黑体" w:hAnsi="黑体" w:eastAsia="黑体"/>
              <w:color w:val="auto"/>
              <w:highlight w:val="none"/>
            </w:rPr>
            <w:t>般公共预算财政拨款基本支出决算情况说明</w:t>
          </w:r>
          <w:r>
            <w:tab/>
          </w:r>
          <w:r>
            <w:fldChar w:fldCharType="begin"/>
          </w:r>
          <w:r>
            <w:instrText xml:space="preserve"> PAGEREF _Toc23447 \h </w:instrText>
          </w:r>
          <w:r>
            <w:fldChar w:fldCharType="separate"/>
          </w:r>
          <w:r>
            <w:t>9</w:t>
          </w:r>
          <w:r>
            <w:fldChar w:fldCharType="end"/>
          </w:r>
        </w:p>
        <w:p>
          <w:pPr>
            <w:pStyle w:val="12"/>
            <w:tabs>
              <w:tab w:val="right" w:leader="dot" w:pos="8306"/>
              <w:tab w:val="clear" w:pos="8296"/>
            </w:tabs>
          </w:pPr>
          <w:r>
            <w:rPr>
              <w:rFonts w:hint="eastAsia" w:ascii="黑体" w:eastAsia="黑体"/>
              <w:color w:val="auto"/>
              <w:szCs w:val="32"/>
              <w:highlight w:val="none"/>
            </w:rPr>
            <w:t>七、</w:t>
          </w:r>
          <w:r>
            <w:rPr>
              <w:rFonts w:hint="eastAsia" w:ascii="黑体" w:hAnsi="黑体" w:eastAsia="黑体"/>
              <w:color w:val="auto"/>
              <w:highlight w:val="none"/>
            </w:rPr>
            <w:t>“三公”经费财政拨款支出决算情况说明</w:t>
          </w:r>
          <w:r>
            <w:tab/>
          </w:r>
          <w:r>
            <w:fldChar w:fldCharType="begin"/>
          </w:r>
          <w:r>
            <w:instrText xml:space="preserve"> PAGEREF _Toc19013 \h </w:instrText>
          </w:r>
          <w:r>
            <w:fldChar w:fldCharType="separate"/>
          </w:r>
          <w:r>
            <w:t>9</w:t>
          </w:r>
          <w:r>
            <w:fldChar w:fldCharType="end"/>
          </w:r>
        </w:p>
        <w:p>
          <w:pPr>
            <w:pStyle w:val="12"/>
            <w:tabs>
              <w:tab w:val="right" w:leader="dot" w:pos="8306"/>
              <w:tab w:val="clear" w:pos="8296"/>
            </w:tabs>
          </w:pPr>
          <w:r>
            <w:rPr>
              <w:rFonts w:hint="eastAsia" w:ascii="黑体" w:eastAsia="黑体"/>
              <w:color w:val="auto"/>
              <w:szCs w:val="32"/>
              <w:highlight w:val="none"/>
            </w:rPr>
            <w:t>八、</w:t>
          </w:r>
          <w:r>
            <w:rPr>
              <w:rFonts w:hint="eastAsia" w:ascii="黑体" w:hAnsi="黑体" w:eastAsia="黑体"/>
              <w:color w:val="auto"/>
              <w:highlight w:val="none"/>
            </w:rPr>
            <w:t>政府性基金预算支出决算情况说明</w:t>
          </w:r>
          <w:r>
            <w:tab/>
          </w:r>
          <w:r>
            <w:fldChar w:fldCharType="begin"/>
          </w:r>
          <w:r>
            <w:instrText xml:space="preserve"> PAGEREF _Toc32013 \h </w:instrText>
          </w:r>
          <w:r>
            <w:fldChar w:fldCharType="separate"/>
          </w:r>
          <w:r>
            <w:t>11</w:t>
          </w:r>
          <w:r>
            <w:fldChar w:fldCharType="end"/>
          </w:r>
        </w:p>
        <w:p>
          <w:pPr>
            <w:pStyle w:val="12"/>
            <w:tabs>
              <w:tab w:val="right" w:leader="dot" w:pos="8306"/>
              <w:tab w:val="clear" w:pos="8296"/>
            </w:tabs>
          </w:pPr>
          <w:r>
            <w:rPr>
              <w:rFonts w:hint="eastAsia" w:ascii="黑体" w:hAnsi="黑体" w:eastAsia="黑体"/>
              <w:color w:val="auto"/>
            </w:rPr>
            <w:t xml:space="preserve">九、 </w:t>
          </w:r>
          <w:r>
            <w:rPr>
              <w:rFonts w:hint="eastAsia" w:ascii="黑体" w:hAnsi="黑体" w:eastAsia="黑体"/>
              <w:color w:val="auto"/>
              <w:highlight w:val="none"/>
            </w:rPr>
            <w:t>国有资本经营预算支出决算情况说明</w:t>
          </w:r>
          <w:r>
            <w:tab/>
          </w:r>
          <w:r>
            <w:fldChar w:fldCharType="begin"/>
          </w:r>
          <w:r>
            <w:instrText xml:space="preserve"> PAGEREF _Toc17065 \h </w:instrText>
          </w:r>
          <w:r>
            <w:fldChar w:fldCharType="separate"/>
          </w:r>
          <w:r>
            <w:t>11</w:t>
          </w:r>
          <w:r>
            <w:fldChar w:fldCharType="end"/>
          </w:r>
        </w:p>
        <w:p>
          <w:pPr>
            <w:pStyle w:val="12"/>
            <w:tabs>
              <w:tab w:val="right" w:leader="dot" w:pos="8306"/>
              <w:tab w:val="clear" w:pos="8296"/>
            </w:tabs>
          </w:pPr>
          <w:r>
            <w:rPr>
              <w:rFonts w:hint="eastAsia" w:ascii="黑体" w:hAnsi="黑体" w:eastAsia="黑体"/>
              <w:color w:val="auto"/>
            </w:rPr>
            <w:t xml:space="preserve">十、 </w:t>
          </w:r>
          <w:r>
            <w:rPr>
              <w:rFonts w:hint="eastAsia" w:ascii="黑体" w:hAnsi="黑体" w:eastAsia="黑体"/>
              <w:color w:val="auto"/>
              <w:highlight w:val="none"/>
              <w:lang w:val="en-US" w:eastAsia="zh-CN"/>
            </w:rPr>
            <w:t>预算绩效管理情况</w:t>
          </w:r>
          <w:r>
            <w:tab/>
          </w:r>
          <w:r>
            <w:fldChar w:fldCharType="begin"/>
          </w:r>
          <w:r>
            <w:instrText xml:space="preserve"> PAGEREF _Toc2217 \h </w:instrText>
          </w:r>
          <w:r>
            <w:fldChar w:fldCharType="separate"/>
          </w:r>
          <w:r>
            <w:t>11</w:t>
          </w:r>
          <w:r>
            <w:fldChar w:fldCharType="end"/>
          </w:r>
        </w:p>
        <w:p>
          <w:pPr>
            <w:pStyle w:val="12"/>
            <w:tabs>
              <w:tab w:val="right" w:leader="dot" w:pos="8306"/>
              <w:tab w:val="clear" w:pos="8296"/>
            </w:tabs>
          </w:pPr>
          <w:r>
            <w:rPr>
              <w:rFonts w:hint="eastAsia" w:ascii="黑体" w:hAnsi="黑体" w:eastAsia="黑体"/>
              <w:color w:val="auto"/>
            </w:rPr>
            <w:t xml:space="preserve">十一、 </w:t>
          </w:r>
          <w:r>
            <w:rPr>
              <w:rFonts w:hint="eastAsia" w:ascii="黑体" w:hAnsi="黑体" w:eastAsia="黑体"/>
              <w:color w:val="auto"/>
              <w:highlight w:val="none"/>
            </w:rPr>
            <w:t>其他重要事项的情况说明</w:t>
          </w:r>
          <w:r>
            <w:tab/>
          </w:r>
          <w:r>
            <w:fldChar w:fldCharType="begin"/>
          </w:r>
          <w:r>
            <w:instrText xml:space="preserve"> PAGEREF _Toc8226 \h </w:instrText>
          </w:r>
          <w:r>
            <w:fldChar w:fldCharType="separate"/>
          </w:r>
          <w:r>
            <w:t>11</w:t>
          </w:r>
          <w:r>
            <w:fldChar w:fldCharType="end"/>
          </w:r>
        </w:p>
        <w:p>
          <w:pPr>
            <w:pStyle w:val="10"/>
            <w:tabs>
              <w:tab w:val="right" w:leader="dot" w:pos="8306"/>
              <w:tab w:val="clear" w:pos="8296"/>
            </w:tabs>
          </w:pPr>
          <w:r>
            <w:rPr>
              <w:rFonts w:hint="eastAsia" w:ascii="黑体" w:hAnsi="黑体" w:eastAsia="黑体" w:cs="黑体"/>
              <w:color w:val="auto"/>
              <w:szCs w:val="44"/>
            </w:rPr>
            <w:t xml:space="preserve">第三部分 </w:t>
          </w:r>
          <w:r>
            <w:rPr>
              <w:rFonts w:hint="eastAsia" w:ascii="黑体" w:hAnsi="黑体" w:eastAsia="黑体"/>
              <w:color w:val="auto"/>
              <w:szCs w:val="44"/>
              <w:highlight w:val="none"/>
            </w:rPr>
            <w:t>名</w:t>
          </w:r>
          <w:r>
            <w:rPr>
              <w:rFonts w:hint="eastAsia" w:ascii="黑体" w:hAnsi="黑体" w:eastAsia="黑体"/>
              <w:color w:val="auto"/>
              <w:highlight w:val="none"/>
            </w:rPr>
            <w:t>词解释</w:t>
          </w:r>
          <w:r>
            <w:tab/>
          </w:r>
          <w:r>
            <w:fldChar w:fldCharType="begin"/>
          </w:r>
          <w:r>
            <w:instrText xml:space="preserve"> PAGEREF _Toc21375 \h </w:instrText>
          </w:r>
          <w:r>
            <w:fldChar w:fldCharType="separate"/>
          </w:r>
          <w:r>
            <w:t>13</w:t>
          </w:r>
          <w:r>
            <w:fldChar w:fldCharType="end"/>
          </w:r>
        </w:p>
        <w:p>
          <w:pPr>
            <w:pStyle w:val="10"/>
            <w:tabs>
              <w:tab w:val="right" w:leader="dot" w:pos="8306"/>
              <w:tab w:val="clear" w:pos="8296"/>
            </w:tabs>
            <w:rPr>
              <w:rFonts w:hint="eastAsia" w:eastAsia="宋体"/>
              <w:lang w:val="en-US" w:eastAsia="zh-CN"/>
            </w:rPr>
          </w:pPr>
          <w:r>
            <w:rPr>
              <w:rFonts w:hint="eastAsia" w:ascii="黑体" w:hAnsi="黑体" w:eastAsia="黑体"/>
              <w:color w:val="auto"/>
              <w:szCs w:val="44"/>
              <w:highlight w:val="none"/>
            </w:rPr>
            <w:t>第</w:t>
          </w:r>
          <w:r>
            <w:rPr>
              <w:rFonts w:hint="eastAsia" w:ascii="黑体" w:hAnsi="黑体" w:eastAsia="黑体"/>
              <w:color w:val="auto"/>
              <w:highlight w:val="none"/>
            </w:rPr>
            <w:t>四部分 附件</w:t>
          </w:r>
          <w:r>
            <w:tab/>
          </w:r>
          <w:r>
            <w:fldChar w:fldCharType="begin"/>
          </w:r>
          <w:r>
            <w:instrText xml:space="preserve"> PAGEREF _Toc27006 \h </w:instrText>
          </w:r>
          <w:r>
            <w:fldChar w:fldCharType="separate"/>
          </w:r>
          <w:r>
            <w:t>15</w:t>
          </w:r>
          <w:r>
            <w:fldChar w:fldCharType="end"/>
          </w:r>
        </w:p>
        <w:p>
          <w:pPr>
            <w:pStyle w:val="10"/>
            <w:tabs>
              <w:tab w:val="right" w:leader="dot" w:pos="8306"/>
              <w:tab w:val="clear" w:pos="8296"/>
            </w:tabs>
          </w:pPr>
          <w:r>
            <w:rPr>
              <w:rFonts w:hint="eastAsia" w:ascii="黑体" w:hAnsi="黑体" w:eastAsia="黑体"/>
              <w:color w:val="auto"/>
              <w:szCs w:val="44"/>
              <w:highlight w:val="none"/>
            </w:rPr>
            <w:t>第</w:t>
          </w:r>
          <w:r>
            <w:rPr>
              <w:rFonts w:hint="eastAsia" w:ascii="黑体" w:hAnsi="黑体" w:eastAsia="黑体"/>
              <w:color w:val="auto"/>
              <w:highlight w:val="none"/>
            </w:rPr>
            <w:t>五部分 附表</w:t>
          </w:r>
          <w:r>
            <w:tab/>
          </w:r>
          <w:r>
            <w:fldChar w:fldCharType="begin"/>
          </w:r>
          <w:r>
            <w:instrText xml:space="preserve"> PAGEREF _Toc31692 \h </w:instrText>
          </w:r>
          <w:r>
            <w:fldChar w:fldCharType="separate"/>
          </w:r>
          <w:r>
            <w:t>26</w:t>
          </w:r>
          <w:r>
            <w:fldChar w:fldCharType="end"/>
          </w:r>
        </w:p>
        <w:p>
          <w:pPr>
            <w:pStyle w:val="12"/>
            <w:tabs>
              <w:tab w:val="right" w:leader="dot" w:pos="8306"/>
              <w:tab w:val="clear" w:pos="8296"/>
            </w:tabs>
          </w:pPr>
          <w:r>
            <w:rPr>
              <w:rFonts w:hint="eastAsia" w:ascii="仿宋" w:hAnsi="仿宋" w:eastAsia="仿宋"/>
              <w:color w:val="auto"/>
              <w:highlight w:val="none"/>
            </w:rPr>
            <w:t>一、收</w:t>
          </w:r>
          <w:r>
            <w:rPr>
              <w:rFonts w:hint="eastAsia" w:ascii="仿宋" w:hAnsi="仿宋" w:eastAsia="仿宋"/>
              <w:bCs w:val="0"/>
              <w:color w:val="auto"/>
              <w:highlight w:val="none"/>
            </w:rPr>
            <w:t>入支出决算总表</w:t>
          </w:r>
          <w:r>
            <w:tab/>
          </w:r>
          <w:r>
            <w:fldChar w:fldCharType="begin"/>
          </w:r>
          <w:r>
            <w:instrText xml:space="preserve"> PAGEREF _Toc3053 \h </w:instrText>
          </w:r>
          <w:r>
            <w:fldChar w:fldCharType="separate"/>
          </w:r>
          <w:r>
            <w:t>26</w:t>
          </w:r>
          <w:r>
            <w:fldChar w:fldCharType="end"/>
          </w:r>
        </w:p>
        <w:p>
          <w:pPr>
            <w:pStyle w:val="12"/>
            <w:tabs>
              <w:tab w:val="right" w:leader="dot" w:pos="8306"/>
              <w:tab w:val="clear" w:pos="8296"/>
            </w:tabs>
          </w:pPr>
          <w:r>
            <w:rPr>
              <w:rFonts w:hint="eastAsia" w:ascii="仿宋" w:hAnsi="仿宋" w:eastAsia="仿宋"/>
              <w:color w:val="auto"/>
              <w:highlight w:val="none"/>
            </w:rPr>
            <w:t>二、收</w:t>
          </w:r>
          <w:r>
            <w:rPr>
              <w:rFonts w:hint="eastAsia" w:ascii="仿宋" w:hAnsi="仿宋" w:eastAsia="仿宋"/>
              <w:bCs w:val="0"/>
              <w:color w:val="auto"/>
              <w:highlight w:val="none"/>
            </w:rPr>
            <w:t>入决算表</w:t>
          </w:r>
          <w:r>
            <w:tab/>
          </w:r>
          <w:r>
            <w:fldChar w:fldCharType="begin"/>
          </w:r>
          <w:r>
            <w:instrText xml:space="preserve"> PAGEREF _Toc9597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三、</w:t>
          </w:r>
          <w:r>
            <w:rPr>
              <w:rFonts w:hint="eastAsia" w:ascii="仿宋" w:hAnsi="仿宋" w:eastAsia="仿宋"/>
              <w:color w:val="auto"/>
              <w:highlight w:val="none"/>
            </w:rPr>
            <w:t>支</w:t>
          </w:r>
          <w:r>
            <w:rPr>
              <w:rFonts w:hint="eastAsia" w:ascii="仿宋" w:hAnsi="仿宋" w:eastAsia="仿宋"/>
              <w:bCs w:val="0"/>
              <w:color w:val="auto"/>
              <w:highlight w:val="none"/>
            </w:rPr>
            <w:t>出决算表</w:t>
          </w:r>
          <w:r>
            <w:tab/>
          </w:r>
          <w:r>
            <w:fldChar w:fldCharType="begin"/>
          </w:r>
          <w:r>
            <w:instrText xml:space="preserve"> PAGEREF _Toc1123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四、</w:t>
          </w:r>
          <w:r>
            <w:rPr>
              <w:rFonts w:hint="eastAsia" w:ascii="仿宋" w:hAnsi="仿宋" w:eastAsia="仿宋"/>
              <w:color w:val="auto"/>
              <w:highlight w:val="none"/>
            </w:rPr>
            <w:t>财</w:t>
          </w:r>
          <w:r>
            <w:rPr>
              <w:rFonts w:hint="eastAsia" w:ascii="仿宋" w:hAnsi="仿宋" w:eastAsia="仿宋"/>
              <w:bCs w:val="0"/>
              <w:color w:val="auto"/>
              <w:highlight w:val="none"/>
            </w:rPr>
            <w:t>政拨款收入支出决算总表</w:t>
          </w:r>
          <w:r>
            <w:tab/>
          </w:r>
          <w:r>
            <w:fldChar w:fldCharType="begin"/>
          </w:r>
          <w:r>
            <w:instrText xml:space="preserve"> PAGEREF _Toc2209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五、</w:t>
          </w:r>
          <w:r>
            <w:rPr>
              <w:rFonts w:hint="eastAsia" w:ascii="仿宋" w:hAnsi="仿宋" w:eastAsia="仿宋"/>
              <w:color w:val="auto"/>
              <w:highlight w:val="none"/>
            </w:rPr>
            <w:t>财</w:t>
          </w:r>
          <w:r>
            <w:rPr>
              <w:rFonts w:hint="eastAsia" w:ascii="仿宋" w:hAnsi="仿宋" w:eastAsia="仿宋"/>
              <w:bCs w:val="0"/>
              <w:color w:val="auto"/>
              <w:highlight w:val="none"/>
            </w:rPr>
            <w:t>政拨款支出决算明细表</w:t>
          </w:r>
          <w:r>
            <w:tab/>
          </w:r>
          <w:r>
            <w:fldChar w:fldCharType="begin"/>
          </w:r>
          <w:r>
            <w:instrText xml:space="preserve"> PAGEREF _Toc28166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六、</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般公共预算财政拨款支出决算表</w:t>
          </w:r>
          <w:r>
            <w:tab/>
          </w:r>
          <w:r>
            <w:fldChar w:fldCharType="begin"/>
          </w:r>
          <w:r>
            <w:instrText xml:space="preserve"> PAGEREF _Toc10412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七、</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般公共预算财政拨款支出决算明细表</w:t>
          </w:r>
          <w:r>
            <w:tab/>
          </w:r>
          <w:r>
            <w:fldChar w:fldCharType="begin"/>
          </w:r>
          <w:r>
            <w:instrText xml:space="preserve"> PAGEREF _Toc13483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八、</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般公共预算财政拨款基本支出决算表</w:t>
          </w:r>
          <w:r>
            <w:tab/>
          </w:r>
          <w:r>
            <w:fldChar w:fldCharType="begin"/>
          </w:r>
          <w:r>
            <w:instrText xml:space="preserve"> PAGEREF _Toc10118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九、</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般公共预算财政拨款项目支出决算表</w:t>
          </w:r>
          <w:r>
            <w:tab/>
          </w:r>
          <w:r>
            <w:fldChar w:fldCharType="begin"/>
          </w:r>
          <w:r>
            <w:instrText xml:space="preserve"> PAGEREF _Toc27233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十、</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般公共预算财政拨款“三公”经费支出决算表</w:t>
          </w:r>
          <w:r>
            <w:tab/>
          </w:r>
          <w:r>
            <w:fldChar w:fldCharType="begin"/>
          </w:r>
          <w:r>
            <w:instrText xml:space="preserve"> PAGEREF _Toc28608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十一、</w:t>
          </w:r>
          <w:r>
            <w:rPr>
              <w:rFonts w:hint="eastAsia" w:ascii="仿宋" w:hAnsi="仿宋" w:eastAsia="仿宋"/>
              <w:color w:val="auto"/>
              <w:highlight w:val="none"/>
            </w:rPr>
            <w:t>政</w:t>
          </w:r>
          <w:r>
            <w:rPr>
              <w:rFonts w:hint="eastAsia" w:ascii="仿宋" w:hAnsi="仿宋" w:eastAsia="仿宋"/>
              <w:bCs w:val="0"/>
              <w:color w:val="auto"/>
              <w:highlight w:val="none"/>
            </w:rPr>
            <w:t>府性基金预算财政拨款收入支出决算表</w:t>
          </w:r>
          <w:r>
            <w:tab/>
          </w:r>
          <w:r>
            <w:fldChar w:fldCharType="begin"/>
          </w:r>
          <w:r>
            <w:instrText xml:space="preserve"> PAGEREF _Toc21822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十二、</w:t>
          </w:r>
          <w:r>
            <w:rPr>
              <w:rFonts w:hint="eastAsia" w:ascii="仿宋" w:hAnsi="仿宋" w:eastAsia="仿宋"/>
              <w:color w:val="auto"/>
              <w:highlight w:val="none"/>
            </w:rPr>
            <w:t>政</w:t>
          </w:r>
          <w:r>
            <w:rPr>
              <w:rFonts w:hint="eastAsia" w:ascii="仿宋" w:hAnsi="仿宋" w:eastAsia="仿宋"/>
              <w:bCs w:val="0"/>
              <w:color w:val="auto"/>
              <w:highlight w:val="none"/>
            </w:rPr>
            <w:t>府性基金预算财政拨款“三公”经费支出决算表</w:t>
          </w:r>
          <w:r>
            <w:tab/>
          </w:r>
          <w:r>
            <w:fldChar w:fldCharType="begin"/>
          </w:r>
          <w:r>
            <w:instrText xml:space="preserve"> PAGEREF _Toc26014 \h </w:instrText>
          </w:r>
          <w:r>
            <w:fldChar w:fldCharType="separate"/>
          </w:r>
          <w:r>
            <w:t>26</w:t>
          </w:r>
          <w:r>
            <w:fldChar w:fldCharType="end"/>
          </w:r>
        </w:p>
        <w:p>
          <w:pPr>
            <w:pStyle w:val="12"/>
            <w:tabs>
              <w:tab w:val="right" w:leader="dot" w:pos="8306"/>
              <w:tab w:val="clear" w:pos="8296"/>
            </w:tabs>
          </w:pPr>
          <w:r>
            <w:rPr>
              <w:rFonts w:hint="eastAsia" w:ascii="仿宋" w:hAnsi="仿宋" w:eastAsia="仿宋"/>
              <w:bCs w:val="0"/>
              <w:color w:val="auto"/>
              <w:highlight w:val="none"/>
            </w:rPr>
            <w:t>十三、</w:t>
          </w:r>
          <w:r>
            <w:rPr>
              <w:rFonts w:hint="eastAsia" w:ascii="仿宋" w:hAnsi="仿宋" w:eastAsia="仿宋"/>
              <w:color w:val="auto"/>
              <w:highlight w:val="none"/>
            </w:rPr>
            <w:t>国</w:t>
          </w:r>
          <w:r>
            <w:rPr>
              <w:rFonts w:hint="eastAsia" w:ascii="仿宋" w:hAnsi="仿宋" w:eastAsia="仿宋"/>
              <w:bCs w:val="0"/>
              <w:color w:val="auto"/>
              <w:highlight w:val="none"/>
            </w:rPr>
            <w:t>有资本经营预算</w:t>
          </w:r>
          <w:r>
            <w:rPr>
              <w:rFonts w:hint="eastAsia" w:ascii="仿宋" w:hAnsi="仿宋" w:eastAsia="仿宋"/>
              <w:bCs w:val="0"/>
              <w:color w:val="auto"/>
              <w:highlight w:val="none"/>
              <w:lang w:eastAsia="zh-CN"/>
            </w:rPr>
            <w:t>财政拨款收入</w:t>
          </w:r>
          <w:r>
            <w:rPr>
              <w:rFonts w:hint="eastAsia" w:ascii="仿宋" w:hAnsi="仿宋" w:eastAsia="仿宋"/>
              <w:bCs w:val="0"/>
              <w:color w:val="auto"/>
              <w:highlight w:val="none"/>
            </w:rPr>
            <w:t>支出决算表</w:t>
          </w:r>
          <w:r>
            <w:tab/>
          </w:r>
          <w:r>
            <w:fldChar w:fldCharType="begin"/>
          </w:r>
          <w:r>
            <w:instrText xml:space="preserve"> PAGEREF _Toc19681 \h </w:instrText>
          </w:r>
          <w:r>
            <w:fldChar w:fldCharType="separate"/>
          </w:r>
          <w:r>
            <w:t>26</w:t>
          </w:r>
          <w:r>
            <w:fldChar w:fldCharType="end"/>
          </w:r>
        </w:p>
        <w:p>
          <w:pPr>
            <w:pStyle w:val="12"/>
            <w:tabs>
              <w:tab w:val="right" w:leader="dot" w:pos="8306"/>
              <w:tab w:val="clear" w:pos="8296"/>
            </w:tabs>
            <w:rPr>
              <w:rFonts w:hint="eastAsia" w:ascii="仿宋" w:hAnsi="仿宋" w:eastAsia="仿宋"/>
              <w:bCs w:val="0"/>
              <w:color w:val="auto"/>
              <w:highlight w:val="none"/>
              <w:lang w:eastAsia="zh-CN"/>
            </w:rPr>
            <w:sectPr>
              <w:headerReference r:id="rId7" w:type="first"/>
              <w:footerReference r:id="rId9" w:type="first"/>
              <w:headerReference r:id="rId6" w:type="default"/>
              <w:footerReference r:id="rId8" w:type="default"/>
              <w:pgSz w:w="11906" w:h="16838"/>
              <w:pgMar w:top="1440" w:right="1800" w:bottom="1440" w:left="1800" w:header="851" w:footer="992" w:gutter="0"/>
              <w:pgNumType w:fmt="decimal" w:start="1"/>
              <w:cols w:space="425" w:num="1"/>
              <w:titlePg/>
              <w:docGrid w:type="lines" w:linePitch="312" w:charSpace="0"/>
            </w:sectPr>
          </w:pPr>
        </w:p>
        <w:p>
          <w:pPr>
            <w:pStyle w:val="12"/>
            <w:tabs>
              <w:tab w:val="right" w:leader="dot" w:pos="8306"/>
              <w:tab w:val="clear" w:pos="8296"/>
            </w:tabs>
          </w:pPr>
          <w:r>
            <w:rPr>
              <w:rFonts w:hint="eastAsia" w:ascii="仿宋" w:hAnsi="仿宋" w:eastAsia="仿宋"/>
              <w:bCs w:val="0"/>
              <w:color w:val="auto"/>
              <w:highlight w:val="none"/>
              <w:lang w:eastAsia="zh-CN"/>
            </w:rPr>
            <w:t>十四、国有资本经营预算财政拨款支出决算表</w:t>
          </w:r>
          <w:r>
            <w:tab/>
          </w:r>
          <w:r>
            <w:fldChar w:fldCharType="begin"/>
          </w:r>
          <w:r>
            <w:instrText xml:space="preserve"> PAGEREF _Toc32034 \h </w:instrText>
          </w:r>
          <w:r>
            <w:fldChar w:fldCharType="separate"/>
          </w:r>
          <w:r>
            <w:t>26</w:t>
          </w:r>
          <w:r>
            <w:fldChar w:fldCharType="end"/>
          </w:r>
        </w:p>
        <w:p>
          <w:r>
            <w:fldChar w:fldCharType="end"/>
          </w:r>
        </w:p>
        <w:p>
          <w:pPr>
            <w:widowControl/>
            <w:jc w:val="both"/>
            <w:rPr>
              <w:rFonts w:ascii="方正小标宋简体" w:hAnsi="宋体" w:eastAsia="方正小标宋简体"/>
              <w:color w:val="auto"/>
              <w:sz w:val="36"/>
              <w:szCs w:val="36"/>
              <w:highlight w:val="none"/>
            </w:rPr>
            <w:sectPr>
              <w:headerReference r:id="rId11" w:type="first"/>
              <w:footerReference r:id="rId13" w:type="first"/>
              <w:headerReference r:id="rId10" w:type="default"/>
              <w:footerReference r:id="rId12" w:type="default"/>
              <w:pgSz w:w="11906" w:h="16838"/>
              <w:pgMar w:top="1440" w:right="1800" w:bottom="1440" w:left="1800" w:header="851" w:footer="992" w:gutter="0"/>
              <w:pgNumType w:fmt="decimal" w:start="1"/>
              <w:cols w:space="425" w:num="1"/>
              <w:titlePg/>
              <w:docGrid w:type="lines" w:linePitch="312" w:charSpace="0"/>
            </w:sectPr>
          </w:pPr>
        </w:p>
      </w:sdtContent>
    </w:sdt>
    <w:p>
      <w:bookmarkStart w:id="13" w:name="_Toc15396599"/>
      <w:bookmarkStart w:id="14" w:name="_Toc15377196"/>
    </w:p>
    <w:p>
      <w:pPr>
        <w:pStyle w:val="2"/>
        <w:jc w:val="center"/>
        <w:rPr>
          <w:rStyle w:val="26"/>
          <w:rFonts w:ascii="黑体" w:hAnsi="黑体" w:eastAsia="黑体"/>
          <w:b/>
          <w:bCs w:val="0"/>
          <w:color w:val="auto"/>
          <w:highlight w:val="none"/>
        </w:rPr>
      </w:pPr>
      <w:bookmarkStart w:id="15" w:name="_Toc19011"/>
      <w:bookmarkStart w:id="16" w:name="_Toc24655"/>
      <w:bookmarkStart w:id="17" w:name="_Toc21050"/>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3"/>
      <w:bookmarkEnd w:id="14"/>
      <w:bookmarkEnd w:id="15"/>
      <w:bookmarkEnd w:id="16"/>
      <w:bookmarkEnd w:id="17"/>
    </w:p>
    <w:p>
      <w:pPr>
        <w:widowControl/>
        <w:jc w:val="left"/>
        <w:rPr>
          <w:rFonts w:ascii="黑体" w:eastAsia="黑体"/>
          <w:color w:val="auto"/>
          <w:sz w:val="32"/>
          <w:szCs w:val="32"/>
          <w:highlight w:val="none"/>
        </w:rPr>
      </w:pPr>
    </w:p>
    <w:p>
      <w:pPr>
        <w:pStyle w:val="3"/>
        <w:numPr>
          <w:ilvl w:val="0"/>
          <w:numId w:val="1"/>
        </w:numPr>
        <w:rPr>
          <w:rStyle w:val="27"/>
          <w:rFonts w:hint="eastAsia" w:ascii="黑体" w:hAnsi="黑体" w:eastAsia="黑体"/>
          <w:b w:val="0"/>
          <w:bCs w:val="0"/>
          <w:color w:val="auto"/>
          <w:highlight w:val="none"/>
          <w:lang w:eastAsia="zh-CN"/>
        </w:rPr>
      </w:pPr>
      <w:bookmarkStart w:id="18" w:name="_Toc23093"/>
      <w:bookmarkStart w:id="19" w:name="_Toc6540"/>
      <w:bookmarkStart w:id="20" w:name="_Toc29016"/>
      <w:bookmarkStart w:id="21" w:name="_Toc15396600"/>
      <w:bookmarkStart w:id="22" w:name="_Toc15377197"/>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bookmarkEnd w:id="18"/>
      <w:bookmarkEnd w:id="19"/>
      <w:bookmarkEnd w:id="20"/>
    </w:p>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600" w:lineRule="exact"/>
        <w:ind w:left="0" w:right="0" w:firstLine="640" w:firstLineChars="200"/>
        <w:jc w:val="both"/>
        <w:textAlignment w:val="auto"/>
        <w:rPr>
          <w:rFonts w:hint="eastAsia"/>
        </w:rPr>
      </w:pPr>
      <w:r>
        <w:rPr>
          <w:rFonts w:hint="eastAsia" w:ascii="仿宋" w:hAnsi="仿宋" w:eastAsia="仿宋" w:cs="仿宋"/>
          <w:kern w:val="2"/>
          <w:sz w:val="32"/>
          <w:szCs w:val="32"/>
          <w:lang w:val="en-US" w:eastAsia="zh-CN" w:bidi="ar"/>
        </w:rPr>
        <w:t>为航道畅通提供维护保障。承担嘉陵江朝天区对溪至昭化区虎跳邢家河滩152公里、白龙江紫兰坝至昭化河口滩13公里，共计165公里航道的养护维护，涉及利州、朝天、昭化、剑阁4个县区。</w:t>
      </w:r>
    </w:p>
    <w:p>
      <w:pPr>
        <w:pStyle w:val="3"/>
        <w:numPr>
          <w:ilvl w:val="0"/>
          <w:numId w:val="0"/>
        </w:numPr>
        <w:rPr>
          <w:rFonts w:hint="eastAsia" w:ascii="黑体" w:hAnsi="黑体" w:eastAsia="黑体"/>
          <w:b w:val="0"/>
          <w:color w:val="auto"/>
          <w:highlight w:val="none"/>
          <w:lang w:eastAsia="zh-CN"/>
        </w:rPr>
      </w:pPr>
      <w:bookmarkStart w:id="23" w:name="_Toc26269"/>
      <w:bookmarkStart w:id="24" w:name="_Toc29269"/>
      <w:bookmarkStart w:id="25" w:name="_Toc14599"/>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21"/>
      <w:bookmarkEnd w:id="22"/>
      <w:r>
        <w:rPr>
          <w:rFonts w:hint="eastAsia" w:ascii="黑体" w:hAnsi="黑体" w:eastAsia="黑体"/>
          <w:b w:val="0"/>
          <w:color w:val="auto"/>
          <w:highlight w:val="none"/>
          <w:lang w:eastAsia="zh-CN"/>
        </w:rPr>
        <w:t>完成情况</w:t>
      </w:r>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落实和完善航道巡查制度。针对重点航段，重点时段，坚持每周不少于1次对辖区航道开展巡查，及时掌握航道状况，全年共出动航道管养人员800多人次，车辆200多台次，船舶100多搜艘次，对在巡查中发现的通航安全隐患以及破坏航道及航道基础设施等行为及时处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大航道养护力度，规范助航标志设置。一是克服资金困难，对广元市城区嘉陵江上石盘库区旅游航段开展航标布设，按照一类配置、二类维护的原则，设置桥梁助导航标志5座，水面浮标30座，航标船6艘，为船舶的安全航行提供保障；二是受建设单位业主的委托，认真做好西成快铁嘉陵江大桥和兰渝铁路白龙江大桥助导航标志日常维护和管理工作；三是积极争取资金对上石盘库区“8.17”水毁航标设备设施进行恢复。完成了桥梁通航口单改双3座，修复检修爬梯6幅，设置桥梁左右通航标6座，更新了损坏的浮标、桥涵标、航标灯、桥柱灯、通航净高标尺和太阳能电池板，同时对所有电路进行了检查修复，工程完工后，该航段通航能力得到进一步提升，为船舶安全航行提供有力了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3.积极推进嘉陵江航运配套工程项目前期工作。</w:t>
      </w:r>
      <w:r>
        <w:rPr>
          <w:rFonts w:hint="eastAsia" w:ascii="仿宋" w:hAnsi="仿宋" w:eastAsia="仿宋" w:cs="仿宋"/>
          <w:sz w:val="32"/>
          <w:szCs w:val="32"/>
        </w:rPr>
        <w:t>根据省交通运输厅《关于嘉陵江川境段航运配套工程二期初步设计的批复》（川交函〔2015〕851号），我段选址剑阁县江口镇闻溪河大桥下游右岸土地630.59m</w:t>
      </w:r>
      <w:r>
        <w:rPr>
          <w:rFonts w:hint="eastAsia" w:ascii="仿宋" w:hAnsi="仿宋" w:eastAsia="仿宋" w:cs="仿宋"/>
          <w:sz w:val="32"/>
          <w:szCs w:val="32"/>
          <w:vertAlign w:val="superscript"/>
        </w:rPr>
        <w:t>2</w:t>
      </w:r>
      <w:r>
        <w:rPr>
          <w:rFonts w:hint="eastAsia" w:ascii="仿宋" w:hAnsi="仿宋" w:eastAsia="仿宋" w:cs="仿宋"/>
          <w:sz w:val="32"/>
          <w:szCs w:val="32"/>
        </w:rPr>
        <w:t>，拟建航道管理站房和航标工作船码头，航道管理站房初设建筑面积为357.9m</w:t>
      </w:r>
      <w:r>
        <w:rPr>
          <w:rFonts w:hint="eastAsia" w:ascii="仿宋" w:hAnsi="仿宋" w:eastAsia="仿宋" w:cs="仿宋"/>
          <w:sz w:val="32"/>
          <w:szCs w:val="32"/>
          <w:vertAlign w:val="superscript"/>
        </w:rPr>
        <w:t>2</w:t>
      </w:r>
      <w:r>
        <w:rPr>
          <w:rFonts w:hint="eastAsia" w:ascii="仿宋" w:hAnsi="仿宋" w:eastAsia="仿宋" w:cs="仿宋"/>
          <w:sz w:val="32"/>
          <w:szCs w:val="32"/>
        </w:rPr>
        <w:t>，航标工作船码头岸线长度40.5m。我段成立了专班开展项目前期工作，完成项目地址亭子湖风景名胜区影响专题论证、地形测绘、行洪论证、地质灾害危险性评估、稳定风险评估等征地前期工作，土地征拆补偿费目前已落实到位</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圆满完成2021年女儿节风舟赛、横渡嘉陵江游泳比赛的赛道设置和水上安全保障工作。提前制定相关工作实施方案和应急预案，组织精干力量参加，明确职责分工和后勤保障。提前对参与工作船艇进行了安全检查和性能维护，确保了各个环节顺利进行。高质高效完成了凤舟赛四道五条800米长的赛道设置和横渡嘉陵江游泳比赛1000米赛道的设置任务。出动安全巡逻监护人员100余人次、救援冲锋舟巡逻艇50多艘次，保障了凤舟赛和游泳比赛的安全顺利进行。</w:t>
      </w:r>
    </w:p>
    <w:p>
      <w:pPr>
        <w:spacing w:beforeLines="0" w:afterLines="0"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b w:val="0"/>
          <w:bCs/>
          <w:sz w:val="32"/>
          <w:szCs w:val="32"/>
        </w:rPr>
        <w:t>全力做好新冠肺炎疫情防控工作</w:t>
      </w:r>
      <w:r>
        <w:rPr>
          <w:rFonts w:hint="eastAsia" w:ascii="仿宋" w:hAnsi="仿宋" w:eastAsia="仿宋" w:cs="仿宋"/>
          <w:b w:val="0"/>
          <w:bCs/>
          <w:sz w:val="32"/>
          <w:szCs w:val="32"/>
          <w:lang w:eastAsia="zh-CN"/>
        </w:rPr>
        <w:t>。</w:t>
      </w:r>
      <w:r>
        <w:rPr>
          <w:rFonts w:hint="eastAsia" w:ascii="仿宋" w:hAnsi="仿宋" w:eastAsia="仿宋" w:cs="仿宋"/>
          <w:sz w:val="32"/>
          <w:szCs w:val="32"/>
        </w:rPr>
        <w:t>一是进一步加强疫情防控工作的组织领导，严格落实责任；二是通过职工大会、在微信群发布信息、视频等方式加强防疫政策和防疫知识的宣传；三是加强职工健康监测，严格落实外出返回登记制度，及时做好来往中高风险地区人员排查工作；四是投入防疫资金，做好口罩、消毒液、洗手液等防疫物资的储备；五是积极引导职工进行疫苗接种，所</w:t>
      </w:r>
      <w:r>
        <w:rPr>
          <w:rFonts w:hint="eastAsia" w:ascii="仿宋" w:hAnsi="仿宋" w:eastAsia="仿宋" w:cs="仿宋"/>
          <w:sz w:val="32"/>
          <w:szCs w:val="32"/>
          <w:lang w:eastAsia="zh-CN"/>
        </w:rPr>
        <w:t>有</w:t>
      </w:r>
      <w:r>
        <w:rPr>
          <w:rFonts w:hint="eastAsia" w:ascii="仿宋" w:hAnsi="仿宋" w:eastAsia="仿宋" w:cs="仿宋"/>
          <w:sz w:val="32"/>
          <w:szCs w:val="32"/>
        </w:rPr>
        <w:t>符合接种条件的干部职工已完成接种。</w:t>
      </w:r>
    </w:p>
    <w:p>
      <w:pPr>
        <w:spacing w:beforeLines="0" w:afterLines="0" w:line="640" w:lineRule="exact"/>
        <w:ind w:firstLine="640" w:firstLineChars="200"/>
        <w:rPr>
          <w:rFonts w:hint="eastAsia" w:eastAsia="仿宋_GB2312"/>
          <w:lang w:val="en-US" w:eastAsia="zh-CN"/>
        </w:rPr>
      </w:pPr>
      <w:r>
        <w:rPr>
          <w:rFonts w:hint="eastAsia" w:ascii="仿宋" w:hAnsi="仿宋" w:eastAsia="仿宋" w:cs="仿宋"/>
          <w:sz w:val="32"/>
          <w:szCs w:val="32"/>
          <w:lang w:val="en-US" w:eastAsia="zh-CN"/>
        </w:rPr>
        <w:t>6.</w:t>
      </w:r>
      <w:r>
        <w:rPr>
          <w:rFonts w:hint="eastAsia" w:ascii="仿宋" w:hAnsi="仿宋" w:eastAsia="仿宋" w:cs="仿宋"/>
          <w:b w:val="0"/>
          <w:bCs/>
          <w:sz w:val="32"/>
          <w:szCs w:val="32"/>
        </w:rPr>
        <w:t>总结脱贫攻坚帮扶工作经验，积极参与乡村振兴</w:t>
      </w:r>
      <w:r>
        <w:rPr>
          <w:rFonts w:hint="eastAsia" w:ascii="仿宋" w:hAnsi="仿宋" w:eastAsia="仿宋" w:cs="仿宋"/>
          <w:b w:val="0"/>
          <w:bCs/>
          <w:sz w:val="32"/>
          <w:szCs w:val="32"/>
          <w:lang w:eastAsia="zh-CN"/>
        </w:rPr>
        <w:t>。</w:t>
      </w:r>
      <w:r>
        <w:rPr>
          <w:rFonts w:hint="eastAsia" w:ascii="仿宋_GB2312" w:hAnsi="仿宋_GB2312" w:eastAsia="仿宋_GB2312" w:cs="仿宋_GB2312"/>
          <w:sz w:val="32"/>
          <w:szCs w:val="32"/>
        </w:rPr>
        <w:t>今年我段与执法支队共同结对帮扶苍溪县高坡镇柳溪村的乡村振兴工作。我段积极主动与村支两委班子交换意见，选派年富力强，有工作经验的工作队员驻村帮扶，第一时间开展情况摸排，听取村支两委班子和村民代表诉求，重点针对今年脱贫的46户村民做好防止返贫动态监测和帮扶排查工作。积极为村支两委出谋划策，协助制定发展规划，争取村道建设资金和项目发展资金</w:t>
      </w:r>
      <w:r>
        <w:rPr>
          <w:rFonts w:hint="eastAsia" w:ascii="仿宋_GB2312" w:hAnsi="仿宋_GB2312" w:eastAsia="仿宋_GB2312" w:cs="仿宋_GB2312"/>
          <w:sz w:val="32"/>
          <w:szCs w:val="32"/>
          <w:lang w:eastAsia="zh-CN"/>
        </w:rPr>
        <w:t>。</w:t>
      </w:r>
    </w:p>
    <w:p>
      <w:pPr>
        <w:pStyle w:val="2"/>
        <w:ind w:right="440"/>
        <w:jc w:val="center"/>
        <w:rPr>
          <w:rFonts w:hint="eastAsia" w:eastAsia="宋体"/>
          <w:color w:val="auto"/>
          <w:highlight w:val="none"/>
          <w:lang w:eastAsia="zh-CN"/>
        </w:rPr>
      </w:pPr>
      <w:bookmarkStart w:id="26" w:name="_Toc15396602"/>
      <w:bookmarkStart w:id="27" w:name="_Toc24127"/>
      <w:bookmarkStart w:id="28" w:name="_Toc27231"/>
      <w:bookmarkStart w:id="29" w:name="_Toc30060"/>
      <w:bookmarkStart w:id="30"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26"/>
      <w:bookmarkEnd w:id="27"/>
      <w:bookmarkEnd w:id="28"/>
      <w:bookmarkEnd w:id="29"/>
      <w:bookmarkEnd w:id="30"/>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31" w:name="_Toc8328"/>
      <w:bookmarkStart w:id="32" w:name="_Toc15396603"/>
      <w:bookmarkStart w:id="33" w:name="_Toc15377205"/>
      <w:bookmarkStart w:id="34" w:name="_Toc13038"/>
      <w:bookmarkStart w:id="35" w:name="_Toc2511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31"/>
      <w:bookmarkEnd w:id="32"/>
      <w:bookmarkEnd w:id="33"/>
      <w:bookmarkEnd w:id="34"/>
      <w:bookmarkEnd w:id="35"/>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843.49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55.46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7.04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是在职、退休职工奖金、生活补助基数上调。</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301625</wp:posOffset>
            </wp:positionH>
            <wp:positionV relativeFrom="paragraph">
              <wp:posOffset>233680</wp:posOffset>
            </wp:positionV>
            <wp:extent cx="5080000" cy="3810000"/>
            <wp:effectExtent l="4445" t="4445" r="20955" b="1460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36" w:name="_Toc27270"/>
      <w:bookmarkStart w:id="37" w:name="_Toc15396604"/>
      <w:bookmarkStart w:id="38" w:name="_Toc19723"/>
      <w:bookmarkStart w:id="39" w:name="_Toc10457"/>
      <w:bookmarkStart w:id="40"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outlineLvl w:val="1"/>
        <w:rPr>
          <w:rFonts w:ascii="仿宋" w:hAnsi="仿宋" w:eastAsia="仿宋"/>
          <w:color w:val="auto"/>
          <w:sz w:val="32"/>
          <w:szCs w:val="32"/>
          <w:highlight w:val="none"/>
        </w:rPr>
      </w:pPr>
      <w:bookmarkStart w:id="41" w:name="_Toc26113"/>
      <w:bookmarkStart w:id="42" w:name="_Toc4568"/>
      <w:bookmarkStart w:id="43" w:name="_Toc2613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843.39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843.37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1"/>
      <w:bookmarkEnd w:id="42"/>
      <w:bookmarkEnd w:id="43"/>
    </w:p>
    <w:p>
      <w:pPr>
        <w:spacing w:line="600" w:lineRule="exact"/>
        <w:jc w:val="center"/>
        <w:rPr>
          <w:rFonts w:hint="eastAsia" w:ascii="仿宋_GB2312" w:eastAsia="仿宋_GB2312"/>
          <w:color w:val="auto"/>
          <w:sz w:val="32"/>
          <w:szCs w:val="32"/>
          <w:highlight w:val="none"/>
          <w:lang w:eastAsia="zh-CN"/>
        </w:rPr>
      </w:pPr>
      <w:r>
        <w:rPr>
          <w:rFonts w:hint="eastAsia" w:ascii="仿宋" w:hAnsi="仿宋" w:eastAsia="仿宋"/>
          <w:color w:val="auto"/>
          <w:sz w:val="32"/>
          <w:szCs w:val="32"/>
          <w:highlight w:val="none"/>
        </w:rPr>
        <w:t>（图2：收入决算结构图）</w:t>
      </w:r>
      <w:r>
        <w:rPr>
          <w:rFonts w:hint="eastAsia" w:ascii="仿宋_GB2312" w:eastAsia="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334645</wp:posOffset>
            </wp:positionH>
            <wp:positionV relativeFrom="paragraph">
              <wp:posOffset>394970</wp:posOffset>
            </wp:positionV>
            <wp:extent cx="4424680" cy="2069465"/>
            <wp:effectExtent l="4445" t="4445" r="9525" b="2159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44" w:name="_Toc15377207"/>
      <w:bookmarkStart w:id="45" w:name="_Toc15396605"/>
      <w:bookmarkStart w:id="46" w:name="_Toc14116"/>
      <w:bookmarkStart w:id="47" w:name="_Toc29767"/>
      <w:bookmarkStart w:id="48" w:name="_Toc26814"/>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outlineLvl w:val="1"/>
        <w:rPr>
          <w:rFonts w:hint="eastAsia" w:ascii="仿宋" w:hAnsi="仿宋" w:eastAsia="仿宋"/>
          <w:b/>
          <w:color w:val="auto"/>
          <w:sz w:val="32"/>
          <w:szCs w:val="32"/>
          <w:highlight w:val="none"/>
        </w:rPr>
      </w:pPr>
      <w:bookmarkStart w:id="49" w:name="_Toc20283"/>
      <w:bookmarkStart w:id="50" w:name="_Toc9880"/>
      <w:bookmarkStart w:id="51" w:name="_Toc1334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843.42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836.14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99.14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0.86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49"/>
      <w:bookmarkEnd w:id="50"/>
      <w:bookmarkEnd w:id="51"/>
    </w:p>
    <w:p>
      <w:pPr>
        <w:spacing w:line="600" w:lineRule="exact"/>
        <w:ind w:firstLine="640" w:firstLineChars="200"/>
        <w:jc w:val="center"/>
        <w:outlineLvl w:val="2"/>
        <w:rPr>
          <w:rFonts w:ascii="仿宋" w:hAnsi="仿宋" w:eastAsia="仿宋"/>
          <w:color w:val="auto"/>
          <w:sz w:val="32"/>
          <w:szCs w:val="32"/>
          <w:highlight w:val="none"/>
        </w:rPr>
      </w:pPr>
      <w:bookmarkStart w:id="52" w:name="_Toc31946"/>
      <w:r>
        <w:rPr>
          <w:rFonts w:hint="eastAsia" w:ascii="仿宋" w:hAnsi="仿宋" w:eastAsia="仿宋"/>
          <w:color w:val="auto"/>
          <w:sz w:val="32"/>
          <w:szCs w:val="32"/>
          <w:highlight w:val="none"/>
        </w:rPr>
        <w:t>（图3：支出决算结构图）</w:t>
      </w:r>
      <w:bookmarkEnd w:id="52"/>
    </w:p>
    <w:p>
      <w:pPr>
        <w:spacing w:line="600" w:lineRule="exact"/>
        <w:rPr>
          <w:rFonts w:ascii="仿宋_GB2312" w:eastAsia="仿宋_GB2312"/>
          <w:color w:val="auto"/>
          <w:sz w:val="32"/>
          <w:szCs w:val="32"/>
          <w:highlight w:val="none"/>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59264" behindDoc="0" locked="0" layoutInCell="1" allowOverlap="1">
            <wp:simplePos x="0" y="0"/>
            <wp:positionH relativeFrom="column">
              <wp:posOffset>429895</wp:posOffset>
            </wp:positionH>
            <wp:positionV relativeFrom="paragraph">
              <wp:posOffset>364490</wp:posOffset>
            </wp:positionV>
            <wp:extent cx="4479290" cy="2371725"/>
            <wp:effectExtent l="4445" t="4445" r="1206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spacing w:line="600" w:lineRule="exact"/>
        <w:ind w:firstLine="640" w:firstLineChars="200"/>
        <w:outlineLvl w:val="1"/>
        <w:rPr>
          <w:rStyle w:val="27"/>
          <w:rFonts w:ascii="黑体" w:hAnsi="黑体" w:eastAsia="黑体"/>
          <w:b w:val="0"/>
          <w:color w:val="auto"/>
          <w:highlight w:val="none"/>
        </w:rPr>
      </w:pPr>
      <w:bookmarkStart w:id="53" w:name="_Toc21831"/>
      <w:bookmarkStart w:id="54" w:name="_Toc15396606"/>
      <w:bookmarkStart w:id="55" w:name="_Toc24271"/>
      <w:bookmarkStart w:id="56" w:name="_Toc15377208"/>
      <w:bookmarkStart w:id="57" w:name="_Toc25891"/>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53"/>
      <w:bookmarkEnd w:id="54"/>
      <w:bookmarkEnd w:id="55"/>
      <w:bookmarkEnd w:id="56"/>
      <w:bookmarkEnd w:id="57"/>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843.47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71.42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在职、退休职工奖金、生活补助基数上调以</w:t>
      </w:r>
      <w:r>
        <w:rPr>
          <w:rFonts w:hint="eastAsia" w:ascii="仿宋" w:hAnsi="仿宋" w:eastAsia="仿宋"/>
          <w:b/>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325120</wp:posOffset>
            </wp:positionH>
            <wp:positionV relativeFrom="paragraph">
              <wp:posOffset>1087120</wp:posOffset>
            </wp:positionV>
            <wp:extent cx="4900295" cy="2647950"/>
            <wp:effectExtent l="4445" t="4445" r="10160"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仿宋" w:hAnsi="仿宋" w:eastAsia="仿宋"/>
          <w:color w:val="auto"/>
          <w:sz w:val="32"/>
          <w:szCs w:val="32"/>
          <w:highlight w:val="none"/>
          <w:lang w:eastAsia="zh-CN"/>
        </w:rPr>
        <w:t>及办公地址变更导致相关费用增加。</w:t>
      </w:r>
    </w:p>
    <w:p>
      <w:pPr>
        <w:spacing w:line="600" w:lineRule="exact"/>
        <w:ind w:firstLine="640" w:firstLineChars="200"/>
        <w:jc w:val="center"/>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7"/>
          <w:rFonts w:ascii="黑体" w:hAnsi="黑体" w:eastAsia="黑体"/>
          <w:b w:val="0"/>
          <w:color w:val="auto"/>
          <w:highlight w:val="none"/>
        </w:rPr>
      </w:pPr>
      <w:bookmarkStart w:id="58" w:name="_Toc23741"/>
      <w:bookmarkStart w:id="59" w:name="_Toc15396607"/>
      <w:bookmarkStart w:id="60" w:name="_Toc18461"/>
      <w:bookmarkStart w:id="61" w:name="_Toc341"/>
      <w:bookmarkStart w:id="62"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58"/>
      <w:bookmarkEnd w:id="59"/>
      <w:bookmarkEnd w:id="60"/>
      <w:bookmarkEnd w:id="61"/>
      <w:bookmarkEnd w:id="62"/>
    </w:p>
    <w:p>
      <w:pPr>
        <w:spacing w:line="600" w:lineRule="exact"/>
        <w:ind w:firstLine="643" w:firstLineChars="200"/>
        <w:outlineLvl w:val="2"/>
        <w:rPr>
          <w:rFonts w:ascii="仿宋" w:hAnsi="仿宋" w:eastAsia="仿宋"/>
          <w:b/>
          <w:color w:val="auto"/>
          <w:sz w:val="32"/>
          <w:szCs w:val="32"/>
          <w:highlight w:val="none"/>
        </w:rPr>
      </w:pPr>
      <w:bookmarkStart w:id="63" w:name="_Toc15377210"/>
      <w:bookmarkStart w:id="64" w:name="_Toc20394"/>
      <w:r>
        <w:rPr>
          <w:rFonts w:hint="eastAsia" w:ascii="仿宋" w:hAnsi="仿宋" w:eastAsia="仿宋"/>
          <w:b/>
          <w:color w:val="auto"/>
          <w:sz w:val="32"/>
          <w:szCs w:val="32"/>
          <w:highlight w:val="none"/>
        </w:rPr>
        <w:t>（一）一般公共预算财政拨款支出决算总体情况</w:t>
      </w:r>
      <w:bookmarkEnd w:id="63"/>
      <w:bookmarkEnd w:id="6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843.42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71.47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在职、退休职工奖金、生活补助基数上调。</w:t>
      </w:r>
    </w:p>
    <w:p>
      <w:pPr>
        <w:spacing w:line="600" w:lineRule="exact"/>
        <w:ind w:firstLine="640" w:firstLineChars="200"/>
        <w:jc w:val="center"/>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201295</wp:posOffset>
            </wp:positionH>
            <wp:positionV relativeFrom="paragraph">
              <wp:posOffset>164465</wp:posOffset>
            </wp:positionV>
            <wp:extent cx="4984115" cy="2646680"/>
            <wp:effectExtent l="4445" t="4445" r="21590" b="1587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bookmarkStart w:id="65" w:name="_Toc15377211"/>
    </w:p>
    <w:p>
      <w:pPr>
        <w:spacing w:line="600" w:lineRule="exact"/>
        <w:ind w:firstLine="643" w:firstLineChars="200"/>
        <w:outlineLvl w:val="2"/>
        <w:rPr>
          <w:rFonts w:ascii="仿宋" w:hAnsi="仿宋" w:eastAsia="仿宋"/>
          <w:b/>
          <w:color w:val="auto"/>
          <w:sz w:val="32"/>
          <w:szCs w:val="32"/>
          <w:highlight w:val="none"/>
        </w:rPr>
      </w:pPr>
      <w:bookmarkStart w:id="66" w:name="_Toc26276"/>
      <w:r>
        <w:rPr>
          <w:rFonts w:hint="eastAsia" w:ascii="仿宋" w:hAnsi="仿宋" w:eastAsia="仿宋"/>
          <w:b/>
          <w:color w:val="auto"/>
          <w:sz w:val="32"/>
          <w:szCs w:val="32"/>
          <w:highlight w:val="none"/>
        </w:rPr>
        <w:t>（二）一般公共预算财政拨款支出决算结构情况</w:t>
      </w:r>
      <w:bookmarkEnd w:id="65"/>
      <w:bookmarkEnd w:id="6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843.42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社会保障和就业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81.96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28.99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交通运输支出</w:t>
      </w:r>
      <w:r>
        <w:rPr>
          <w:rFonts w:hint="eastAsia" w:ascii="仿宋" w:hAnsi="仿宋" w:eastAsia="仿宋"/>
          <w:color w:val="auto"/>
          <w:sz w:val="32"/>
          <w:szCs w:val="32"/>
          <w:highlight w:val="none"/>
          <w:lang w:val="en-US" w:eastAsia="zh-CN"/>
        </w:rPr>
        <w:t>674.03万元，占79.92%；</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58.45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6.93%</w:t>
      </w:r>
      <w:r>
        <w:rPr>
          <w:rFonts w:hint="eastAsia" w:ascii="仿宋" w:hAnsi="仿宋" w:eastAsia="仿宋"/>
          <w:color w:val="auto"/>
          <w:sz w:val="32"/>
          <w:szCs w:val="32"/>
          <w:highlight w:val="none"/>
        </w:rPr>
        <w:t>。</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534670</wp:posOffset>
            </wp:positionH>
            <wp:positionV relativeFrom="paragraph">
              <wp:posOffset>83820</wp:posOffset>
            </wp:positionV>
            <wp:extent cx="4680585" cy="2229485"/>
            <wp:effectExtent l="5080" t="4445" r="19685" b="139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67" w:name="_Toc7077"/>
      <w:bookmarkStart w:id="68" w:name="_Toc15377212"/>
      <w:r>
        <w:rPr>
          <w:rFonts w:hint="eastAsia" w:ascii="仿宋" w:hAnsi="仿宋" w:eastAsia="仿宋"/>
          <w:b/>
          <w:color w:val="auto"/>
          <w:sz w:val="32"/>
          <w:szCs w:val="32"/>
          <w:highlight w:val="none"/>
        </w:rPr>
        <w:t>（三）一般公共预算财政拨款支出决算具体情况</w:t>
      </w:r>
      <w:bookmarkEnd w:id="67"/>
      <w:bookmarkEnd w:id="6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 w:hAnsi="仿宋" w:eastAsia="仿宋"/>
          <w:b w:val="0"/>
          <w:bCs/>
          <w:color w:val="auto"/>
          <w:sz w:val="32"/>
          <w:szCs w:val="32"/>
          <w:highlight w:val="none"/>
        </w:rPr>
      </w:pPr>
      <w:bookmarkStart w:id="69" w:name="_Toc29509"/>
      <w:bookmarkStart w:id="70" w:name="_Toc15377213"/>
      <w:bookmarkStart w:id="71" w:name="_Toc15378460"/>
      <w:bookmarkStart w:id="72" w:name="_Toc15377444"/>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21</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 w:hAnsi="仿宋" w:eastAsia="仿宋"/>
          <w:b w:val="0"/>
          <w:bCs/>
          <w:color w:val="auto"/>
          <w:sz w:val="32"/>
          <w:szCs w:val="32"/>
          <w:highlight w:val="none"/>
          <w:lang w:val="en-US" w:eastAsia="zh-CN"/>
        </w:rPr>
        <w:t>843.42万元</w:t>
      </w:r>
      <w:r>
        <w:rPr>
          <w:rFonts w:hint="eastAsia"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99.99</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 w:eastAsia="仿宋" w:cs="仿宋"/>
          <w:kern w:val="2"/>
          <w:sz w:val="32"/>
          <w:szCs w:val="32"/>
          <w:lang w:eastAsia="zh-CN" w:bidi="ar-SA"/>
        </w:rPr>
        <w:t>决算数小于预算数的主要原因是结转下年继续实施。</w:t>
      </w:r>
      <w:r>
        <w:rPr>
          <w:rStyle w:val="15"/>
          <w:rFonts w:hint="eastAsia" w:ascii="仿宋" w:hAnsi="仿宋" w:eastAsia="仿宋"/>
          <w:b w:val="0"/>
          <w:bCs/>
          <w:color w:val="auto"/>
          <w:sz w:val="32"/>
          <w:szCs w:val="32"/>
          <w:highlight w:val="none"/>
        </w:rPr>
        <w:t>其中：</w:t>
      </w:r>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auto"/>
          <w:sz w:val="32"/>
          <w:szCs w:val="32"/>
          <w:highlight w:val="none"/>
        </w:rPr>
      </w:pPr>
      <w:r>
        <w:rPr>
          <w:rStyle w:val="15"/>
          <w:rFonts w:hint="eastAsia" w:ascii="仿宋" w:hAnsi="仿宋" w:eastAsia="仿宋"/>
          <w:b w:val="0"/>
          <w:bCs w:val="0"/>
          <w:color w:val="auto"/>
          <w:sz w:val="32"/>
          <w:szCs w:val="32"/>
          <w:highlight w:val="none"/>
          <w:lang w:val="en-US" w:eastAsia="zh-CN"/>
        </w:rPr>
        <w:t>1</w:t>
      </w:r>
      <w:r>
        <w:rPr>
          <w:rStyle w:val="15"/>
          <w:rFonts w:ascii="仿宋" w:hAnsi="仿宋" w:eastAsia="仿宋"/>
          <w:b w:val="0"/>
          <w:bCs w:val="0"/>
          <w:color w:val="auto"/>
          <w:sz w:val="32"/>
          <w:szCs w:val="32"/>
          <w:highlight w:val="none"/>
        </w:rPr>
        <w:t>.</w:t>
      </w:r>
      <w:r>
        <w:rPr>
          <w:rFonts w:hint="eastAsia" w:ascii="仿宋" w:eastAsia="仿宋" w:cs="仿宋"/>
          <w:kern w:val="2"/>
          <w:sz w:val="32"/>
          <w:szCs w:val="32"/>
          <w:lang w:eastAsia="zh-CN" w:bidi="ar-SA"/>
        </w:rPr>
        <w:t>社会保障和就业支出（类）行政事业单位养老支出（款）事业单位离退休（项）:</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0.97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auto"/>
          <w:sz w:val="32"/>
          <w:szCs w:val="32"/>
          <w:highlight w:val="none"/>
        </w:rPr>
      </w:pPr>
      <w:r>
        <w:rPr>
          <w:rStyle w:val="15"/>
          <w:rFonts w:hint="eastAsia" w:ascii="仿宋" w:hAnsi="仿宋" w:eastAsia="仿宋"/>
          <w:b w:val="0"/>
          <w:bCs w:val="0"/>
          <w:color w:val="auto"/>
          <w:sz w:val="32"/>
          <w:szCs w:val="32"/>
          <w:highlight w:val="none"/>
          <w:lang w:val="en-US" w:eastAsia="zh-CN"/>
        </w:rPr>
        <w:t>2</w:t>
      </w:r>
      <w:r>
        <w:rPr>
          <w:rStyle w:val="15"/>
          <w:rFonts w:ascii="仿宋" w:hAnsi="仿宋" w:eastAsia="仿宋"/>
          <w:b w:val="0"/>
          <w:bCs w:val="0"/>
          <w:color w:val="auto"/>
          <w:sz w:val="32"/>
          <w:szCs w:val="32"/>
          <w:highlight w:val="none"/>
        </w:rPr>
        <w:t>.</w:t>
      </w:r>
      <w:r>
        <w:rPr>
          <w:rFonts w:hint="eastAsia" w:ascii="仿宋" w:eastAsia="仿宋" w:cs="仿宋"/>
          <w:kern w:val="2"/>
          <w:sz w:val="32"/>
          <w:szCs w:val="32"/>
          <w:lang w:eastAsia="zh-CN" w:bidi="ar-SA"/>
        </w:rPr>
        <w:t>社会保障和就业支出（类）行政事业单位养老支出（款）机关事业单位基本养老保险缴费支出（项）:</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55.44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val="en-US" w:eastAsia="zh-CN" w:bidi="ar-SA"/>
        </w:rPr>
      </w:pPr>
      <w:r>
        <w:rPr>
          <w:rFonts w:hint="eastAsia" w:ascii="仿宋" w:hAnsi="仿宋" w:eastAsia="仿宋"/>
          <w:b w:val="0"/>
          <w:bCs/>
          <w:color w:val="auto"/>
          <w:sz w:val="32"/>
          <w:szCs w:val="32"/>
          <w:highlight w:val="none"/>
          <w:lang w:val="en-US" w:eastAsia="zh-CN"/>
        </w:rPr>
        <w:t>3.</w:t>
      </w:r>
      <w:r>
        <w:rPr>
          <w:rFonts w:hint="eastAsia" w:ascii="仿宋" w:eastAsia="仿宋" w:cs="仿宋"/>
          <w:kern w:val="2"/>
          <w:sz w:val="32"/>
          <w:szCs w:val="32"/>
          <w:lang w:eastAsia="zh-CN" w:bidi="ar-SA"/>
        </w:rPr>
        <w:t>社会保障和就业支出（类）行政事业单位养老支出（款）机关事业单位职业年金缴费支出（项）：支出决算为</w:t>
      </w:r>
      <w:r>
        <w:rPr>
          <w:rFonts w:hint="eastAsia" w:ascii="仿宋" w:eastAsia="仿宋" w:cs="仿宋"/>
          <w:kern w:val="2"/>
          <w:sz w:val="32"/>
          <w:szCs w:val="32"/>
          <w:lang w:val="en-US" w:eastAsia="zh-CN" w:bidi="ar-SA"/>
        </w:rPr>
        <w:t>15.43万元，完成预算 100%。</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4.</w:t>
      </w:r>
      <w:r>
        <w:rPr>
          <w:rFonts w:hint="eastAsia" w:ascii="仿宋" w:eastAsia="仿宋" w:cs="仿宋"/>
          <w:kern w:val="2"/>
          <w:sz w:val="32"/>
          <w:szCs w:val="32"/>
          <w:lang w:eastAsia="zh-CN" w:bidi="ar-SA"/>
        </w:rPr>
        <w:t>社会保障和就业支出（类）其他社会保障和就业</w:t>
      </w:r>
      <w:r>
        <w:rPr>
          <w:rFonts w:hint="eastAsia" w:ascii="仿宋" w:eastAsia="仿宋" w:cs="仿宋"/>
          <w:kern w:val="2"/>
          <w:sz w:val="32"/>
          <w:szCs w:val="32"/>
          <w:lang w:val="en-US" w:eastAsia="zh-CN" w:bidi="ar-SA"/>
        </w:rPr>
        <w:t>支出（款）其他社会保障和就业支出（项）：支出决算为10.12万元，完成预算100%。</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5.</w:t>
      </w:r>
      <w:r>
        <w:rPr>
          <w:rFonts w:hint="eastAsia" w:ascii="仿宋" w:eastAsia="仿宋" w:cs="仿宋"/>
          <w:kern w:val="2"/>
          <w:sz w:val="32"/>
          <w:szCs w:val="32"/>
          <w:lang w:eastAsia="zh-CN" w:bidi="ar-SA"/>
        </w:rPr>
        <w:t>卫生健康支出（类）行政事业单位医疗（款）事业单位医疗（项）:支出决算为</w:t>
      </w:r>
      <w:r>
        <w:rPr>
          <w:rFonts w:hint="eastAsia" w:ascii="仿宋" w:eastAsia="仿宋" w:cs="仿宋"/>
          <w:kern w:val="2"/>
          <w:sz w:val="32"/>
          <w:szCs w:val="32"/>
          <w:lang w:val="en-US" w:eastAsia="zh-CN" w:bidi="ar-SA"/>
        </w:rPr>
        <w:t>28.99万元，完成预算100%。</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eastAsia="zh-CN" w:bidi="ar-SA"/>
        </w:rPr>
      </w:pPr>
      <w:r>
        <w:rPr>
          <w:rFonts w:hint="eastAsia" w:ascii="仿宋" w:eastAsia="仿宋" w:cs="仿宋"/>
          <w:kern w:val="2"/>
          <w:sz w:val="32"/>
          <w:szCs w:val="32"/>
          <w:lang w:val="en-US" w:eastAsia="zh-CN" w:bidi="ar-SA"/>
        </w:rPr>
        <w:t>6.</w:t>
      </w:r>
      <w:r>
        <w:rPr>
          <w:rFonts w:hint="eastAsia" w:ascii="仿宋" w:eastAsia="仿宋" w:cs="仿宋"/>
          <w:kern w:val="2"/>
          <w:sz w:val="32"/>
          <w:szCs w:val="32"/>
          <w:lang w:eastAsia="zh-CN" w:bidi="ar-SA"/>
        </w:rPr>
        <w:t>交通运输支出（类）公路水路运输（款）航道维护（项）：支出决算为</w:t>
      </w:r>
      <w:r>
        <w:rPr>
          <w:rFonts w:hint="eastAsia" w:ascii="仿宋" w:eastAsia="仿宋" w:cs="仿宋"/>
          <w:kern w:val="2"/>
          <w:sz w:val="32"/>
          <w:szCs w:val="32"/>
          <w:lang w:val="en-US" w:eastAsia="zh-CN" w:bidi="ar-SA"/>
        </w:rPr>
        <w:t xml:space="preserve"> 674.03万元，完成预算99.99%。</w:t>
      </w:r>
      <w:r>
        <w:rPr>
          <w:rFonts w:hint="eastAsia" w:ascii="仿宋" w:eastAsia="仿宋" w:cs="仿宋"/>
          <w:kern w:val="2"/>
          <w:sz w:val="32"/>
          <w:szCs w:val="32"/>
          <w:lang w:eastAsia="zh-CN" w:bidi="ar-SA"/>
        </w:rPr>
        <w:t>决算数小于预算数的主要原因是结转下年继续实施。</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auto"/>
          <w:sz w:val="32"/>
          <w:szCs w:val="32"/>
          <w:highlight w:val="none"/>
        </w:rPr>
      </w:pPr>
      <w:r>
        <w:rPr>
          <w:rFonts w:hint="eastAsia" w:ascii="仿宋" w:eastAsia="仿宋" w:cs="仿宋"/>
          <w:kern w:val="2"/>
          <w:sz w:val="32"/>
          <w:szCs w:val="32"/>
          <w:lang w:val="en-US" w:eastAsia="zh-CN" w:bidi="ar-SA"/>
        </w:rPr>
        <w:t>7.</w:t>
      </w:r>
      <w:r>
        <w:rPr>
          <w:rFonts w:hint="eastAsia" w:ascii="仿宋" w:eastAsia="仿宋" w:cs="仿宋"/>
          <w:kern w:val="2"/>
          <w:sz w:val="32"/>
          <w:szCs w:val="32"/>
          <w:lang w:eastAsia="zh-CN" w:bidi="ar-SA"/>
        </w:rPr>
        <w:t>住房保障支出（类）住房改革支出（款）住房公积金（项）：支出决算为</w:t>
      </w:r>
      <w:r>
        <w:rPr>
          <w:rFonts w:hint="eastAsia" w:ascii="仿宋" w:eastAsia="仿宋" w:cs="仿宋"/>
          <w:kern w:val="2"/>
          <w:sz w:val="32"/>
          <w:szCs w:val="32"/>
          <w:lang w:val="en-US" w:eastAsia="zh-CN" w:bidi="ar-SA"/>
        </w:rPr>
        <w:t>58.45</w:t>
      </w:r>
      <w:r>
        <w:rPr>
          <w:rFonts w:hint="eastAsia" w:ascii="仿宋" w:eastAsia="仿宋" w:cs="仿宋"/>
          <w:kern w:val="2"/>
          <w:sz w:val="32"/>
          <w:szCs w:val="32"/>
          <w:lang w:eastAsia="zh-CN" w:bidi="ar-SA"/>
        </w:rPr>
        <w:t>万元，完成预算100%。</w:t>
      </w:r>
    </w:p>
    <w:p>
      <w:pPr>
        <w:tabs>
          <w:tab w:val="right" w:pos="8306"/>
        </w:tabs>
        <w:spacing w:line="600" w:lineRule="exact"/>
        <w:ind w:firstLine="640"/>
        <w:outlineLvl w:val="1"/>
        <w:rPr>
          <w:rStyle w:val="27"/>
          <w:color w:val="auto"/>
          <w:highlight w:val="none"/>
        </w:rPr>
      </w:pPr>
      <w:bookmarkStart w:id="73" w:name="_Toc15377214"/>
      <w:bookmarkStart w:id="74" w:name="_Toc23447"/>
      <w:bookmarkStart w:id="75" w:name="_Toc6951"/>
      <w:bookmarkStart w:id="76" w:name="_Toc15396608"/>
      <w:bookmarkStart w:id="77" w:name="_Toc1730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73"/>
      <w:bookmarkEnd w:id="74"/>
      <w:bookmarkEnd w:id="75"/>
      <w:bookmarkEnd w:id="76"/>
      <w:bookmarkEnd w:id="77"/>
      <w:r>
        <w:rPr>
          <w:rStyle w:val="27"/>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836.14</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756.09</w:t>
      </w:r>
      <w:r>
        <w:rPr>
          <w:rFonts w:hint="eastAsia" w:ascii="仿宋" w:hAnsi="仿宋" w:eastAsia="仿宋"/>
          <w:color w:val="auto"/>
          <w:sz w:val="32"/>
          <w:szCs w:val="32"/>
          <w:highlight w:val="none"/>
        </w:rPr>
        <w:t>万元，主要包括：基本工资、津贴补贴、绩效工资、机关事业单位基本养老保险缴费、职业年金缴费、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其他社会保障缴费、其他工资福利支出、生活补助、</w:t>
      </w:r>
      <w:r>
        <w:rPr>
          <w:rFonts w:hint="eastAsia" w:ascii="仿宋" w:hAnsi="仿宋" w:eastAsia="仿宋"/>
          <w:color w:val="auto"/>
          <w:sz w:val="32"/>
          <w:szCs w:val="32"/>
          <w:highlight w:val="none"/>
          <w:lang w:eastAsia="zh-CN"/>
        </w:rPr>
        <w:t>奖励金</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80.05</w:t>
      </w:r>
      <w:r>
        <w:rPr>
          <w:rFonts w:hint="eastAsia" w:ascii="仿宋" w:hAnsi="仿宋" w:eastAsia="仿宋"/>
          <w:color w:val="auto"/>
          <w:sz w:val="32"/>
          <w:szCs w:val="32"/>
          <w:highlight w:val="none"/>
        </w:rPr>
        <w:t>万元，主要包括：办公费、手续费、水费、电费、邮电费、物业管理费、差旅费、维修（护）费、租赁费、会议费、培训费、公务接待费、劳务费、工会经费、</w:t>
      </w:r>
      <w:r>
        <w:rPr>
          <w:rFonts w:hint="eastAsia" w:ascii="仿宋" w:hAnsi="仿宋" w:eastAsia="仿宋"/>
          <w:color w:val="auto"/>
          <w:sz w:val="32"/>
          <w:szCs w:val="32"/>
          <w:highlight w:val="none"/>
          <w:lang w:eastAsia="zh-CN"/>
        </w:rPr>
        <w:t>福利费、</w:t>
      </w:r>
      <w:r>
        <w:rPr>
          <w:rFonts w:hint="eastAsia" w:ascii="仿宋" w:hAnsi="仿宋" w:eastAsia="仿宋"/>
          <w:color w:val="auto"/>
          <w:sz w:val="32"/>
          <w:szCs w:val="32"/>
          <w:highlight w:val="none"/>
        </w:rPr>
        <w:t>公务用车运行维护费、其他交通费、其他商品和服务支出等。</w:t>
      </w:r>
    </w:p>
    <w:p>
      <w:pPr>
        <w:spacing w:line="600" w:lineRule="exact"/>
        <w:ind w:firstLine="640"/>
        <w:outlineLvl w:val="1"/>
        <w:rPr>
          <w:rStyle w:val="27"/>
          <w:rFonts w:ascii="黑体" w:hAnsi="黑体" w:eastAsia="黑体"/>
          <w:b w:val="0"/>
          <w:color w:val="auto"/>
          <w:highlight w:val="none"/>
        </w:rPr>
      </w:pPr>
      <w:bookmarkStart w:id="78" w:name="_Toc19013"/>
      <w:bookmarkStart w:id="79" w:name="_Toc15396609"/>
      <w:bookmarkStart w:id="80" w:name="_Toc15377215"/>
      <w:bookmarkStart w:id="81" w:name="_Toc27748"/>
      <w:bookmarkStart w:id="82" w:name="_Toc7983"/>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78"/>
      <w:bookmarkEnd w:id="79"/>
      <w:bookmarkEnd w:id="80"/>
      <w:bookmarkEnd w:id="81"/>
      <w:bookmarkEnd w:id="82"/>
    </w:p>
    <w:p>
      <w:pPr>
        <w:spacing w:line="600" w:lineRule="exact"/>
        <w:ind w:firstLine="640"/>
        <w:outlineLvl w:val="2"/>
        <w:rPr>
          <w:rFonts w:ascii="仿宋" w:hAnsi="仿宋" w:eastAsia="仿宋"/>
          <w:b/>
          <w:color w:val="auto"/>
          <w:sz w:val="32"/>
          <w:szCs w:val="32"/>
          <w:highlight w:val="none"/>
        </w:rPr>
      </w:pPr>
      <w:bookmarkStart w:id="83" w:name="_Toc18499"/>
      <w:bookmarkStart w:id="84" w:name="_Toc15377216"/>
      <w:r>
        <w:rPr>
          <w:rFonts w:hint="eastAsia" w:ascii="仿宋" w:hAnsi="仿宋" w:eastAsia="仿宋"/>
          <w:b/>
          <w:color w:val="auto"/>
          <w:sz w:val="32"/>
          <w:szCs w:val="32"/>
          <w:highlight w:val="none"/>
        </w:rPr>
        <w:t>（一）“三公”经费财政拨款支出决算总体情况说明</w:t>
      </w:r>
      <w:bookmarkEnd w:id="83"/>
      <w:bookmarkEnd w:id="8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2.27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75.67</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，决算数小于预算数的主要原因是进一步认真贯彻落实中央“八项规定”，严格落实市级部门单位“过紧日子”十三条措施，公务用车及公务接待费用均比上年减少。</w:t>
      </w:r>
    </w:p>
    <w:p>
      <w:pPr>
        <w:spacing w:line="600" w:lineRule="exact"/>
        <w:ind w:firstLine="640"/>
        <w:outlineLvl w:val="2"/>
        <w:rPr>
          <w:rFonts w:ascii="仿宋" w:hAnsi="仿宋" w:eastAsia="仿宋"/>
          <w:b/>
          <w:color w:val="auto"/>
          <w:sz w:val="32"/>
          <w:szCs w:val="32"/>
          <w:highlight w:val="none"/>
        </w:rPr>
      </w:pPr>
      <w:bookmarkStart w:id="85" w:name="_Toc29941"/>
      <w:bookmarkStart w:id="86" w:name="_Toc15377217"/>
      <w:r>
        <w:rPr>
          <w:rFonts w:hint="eastAsia" w:ascii="仿宋" w:hAnsi="仿宋" w:eastAsia="仿宋"/>
          <w:b/>
          <w:color w:val="auto"/>
          <w:sz w:val="32"/>
          <w:szCs w:val="32"/>
          <w:highlight w:val="none"/>
        </w:rPr>
        <w:t>（二）“三公”经费财政拨款支出决算具体情况说</w:t>
      </w:r>
      <w:bookmarkEnd w:id="85"/>
      <w:bookmarkEnd w:id="8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92.07</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7.93</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248920</wp:posOffset>
            </wp:positionH>
            <wp:positionV relativeFrom="paragraph">
              <wp:posOffset>314325</wp:posOffset>
            </wp:positionV>
            <wp:extent cx="4813935" cy="2410460"/>
            <wp:effectExtent l="5080" t="4445" r="19685" b="2349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pPr>
        <w:spacing w:line="600" w:lineRule="exact"/>
        <w:ind w:firstLine="640"/>
        <w:rPr>
          <w:rFonts w:ascii="仿宋_GB2312" w:eastAsia="仿宋_GB2312"/>
          <w:b/>
          <w:color w:val="auto"/>
          <w:sz w:val="32"/>
          <w:szCs w:val="32"/>
          <w:highlight w:val="none"/>
        </w:rPr>
      </w:pPr>
      <w:r>
        <w:rPr>
          <w:rFonts w:ascii="仿宋_GB2312" w:eastAsia="仿宋_GB2312"/>
          <w:b w:val="0"/>
          <w:bCs/>
          <w:color w:val="auto"/>
          <w:sz w:val="32"/>
          <w:szCs w:val="32"/>
          <w:highlight w:val="none"/>
        </w:rPr>
        <w:t>1.</w:t>
      </w:r>
      <w:r>
        <w:rPr>
          <w:rFonts w:hint="eastAsia" w:ascii="仿宋_GB2312" w:eastAsia="仿宋_GB2312"/>
          <w:b w:val="0"/>
          <w:bCs/>
          <w:color w:val="auto"/>
          <w:sz w:val="32"/>
          <w:szCs w:val="32"/>
          <w:highlight w:val="none"/>
        </w:rPr>
        <w:t>因公出国（境）经费支出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年初未安排预算，因公出国（境）支出决算较</w:t>
      </w:r>
      <w:r>
        <w:rPr>
          <w:rFonts w:hint="eastAsia" w:ascii="仿宋_GB2312" w:eastAsia="仿宋_GB2312"/>
          <w:color w:val="auto"/>
          <w:sz w:val="32"/>
          <w:szCs w:val="32"/>
          <w:highlight w:val="none"/>
          <w:lang w:val="en-US" w:eastAsia="zh-CN"/>
        </w:rPr>
        <w:t>2020年无变化</w:t>
      </w:r>
      <w:r>
        <w:rPr>
          <w:rStyle w:val="15"/>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公务用车购置及运行维护费支出</w:t>
      </w:r>
      <w:r>
        <w:rPr>
          <w:rFonts w:hint="eastAsia" w:ascii="仿宋_GB2312" w:eastAsia="仿宋_GB2312"/>
          <w:b w:val="0"/>
          <w:bCs/>
          <w:color w:val="auto"/>
          <w:sz w:val="32"/>
          <w:szCs w:val="32"/>
          <w:highlight w:val="none"/>
          <w:lang w:val="en-US" w:eastAsia="zh-CN"/>
        </w:rPr>
        <w:t>2.09</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0.96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31.56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p>
    <w:p>
      <w:pPr>
        <w:spacing w:line="600" w:lineRule="exact"/>
        <w:ind w:firstLine="640" w:firstLineChars="200"/>
        <w:rPr>
          <w:rFonts w:hint="eastAsia" w:ascii="仿宋_GB2312" w:eastAsia="仿宋_GB2312"/>
          <w:b/>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val="0"/>
          <w:bCs/>
          <w:color w:val="auto"/>
          <w:sz w:val="32"/>
          <w:szCs w:val="32"/>
          <w:highlight w:val="none"/>
        </w:rPr>
        <w:t>公务用车购置支出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月底，单位公务用车</w:t>
      </w:r>
      <w:r>
        <w:rPr>
          <w:rFonts w:hint="eastAsia" w:ascii="仿宋_GB2312" w:eastAsia="仿宋_GB2312"/>
          <w:color w:val="auto"/>
          <w:sz w:val="32"/>
          <w:szCs w:val="32"/>
          <w:highlight w:val="none"/>
          <w:lang w:eastAsia="zh-CN"/>
        </w:rPr>
        <w:t>保有量</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车辆类型为其他用车，用途为设置航标。</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val="0"/>
          <w:bCs/>
          <w:color w:val="auto"/>
          <w:sz w:val="32"/>
          <w:szCs w:val="32"/>
          <w:highlight w:val="none"/>
        </w:rPr>
        <w:t>公务用车运行维护费支出</w:t>
      </w:r>
      <w:r>
        <w:rPr>
          <w:rFonts w:hint="eastAsia" w:ascii="仿宋_GB2312" w:eastAsia="仿宋_GB2312"/>
          <w:b w:val="0"/>
          <w:bCs/>
          <w:color w:val="auto"/>
          <w:sz w:val="32"/>
          <w:szCs w:val="32"/>
          <w:highlight w:val="none"/>
          <w:lang w:val="en-US" w:eastAsia="zh-CN"/>
        </w:rPr>
        <w:t>2.09</w:t>
      </w:r>
      <w:r>
        <w:rPr>
          <w:rFonts w:hint="eastAsia" w:ascii="仿宋_GB2312" w:eastAsia="仿宋_GB2312"/>
          <w:color w:val="auto"/>
          <w:sz w:val="32"/>
          <w:szCs w:val="32"/>
          <w:highlight w:val="none"/>
        </w:rPr>
        <w:t>万元。主要用</w:t>
      </w:r>
      <w:r>
        <w:rPr>
          <w:rFonts w:hint="eastAsia" w:ascii="仿宋_GB2312" w:eastAsia="仿宋_GB2312"/>
          <w:color w:val="auto"/>
          <w:sz w:val="32"/>
          <w:szCs w:val="32"/>
          <w:highlight w:val="none"/>
          <w:lang w:eastAsia="zh-CN"/>
        </w:rPr>
        <w:t>于航道畅通提供维护保障</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val="0"/>
          <w:bCs/>
          <w:color w:val="auto"/>
          <w:sz w:val="32"/>
          <w:szCs w:val="32"/>
          <w:highlight w:val="none"/>
        </w:rPr>
        <w:t>3.</w:t>
      </w:r>
      <w:r>
        <w:rPr>
          <w:rFonts w:hint="eastAsia" w:ascii="仿宋_GB2312" w:eastAsia="仿宋_GB2312"/>
          <w:b w:val="0"/>
          <w:bCs/>
          <w:color w:val="auto"/>
          <w:sz w:val="32"/>
          <w:szCs w:val="32"/>
          <w:highlight w:val="none"/>
        </w:rPr>
        <w:t>公务接待费支出</w:t>
      </w:r>
      <w:r>
        <w:rPr>
          <w:rFonts w:hint="eastAsia" w:ascii="仿宋_GB2312" w:eastAsia="仿宋_GB2312"/>
          <w:b w:val="0"/>
          <w:bCs/>
          <w:color w:val="auto"/>
          <w:sz w:val="32"/>
          <w:szCs w:val="32"/>
          <w:highlight w:val="none"/>
          <w:lang w:val="en-US" w:eastAsia="zh-CN"/>
        </w:rPr>
        <w:t>0.18</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0.23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55.73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减少公务接待，厉行节约</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val="0"/>
          <w:bCs/>
          <w:color w:val="auto"/>
          <w:sz w:val="32"/>
          <w:szCs w:val="32"/>
          <w:highlight w:val="none"/>
        </w:rPr>
        <w:t>国内公务接待支出</w:t>
      </w:r>
      <w:r>
        <w:rPr>
          <w:rFonts w:hint="eastAsia" w:ascii="仿宋" w:hAnsi="仿宋" w:eastAsia="仿宋"/>
          <w:b w:val="0"/>
          <w:bCs/>
          <w:color w:val="auto"/>
          <w:sz w:val="32"/>
          <w:szCs w:val="32"/>
          <w:highlight w:val="none"/>
          <w:lang w:val="en-US" w:eastAsia="zh-CN"/>
        </w:rPr>
        <w:t>0.18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到扶贫村与村干部及贫困户代表座谈会后用餐费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44</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0.18</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：组织两村（苍溪县岳东镇青竹村、三塘村）村组干部及贫困户代表召开座谈会，会后用餐支出</w:t>
      </w:r>
      <w:r>
        <w:rPr>
          <w:rFonts w:hint="eastAsia" w:ascii="仿宋_GB2312" w:eastAsia="仿宋_GB2312"/>
          <w:color w:val="auto"/>
          <w:sz w:val="32"/>
          <w:szCs w:val="32"/>
          <w:highlight w:val="none"/>
          <w:lang w:val="en-US" w:eastAsia="zh-CN"/>
        </w:rPr>
        <w:t>0.18万元</w:t>
      </w:r>
      <w:r>
        <w:rPr>
          <w:rFonts w:hint="eastAsia" w:ascii="仿宋_GB2312" w:eastAsia="仿宋_GB2312"/>
          <w:color w:val="auto"/>
          <w:sz w:val="32"/>
          <w:szCs w:val="32"/>
          <w:highlight w:val="none"/>
        </w:rPr>
        <w:t>。</w:t>
      </w:r>
    </w:p>
    <w:p>
      <w:pPr>
        <w:spacing w:line="600" w:lineRule="exact"/>
        <w:ind w:firstLine="640" w:firstLineChars="200"/>
        <w:rPr>
          <w:rFonts w:ascii="黑体" w:eastAsia="黑体"/>
          <w:color w:val="auto"/>
          <w:sz w:val="32"/>
          <w:szCs w:val="32"/>
          <w:highlight w:val="none"/>
        </w:rPr>
      </w:pPr>
      <w:r>
        <w:rPr>
          <w:rFonts w:hint="eastAsia" w:ascii="仿宋" w:hAnsi="仿宋" w:eastAsia="仿宋"/>
          <w:b w:val="0"/>
          <w:bCs/>
          <w:color w:val="auto"/>
          <w:sz w:val="32"/>
          <w:szCs w:val="32"/>
          <w:highlight w:val="none"/>
        </w:rPr>
        <w:t>外事接待支出</w:t>
      </w:r>
      <w:r>
        <w:rPr>
          <w:rFonts w:hint="eastAsia" w:ascii="仿宋" w:hAnsi="仿宋" w:eastAsia="仿宋"/>
          <w:b w:val="0"/>
          <w:bCs/>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87" w:name="_Toc15377218"/>
      <w:bookmarkStart w:id="88" w:name="_Toc15396610"/>
    </w:p>
    <w:p>
      <w:pPr>
        <w:spacing w:line="600" w:lineRule="exact"/>
        <w:ind w:firstLine="640"/>
        <w:outlineLvl w:val="1"/>
        <w:rPr>
          <w:rStyle w:val="27"/>
          <w:rFonts w:ascii="黑体" w:hAnsi="黑体" w:eastAsia="黑体"/>
          <w:color w:val="auto"/>
          <w:highlight w:val="none"/>
        </w:rPr>
      </w:pPr>
      <w:bookmarkStart w:id="89" w:name="_Toc24769"/>
      <w:bookmarkStart w:id="90" w:name="_Toc6843"/>
      <w:bookmarkStart w:id="91" w:name="_Toc32013"/>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87"/>
      <w:bookmarkEnd w:id="88"/>
      <w:bookmarkEnd w:id="89"/>
      <w:bookmarkEnd w:id="90"/>
      <w:bookmarkEnd w:id="9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eastAsia="仿宋" w:cs="仿宋"/>
          <w:kern w:val="2"/>
          <w:sz w:val="32"/>
          <w:szCs w:val="32"/>
          <w:lang w:eastAsia="zh-CN" w:bidi="ar-SA"/>
        </w:rPr>
        <w:t>与去年持平。</w:t>
      </w:r>
      <w:bookmarkStart w:id="92" w:name="OLE_LINK1"/>
      <w:r>
        <w:rPr>
          <w:rFonts w:hint="eastAsia" w:ascii="仿宋" w:eastAsia="仿宋" w:cs="仿宋"/>
          <w:kern w:val="2"/>
          <w:sz w:val="32"/>
          <w:szCs w:val="32"/>
          <w:lang w:val="en-US" w:eastAsia="zh-CN" w:bidi="ar-SA"/>
        </w:rPr>
        <w:t>2021年本单位未在政府性基金预算拨款安排“三公经费”支出。</w:t>
      </w:r>
      <w:bookmarkEnd w:id="92"/>
    </w:p>
    <w:p>
      <w:pPr>
        <w:numPr>
          <w:ilvl w:val="0"/>
          <w:numId w:val="3"/>
        </w:numPr>
        <w:spacing w:line="600" w:lineRule="exact"/>
        <w:ind w:firstLine="640"/>
        <w:outlineLvl w:val="1"/>
        <w:rPr>
          <w:rStyle w:val="27"/>
          <w:rFonts w:ascii="黑体" w:hAnsi="黑体" w:eastAsia="黑体"/>
          <w:b w:val="0"/>
          <w:color w:val="auto"/>
          <w:highlight w:val="none"/>
        </w:rPr>
      </w:pPr>
      <w:bookmarkStart w:id="93" w:name="_Toc17065"/>
      <w:bookmarkStart w:id="94" w:name="_Toc19106"/>
      <w:bookmarkStart w:id="95" w:name="_Toc15377219"/>
      <w:bookmarkStart w:id="96" w:name="_Toc15396611"/>
      <w:bookmarkStart w:id="97" w:name="_Toc26160"/>
      <w:r>
        <w:rPr>
          <w:rStyle w:val="27"/>
          <w:rFonts w:hint="eastAsia" w:ascii="黑体" w:hAnsi="黑体" w:eastAsia="黑体"/>
          <w:b w:val="0"/>
          <w:color w:val="auto"/>
          <w:highlight w:val="none"/>
        </w:rPr>
        <w:t>国有资本经营预算支出决算情况说明</w:t>
      </w:r>
      <w:bookmarkEnd w:id="93"/>
      <w:bookmarkEnd w:id="94"/>
      <w:bookmarkEnd w:id="95"/>
      <w:bookmarkEnd w:id="96"/>
      <w:bookmarkEnd w:id="97"/>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eastAsia="仿宋" w:cs="仿宋"/>
          <w:kern w:val="2"/>
          <w:sz w:val="32"/>
          <w:szCs w:val="32"/>
          <w:lang w:eastAsia="zh-CN" w:bidi="ar-SA"/>
        </w:rPr>
        <w:t>与去年持平</w:t>
      </w:r>
      <w:r>
        <w:rPr>
          <w:rFonts w:hint="eastAsia" w:ascii="仿宋_GB2312" w:eastAsia="仿宋_GB2312"/>
          <w:color w:val="auto"/>
          <w:sz w:val="32"/>
          <w:szCs w:val="32"/>
          <w:highlight w:val="none"/>
        </w:rPr>
        <w:t>。</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98" w:name="_Toc2217"/>
      <w:bookmarkStart w:id="99" w:name="_Toc15458"/>
      <w:bookmarkStart w:id="100" w:name="_Toc20051"/>
      <w:bookmarkStart w:id="101" w:name="_Toc15377221"/>
      <w:bookmarkStart w:id="102" w:name="_Toc15396612"/>
      <w:r>
        <w:rPr>
          <w:rStyle w:val="27"/>
          <w:rFonts w:hint="eastAsia" w:ascii="黑体" w:hAnsi="黑体" w:eastAsia="黑体"/>
          <w:b w:val="0"/>
          <w:color w:val="auto"/>
          <w:highlight w:val="none"/>
          <w:lang w:val="en-US" w:eastAsia="zh-CN"/>
        </w:rPr>
        <w:t>预算绩效管理情况</w:t>
      </w:r>
      <w:bookmarkEnd w:id="98"/>
      <w:bookmarkEnd w:id="99"/>
      <w:bookmarkEnd w:id="100"/>
    </w:p>
    <w:p>
      <w:pPr>
        <w:spacing w:line="580" w:lineRule="exact"/>
        <w:ind w:firstLine="640" w:firstLineChars="200"/>
        <w:rPr>
          <w:rFonts w:hint="eastAsia"/>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扶贫、上石盘库区航道航标设置及航道设施维护</w:t>
      </w:r>
      <w:r>
        <w:rPr>
          <w:rFonts w:hint="eastAsia" w:ascii="仿宋_GB2312" w:hAnsi="仿宋_GB2312" w:eastAsia="仿宋_GB2312" w:cs="仿宋_GB2312"/>
          <w:color w:val="auto"/>
          <w:sz w:val="32"/>
          <w:szCs w:val="32"/>
          <w:highlight w:val="none"/>
          <w:lang w:val="en-US" w:eastAsia="zh-CN"/>
        </w:rPr>
        <w:t>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103" w:name="_Toc3225"/>
      <w:bookmarkStart w:id="104" w:name="_Toc8226"/>
      <w:bookmarkStart w:id="105" w:name="_Toc29544"/>
      <w:r>
        <w:rPr>
          <w:rStyle w:val="27"/>
          <w:rFonts w:hint="eastAsia" w:ascii="黑体" w:hAnsi="黑体" w:eastAsia="黑体"/>
          <w:b w:val="0"/>
          <w:color w:val="auto"/>
          <w:highlight w:val="none"/>
        </w:rPr>
        <w:t>其他重要事项的情况说明</w:t>
      </w:r>
      <w:bookmarkEnd w:id="101"/>
      <w:bookmarkEnd w:id="102"/>
      <w:bookmarkEnd w:id="103"/>
      <w:bookmarkEnd w:id="104"/>
      <w:bookmarkEnd w:id="105"/>
    </w:p>
    <w:p>
      <w:pPr>
        <w:spacing w:line="600" w:lineRule="exact"/>
        <w:ind w:firstLine="643" w:firstLineChars="200"/>
        <w:outlineLvl w:val="2"/>
        <w:rPr>
          <w:rFonts w:ascii="仿宋" w:hAnsi="仿宋" w:eastAsia="仿宋"/>
          <w:color w:val="auto"/>
          <w:sz w:val="32"/>
          <w:szCs w:val="32"/>
          <w:highlight w:val="none"/>
        </w:rPr>
      </w:pPr>
      <w:bookmarkStart w:id="106" w:name="_Toc6713"/>
      <w:bookmarkStart w:id="107" w:name="_Toc15377222"/>
      <w:r>
        <w:rPr>
          <w:rFonts w:hint="eastAsia" w:ascii="仿宋" w:hAnsi="仿宋" w:eastAsia="仿宋"/>
          <w:b/>
          <w:color w:val="auto"/>
          <w:sz w:val="32"/>
          <w:szCs w:val="32"/>
          <w:highlight w:val="none"/>
        </w:rPr>
        <w:t>（一）机关运行经费支出情况</w:t>
      </w:r>
      <w:bookmarkEnd w:id="106"/>
      <w:bookmarkEnd w:id="107"/>
    </w:p>
    <w:p>
      <w:pPr>
        <w:spacing w:line="600" w:lineRule="exact"/>
        <w:ind w:firstLine="640" w:firstLineChars="200"/>
        <w:rPr>
          <w:rFonts w:hint="eastAsia" w:ascii="仿宋" w:eastAsia="仿宋" w:cs="黑体"/>
          <w:color w:val="000000"/>
          <w:sz w:val="32"/>
          <w:szCs w:val="32"/>
          <w:lang w:eastAsia="zh-CN" w:bidi="ar-S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未发生</w:t>
      </w:r>
      <w:r>
        <w:rPr>
          <w:rFonts w:hint="eastAsia" w:ascii="仿宋" w:eastAsia="仿宋"/>
          <w:color w:val="000000"/>
          <w:sz w:val="32"/>
          <w:szCs w:val="32"/>
          <w:lang w:eastAsia="zh-CN"/>
        </w:rPr>
        <w:t>机关运行经费支出，</w:t>
      </w:r>
      <w:r>
        <w:rPr>
          <w:rFonts w:hint="eastAsia" w:ascii="仿宋" w:eastAsia="仿宋" w:cs="黑体"/>
          <w:sz w:val="32"/>
          <w:szCs w:val="32"/>
          <w:lang w:eastAsia="zh-CN" w:bidi="ar-SA"/>
        </w:rPr>
        <w:t>与</w:t>
      </w:r>
      <w:r>
        <w:rPr>
          <w:rFonts w:hint="eastAsia" w:ascii="仿宋" w:eastAsia="仿宋" w:cs="黑体"/>
          <w:sz w:val="32"/>
          <w:szCs w:val="32"/>
          <w:lang w:val="en-US" w:eastAsia="zh-CN" w:bidi="ar-SA"/>
        </w:rPr>
        <w:t>2020年决算数</w:t>
      </w:r>
      <w:r>
        <w:rPr>
          <w:rFonts w:hint="eastAsia" w:ascii="仿宋" w:eastAsia="仿宋" w:cs="黑体"/>
          <w:sz w:val="32"/>
          <w:szCs w:val="32"/>
          <w:lang w:eastAsia="zh-CN" w:bidi="ar-SA"/>
        </w:rPr>
        <w:t>持平</w:t>
      </w:r>
      <w:r>
        <w:rPr>
          <w:rFonts w:hint="eastAsia" w:ascii="仿宋" w:eastAsia="仿宋" w:cs="黑体"/>
          <w:color w:val="000000"/>
          <w:sz w:val="32"/>
          <w:szCs w:val="32"/>
          <w:lang w:eastAsia="zh-CN" w:bidi="ar-SA"/>
        </w:rPr>
        <w:t>。主要原因是本单位属于事业单位，不产生机关运行经费。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08" w:name="_Toc12300"/>
      <w:bookmarkStart w:id="109" w:name="_Toc15377223"/>
      <w:r>
        <w:rPr>
          <w:rFonts w:hint="eastAsia" w:ascii="仿宋" w:hAnsi="仿宋" w:eastAsia="仿宋"/>
          <w:b/>
          <w:color w:val="auto"/>
          <w:sz w:val="32"/>
          <w:szCs w:val="32"/>
          <w:highlight w:val="none"/>
        </w:rPr>
        <w:t>（二）政府采购支出情况</w:t>
      </w:r>
      <w:bookmarkEnd w:id="108"/>
      <w:bookmarkEnd w:id="109"/>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0万元，与去年持平。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10" w:name="_Toc17899"/>
      <w:bookmarkStart w:id="111" w:name="_Toc15377224"/>
      <w:r>
        <w:rPr>
          <w:rFonts w:hint="eastAsia" w:ascii="仿宋" w:hAnsi="仿宋" w:eastAsia="仿宋"/>
          <w:b/>
          <w:color w:val="auto"/>
          <w:sz w:val="32"/>
          <w:szCs w:val="32"/>
          <w:highlight w:val="none"/>
        </w:rPr>
        <w:t>（三）国有资产占有使用情况</w:t>
      </w:r>
      <w:bookmarkEnd w:id="110"/>
      <w:bookmarkEnd w:id="111"/>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rPr>
        <w:t>其他用车主要是用于</w:t>
      </w:r>
      <w:r>
        <w:rPr>
          <w:rFonts w:hint="eastAsia" w:ascii="仿宋" w:eastAsia="仿宋"/>
          <w:sz w:val="32"/>
          <w:szCs w:val="32"/>
          <w:lang w:eastAsia="zh-CN"/>
        </w:rPr>
        <w:t>水上应急抢险、航标设置维护。</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，设备为船舶</w:t>
      </w:r>
      <w:r>
        <w:rPr>
          <w:rFonts w:hint="eastAsia" w:ascii="仿宋_GB2312" w:eastAsia="仿宋_GB2312"/>
          <w:color w:val="auto"/>
          <w:sz w:val="32"/>
          <w:szCs w:val="32"/>
          <w:highlight w:val="none"/>
        </w:rPr>
        <w:t>。</w:t>
      </w:r>
    </w:p>
    <w:p>
      <w:pPr>
        <w:pStyle w:val="5"/>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112" w:name="_Toc15396613"/>
      <w:bookmarkStart w:id="113" w:name="_Toc21375"/>
      <w:bookmarkStart w:id="114" w:name="_Toc23478"/>
      <w:bookmarkStart w:id="115" w:name="_Toc11044"/>
      <w:bookmarkStart w:id="116"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112"/>
      <w:bookmarkEnd w:id="113"/>
      <w:bookmarkEnd w:id="114"/>
      <w:bookmarkEnd w:id="115"/>
      <w:bookmarkEnd w:id="116"/>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其他收入：指单位取得的除上述收入以外的各项收入。主要</w:t>
      </w:r>
      <w:r>
        <w:rPr>
          <w:rFonts w:hint="eastAsia" w:ascii="仿宋_GB2312" w:eastAsia="仿宋_GB2312"/>
          <w:color w:val="auto"/>
          <w:sz w:val="32"/>
          <w:szCs w:val="32"/>
          <w:highlight w:val="none"/>
          <w:lang w:eastAsia="zh-CN"/>
        </w:rPr>
        <w:t>是银行存款利息收入</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pPr>
        <w:widowControl w:val="0"/>
        <w:spacing w:after="0" w:line="580" w:lineRule="exact"/>
        <w:ind w:firstLine="640" w:firstLineChars="200"/>
        <w:jc w:val="both"/>
        <w:rPr>
          <w:rFonts w:hint="eastAsia" w:ascii="仿宋" w:eastAsia="仿宋"/>
          <w:color w:val="000000"/>
          <w:kern w:val="2"/>
          <w:sz w:val="32"/>
          <w:szCs w:val="32"/>
          <w:lang w:eastAsia="zh-CN" w:bidi="ar-SA"/>
        </w:rPr>
      </w:pPr>
      <w:r>
        <w:rPr>
          <w:rFonts w:ascii="仿宋_GB2312" w:eastAsia="仿宋_GB2312"/>
          <w:color w:val="auto"/>
          <w:sz w:val="32"/>
          <w:szCs w:val="32"/>
          <w:highlight w:val="none"/>
        </w:rPr>
        <w:t>5.</w:t>
      </w:r>
      <w:r>
        <w:rPr>
          <w:rFonts w:hint="eastAsia" w:ascii="仿宋" w:eastAsia="仿宋"/>
          <w:color w:val="000000"/>
          <w:kern w:val="2"/>
          <w:sz w:val="32"/>
          <w:szCs w:val="32"/>
          <w:lang w:eastAsia="zh-CN" w:bidi="ar-SA"/>
        </w:rPr>
        <w:t>社会保障和就业支出（类）行政事业单位养老支出（款）事业单位离退休（项）：反映事业单位开支的离退休经费。</w:t>
      </w:r>
    </w:p>
    <w:p>
      <w:pPr>
        <w:widowControl w:val="0"/>
        <w:spacing w:after="0" w:line="580" w:lineRule="exact"/>
        <w:ind w:firstLine="640" w:firstLineChars="200"/>
        <w:jc w:val="both"/>
        <w:rPr>
          <w:rFonts w:hint="eastAsia" w:ascii="仿宋" w:eastAsia="仿宋"/>
          <w:color w:val="000000"/>
          <w:kern w:val="2"/>
          <w:sz w:val="32"/>
          <w:szCs w:val="32"/>
          <w:lang w:eastAsia="zh-CN" w:bidi="ar-SA"/>
        </w:rPr>
      </w:pPr>
      <w:r>
        <w:rPr>
          <w:rFonts w:hint="eastAsia" w:ascii="仿宋" w:eastAsia="仿宋"/>
          <w:color w:val="000000"/>
          <w:kern w:val="2"/>
          <w:sz w:val="32"/>
          <w:szCs w:val="32"/>
          <w:lang w:eastAsia="zh-CN" w:bidi="ar-SA"/>
        </w:rPr>
        <w:t>6.社会保障和就业支出（类）行政事业单位养老支出（款）机关事业单位基本养老保险缴费支出（项）：反映财政部门集中安排的行政事业单位基本养老保险缴费经费。</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eastAsia="仿宋"/>
          <w:color w:val="000000"/>
          <w:kern w:val="2"/>
          <w:sz w:val="32"/>
          <w:szCs w:val="32"/>
          <w:lang w:eastAsia="zh-CN" w:bidi="ar-SA"/>
        </w:rPr>
      </w:pPr>
      <w:r>
        <w:rPr>
          <w:rFonts w:hint="eastAsia" w:ascii="仿宋" w:eastAsia="仿宋"/>
          <w:color w:val="000000"/>
          <w:kern w:val="2"/>
          <w:sz w:val="32"/>
          <w:szCs w:val="32"/>
          <w:lang w:val="en-US" w:eastAsia="zh-CN" w:bidi="ar-SA"/>
        </w:rPr>
        <w:t>7.</w:t>
      </w:r>
      <w:r>
        <w:rPr>
          <w:rFonts w:hint="eastAsia" w:ascii="仿宋" w:eastAsia="仿宋"/>
          <w:color w:val="000000"/>
          <w:kern w:val="2"/>
          <w:sz w:val="32"/>
          <w:szCs w:val="32"/>
          <w:lang w:eastAsia="zh-CN" w:bidi="ar-SA"/>
        </w:rPr>
        <w:t>社会保障和就业支出（类）其他社会保障和就业支出（款）其他社会保障和就业支出（项）：反映其他用于社会保障和就业方面的支出。</w:t>
      </w:r>
    </w:p>
    <w:p>
      <w:pPr>
        <w:widowControl w:val="0"/>
        <w:spacing w:after="0" w:line="580" w:lineRule="exact"/>
        <w:ind w:firstLine="640" w:firstLineChars="200"/>
        <w:jc w:val="both"/>
        <w:rPr>
          <w:rFonts w:hint="default"/>
          <w:lang w:val="en-US" w:eastAsia="zh-CN"/>
        </w:rPr>
      </w:pPr>
      <w:r>
        <w:rPr>
          <w:rFonts w:hint="eastAsia" w:ascii="仿宋" w:eastAsia="仿宋"/>
          <w:color w:val="000000"/>
          <w:kern w:val="2"/>
          <w:sz w:val="32"/>
          <w:szCs w:val="32"/>
          <w:lang w:val="en-US" w:eastAsia="zh-CN" w:bidi="ar-SA"/>
        </w:rPr>
        <w:t>8.</w:t>
      </w:r>
      <w:r>
        <w:rPr>
          <w:rFonts w:hint="eastAsia" w:ascii="仿宋" w:eastAsia="仿宋"/>
          <w:color w:val="000000"/>
          <w:kern w:val="2"/>
          <w:sz w:val="32"/>
          <w:szCs w:val="32"/>
          <w:lang w:eastAsia="zh-CN" w:bidi="ar-SA"/>
        </w:rPr>
        <w:t>卫生健康支出（类）行政事业单位医疗（款）事业单位医疗（项）：</w:t>
      </w:r>
      <w:r>
        <w:rPr>
          <w:rFonts w:hint="eastAsia" w:ascii="仿宋" w:eastAsia="仿宋"/>
          <w:color w:val="000000"/>
          <w:kern w:val="2"/>
          <w:sz w:val="32"/>
          <w:szCs w:val="32"/>
          <w:highlight w:val="none"/>
          <w:lang w:eastAsia="zh-CN" w:bidi="ar-SA"/>
        </w:rPr>
        <w:t>反映财政部门安排的事业单位基本医疗保险缴费经费</w:t>
      </w:r>
      <w:r>
        <w:rPr>
          <w:rFonts w:hint="eastAsia" w:ascii="仿宋" w:eastAsia="仿宋"/>
          <w:color w:val="000000"/>
          <w:kern w:val="2"/>
          <w:sz w:val="32"/>
          <w:szCs w:val="32"/>
          <w:lang w:eastAsia="zh-CN" w:bidi="ar-SA"/>
        </w:rPr>
        <w:t>。</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 w:eastAsia="仿宋"/>
          <w:color w:val="000000"/>
          <w:kern w:val="2"/>
          <w:sz w:val="32"/>
          <w:szCs w:val="32"/>
          <w:lang w:eastAsia="zh-CN" w:bidi="ar-SA"/>
        </w:rPr>
        <w:t>交通运输支出（类）公路水路运输（款）航道维护（项）：反映内河航道整治、维护方面的支出</w:t>
      </w:r>
      <w:r>
        <w:rPr>
          <w:rFonts w:hint="eastAsia" w:ascii="仿宋_GB2312" w:eastAsia="仿宋_GB2312"/>
          <w:color w:val="auto"/>
          <w:sz w:val="32"/>
          <w:szCs w:val="32"/>
          <w:highlight w:val="none"/>
        </w:rPr>
        <w:t>。</w:t>
      </w:r>
    </w:p>
    <w:p>
      <w:pPr>
        <w:widowControl w:val="0"/>
        <w:spacing w:after="0" w:line="58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 w:eastAsia="仿宋"/>
          <w:color w:val="000000"/>
          <w:kern w:val="2"/>
          <w:sz w:val="32"/>
          <w:szCs w:val="32"/>
          <w:lang w:eastAsia="zh-CN" w:bidi="ar-SA"/>
        </w:rPr>
        <w:t>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w:t>
      </w:r>
      <w:r>
        <w:rPr>
          <w:rFonts w:hint="eastAsia" w:ascii="仿宋_GB2312" w:eastAsia="仿宋_GB2312"/>
          <w:color w:val="auto"/>
          <w:sz w:val="32"/>
          <w:szCs w:val="32"/>
          <w:highlight w:val="none"/>
          <w:lang w:eastAsia="zh-CN"/>
        </w:rPr>
        <w:t>，</w:t>
      </w:r>
      <w:r>
        <w:rPr>
          <w:rFonts w:hint="eastAsia" w:ascii="仿宋_GB2312" w:eastAsia="仿宋_GB2312"/>
          <w:sz w:val="32"/>
          <w:szCs w:val="32"/>
          <w:lang w:eastAsia="zh-CN"/>
        </w:rPr>
        <w:t>因本单位属于事业单位，无机关运行经费</w:t>
      </w:r>
      <w:r>
        <w:rPr>
          <w:rFonts w:hint="eastAsia" w:ascii="仿宋_GB2312" w:eastAsia="仿宋_GB2312"/>
          <w:sz w:val="32"/>
          <w:szCs w:val="32"/>
        </w:rPr>
        <w:t>。</w:t>
      </w:r>
    </w:p>
    <w:p>
      <w:pPr>
        <w:spacing w:line="600" w:lineRule="exact"/>
        <w:jc w:val="center"/>
        <w:outlineLvl w:val="0"/>
        <w:rPr>
          <w:rStyle w:val="26"/>
          <w:rFonts w:ascii="黑体" w:hAnsi="黑体" w:eastAsia="黑体"/>
          <w:b w:val="0"/>
          <w:color w:val="auto"/>
          <w:sz w:val="32"/>
          <w:szCs w:val="32"/>
          <w:highlight w:val="none"/>
        </w:rPr>
      </w:pPr>
      <w:bookmarkStart w:id="117" w:name="_Toc15377226"/>
      <w:r>
        <w:rPr>
          <w:rFonts w:ascii="宋体"/>
          <w:b/>
          <w:color w:val="auto"/>
          <w:sz w:val="44"/>
          <w:szCs w:val="44"/>
          <w:highlight w:val="none"/>
        </w:rPr>
        <w:br w:type="page"/>
      </w:r>
      <w:bookmarkStart w:id="118" w:name="_Toc15396614"/>
      <w:bookmarkStart w:id="119" w:name="_Toc27006"/>
      <w:bookmarkStart w:id="120" w:name="_Toc15315"/>
      <w:bookmarkStart w:id="121" w:name="_Toc19226"/>
      <w:r>
        <w:rPr>
          <w:rFonts w:hint="eastAsia" w:ascii="黑体" w:hAnsi="黑体" w:eastAsia="黑体"/>
          <w:color w:val="auto"/>
          <w:sz w:val="32"/>
          <w:szCs w:val="32"/>
          <w:highlight w:val="none"/>
        </w:rPr>
        <w:t>第</w:t>
      </w:r>
      <w:r>
        <w:rPr>
          <w:rStyle w:val="26"/>
          <w:rFonts w:hint="eastAsia" w:ascii="黑体" w:hAnsi="黑体" w:eastAsia="黑体"/>
          <w:b w:val="0"/>
          <w:color w:val="auto"/>
          <w:sz w:val="32"/>
          <w:szCs w:val="32"/>
          <w:highlight w:val="none"/>
        </w:rPr>
        <w:t>四部分 附件</w:t>
      </w:r>
      <w:bookmarkEnd w:id="118"/>
      <w:bookmarkEnd w:id="119"/>
      <w:bookmarkEnd w:id="120"/>
      <w:bookmarkEnd w:id="121"/>
    </w:p>
    <w:p>
      <w:pPr>
        <w:pStyle w:val="5"/>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kern w:val="0"/>
          <w:sz w:val="32"/>
          <w:szCs w:val="32"/>
          <w:highlight w:val="none"/>
          <w:shd w:val="clear" w:color="auto" w:fill="FFFFFF"/>
          <w:lang w:val="zh-CN"/>
        </w:rPr>
        <w:t>附件</w:t>
      </w:r>
      <w:r>
        <w:rPr>
          <w:rFonts w:hint="eastAsia" w:ascii="黑体" w:hAnsi="黑体" w:eastAsia="黑体" w:cs="黑体"/>
          <w:b w:val="0"/>
          <w:bCs w:val="0"/>
          <w:color w:val="auto"/>
          <w:kern w:val="0"/>
          <w:sz w:val="32"/>
          <w:szCs w:val="32"/>
          <w:highlight w:val="none"/>
          <w:shd w:val="clear" w:color="auto" w:fill="FFFFFF"/>
          <w:lang w:val="en-US" w:eastAsia="zh-CN"/>
        </w:rPr>
        <w:t>1</w:t>
      </w:r>
    </w:p>
    <w:p>
      <w:pPr>
        <w:keepNext w:val="0"/>
        <w:keepLines w:val="0"/>
        <w:pageBreakBefore w:val="0"/>
        <w:widowControl w:val="0"/>
        <w:kinsoku/>
        <w:wordWrap/>
        <w:overflowPunct/>
        <w:topLinePunct w:val="0"/>
        <w:autoSpaceDE/>
        <w:autoSpaceDN/>
        <w:bidi w:val="0"/>
        <w:spacing w:line="600" w:lineRule="exact"/>
        <w:jc w:val="center"/>
        <w:textAlignment w:val="auto"/>
        <w:outlineLvl w:val="1"/>
        <w:rPr>
          <w:rFonts w:hint="eastAsia" w:ascii="方正小标宋简体" w:hAnsi="方正小标宋简体" w:eastAsia="方正小标宋简体" w:cs="方正小标宋简体"/>
          <w:color w:val="auto"/>
          <w:kern w:val="2"/>
          <w:sz w:val="40"/>
          <w:szCs w:val="40"/>
          <w:highlight w:val="none"/>
          <w:lang w:val="en-US" w:eastAsia="zh-CN" w:bidi="ar-SA"/>
        </w:rPr>
      </w:pPr>
      <w:bookmarkStart w:id="122" w:name="_Toc32493"/>
      <w:bookmarkStart w:id="123" w:name="_Toc8552"/>
      <w:r>
        <w:rPr>
          <w:rFonts w:hint="eastAsia" w:ascii="方正小标宋简体" w:hAnsi="方正小标宋简体" w:eastAsia="方正小标宋简体" w:cs="方正小标宋简体"/>
          <w:color w:val="auto"/>
          <w:kern w:val="2"/>
          <w:sz w:val="40"/>
          <w:szCs w:val="40"/>
          <w:highlight w:val="none"/>
          <w:lang w:val="en-US" w:eastAsia="zh-CN" w:bidi="ar-SA"/>
        </w:rPr>
        <w:t>广元市航务管理局广元航道段关于</w:t>
      </w:r>
      <w:bookmarkEnd w:id="122"/>
      <w:bookmarkEnd w:id="123"/>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上石盘库区航道航标设置及航道设施维护</w:t>
      </w:r>
      <w:r>
        <w:rPr>
          <w:rFonts w:hint="eastAsia" w:ascii="方正小标宋简体" w:hAnsi="方正小标宋简体" w:eastAsia="方正小标宋简体" w:cs="方正小标宋简体"/>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lang w:val="zh-CN"/>
        </w:rPr>
      </w:pPr>
      <w:bookmarkStart w:id="124" w:name="_Toc16713"/>
      <w:bookmarkStart w:id="125" w:name="_Toc16671"/>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bookmarkEnd w:id="124"/>
      <w:bookmarkEnd w:id="125"/>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rPr>
        <w:t>2021年度我段申报项目预算6.78万元，项目名称是上石盘库区航道航标设置及航道设施维护，项目年度目标是完成上石盘电站大坝至老城铁路桥计13公里四级航道一类维护：对航道内设置的34座太阳能遥控遥测航标灯及汛期用34座钢质浮鼓航标进行移设、清洗、除锈、油漆、检修及航标更新、补缺等；对航道维护观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令航道达到夜航标准。</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宋体" w:eastAsia="仿宋_GB2312" w:cs="Times New Roman"/>
          <w:color w:val="auto"/>
          <w:sz w:val="32"/>
          <w:szCs w:val="32"/>
          <w:highlight w:val="yellow"/>
          <w:lang w:val="zh-CN"/>
        </w:rPr>
      </w:pPr>
      <w:r>
        <w:rPr>
          <w:rFonts w:hint="eastAsia" w:ascii="仿宋_GB2312" w:hAnsi="仿宋_GB2312" w:eastAsia="仿宋_GB2312" w:cs="仿宋_GB2312"/>
          <w:sz w:val="32"/>
          <w:szCs w:val="32"/>
        </w:rPr>
        <w:t>该项目主要内容是对上石盘电站大坝至老城铁路桥计13公里四级航道进行一类维护，我段</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制作沉块8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个，购买钢丝2</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米及航标维护船舶油料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。维护上石盘库区航道及航道设施，扎实推进航道维护各项工作，</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2021年底</w:t>
      </w:r>
      <w:r>
        <w:rPr>
          <w:rFonts w:hint="eastAsia" w:ascii="仿宋_GB2312" w:hAnsi="仿宋_GB2312" w:eastAsia="仿宋_GB2312" w:cs="仿宋_GB2312"/>
          <w:sz w:val="32"/>
          <w:szCs w:val="32"/>
          <w:lang w:eastAsia="zh-CN"/>
        </w:rPr>
        <w:t>通航率达到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对航标进行维护，</w:t>
      </w:r>
      <w:r>
        <w:rPr>
          <w:rFonts w:hint="eastAsia" w:ascii="仿宋_GB2312" w:hAnsi="仿宋_GB2312" w:eastAsia="仿宋_GB2312" w:cs="仿宋_GB2312"/>
          <w:sz w:val="32"/>
          <w:szCs w:val="32"/>
          <w:lang w:eastAsia="zh-CN"/>
        </w:rPr>
        <w:t>更换</w:t>
      </w:r>
      <w:r>
        <w:rPr>
          <w:rFonts w:hint="eastAsia" w:ascii="仿宋_GB2312" w:hAnsi="仿宋_GB2312" w:eastAsia="仿宋_GB2312" w:cs="仿宋_GB2312"/>
          <w:sz w:val="32"/>
          <w:szCs w:val="32"/>
        </w:rPr>
        <w:t>沉块、钢丝等设施设备。该项目申报内容</w:t>
      </w:r>
      <w:r>
        <w:rPr>
          <w:rFonts w:hint="eastAsia" w:ascii="仿宋_GB2312" w:hAnsi="仿宋_GB2312" w:eastAsia="仿宋_GB2312" w:cs="仿宋_GB2312"/>
          <w:sz w:val="32"/>
          <w:szCs w:val="32"/>
          <w:lang w:eastAsia="zh-CN"/>
        </w:rPr>
        <w:t>与实际相符</w:t>
      </w:r>
      <w:r>
        <w:rPr>
          <w:rFonts w:hint="eastAsia" w:ascii="仿宋_GB2312" w:hAnsi="仿宋_GB2312" w:eastAsia="仿宋_GB2312" w:cs="仿宋_GB2312"/>
          <w:sz w:val="32"/>
          <w:szCs w:val="32"/>
        </w:rPr>
        <w:t>，申报目标合理可行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28"/>
        </w:rPr>
        <w:t>我</w:t>
      </w:r>
      <w:r>
        <w:rPr>
          <w:rFonts w:hint="eastAsia" w:ascii="仿宋_GB2312" w:hAnsi="宋体" w:eastAsia="仿宋_GB2312"/>
          <w:sz w:val="32"/>
          <w:szCs w:val="28"/>
          <w:lang w:eastAsia="zh-CN"/>
        </w:rPr>
        <w:t>段</w:t>
      </w:r>
      <w:r>
        <w:rPr>
          <w:rFonts w:hint="eastAsia" w:ascii="仿宋_GB2312" w:hAnsi="宋体" w:eastAsia="仿宋_GB2312"/>
          <w:sz w:val="32"/>
          <w:szCs w:val="28"/>
        </w:rPr>
        <w:t>严格按照《202</w:t>
      </w:r>
      <w:r>
        <w:rPr>
          <w:rFonts w:hint="eastAsia" w:ascii="仿宋_GB2312" w:hAnsi="宋体" w:eastAsia="仿宋_GB2312"/>
          <w:sz w:val="32"/>
          <w:szCs w:val="28"/>
          <w:lang w:val="en-US" w:eastAsia="zh-CN"/>
        </w:rPr>
        <w:t>1</w:t>
      </w:r>
      <w:r>
        <w:rPr>
          <w:rFonts w:hint="eastAsia" w:ascii="仿宋_GB2312" w:hAnsi="宋体" w:eastAsia="仿宋_GB2312"/>
          <w:sz w:val="32"/>
          <w:szCs w:val="28"/>
        </w:rPr>
        <w:t>年市本级项目支出绩效评价指标体系》对项目支出进行了认真全面的自评，并组织相关科室对自评工作进行再评价，以此作为项目支出绩效自评。经自评，项目整体</w:t>
      </w:r>
      <w:r>
        <w:rPr>
          <w:rFonts w:hint="eastAsia" w:ascii="仿宋_GB2312" w:hAnsi="宋体" w:eastAsia="仿宋_GB2312" w:cs="宋体"/>
          <w:kern w:val="0"/>
          <w:sz w:val="32"/>
          <w:szCs w:val="28"/>
          <w:lang w:val="zh-CN"/>
        </w:rPr>
        <w:t>支出绩效情况较好。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bookmarkStart w:id="126" w:name="_Toc5998"/>
      <w:bookmarkStart w:id="127" w:name="_Toc17245"/>
      <w:r>
        <w:rPr>
          <w:rFonts w:hint="eastAsia" w:ascii="黑体" w:hAnsi="宋体" w:eastAsia="黑体" w:cs="Times New Roman"/>
          <w:color w:val="auto"/>
          <w:sz w:val="32"/>
          <w:szCs w:val="32"/>
          <w:highlight w:val="none"/>
        </w:rPr>
        <w:t>二、项目资金申报及使用情况</w:t>
      </w:r>
      <w:bookmarkEnd w:id="126"/>
      <w:bookmarkEnd w:id="127"/>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仿宋_GB2312" w:cs="Times New Roman"/>
          <w:b/>
          <w:color w:val="auto"/>
          <w:sz w:val="32"/>
          <w:szCs w:val="32"/>
          <w:highlight w:val="none"/>
          <w:lang w:val="zh-CN" w:eastAsia="zh-CN"/>
        </w:rPr>
      </w:pPr>
      <w:r>
        <w:rPr>
          <w:rFonts w:hint="eastAsia" w:ascii="仿宋_GB2312" w:hAnsi="仿宋_GB2312" w:eastAsia="仿宋_GB2312" w:cs="仿宋_GB2312"/>
          <w:sz w:val="32"/>
          <w:szCs w:val="32"/>
          <w:highlight w:val="none"/>
        </w:rPr>
        <w:t>该项目</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lang w:val="en-US" w:eastAsia="zh-CN"/>
        </w:rPr>
        <w:t>6.78万元</w:t>
      </w: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lang w:val="en-US" w:eastAsia="zh-CN"/>
        </w:rPr>
        <w:t>广元市财政局批复并设立，</w:t>
      </w:r>
      <w:r>
        <w:rPr>
          <w:rFonts w:hint="eastAsia" w:ascii="仿宋_GB2312" w:hAnsi="仿宋_GB2312" w:eastAsia="仿宋_GB2312" w:cs="仿宋_GB2312"/>
          <w:sz w:val="32"/>
          <w:szCs w:val="32"/>
          <w:highlight w:val="none"/>
          <w:lang w:eastAsia="zh-CN"/>
        </w:rPr>
        <w:t>无预算调整情况</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仿宋_GB2312" w:hAnsi="宋体" w:eastAsia="仿宋_GB2312"/>
          <w:sz w:val="32"/>
          <w:szCs w:val="32"/>
          <w:lang w:val="zh-CN"/>
        </w:rPr>
        <w:t>该项目资金来源于市财政资金，无其他渠道资金。</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仿宋_GB2312" w:hAnsi="仿宋_GB2312" w:eastAsia="仿宋_GB2312" w:cs="仿宋_GB2312"/>
          <w:sz w:val="32"/>
          <w:szCs w:val="32"/>
        </w:rPr>
        <w:t>该项目资金于2021年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月通过政府财政管理信息系统全部下达到我单位，资金到位率100%，资金到位及时，对该项目的有序开展提供了资金保障。</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资金使用。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仿宋_GB2312" w:hAnsi="仿宋_GB2312" w:eastAsia="仿宋_GB2312" w:cs="仿宋_GB2312"/>
          <w:sz w:val="32"/>
          <w:szCs w:val="32"/>
        </w:rPr>
        <w:t>截止评价时点，该项目资金已经支付完毕。项目资金</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范围与年初项目预算内容完全相符，资金支付进度根据项目实施进度有序进行，支付依据合规合法，资金支付</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与预算数相符。</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项目财务管理情况。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rPr>
        <w:t>该项目财务管理制度建设基本完善，会计核算准确，账务处理严格按照会计制度进行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对照项目资金管理办法，该项目严格执行财务管理制度，财务处理及时，会计核算规范。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黑体" w:hAnsi="宋体" w:eastAsia="黑体" w:cs="Times New Roman"/>
          <w:color w:val="auto"/>
          <w:sz w:val="32"/>
          <w:szCs w:val="32"/>
          <w:highlight w:val="none"/>
        </w:rPr>
      </w:pPr>
      <w:bookmarkStart w:id="128" w:name="_Toc11683"/>
      <w:bookmarkStart w:id="129" w:name="_Toc3521"/>
      <w:r>
        <w:rPr>
          <w:rFonts w:hint="eastAsia" w:ascii="黑体" w:hAnsi="宋体" w:eastAsia="黑体" w:cs="Times New Roman"/>
          <w:color w:val="auto"/>
          <w:sz w:val="32"/>
          <w:szCs w:val="32"/>
          <w:highlight w:val="none"/>
        </w:rPr>
        <w:t>三、项目实施及管理情况</w:t>
      </w:r>
      <w:bookmarkEnd w:id="128"/>
      <w:bookmarkEnd w:id="129"/>
    </w:p>
    <w:p>
      <w:pPr>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left="-91" w:leftChars="0" w:firstLine="720" w:firstLineChars="0"/>
        <w:textAlignment w:val="auto"/>
        <w:outlineLvl w:val="2"/>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项目组织架构及实施流程。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楷体_GB2312" w:hAnsi="宋体" w:eastAsia="仿宋" w:cs="Times New Roman"/>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zh-CN"/>
          <w14:textFill>
            <w14:solidFill>
              <w14:schemeClr w14:val="tx1"/>
            </w14:solidFill>
          </w14:textFill>
        </w:rPr>
        <w:t>根据预算申报的内容，该项目的实施过程，先经过</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干部职工</w:t>
      </w:r>
      <w:r>
        <w:rPr>
          <w:rFonts w:hint="eastAsia" w:ascii="仿宋" w:hAnsi="仿宋" w:eastAsia="仿宋" w:cs="仿宋"/>
          <w:b w:val="0"/>
          <w:bCs/>
          <w:color w:val="000000" w:themeColor="text1"/>
          <w:sz w:val="32"/>
          <w:szCs w:val="32"/>
          <w:highlight w:val="none"/>
          <w:lang w:val="zh-CN"/>
          <w14:textFill>
            <w14:solidFill>
              <w14:schemeClr w14:val="tx1"/>
            </w14:solidFill>
          </w14:textFill>
        </w:rPr>
        <w:t>开会实行表决，决定项目实施人员，</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再</w:t>
      </w:r>
      <w:r>
        <w:rPr>
          <w:rFonts w:hint="eastAsia" w:ascii="仿宋" w:hAnsi="仿宋" w:eastAsia="仿宋" w:cs="仿宋"/>
          <w:b w:val="0"/>
          <w:bCs/>
          <w:color w:val="000000" w:themeColor="text1"/>
          <w:sz w:val="32"/>
          <w:szCs w:val="32"/>
          <w:highlight w:val="none"/>
          <w:lang w:val="zh-CN"/>
          <w14:textFill>
            <w14:solidFill>
              <w14:schemeClr w14:val="tx1"/>
            </w14:solidFill>
          </w14:textFill>
        </w:rPr>
        <w:t>根据相关管理制度，严格控制成本，</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以达到资金高效利用。</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（二）项目管理情况。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b/>
          <w:color w:val="FF0000"/>
          <w:sz w:val="32"/>
          <w:szCs w:val="32"/>
          <w:highlight w:val="none"/>
          <w:lang w:val="zh-CN"/>
        </w:rPr>
      </w:pPr>
      <w:r>
        <w:rPr>
          <w:rFonts w:hint="eastAsia" w:ascii="仿宋_GB2312" w:hAnsi="宋体" w:eastAsia="仿宋_GB2312"/>
          <w:sz w:val="32"/>
          <w:szCs w:val="28"/>
        </w:rPr>
        <w:t>在项目资金使用中，我</w:t>
      </w:r>
      <w:r>
        <w:rPr>
          <w:rFonts w:hint="eastAsia" w:ascii="仿宋_GB2312" w:hAnsi="宋体" w:eastAsia="仿宋_GB2312"/>
          <w:sz w:val="32"/>
          <w:szCs w:val="28"/>
          <w:lang w:eastAsia="zh-CN"/>
        </w:rPr>
        <w:t>段</w:t>
      </w:r>
      <w:r>
        <w:rPr>
          <w:rFonts w:hint="eastAsia" w:ascii="仿宋_GB2312" w:hAnsi="宋体" w:eastAsia="仿宋_GB2312"/>
          <w:sz w:val="32"/>
          <w:szCs w:val="28"/>
        </w:rPr>
        <w:t>严格执行相关法律法规，项目从立项、公开、组织实施均严格按相关规定执行，符合国家及财政相关政策规定，项目申报符合国家政策，符合地方经济社会的发展需要，具有明确的项目实施主体及实施决策程序。同时，我</w:t>
      </w:r>
      <w:r>
        <w:rPr>
          <w:rFonts w:hint="eastAsia" w:ascii="仿宋_GB2312" w:hAnsi="宋体" w:eastAsia="仿宋_GB2312"/>
          <w:sz w:val="32"/>
          <w:szCs w:val="28"/>
          <w:lang w:eastAsia="zh-CN"/>
        </w:rPr>
        <w:t>段</w:t>
      </w:r>
      <w:r>
        <w:rPr>
          <w:rFonts w:hint="eastAsia" w:ascii="仿宋_GB2312" w:hAnsi="宋体" w:eastAsia="仿宋_GB2312"/>
          <w:sz w:val="32"/>
          <w:szCs w:val="28"/>
        </w:rPr>
        <w:t>制定了较完整的内部建设管理制度，并严格遵守执行，项目管理较规范。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29" w:leftChars="0"/>
        <w:textAlignment w:val="auto"/>
        <w:outlineLvl w:val="2"/>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（三）项目监管情况。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_GB2312" w:hAnsi="宋体" w:eastAsia="仿宋_GB2312" w:cs="Times New Roman"/>
          <w:b/>
          <w:color w:val="FF0000"/>
          <w:sz w:val="32"/>
          <w:szCs w:val="32"/>
          <w:highlight w:val="none"/>
          <w:lang w:val="zh-CN" w:eastAsia="zh-CN"/>
        </w:rPr>
      </w:pPr>
      <w:r>
        <w:rPr>
          <w:rFonts w:hint="eastAsia" w:ascii="仿宋_GB2312" w:hAnsi="宋体" w:eastAsia="仿宋_GB2312"/>
          <w:sz w:val="32"/>
          <w:szCs w:val="28"/>
          <w:lang w:val="en-US" w:eastAsia="zh-CN"/>
        </w:rPr>
        <w:t>市交通运输局</w:t>
      </w:r>
      <w:r>
        <w:rPr>
          <w:rFonts w:hint="eastAsia" w:ascii="仿宋_GB2312" w:hAnsi="宋体" w:eastAsia="仿宋_GB2312"/>
          <w:sz w:val="32"/>
          <w:szCs w:val="28"/>
        </w:rPr>
        <w:t>相关科室对项目建设程序、实施进度、项目质量、资金使用及财务管理等进行全程监管。在项目预算的编制、立项报批等工作方面积极给予支持，确保项目顺利实施，为项目的全面展开奠定了坚实的基础</w:t>
      </w:r>
      <w:r>
        <w:rPr>
          <w:rFonts w:hint="eastAsia" w:ascii="仿宋_GB2312" w:hAnsi="宋体" w:eastAsia="仿宋_GB2312"/>
          <w:sz w:val="32"/>
          <w:szCs w:val="28"/>
          <w:lang w:eastAsia="zh-CN"/>
        </w:rPr>
        <w:t>。</w:t>
      </w:r>
      <w:r>
        <w:rPr>
          <w:rFonts w:hint="eastAsia" w:ascii="仿宋_GB2312" w:hAnsi="宋体" w:eastAsia="仿宋_GB2312"/>
          <w:sz w:val="32"/>
          <w:szCs w:val="28"/>
        </w:rPr>
        <w:t>坚持事前、事中、事后的质量监控、安全监管，按绩效目标要求开展项目进度、质量、安全大检查，要求项目严格执行实施程序、规范资金使用、遵守财经纪律，确保</w:t>
      </w:r>
      <w:r>
        <w:rPr>
          <w:rFonts w:hint="eastAsia" w:ascii="仿宋_GB2312" w:hAnsi="宋体" w:eastAsia="仿宋_GB2312"/>
          <w:sz w:val="32"/>
          <w:szCs w:val="28"/>
          <w:lang w:eastAsia="zh-CN"/>
        </w:rPr>
        <w:t>了</w:t>
      </w:r>
      <w:r>
        <w:rPr>
          <w:rFonts w:hint="eastAsia" w:ascii="仿宋_GB2312" w:hAnsi="宋体" w:eastAsia="仿宋_GB2312"/>
          <w:sz w:val="32"/>
          <w:szCs w:val="28"/>
        </w:rPr>
        <w:t>项目有序推进，按期高质量完成，及时发挥社会效益</w:t>
      </w:r>
      <w:r>
        <w:rPr>
          <w:rFonts w:hint="eastAsia" w:ascii="仿宋_GB2312" w:hAnsi="宋体" w:eastAsia="仿宋_GB2312"/>
          <w:sz w:val="32"/>
          <w:szCs w:val="28"/>
          <w:lang w:val="en-US" w:eastAsia="zh-CN"/>
        </w:rPr>
        <w:t>和经济效益</w:t>
      </w:r>
      <w:r>
        <w:rPr>
          <w:rFonts w:hint="eastAsia" w:ascii="仿宋_GB2312" w:hAnsi="宋体" w:eastAsia="仿宋_GB2312"/>
          <w:sz w:val="32"/>
          <w:szCs w:val="28"/>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eastAsia="仿宋_GB2312" w:cs="Times New Roman"/>
          <w:color w:val="auto"/>
          <w:sz w:val="32"/>
          <w:szCs w:val="32"/>
          <w:highlight w:val="none"/>
          <w:lang w:val="zh-CN"/>
        </w:rPr>
      </w:pPr>
      <w:bookmarkStart w:id="130" w:name="_Toc3885"/>
      <w:bookmarkStart w:id="131" w:name="_Toc29856"/>
      <w:r>
        <w:rPr>
          <w:rFonts w:hint="eastAsia" w:ascii="黑体" w:hAnsi="宋体" w:eastAsia="黑体" w:cs="Times New Roman"/>
          <w:color w:val="auto"/>
          <w:sz w:val="32"/>
          <w:szCs w:val="32"/>
          <w:highlight w:val="none"/>
        </w:rPr>
        <w:t>四、项目绩效情况</w:t>
      </w:r>
      <w:bookmarkEnd w:id="130"/>
      <w:bookmarkEnd w:id="131"/>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lang w:eastAsia="zh-CN"/>
        </w:rPr>
        <w:t>截止评价时点，</w:t>
      </w:r>
      <w:r>
        <w:rPr>
          <w:rFonts w:hint="eastAsia" w:ascii="仿宋_GB2312" w:hAnsi="仿宋_GB2312" w:eastAsia="仿宋_GB2312" w:cs="仿宋_GB2312"/>
          <w:sz w:val="32"/>
          <w:szCs w:val="32"/>
        </w:rPr>
        <w:t>制作沉块8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个，购买钢丝2</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米，船舶油料、航标吊装支出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万元，截止评价时点，已完成航标沉块、船舶油料、船舶液压油、钢丝购买，并严格按照采购的要求控制成本，在正规商家购买合格物资，按时按量的完成了该项目的实施</w:t>
      </w:r>
      <w:r>
        <w:rPr>
          <w:rFonts w:hint="eastAsia" w:ascii="仿宋_GB2312" w:hAnsi="仿宋_GB2312" w:eastAsia="仿宋_GB2312" w:cs="仿宋_GB2312"/>
          <w:sz w:val="32"/>
          <w:szCs w:val="32"/>
          <w:lang w:eastAsia="zh-CN"/>
        </w:rPr>
        <w:t>，资金无结余。</w:t>
      </w:r>
      <w:r>
        <w:rPr>
          <w:rFonts w:ascii="仿宋" w:hAnsi="仿宋" w:eastAsia="仿宋" w:cs="仿宋"/>
          <w:sz w:val="32"/>
          <w:szCs w:val="32"/>
        </w:rPr>
        <w:t xml:space="preserve"> </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rPr>
        <w:t>该项目在经济效益方面节约了航道疏浚维护费用；在社会效益方面保障了航道畅通，改善了水上交通环境；生态效益方面构建了畅通、高效、平安、绿色的航道；在可持续效益方面实现了航道可持续发展；在满意度方面确保了人民群众满意。</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bookmarkStart w:id="132" w:name="_Toc12718"/>
      <w:bookmarkStart w:id="133" w:name="_Toc8621"/>
      <w:r>
        <w:rPr>
          <w:rFonts w:hint="eastAsia" w:ascii="黑体" w:hAnsi="宋体" w:eastAsia="黑体" w:cs="Times New Roman"/>
          <w:color w:val="auto"/>
          <w:sz w:val="32"/>
          <w:szCs w:val="32"/>
          <w:highlight w:val="none"/>
        </w:rPr>
        <w:t>五、评价结论及建议</w:t>
      </w:r>
      <w:bookmarkEnd w:id="132"/>
      <w:bookmarkEnd w:id="133"/>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 w:hAnsi="仿宋" w:eastAsia="仿宋" w:cs="仿宋_GB2312"/>
          <w:sz w:val="32"/>
          <w:szCs w:val="32"/>
        </w:rPr>
        <w:t>根据</w:t>
      </w:r>
      <w:r>
        <w:rPr>
          <w:rFonts w:ascii="仿宋" w:hAnsi="仿宋" w:eastAsia="仿宋" w:cs="仿宋_GB2312"/>
          <w:sz w:val="32"/>
          <w:szCs w:val="32"/>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w:t>
      </w:r>
      <w:r>
        <w:rPr>
          <w:rFonts w:hint="eastAsia" w:ascii="仿宋" w:hAnsi="仿宋" w:eastAsia="仿宋" w:cs="仿宋_GB2312"/>
          <w:sz w:val="32"/>
          <w:szCs w:val="32"/>
          <w:lang w:val="en-US" w:eastAsia="zh-CN"/>
        </w:rPr>
        <w:t>专项预算项目</w:t>
      </w:r>
      <w:r>
        <w:rPr>
          <w:rFonts w:hint="eastAsia" w:ascii="仿宋" w:hAnsi="仿宋" w:eastAsia="仿宋" w:cs="仿宋_GB2312"/>
          <w:sz w:val="32"/>
          <w:szCs w:val="32"/>
        </w:rPr>
        <w:t>支出自评结果，我</w:t>
      </w:r>
      <w:r>
        <w:rPr>
          <w:rFonts w:hint="eastAsia" w:ascii="仿宋" w:hAnsi="仿宋" w:eastAsia="仿宋" w:cs="仿宋_GB2312"/>
          <w:sz w:val="32"/>
          <w:szCs w:val="32"/>
          <w:lang w:val="en-US" w:eastAsia="zh-CN"/>
        </w:rPr>
        <w:t>段</w:t>
      </w:r>
      <w:r>
        <w:rPr>
          <w:rFonts w:hint="eastAsia" w:ascii="仿宋" w:hAnsi="仿宋" w:eastAsia="仿宋" w:cs="仿宋_GB2312"/>
          <w:sz w:val="32"/>
          <w:szCs w:val="32"/>
        </w:rPr>
        <w:t>预算执行</w:t>
      </w:r>
      <w:r>
        <w:rPr>
          <w:rFonts w:hint="eastAsia" w:ascii="仿宋" w:hAnsi="仿宋" w:eastAsia="仿宋" w:cs="仿宋_GB2312"/>
          <w:sz w:val="32"/>
          <w:szCs w:val="32"/>
          <w:lang w:val="en-US" w:eastAsia="zh-CN"/>
        </w:rPr>
        <w:t>及项目</w:t>
      </w:r>
      <w:r>
        <w:rPr>
          <w:rFonts w:hint="eastAsia" w:ascii="仿宋" w:hAnsi="仿宋" w:eastAsia="仿宋" w:cs="仿宋_GB2312"/>
          <w:sz w:val="32"/>
          <w:szCs w:val="32"/>
        </w:rPr>
        <w:t>支出绩效总体良好，</w:t>
      </w:r>
      <w:r>
        <w:rPr>
          <w:rFonts w:hint="eastAsia" w:ascii="仿宋" w:hAnsi="仿宋" w:eastAsia="仿宋" w:cs="仿宋_GB2312"/>
          <w:sz w:val="32"/>
          <w:szCs w:val="32"/>
          <w:lang w:val="en-US" w:eastAsia="zh-CN"/>
        </w:rPr>
        <w:t>项目决策程序完备，</w:t>
      </w:r>
      <w:r>
        <w:rPr>
          <w:rFonts w:hint="eastAsia" w:ascii="仿宋" w:hAnsi="仿宋" w:eastAsia="仿宋" w:cs="仿宋_GB2312"/>
          <w:sz w:val="32"/>
          <w:szCs w:val="32"/>
        </w:rPr>
        <w:t>确保</w:t>
      </w:r>
      <w:r>
        <w:rPr>
          <w:rFonts w:hint="eastAsia" w:ascii="仿宋" w:hAnsi="仿宋" w:eastAsia="仿宋" w:cs="仿宋_GB2312"/>
          <w:sz w:val="32"/>
          <w:szCs w:val="32"/>
          <w:lang w:eastAsia="zh-CN"/>
        </w:rPr>
        <w:t>了</w:t>
      </w:r>
      <w:r>
        <w:rPr>
          <w:rFonts w:hint="eastAsia" w:ascii="仿宋" w:hAnsi="仿宋" w:eastAsia="仿宋" w:cs="仿宋_GB2312"/>
          <w:sz w:val="32"/>
          <w:szCs w:val="32"/>
          <w:lang w:val="en-US" w:eastAsia="zh-CN"/>
        </w:rPr>
        <w:t>上石盘库区航道的安全通航，有效满足了航道使用者的现实需要。</w:t>
      </w:r>
      <w:r>
        <w:rPr>
          <w:rFonts w:hint="eastAsia" w:ascii="仿宋" w:hAnsi="仿宋" w:eastAsia="仿宋" w:cs="仿宋_GB2312"/>
          <w:sz w:val="32"/>
          <w:szCs w:val="32"/>
        </w:rPr>
        <w:t>整个预算执行过程中，没有违纪违规情况发生，做到了资金专款专用。</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ab/>
      </w:r>
      <w:r>
        <w:rPr>
          <w:rFonts w:hint="eastAsia" w:ascii="仿宋_GB2312" w:hAnsi="仿宋_GB2312" w:eastAsia="仿宋_GB2312" w:cs="仿宋_GB2312"/>
          <w:sz w:val="32"/>
          <w:szCs w:val="32"/>
        </w:rPr>
        <w:t>该项目在实施过程中预算编制水平有待提高，资金管理使用水平还需进一步加强。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下一步我段要严格按照《航道法》、《四川省航道条例》、《航道养护管理规定》、《航道养护技术规范》等法律法规和规章，科学编制航道项目预算，提高资金管理使用水平，确保航道安全通畅，促进水运事业高效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72" w:lineRule="exact"/>
        <w:jc w:val="left"/>
        <w:textAlignment w:val="auto"/>
        <w:outlineLvl w:val="1"/>
        <w:rPr>
          <w:rFonts w:hint="default" w:ascii="黑体" w:hAnsi="黑体" w:eastAsia="黑体" w:cs="黑体"/>
          <w:color w:val="auto"/>
          <w:sz w:val="32"/>
          <w:szCs w:val="32"/>
          <w:highlight w:val="none"/>
          <w:lang w:val="en-US" w:eastAsia="zh-CN"/>
        </w:rPr>
      </w:pPr>
      <w:bookmarkStart w:id="134" w:name="_Toc32756"/>
      <w:bookmarkStart w:id="135" w:name="_Toc6693"/>
      <w:bookmarkStart w:id="136" w:name="_Toc6673"/>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val="en-US" w:eastAsia="zh-CN"/>
        </w:rPr>
        <w:t>表</w:t>
      </w:r>
      <w:bookmarkEnd w:id="134"/>
      <w:bookmarkEnd w:id="135"/>
      <w:bookmarkEnd w:id="136"/>
      <w:r>
        <w:rPr>
          <w:rFonts w:hint="eastAsia" w:ascii="黑体" w:hAnsi="黑体" w:eastAsia="黑体" w:cs="黑体"/>
          <w:color w:val="auto"/>
          <w:sz w:val="32"/>
          <w:szCs w:val="32"/>
          <w:highlight w:val="none"/>
          <w:lang w:val="en-US" w:eastAsia="zh-CN"/>
        </w:rPr>
        <w:t>1</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1400"/>
        <w:gridCol w:w="1395"/>
        <w:gridCol w:w="1950"/>
        <w:gridCol w:w="1740"/>
        <w:gridCol w:w="2404"/>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137" w:name="_Toc15396618"/>
            <w:r>
              <w:rPr>
                <w:rFonts w:hint="eastAsia" w:ascii="宋体" w:hAnsi="宋体" w:eastAsia="宋体" w:cs="宋体"/>
                <w:b/>
                <w:i w:val="0"/>
                <w:color w:val="auto"/>
                <w:sz w:val="32"/>
                <w:szCs w:val="32"/>
                <w:highlight w:val="none"/>
                <w:u w:val="none"/>
                <w:lang w:val="en-US" w:eastAsia="zh-CN"/>
              </w:rPr>
              <w:t>2021年预算项目绩效目标自评</w:t>
            </w:r>
          </w:p>
        </w:tc>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54" w:hRule="atLeast"/>
        </w:trPr>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广元市港航发展中心</w:t>
            </w:r>
            <w:r>
              <w:rPr>
                <w:rFonts w:hint="eastAsia" w:ascii="宋体" w:hAnsi="宋体" w:cs="宋体"/>
                <w:i w:val="0"/>
                <w:color w:val="auto"/>
                <w:sz w:val="24"/>
                <w:szCs w:val="24"/>
                <w:u w:val="none"/>
                <w:lang w:val="en-US" w:eastAsia="zh-CN"/>
              </w:rPr>
              <w:t>610601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41" w:hRule="atLeast"/>
        </w:trPr>
        <w:tc>
          <w:tcPr>
            <w:tcW w:w="20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5" w:hRule="atLeast"/>
        </w:trPr>
        <w:tc>
          <w:tcPr>
            <w:tcW w:w="20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41" w:hRule="atLeast"/>
        </w:trPr>
        <w:tc>
          <w:tcPr>
            <w:tcW w:w="20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17"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9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维护上石盘库区航道及航道设施，扎实推进航道维护各项工作，对航标进行维护，沉块、钢丝等设施设备更换，确保航道畅通。</w:t>
            </w:r>
          </w:p>
        </w:tc>
        <w:tc>
          <w:tcPr>
            <w:tcW w:w="414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我段完成2021年度维护上石盘库区航道及航道设施，扎实推进航道维护各项工作，对航标进行维护，沉块、钢丝等设施设备更换</w:t>
            </w:r>
            <w:r>
              <w:rPr>
                <w:rFonts w:hint="eastAsia" w:ascii="宋体" w:hAnsi="宋体" w:cs="宋体"/>
                <w:i w:val="0"/>
                <w:iCs w:val="0"/>
                <w:color w:val="000000"/>
                <w:kern w:val="0"/>
                <w:sz w:val="20"/>
                <w:szCs w:val="20"/>
                <w:u w:val="none"/>
                <w:lang w:val="en-US" w:eastAsia="zh-CN" w:bidi="ar"/>
              </w:rPr>
              <w:t>，确保航道畅通</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3" w:hRule="atLeast"/>
        </w:trPr>
        <w:tc>
          <w:tcPr>
            <w:tcW w:w="6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auto"/>
                <w:sz w:val="28"/>
                <w:szCs w:val="28"/>
                <w:u w:val="none"/>
                <w:lang w:eastAsia="zh-CN"/>
              </w:rPr>
            </w:pPr>
            <w:r>
              <w:rPr>
                <w:rFonts w:hint="eastAsia" w:ascii="宋体" w:hAnsi="宋体" w:cs="宋体"/>
                <w:i w:val="0"/>
                <w:color w:val="auto"/>
                <w:sz w:val="28"/>
                <w:szCs w:val="28"/>
                <w:u w:val="none"/>
                <w:lang w:eastAsia="zh-CN"/>
              </w:rPr>
              <w:t>完成</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lang w:eastAsia="zh-CN"/>
              </w:rPr>
            </w:pPr>
            <w:r>
              <w:rPr>
                <w:rFonts w:hint="eastAsia" w:ascii="宋体" w:hAnsi="宋体" w:cs="宋体"/>
                <w:i w:val="0"/>
                <w:color w:val="auto"/>
                <w:sz w:val="28"/>
                <w:szCs w:val="28"/>
                <w:u w:val="none"/>
                <w:lang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2021年度上石盘库区航道一类维护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仿宋_GB2312" w:eastAsia="仿宋_GB2312" w:cs="仿宋_GB2312"/>
                <w:i w:val="0"/>
                <w:color w:val="auto"/>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维护上石盘库区航道及航道设施0.11万元</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0.11万元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劳务人员经费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劳务费2.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7万元</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其他交通费用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其他交通费用4.3</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万元</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购买有质量保障的物资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在正规商家购买合格物资</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时效指标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按时完成物资采购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2021年度按时购买航道维护所需物资</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严格控制成本</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严格按照采购程序和要求购买价格合适的商品</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经济效益  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节约航道维护费用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节约航道维护费用</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社会效益  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保障航道通畅，改善水运交通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保障航道通畅，改善水运交通</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77"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生态效益  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绿色交通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对船舶进一步进行技改，进一步减少污染物排放量。</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可持续影响 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航道畅通持续有保障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确保航道昼夜适航、航行安全确保水上交通运输安全</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保证了航道昼夜试航、航行安全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30" w:hRule="atLeast"/>
        </w:trPr>
        <w:tc>
          <w:tcPr>
            <w:tcW w:w="6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航道使用者、船舶经营部门满意度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达到95%</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达到了95%以上</w:t>
            </w:r>
          </w:p>
        </w:tc>
      </w:tr>
    </w:tbl>
    <w:p>
      <w:pPr>
        <w:widowControl/>
        <w:adjustRightInd w:val="0"/>
        <w:snapToGrid w:val="0"/>
        <w:spacing w:line="580" w:lineRule="exact"/>
        <w:contextualSpacing/>
        <w:jc w:val="left"/>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2021年扶贫工作</w:t>
      </w:r>
      <w:r>
        <w:rPr>
          <w:rFonts w:hint="eastAsia" w:ascii="方正小标宋简体" w:hAnsi="方正小标宋简体" w:eastAsia="方正小标宋简体" w:cs="方正小标宋简体"/>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lang w:val="zh-CN"/>
        </w:rPr>
      </w:pPr>
      <w:bookmarkStart w:id="138" w:name="_Toc25766"/>
      <w:bookmarkStart w:id="139" w:name="_Toc24784"/>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bookmarkEnd w:id="138"/>
      <w:bookmarkEnd w:id="139"/>
    </w:p>
    <w:p>
      <w:pPr>
        <w:keepNext w:val="0"/>
        <w:keepLines w:val="0"/>
        <w:pageBreakBefore w:val="0"/>
        <w:widowControl w:val="0"/>
        <w:kinsoku/>
        <w:wordWrap/>
        <w:overflowPunct/>
        <w:topLinePunct w:val="0"/>
        <w:autoSpaceDE/>
        <w:autoSpaceDN/>
        <w:bidi w:val="0"/>
        <w:adjustRightInd/>
        <w:snapToGrid/>
        <w:spacing w:line="600" w:lineRule="exact"/>
        <w:ind w:firstLine="405" w:firstLineChars="126"/>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rPr>
        <w:t>2021年度我段帮扶联系村2个：苍溪县岳东镇三塘村（贫困村）、青狮村（非贫困村），2021年申报项目预算0.5万元，项目名称是扶贫工作经费，项目年度目标是对苍溪县岳东镇三塘村（贫困村）、青狮村（非贫困村）进行帮扶，扶贫工作经费含帮扶人员生活用品费0.24万元，帮扶人员房租费0.26万元。</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rPr>
        <w:t>该项目主要内容是对苍溪县岳东镇三塘村（贫困村）、青狮村（非贫困村）进行帮扶，2021年度扎实推进扶贫工作，加强复工复产、产业补短工作，防止返贫现象出现,迎接国家普查。</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left="0" w:leftChars="0" w:firstLine="720" w:firstLineChars="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项目自评步骤及方法。</w:t>
      </w:r>
    </w:p>
    <w:p>
      <w:pPr>
        <w:spacing w:beforeLines="0" w:afterLines="0" w:line="600" w:lineRule="exact"/>
        <w:ind w:firstLine="640" w:firstLineChars="200"/>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28"/>
        </w:rPr>
        <w:t>我段严格按照《2021年市本级项目支出绩效评价指标体系》对项目支出进行了认真全面的自评，并组织相关科室对自评工作进行再评价，以此作为项目支出绩效自评。经自评，项目整体</w:t>
      </w:r>
      <w:r>
        <w:rPr>
          <w:rFonts w:hint="eastAsia" w:ascii="仿宋_GB2312" w:hAnsi="宋体" w:eastAsia="仿宋_GB2312" w:cs="宋体"/>
          <w:kern w:val="0"/>
          <w:sz w:val="32"/>
          <w:szCs w:val="28"/>
          <w:lang w:val="zh-CN"/>
        </w:rPr>
        <w:t>支出绩效情况较好。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bookmarkStart w:id="140" w:name="_Toc24412"/>
      <w:bookmarkStart w:id="141" w:name="_Toc12230"/>
      <w:r>
        <w:rPr>
          <w:rFonts w:hint="eastAsia" w:ascii="黑体" w:hAnsi="宋体" w:eastAsia="黑体" w:cs="Times New Roman"/>
          <w:color w:val="auto"/>
          <w:sz w:val="32"/>
          <w:szCs w:val="32"/>
          <w:highlight w:val="none"/>
        </w:rPr>
        <w:t>二、项目资金申报及使用情况</w:t>
      </w:r>
      <w:bookmarkEnd w:id="140"/>
      <w:bookmarkEnd w:id="141"/>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adjustRightInd w:val="0"/>
        <w:snapToGrid w:val="0"/>
        <w:spacing w:beforeLines="0" w:afterLines="0" w:line="600" w:lineRule="exact"/>
        <w:ind w:firstLine="720"/>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24"/>
        </w:rPr>
        <w:t>202</w:t>
      </w:r>
      <w:r>
        <w:rPr>
          <w:rFonts w:hint="eastAsia" w:ascii="仿宋_GB2312" w:hAnsi="宋体" w:eastAsia="仿宋_GB2312"/>
          <w:sz w:val="32"/>
          <w:szCs w:val="24"/>
          <w:lang w:val="en-US" w:eastAsia="zh-CN"/>
        </w:rPr>
        <w:t>1</w:t>
      </w:r>
      <w:r>
        <w:rPr>
          <w:rFonts w:hint="eastAsia" w:ascii="仿宋_GB2312" w:hAnsi="宋体" w:eastAsia="仿宋_GB2312"/>
          <w:sz w:val="32"/>
          <w:szCs w:val="24"/>
        </w:rPr>
        <w:t>年扶贫工作专项经费预算</w:t>
      </w:r>
      <w:r>
        <w:rPr>
          <w:rFonts w:hint="eastAsia" w:ascii="仿宋_GB2312" w:hAnsi="宋体" w:eastAsia="仿宋_GB2312"/>
          <w:sz w:val="32"/>
          <w:szCs w:val="24"/>
          <w:lang w:val="en-US" w:eastAsia="zh-CN"/>
        </w:rPr>
        <w:t>0.5</w:t>
      </w:r>
      <w:r>
        <w:rPr>
          <w:rFonts w:hint="eastAsia" w:ascii="仿宋_GB2312" w:hAnsi="宋体" w:eastAsia="仿宋_GB2312"/>
          <w:sz w:val="32"/>
          <w:szCs w:val="24"/>
        </w:rPr>
        <w:t>万元，经市财政局批复同意设立。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仿宋_GB2312" w:hAnsi="宋体" w:eastAsia="仿宋_GB2312"/>
          <w:sz w:val="32"/>
          <w:szCs w:val="32"/>
          <w:lang w:val="zh-CN"/>
        </w:rPr>
        <w:t>该项目资金来源于市财政资金，无其他渠道资金。</w:t>
      </w:r>
    </w:p>
    <w:p>
      <w:pPr>
        <w:keepNext w:val="0"/>
        <w:keepLines w:val="0"/>
        <w:pageBreakBefore w:val="0"/>
        <w:widowControl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资金到位。</w:t>
      </w:r>
    </w:p>
    <w:p>
      <w:pPr>
        <w:adjustRightInd w:val="0"/>
        <w:snapToGrid w:val="0"/>
        <w:spacing w:line="600" w:lineRule="exact"/>
        <w:ind w:firstLine="720"/>
        <w:rPr>
          <w:rFonts w:hint="eastAsia" w:ascii="楷体_GB2312" w:hAnsi="宋体" w:eastAsia="楷体_GB2312" w:cs="Times New Roman"/>
          <w:color w:val="auto"/>
          <w:sz w:val="32"/>
          <w:szCs w:val="32"/>
          <w:highlight w:val="none"/>
          <w:lang w:val="zh-CN"/>
        </w:rPr>
      </w:pPr>
      <w:r>
        <w:rPr>
          <w:rFonts w:hint="eastAsia" w:ascii="仿宋_GB2312" w:hAnsi="仿宋_GB2312" w:eastAsia="仿宋_GB2312" w:cs="仿宋_GB2312"/>
          <w:sz w:val="32"/>
          <w:szCs w:val="32"/>
          <w:lang w:eastAsia="zh-CN"/>
        </w:rPr>
        <w:t>扶贫专项预算</w:t>
      </w:r>
      <w:r>
        <w:rPr>
          <w:rFonts w:hint="eastAsia" w:ascii="仿宋_GB2312" w:hAnsi="仿宋_GB2312" w:eastAsia="仿宋_GB2312" w:cs="仿宋_GB2312"/>
          <w:sz w:val="32"/>
          <w:szCs w:val="32"/>
          <w:lang w:val="en-US" w:eastAsia="zh-CN"/>
        </w:rPr>
        <w:t>0.5万元，该</w:t>
      </w:r>
      <w:r>
        <w:rPr>
          <w:rFonts w:hint="eastAsia" w:ascii="仿宋_GB2312" w:hAnsi="仿宋_GB2312" w:eastAsia="仿宋_GB2312" w:cs="仿宋_GB2312"/>
          <w:sz w:val="32"/>
          <w:szCs w:val="32"/>
        </w:rPr>
        <w:t>项目资金</w:t>
      </w:r>
      <w:r>
        <w:rPr>
          <w:rFonts w:hint="eastAsia" w:ascii="仿宋_GB2312" w:hAnsi="宋体" w:eastAsia="仿宋_GB2312"/>
          <w:sz w:val="32"/>
          <w:szCs w:val="28"/>
        </w:rPr>
        <w:t>于年初市财政局预算批复时到位。</w:t>
      </w:r>
      <w:r>
        <w:rPr>
          <w:rFonts w:hint="eastAsia" w:ascii="仿宋_GB2312" w:hAnsi="仿宋_GB2312" w:eastAsia="仿宋_GB2312" w:cs="仿宋_GB2312"/>
          <w:sz w:val="32"/>
          <w:szCs w:val="32"/>
        </w:rPr>
        <w:t>资金到位率100%，资金到位及时，对该项目的有序开展提供了资金保障。</w:t>
      </w:r>
    </w:p>
    <w:p>
      <w:pPr>
        <w:keepNext w:val="0"/>
        <w:keepLines w:val="0"/>
        <w:pageBreakBefore w:val="0"/>
        <w:widowControl w:val="0"/>
        <w:numPr>
          <w:ilvl w:val="0"/>
          <w:numId w:val="9"/>
        </w:numPr>
        <w:kinsoku/>
        <w:wordWrap/>
        <w:overflowPunct/>
        <w:topLinePunct w:val="0"/>
        <w:autoSpaceDE/>
        <w:autoSpaceDN/>
        <w:bidi w:val="0"/>
        <w:spacing w:line="600" w:lineRule="exact"/>
        <w:ind w:left="0" w:leftChars="0"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仿宋_GB2312" w:hAnsi="仿宋_GB2312" w:eastAsia="仿宋_GB2312" w:cs="仿宋_GB2312"/>
          <w:sz w:val="32"/>
          <w:szCs w:val="32"/>
        </w:rPr>
        <w:t>截止评价时点，该项目资金已经支付完毕。项目资金开支范围与年初项目预算内容完全相符，资金支付进度根据项目实施进度有序进行，支付依据合规合法，资金支付与预算数相符。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720" w:leftChars="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spacing w:line="580" w:lineRule="exact"/>
        <w:ind w:firstLine="640" w:firstLineChars="200"/>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28"/>
        </w:rPr>
        <w:t>我</w:t>
      </w:r>
      <w:r>
        <w:rPr>
          <w:rFonts w:hint="eastAsia" w:ascii="仿宋_GB2312" w:hAnsi="宋体" w:eastAsia="仿宋_GB2312"/>
          <w:sz w:val="32"/>
          <w:szCs w:val="28"/>
          <w:lang w:eastAsia="zh-CN"/>
        </w:rPr>
        <w:t>段</w:t>
      </w:r>
      <w:r>
        <w:rPr>
          <w:rFonts w:hint="eastAsia" w:ascii="仿宋_GB2312" w:hAnsi="宋体" w:eastAsia="仿宋_GB2312"/>
          <w:sz w:val="32"/>
          <w:szCs w:val="28"/>
        </w:rPr>
        <w:t>在实际工作中严格执行市委市政府及市财政局制定的相关制度，资金管理和资金使用符合国家财经法规和财务管理制度以及有关专项资金管理办法的规定。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黑体" w:hAnsi="宋体" w:eastAsia="黑体" w:cs="Times New Roman"/>
          <w:color w:val="auto"/>
          <w:sz w:val="32"/>
          <w:szCs w:val="32"/>
          <w:highlight w:val="none"/>
        </w:rPr>
      </w:pPr>
      <w:bookmarkStart w:id="142" w:name="_Toc28359"/>
      <w:bookmarkStart w:id="143" w:name="_Toc113"/>
      <w:r>
        <w:rPr>
          <w:rFonts w:hint="eastAsia" w:ascii="黑体" w:hAnsi="宋体" w:eastAsia="黑体" w:cs="Times New Roman"/>
          <w:color w:val="auto"/>
          <w:sz w:val="32"/>
          <w:szCs w:val="32"/>
          <w:highlight w:val="none"/>
        </w:rPr>
        <w:t>三、项目实施及管理情况</w:t>
      </w:r>
      <w:bookmarkEnd w:id="142"/>
      <w:bookmarkEnd w:id="143"/>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630" w:leftChars="0"/>
        <w:textAlignment w:val="auto"/>
        <w:outlineLvl w:val="2"/>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（一）项目组织架构及实施流程。</w:t>
      </w:r>
    </w:p>
    <w:p>
      <w:pPr>
        <w:adjustRightInd w:val="0"/>
        <w:spacing w:line="580" w:lineRule="exact"/>
        <w:ind w:firstLine="640" w:firstLineChars="200"/>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仿宋_GB2312" w:hAnsi="宋体" w:eastAsia="仿宋_GB2312" w:cs="宋体"/>
          <w:kern w:val="0"/>
          <w:sz w:val="32"/>
          <w:szCs w:val="28"/>
          <w:lang w:val="zh-CN"/>
        </w:rPr>
        <w:t>202</w:t>
      </w:r>
      <w:r>
        <w:rPr>
          <w:rFonts w:hint="eastAsia" w:ascii="仿宋_GB2312" w:hAnsi="宋体" w:eastAsia="仿宋_GB2312" w:cs="宋体"/>
          <w:kern w:val="0"/>
          <w:sz w:val="32"/>
          <w:szCs w:val="28"/>
          <w:lang w:val="en-US" w:eastAsia="zh-CN"/>
        </w:rPr>
        <w:t>1</w:t>
      </w:r>
      <w:r>
        <w:rPr>
          <w:rFonts w:hint="eastAsia" w:ascii="仿宋_GB2312" w:hAnsi="宋体" w:eastAsia="仿宋_GB2312" w:cs="宋体"/>
          <w:kern w:val="0"/>
          <w:sz w:val="32"/>
          <w:szCs w:val="28"/>
          <w:lang w:val="zh-CN"/>
        </w:rPr>
        <w:t>年我段按照省市脱贫攻坚相关要求，经过组织开会实行表决，决定驻村工作人员，驻村工作队员脱产驻村、吃住在村，大力开展脱贫攻坚应知应会知识培训及测试，在规定时间完成了帮扶任务。</w:t>
      </w:r>
    </w:p>
    <w:p>
      <w:pPr>
        <w:numPr>
          <w:ilvl w:val="0"/>
          <w:numId w:val="7"/>
        </w:numPr>
        <w:ind w:left="-91" w:leftChars="0" w:firstLine="720" w:firstLineChars="0"/>
        <w:outlineLvl w:val="2"/>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项目管理情况。</w:t>
      </w:r>
    </w:p>
    <w:p>
      <w:pPr>
        <w:spacing w:line="580" w:lineRule="exact"/>
        <w:ind w:firstLine="643" w:firstLineChars="200"/>
        <w:rPr>
          <w:rFonts w:hint="eastAsia" w:ascii="楷体_GB2312" w:hAnsi="宋体" w:eastAsia="仿宋_GB2312" w:cs="Times New Roman"/>
          <w:b/>
          <w:color w:val="000000" w:themeColor="text1"/>
          <w:sz w:val="32"/>
          <w:szCs w:val="32"/>
          <w:highlight w:val="none"/>
          <w:lang w:val="en-US" w:eastAsia="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sz w:val="32"/>
          <w:szCs w:val="28"/>
        </w:rPr>
        <w:t>在项目资金使用中，我</w:t>
      </w:r>
      <w:r>
        <w:rPr>
          <w:rFonts w:hint="eastAsia" w:ascii="仿宋_GB2312" w:hAnsi="宋体" w:eastAsia="仿宋_GB2312"/>
          <w:sz w:val="32"/>
          <w:szCs w:val="28"/>
          <w:lang w:eastAsia="zh-CN"/>
        </w:rPr>
        <w:t>段</w:t>
      </w:r>
      <w:r>
        <w:rPr>
          <w:rFonts w:hint="eastAsia" w:ascii="仿宋_GB2312" w:hAnsi="宋体" w:eastAsia="仿宋_GB2312"/>
          <w:sz w:val="32"/>
          <w:szCs w:val="28"/>
        </w:rPr>
        <w:t>严格执行相关法律法规，项目从立项、公开、组织实施均严格按相关规定执行，符合国家及财政相关政策规定，项目申报符合国家政策，符合地方经济社会的发展需要，具有明确的项目实施主体及实施决策程序</w:t>
      </w:r>
      <w:r>
        <w:rPr>
          <w:rFonts w:hint="eastAsia" w:ascii="仿宋_GB2312" w:hAnsi="宋体" w:eastAsia="仿宋_GB2312"/>
          <w:sz w:val="32"/>
          <w:szCs w:val="28"/>
          <w:lang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left="-91" w:leftChars="0" w:firstLine="720" w:firstLineChars="0"/>
        <w:textAlignment w:val="auto"/>
        <w:outlineLvl w:val="2"/>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仿宋_GB2312" w:hAnsi="宋体" w:eastAsia="仿宋_GB2312"/>
          <w:sz w:val="32"/>
          <w:szCs w:val="28"/>
          <w:lang w:eastAsia="zh-CN"/>
        </w:rPr>
        <w:t>市交通运输局</w:t>
      </w:r>
      <w:r>
        <w:rPr>
          <w:rFonts w:hint="eastAsia" w:ascii="仿宋_GB2312" w:hAnsi="宋体" w:eastAsia="仿宋_GB2312"/>
          <w:sz w:val="32"/>
          <w:szCs w:val="28"/>
        </w:rPr>
        <w:t>相关科室对项目建设程序、实施进度、项目质量、资金使用及财务管理等进行全程监管，确保项目管理规范、按期保质保量完成</w:t>
      </w:r>
      <w:r>
        <w:rPr>
          <w:rFonts w:hint="eastAsia" w:ascii="仿宋_GB2312" w:hAnsi="宋体" w:eastAsia="仿宋_GB2312"/>
          <w:sz w:val="32"/>
          <w:szCs w:val="28"/>
          <w:lang w:eastAsia="zh-CN"/>
        </w:rPr>
        <w:t>扶贫</w:t>
      </w:r>
      <w:r>
        <w:rPr>
          <w:rFonts w:hint="eastAsia" w:ascii="仿宋_GB2312" w:hAnsi="宋体" w:eastAsia="仿宋_GB2312"/>
          <w:sz w:val="32"/>
          <w:szCs w:val="28"/>
        </w:rPr>
        <w:t>任务。助推脱贫攻坚决战决胜，推动区域经济高质量的发展。</w:t>
      </w:r>
    </w:p>
    <w:p>
      <w:pPr>
        <w:outlineLvl w:val="1"/>
      </w:pPr>
      <w:bookmarkStart w:id="144" w:name="_Toc21781"/>
      <w:bookmarkStart w:id="145" w:name="_Toc8828"/>
      <w:r>
        <w:rPr>
          <w:rFonts w:hint="eastAsia" w:ascii="黑体" w:hAnsi="宋体" w:eastAsia="黑体" w:cs="Times New Roman"/>
          <w:color w:val="auto"/>
          <w:sz w:val="32"/>
          <w:szCs w:val="32"/>
          <w:highlight w:val="none"/>
        </w:rPr>
        <w:t>四、项目绩效情况</w:t>
      </w:r>
      <w:bookmarkEnd w:id="144"/>
      <w:bookmarkEnd w:id="145"/>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ind w:firstLine="640" w:firstLineChars="200"/>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rPr>
        <w:t>在2021年度按省市扶贫工作要求，2名驻村队员脱产驻村及时规范完善扶贫工作的相关资料，协助帮扶村做好疫情防控，送去口罩、酒精、消毒液等防疫物资；进一步优化了贫困户的脱贫产业结构，提升了帮扶村的经济效益。2名驻村队员生活补助</w:t>
      </w:r>
      <w:r>
        <w:rPr>
          <w:rFonts w:ascii="仿宋_GB2312" w:hAnsi="仿宋_GB2312" w:eastAsia="仿宋_GB2312" w:cs="仿宋_GB2312"/>
          <w:sz w:val="32"/>
          <w:szCs w:val="32"/>
        </w:rPr>
        <w:t>及时足额发放</w:t>
      </w:r>
      <w:r>
        <w:rPr>
          <w:rFonts w:hint="eastAsia" w:ascii="仿宋_GB2312" w:hAnsi="仿宋_GB2312" w:eastAsia="仿宋_GB2312" w:cs="仿宋_GB2312"/>
          <w:sz w:val="32"/>
          <w:szCs w:val="32"/>
        </w:rPr>
        <w:t>。</w:t>
      </w:r>
    </w:p>
    <w:p>
      <w:pPr>
        <w:keepNext w:val="0"/>
        <w:keepLines w:val="0"/>
        <w:pageBreakBefore w:val="0"/>
        <w:numPr>
          <w:ilvl w:val="0"/>
          <w:numId w:val="10"/>
        </w:numPr>
        <w:kinsoku/>
        <w:wordWrap/>
        <w:overflowPunct/>
        <w:topLinePunct w:val="0"/>
        <w:autoSpaceDE/>
        <w:autoSpaceDN/>
        <w:bidi w:val="0"/>
        <w:adjustRightInd w:val="0"/>
        <w:snapToGrid w:val="0"/>
        <w:spacing w:line="600" w:lineRule="exact"/>
        <w:ind w:firstLine="643" w:firstLineChars="20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项目效益情况。</w:t>
      </w:r>
    </w:p>
    <w:p>
      <w:pPr>
        <w:ind w:firstLine="640" w:firstLineChars="200"/>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sz w:val="32"/>
          <w:szCs w:val="32"/>
        </w:rPr>
        <w:t>该项目在经济效益方面节约了扶贫工作经费，在社会效益方面，扎实为帮扶对象办实事，宣讲好扶贫相关政策，确保扶贫政策、措施落地到位，及时解决群众反映的问题，提高了帮扶对象的满意度。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bookmarkStart w:id="146" w:name="_Toc23076"/>
      <w:bookmarkStart w:id="147" w:name="_Toc27373"/>
      <w:r>
        <w:rPr>
          <w:rFonts w:hint="eastAsia" w:ascii="黑体" w:hAnsi="宋体" w:eastAsia="黑体" w:cs="Times New Roman"/>
          <w:color w:val="auto"/>
          <w:sz w:val="32"/>
          <w:szCs w:val="32"/>
          <w:highlight w:val="none"/>
        </w:rPr>
        <w:t>五、评价结论及建议</w:t>
      </w:r>
      <w:bookmarkEnd w:id="146"/>
      <w:bookmarkEnd w:id="147"/>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cs="宋体"/>
          <w:kern w:val="0"/>
          <w:sz w:val="32"/>
          <w:szCs w:val="28"/>
          <w:lang w:val="zh-CN"/>
        </w:rPr>
        <w:t>该项目严格按照年初预算目标的要求，执行相关管理办法，使扶贫工作稳步推进，加快了帮扶村未脱贫困难群众精准退出。</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firstLine="321" w:firstLineChars="100"/>
        <w:textAlignment w:val="auto"/>
        <w:outlineLvl w:val="2"/>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textAlignment w:val="auto"/>
        <w:rPr>
          <w:rFonts w:hint="eastAsia" w:ascii="楷体_GB2312" w:hAnsi="宋体" w:eastAsia="仿宋_GB2312" w:cs="Times New Roman"/>
          <w:b/>
          <w:color w:val="auto"/>
          <w:sz w:val="32"/>
          <w:szCs w:val="32"/>
          <w:highlight w:val="none"/>
          <w:lang w:val="zh-CN" w:eastAsia="zh-CN"/>
        </w:rPr>
      </w:pPr>
      <w:r>
        <w:rPr>
          <w:rFonts w:hint="eastAsia" w:ascii="仿宋_GB2312" w:hAnsi="仿宋_GB2312" w:eastAsia="仿宋_GB2312" w:cs="仿宋_GB2312"/>
          <w:sz w:val="32"/>
          <w:szCs w:val="32"/>
        </w:rPr>
        <w:t>由于我段是财政拨款单位，没有其他资金来源渠道，财力有限，</w:t>
      </w:r>
      <w:r>
        <w:rPr>
          <w:rFonts w:hint="eastAsia" w:ascii="仿宋_GB2312" w:hAnsi="仿宋_GB2312" w:eastAsia="仿宋_GB2312" w:cs="仿宋_GB2312"/>
          <w:sz w:val="32"/>
          <w:szCs w:val="32"/>
          <w:lang w:eastAsia="zh-CN"/>
        </w:rPr>
        <w:t>项目资金不能满足帮扶工作需要，</w:t>
      </w:r>
      <w:r>
        <w:rPr>
          <w:rFonts w:hint="eastAsia" w:ascii="仿宋_GB2312" w:hAnsi="仿宋_GB2312" w:eastAsia="仿宋_GB2312" w:cs="仿宋_GB2312"/>
          <w:sz w:val="32"/>
          <w:szCs w:val="32"/>
        </w:rPr>
        <w:t>以及缺乏相关技术人员，扶贫工作还需要进一步做实、做细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仿宋_GB2312" w:eastAsia="仿宋_GB2312"/>
          <w:sz w:val="32"/>
          <w:szCs w:val="32"/>
          <w:lang w:eastAsia="zh-CN"/>
        </w:rPr>
        <w:t>我段将</w:t>
      </w:r>
      <w:r>
        <w:rPr>
          <w:rFonts w:hint="eastAsia" w:ascii="仿宋_GB2312" w:eastAsia="仿宋_GB2312"/>
          <w:sz w:val="32"/>
          <w:szCs w:val="32"/>
        </w:rPr>
        <w:t>科学编制</w:t>
      </w:r>
      <w:r>
        <w:rPr>
          <w:rFonts w:hint="eastAsia" w:ascii="仿宋_GB2312" w:eastAsia="仿宋_GB2312"/>
          <w:sz w:val="32"/>
          <w:szCs w:val="32"/>
          <w:lang w:eastAsia="zh-CN"/>
        </w:rPr>
        <w:t>扶贫</w:t>
      </w:r>
      <w:r>
        <w:rPr>
          <w:rFonts w:hint="eastAsia" w:ascii="仿宋_GB2312" w:eastAsia="仿宋_GB2312"/>
          <w:sz w:val="32"/>
          <w:szCs w:val="32"/>
        </w:rPr>
        <w:t>项目预算，提高资金管理使用水平，确</w:t>
      </w:r>
      <w:r>
        <w:rPr>
          <w:rFonts w:hint="eastAsia" w:ascii="仿宋_GB2312" w:eastAsia="仿宋_GB2312"/>
          <w:sz w:val="32"/>
          <w:szCs w:val="32"/>
          <w:lang w:eastAsia="zh-CN"/>
        </w:rPr>
        <w:t>报帮扶措施见成效</w:t>
      </w:r>
      <w:r>
        <w:rPr>
          <w:rFonts w:hint="eastAsia" w:ascii="仿宋_GB2312" w:eastAsia="仿宋_GB2312"/>
          <w:sz w:val="32"/>
          <w:szCs w:val="32"/>
        </w:rPr>
        <w:t>，</w:t>
      </w:r>
      <w:r>
        <w:rPr>
          <w:rFonts w:hint="eastAsia" w:ascii="仿宋_GB2312" w:eastAsia="仿宋_GB2312"/>
          <w:sz w:val="32"/>
          <w:szCs w:val="32"/>
          <w:lang w:eastAsia="zh-CN"/>
        </w:rPr>
        <w:t>加快脱贫攻坚步伐，防止反贫现象发生。</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附表</w:t>
      </w:r>
      <w:r>
        <w:rPr>
          <w:rFonts w:hint="eastAsia" w:ascii="黑体" w:hAnsi="黑体" w:eastAsia="黑体" w:cs="黑体"/>
          <w:b w:val="0"/>
          <w:bCs w:val="0"/>
          <w:sz w:val="32"/>
          <w:szCs w:val="32"/>
          <w:lang w:val="en-US" w:eastAsia="zh-CN"/>
        </w:rPr>
        <w:t>2</w:t>
      </w:r>
    </w:p>
    <w:tbl>
      <w:tblPr>
        <w:tblStyle w:val="13"/>
        <w:tblpPr w:leftFromText="180" w:rightFromText="180" w:vertAnchor="text" w:horzAnchor="page" w:tblpX="1281" w:tblpY="660"/>
        <w:tblOverlap w:val="never"/>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897"/>
        <w:gridCol w:w="1555"/>
        <w:gridCol w:w="2100"/>
        <w:gridCol w:w="2217"/>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highlight w:val="none"/>
                <w:u w:val="none"/>
                <w:lang w:val="en-US" w:eastAsia="zh-CN"/>
              </w:rPr>
              <w:t>2021年预算项目绩效目标自评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广元市港航发展中心</w:t>
            </w:r>
            <w:r>
              <w:rPr>
                <w:rFonts w:hint="eastAsia" w:ascii="宋体" w:hAnsi="宋体" w:cs="宋体"/>
                <w:i w:val="0"/>
                <w:color w:val="auto"/>
                <w:sz w:val="24"/>
                <w:szCs w:val="24"/>
                <w:u w:val="none"/>
                <w:lang w:val="en-US" w:eastAsia="zh-CN"/>
              </w:rPr>
              <w:t>610601</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0.5</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0.5</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5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我段</w:t>
            </w:r>
            <w:r>
              <w:rPr>
                <w:rFonts w:hint="eastAsia" w:ascii="宋体" w:hAnsi="宋体" w:cs="宋体"/>
                <w:i w:val="0"/>
                <w:color w:val="auto"/>
                <w:sz w:val="20"/>
                <w:szCs w:val="20"/>
                <w:u w:val="none"/>
                <w:lang w:val="en-US" w:eastAsia="zh-CN"/>
              </w:rPr>
              <w:t>2021年帮扶联系村有2个：苍溪县岳东镇三塘村、青狮村。扎实推进脱贫攻坚各项工作，确保帮扶措施见成效，全力加快未脱贫困难群众精准退出，确保帮扶联系村经济发展稳固提升。</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我段</w:t>
            </w:r>
            <w:r>
              <w:rPr>
                <w:rFonts w:hint="eastAsia" w:ascii="宋体" w:hAnsi="宋体" w:cs="宋体"/>
                <w:i w:val="0"/>
                <w:color w:val="auto"/>
                <w:sz w:val="20"/>
                <w:szCs w:val="20"/>
                <w:u w:val="none"/>
                <w:lang w:val="en-US" w:eastAsia="zh-CN"/>
              </w:rPr>
              <w:t>2021年帮扶联系村有2个：苍溪县岳东镇三塘村、青狮村。扎实推进脱贫攻坚各项工作，确保帮扶措施见成效，全力加快未脱贫困难群众精准退出，确保帮扶联系村经济发展稳固提升。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8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eastAsia="zh-CN"/>
              </w:rPr>
              <w:t>帮扶村</w:t>
            </w:r>
            <w:r>
              <w:rPr>
                <w:rFonts w:hint="eastAsia" w:ascii="宋体" w:hAnsi="宋体" w:eastAsia="宋体" w:cs="宋体"/>
                <w:i w:val="0"/>
                <w:color w:val="auto"/>
                <w:sz w:val="20"/>
                <w:szCs w:val="20"/>
                <w:u w:val="none"/>
                <w:lang w:val="en-US" w:eastAsia="zh-CN"/>
              </w:rPr>
              <w:t>2个</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帮扶苍溪县岳东镇三塘村、青狮村</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帮扶人员生活用品费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宋体" w:hAnsi="宋体" w:eastAsia="宋体" w:cs="宋体"/>
                <w:i w:val="0"/>
                <w:color w:val="auto"/>
                <w:sz w:val="20"/>
                <w:szCs w:val="20"/>
                <w:u w:val="none"/>
                <w:lang w:val="en-US"/>
              </w:rPr>
            </w:pPr>
            <w:r>
              <w:rPr>
                <w:rFonts w:hint="eastAsia" w:ascii="宋体" w:hAnsi="宋体" w:eastAsia="宋体" w:cs="宋体"/>
                <w:i w:val="0"/>
                <w:color w:val="auto"/>
                <w:sz w:val="20"/>
                <w:szCs w:val="20"/>
                <w:u w:val="none"/>
                <w:lang w:eastAsia="zh-CN"/>
              </w:rPr>
              <w:t>帮扶人员生活用品费</w:t>
            </w:r>
            <w:r>
              <w:rPr>
                <w:rFonts w:hint="eastAsia" w:ascii="宋体" w:hAnsi="宋体" w:cs="宋体"/>
                <w:i w:val="0"/>
                <w:color w:val="auto"/>
                <w:sz w:val="20"/>
                <w:szCs w:val="20"/>
                <w:u w:val="none"/>
                <w:lang w:val="en-US" w:eastAsia="zh-CN"/>
              </w:rPr>
              <w:t>0.24万元</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0.24万元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帮扶人员房租费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宋体" w:hAnsi="宋体" w:eastAsia="宋体" w:cs="宋体"/>
                <w:i w:val="0"/>
                <w:color w:val="auto"/>
                <w:sz w:val="20"/>
                <w:szCs w:val="20"/>
                <w:u w:val="none"/>
                <w:lang w:val="en-US"/>
              </w:rPr>
            </w:pPr>
            <w:r>
              <w:rPr>
                <w:rFonts w:hint="eastAsia" w:ascii="宋体" w:hAnsi="宋体" w:eastAsia="宋体" w:cs="宋体"/>
                <w:i w:val="0"/>
                <w:color w:val="auto"/>
                <w:sz w:val="20"/>
                <w:szCs w:val="20"/>
                <w:u w:val="none"/>
                <w:lang w:eastAsia="zh-CN"/>
              </w:rPr>
              <w:t>帮扶人员房租费</w:t>
            </w:r>
            <w:r>
              <w:rPr>
                <w:rFonts w:hint="eastAsia" w:ascii="宋体" w:hAnsi="宋体" w:cs="宋体"/>
                <w:i w:val="0"/>
                <w:color w:val="auto"/>
                <w:sz w:val="20"/>
                <w:szCs w:val="20"/>
                <w:u w:val="none"/>
                <w:lang w:val="en-US" w:eastAsia="zh-CN"/>
              </w:rPr>
              <w:t>0.26万元</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0.26万元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驻村工作队员脱产驻村、吃住在村</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每月完成</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每月完成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严格控制成本</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严格控制驻村人员生活用品和租房支出成本</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促进扶贫发展</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促进帮扶村经济发展</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促进帮扶村经济发展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扎实为帮扶对象办实事</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积极解决帮扶对象诉求</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扶贫工作有序推进</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有序推进扶贫各项工作</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帮扶对象满意度</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eastAsia="zh-CN"/>
              </w:rPr>
              <w:t>帮扶对象满意度达到</w:t>
            </w:r>
            <w:r>
              <w:rPr>
                <w:rFonts w:hint="eastAsia" w:ascii="宋体" w:hAnsi="宋体" w:eastAsia="宋体" w:cs="宋体"/>
                <w:i w:val="0"/>
                <w:color w:val="auto"/>
                <w:sz w:val="20"/>
                <w:szCs w:val="20"/>
                <w:u w:val="none"/>
                <w:lang w:val="en-US" w:eastAsia="zh-CN"/>
              </w:rPr>
              <w:t>95%以上</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帮扶对象满意度达到</w:t>
            </w:r>
            <w:r>
              <w:rPr>
                <w:rFonts w:hint="eastAsia" w:ascii="宋体" w:hAnsi="宋体" w:eastAsia="宋体" w:cs="宋体"/>
                <w:i w:val="0"/>
                <w:color w:val="auto"/>
                <w:sz w:val="20"/>
                <w:szCs w:val="20"/>
                <w:u w:val="none"/>
                <w:lang w:val="en-US" w:eastAsia="zh-CN"/>
              </w:rPr>
              <w:t>95%以上</w:t>
            </w:r>
          </w:p>
        </w:tc>
      </w:tr>
    </w:tbl>
    <w:p>
      <w:pPr>
        <w:spacing w:line="600" w:lineRule="exact"/>
        <w:jc w:val="left"/>
        <w:outlineLvl w:val="9"/>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bookmarkStart w:id="148" w:name="_Toc31692"/>
      <w:bookmarkStart w:id="149" w:name="_Toc27481"/>
      <w:bookmarkStart w:id="150" w:name="_Toc3080"/>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117"/>
      <w:bookmarkEnd w:id="137"/>
      <w:bookmarkEnd w:id="148"/>
      <w:bookmarkEnd w:id="149"/>
      <w:bookmarkEnd w:id="150"/>
      <w:bookmarkStart w:id="151" w:name="_Toc15396619"/>
    </w:p>
    <w:p>
      <w:pPr>
        <w:pStyle w:val="3"/>
        <w:rPr>
          <w:rFonts w:ascii="仿宋" w:hAnsi="仿宋" w:eastAsia="仿宋"/>
          <w:color w:val="auto"/>
          <w:highlight w:val="none"/>
        </w:rPr>
      </w:pPr>
      <w:bookmarkStart w:id="152" w:name="_Toc3053"/>
      <w:bookmarkStart w:id="153" w:name="_Toc4669"/>
      <w:bookmarkStart w:id="154" w:name="_Toc5433"/>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151"/>
      <w:bookmarkEnd w:id="152"/>
      <w:bookmarkEnd w:id="153"/>
      <w:bookmarkEnd w:id="154"/>
    </w:p>
    <w:p>
      <w:pPr>
        <w:pStyle w:val="3"/>
        <w:rPr>
          <w:rFonts w:ascii="仿宋" w:hAnsi="仿宋" w:eastAsia="仿宋"/>
          <w:color w:val="auto"/>
          <w:highlight w:val="none"/>
        </w:rPr>
      </w:pPr>
      <w:bookmarkStart w:id="155" w:name="_Toc15396620"/>
      <w:bookmarkStart w:id="156" w:name="_Toc28935"/>
      <w:bookmarkStart w:id="157" w:name="_Toc24765"/>
      <w:bookmarkStart w:id="158" w:name="_Toc9597"/>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155"/>
      <w:bookmarkEnd w:id="156"/>
      <w:bookmarkEnd w:id="157"/>
      <w:bookmarkEnd w:id="158"/>
    </w:p>
    <w:p>
      <w:pPr>
        <w:pStyle w:val="3"/>
        <w:rPr>
          <w:rFonts w:ascii="仿宋" w:hAnsi="仿宋" w:eastAsia="仿宋"/>
          <w:color w:val="auto"/>
          <w:highlight w:val="none"/>
        </w:rPr>
      </w:pPr>
      <w:bookmarkStart w:id="159" w:name="_Toc28220"/>
      <w:bookmarkStart w:id="160" w:name="_Toc15832"/>
      <w:bookmarkStart w:id="161" w:name="_Toc15396621"/>
      <w:bookmarkStart w:id="162" w:name="_Toc1123"/>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159"/>
      <w:bookmarkEnd w:id="160"/>
      <w:bookmarkEnd w:id="161"/>
      <w:bookmarkEnd w:id="162"/>
    </w:p>
    <w:p>
      <w:pPr>
        <w:pStyle w:val="3"/>
        <w:rPr>
          <w:rFonts w:ascii="仿宋" w:hAnsi="仿宋" w:eastAsia="仿宋"/>
          <w:b w:val="0"/>
          <w:color w:val="auto"/>
          <w:highlight w:val="none"/>
        </w:rPr>
      </w:pPr>
      <w:bookmarkStart w:id="163" w:name="_Toc15396622"/>
      <w:bookmarkStart w:id="164" w:name="_Toc18627"/>
      <w:bookmarkStart w:id="165" w:name="_Toc2209"/>
      <w:bookmarkStart w:id="166" w:name="_Toc11793"/>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163"/>
      <w:bookmarkEnd w:id="164"/>
      <w:bookmarkEnd w:id="165"/>
      <w:bookmarkEnd w:id="166"/>
    </w:p>
    <w:p>
      <w:pPr>
        <w:pStyle w:val="3"/>
        <w:rPr>
          <w:rStyle w:val="27"/>
          <w:rFonts w:ascii="仿宋" w:hAnsi="仿宋" w:eastAsia="仿宋"/>
          <w:b w:val="0"/>
          <w:bCs w:val="0"/>
          <w:color w:val="auto"/>
          <w:highlight w:val="none"/>
        </w:rPr>
      </w:pPr>
      <w:bookmarkStart w:id="167" w:name="_Toc15396623"/>
      <w:bookmarkStart w:id="168" w:name="_Toc28166"/>
      <w:bookmarkStart w:id="169" w:name="_Toc31649"/>
      <w:bookmarkStart w:id="170" w:name="_Toc23998"/>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167"/>
      <w:bookmarkEnd w:id="168"/>
      <w:bookmarkEnd w:id="169"/>
      <w:bookmarkEnd w:id="170"/>
      <w:bookmarkStart w:id="171" w:name="_Toc15396624"/>
    </w:p>
    <w:p>
      <w:pPr>
        <w:pStyle w:val="3"/>
        <w:rPr>
          <w:rFonts w:ascii="仿宋" w:hAnsi="仿宋" w:eastAsia="仿宋"/>
          <w:color w:val="auto"/>
          <w:highlight w:val="none"/>
        </w:rPr>
      </w:pPr>
      <w:bookmarkStart w:id="172" w:name="_Toc4473"/>
      <w:bookmarkStart w:id="173" w:name="_Toc26699"/>
      <w:bookmarkStart w:id="174" w:name="_Toc10412"/>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171"/>
      <w:bookmarkEnd w:id="172"/>
      <w:bookmarkEnd w:id="173"/>
      <w:bookmarkEnd w:id="174"/>
    </w:p>
    <w:p>
      <w:pPr>
        <w:pStyle w:val="3"/>
        <w:rPr>
          <w:rFonts w:ascii="仿宋" w:hAnsi="仿宋" w:eastAsia="仿宋"/>
          <w:color w:val="auto"/>
          <w:highlight w:val="none"/>
        </w:rPr>
      </w:pPr>
      <w:bookmarkStart w:id="175" w:name="_Toc15396625"/>
      <w:bookmarkStart w:id="176" w:name="_Toc9036"/>
      <w:bookmarkStart w:id="177" w:name="_Toc13483"/>
      <w:bookmarkStart w:id="178" w:name="_Toc27671"/>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175"/>
      <w:bookmarkEnd w:id="176"/>
      <w:bookmarkEnd w:id="177"/>
      <w:bookmarkEnd w:id="178"/>
    </w:p>
    <w:p>
      <w:pPr>
        <w:pStyle w:val="3"/>
        <w:rPr>
          <w:rFonts w:ascii="仿宋" w:hAnsi="仿宋" w:eastAsia="仿宋"/>
          <w:color w:val="auto"/>
          <w:highlight w:val="none"/>
        </w:rPr>
      </w:pPr>
      <w:bookmarkStart w:id="179" w:name="_Toc18162"/>
      <w:bookmarkStart w:id="180" w:name="_Toc15396626"/>
      <w:bookmarkStart w:id="181" w:name="_Toc13964"/>
      <w:bookmarkStart w:id="182" w:name="_Toc10118"/>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179"/>
      <w:bookmarkEnd w:id="180"/>
      <w:bookmarkEnd w:id="181"/>
      <w:bookmarkEnd w:id="182"/>
    </w:p>
    <w:p>
      <w:pPr>
        <w:pStyle w:val="3"/>
        <w:rPr>
          <w:rFonts w:ascii="仿宋" w:hAnsi="仿宋" w:eastAsia="仿宋"/>
          <w:color w:val="auto"/>
          <w:highlight w:val="none"/>
        </w:rPr>
      </w:pPr>
      <w:bookmarkStart w:id="183" w:name="_Toc15396627"/>
      <w:bookmarkStart w:id="184" w:name="_Toc27233"/>
      <w:bookmarkStart w:id="185" w:name="_Toc21778"/>
      <w:bookmarkStart w:id="186" w:name="_Toc5905"/>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83"/>
      <w:bookmarkEnd w:id="184"/>
      <w:bookmarkEnd w:id="185"/>
      <w:bookmarkEnd w:id="186"/>
    </w:p>
    <w:p>
      <w:pPr>
        <w:pStyle w:val="3"/>
        <w:rPr>
          <w:rFonts w:ascii="仿宋" w:hAnsi="仿宋" w:eastAsia="仿宋"/>
          <w:color w:val="auto"/>
          <w:highlight w:val="none"/>
        </w:rPr>
      </w:pPr>
      <w:bookmarkStart w:id="187" w:name="_Toc16770"/>
      <w:bookmarkStart w:id="188" w:name="_Toc25131"/>
      <w:bookmarkStart w:id="189" w:name="_Toc28608"/>
      <w:bookmarkStart w:id="190"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187"/>
      <w:bookmarkEnd w:id="188"/>
      <w:bookmarkEnd w:id="189"/>
      <w:bookmarkEnd w:id="190"/>
    </w:p>
    <w:p>
      <w:pPr>
        <w:pStyle w:val="3"/>
        <w:rPr>
          <w:rFonts w:ascii="仿宋" w:hAnsi="仿宋" w:eastAsia="仿宋"/>
          <w:color w:val="auto"/>
          <w:highlight w:val="none"/>
        </w:rPr>
      </w:pPr>
      <w:bookmarkStart w:id="191" w:name="_Toc18540"/>
      <w:bookmarkStart w:id="192" w:name="_Toc21822"/>
      <w:bookmarkStart w:id="193" w:name="_Toc15396629"/>
      <w:bookmarkStart w:id="194" w:name="_Toc7962"/>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91"/>
      <w:bookmarkEnd w:id="192"/>
      <w:bookmarkEnd w:id="193"/>
      <w:bookmarkEnd w:id="194"/>
    </w:p>
    <w:p>
      <w:pPr>
        <w:pStyle w:val="3"/>
        <w:rPr>
          <w:rFonts w:ascii="仿宋" w:hAnsi="仿宋" w:eastAsia="仿宋"/>
          <w:color w:val="auto"/>
          <w:highlight w:val="none"/>
        </w:rPr>
      </w:pPr>
      <w:bookmarkStart w:id="195" w:name="_Toc27845"/>
      <w:bookmarkStart w:id="196" w:name="_Toc26014"/>
      <w:bookmarkStart w:id="197" w:name="_Toc4398"/>
      <w:bookmarkStart w:id="198"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195"/>
      <w:bookmarkEnd w:id="196"/>
      <w:bookmarkEnd w:id="197"/>
      <w:bookmarkEnd w:id="198"/>
    </w:p>
    <w:p>
      <w:pPr>
        <w:pStyle w:val="3"/>
        <w:rPr>
          <w:rStyle w:val="27"/>
          <w:rFonts w:hint="eastAsia" w:ascii="仿宋" w:hAnsi="仿宋" w:eastAsia="仿宋"/>
          <w:b w:val="0"/>
          <w:bCs w:val="0"/>
          <w:color w:val="auto"/>
          <w:highlight w:val="none"/>
        </w:rPr>
      </w:pPr>
      <w:bookmarkStart w:id="199" w:name="_Toc15396631"/>
      <w:bookmarkStart w:id="200" w:name="_Toc8928"/>
      <w:bookmarkStart w:id="201" w:name="_Toc19681"/>
      <w:bookmarkStart w:id="202" w:name="_Toc3532"/>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99"/>
      <w:bookmarkEnd w:id="200"/>
      <w:bookmarkEnd w:id="201"/>
      <w:bookmarkEnd w:id="202"/>
    </w:p>
    <w:p>
      <w:pPr>
        <w:rPr>
          <w:rFonts w:hint="eastAsia" w:eastAsia="仿宋"/>
          <w:color w:val="auto"/>
          <w:highlight w:val="none"/>
          <w:lang w:eastAsia="zh-CN"/>
        </w:rPr>
      </w:pPr>
      <w:bookmarkStart w:id="203" w:name="_Toc30449"/>
      <w:bookmarkStart w:id="204" w:name="_Toc32034"/>
      <w:bookmarkStart w:id="205" w:name="_Toc27630"/>
      <w:r>
        <w:rPr>
          <w:rStyle w:val="27"/>
          <w:rFonts w:hint="eastAsia" w:ascii="仿宋" w:hAnsi="仿宋" w:eastAsia="仿宋"/>
          <w:b w:val="0"/>
          <w:bCs w:val="0"/>
          <w:color w:val="auto"/>
          <w:highlight w:val="none"/>
          <w:lang w:eastAsia="zh-CN"/>
        </w:rPr>
        <w:t>十四、国有资本经营预算财政拨款支出决算表</w:t>
      </w:r>
      <w:bookmarkEnd w:id="203"/>
      <w:bookmarkEnd w:id="204"/>
      <w:bookmarkEnd w:id="205"/>
    </w:p>
    <w:sectPr>
      <w:headerReference r:id="rId15" w:type="first"/>
      <w:footerReference r:id="rId17" w:type="first"/>
      <w:headerReference r:id="rId14" w:type="default"/>
      <w:footerReference r:id="rId1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BAFF0-CD26-4533-9C20-2E74523ECF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6AB74E45-A92A-430F-BF55-829B1AC2C09A}"/>
  </w:font>
  <w:font w:name="仿宋_GB2312">
    <w:panose1 w:val="02010609030101010101"/>
    <w:charset w:val="86"/>
    <w:family w:val="modern"/>
    <w:pitch w:val="default"/>
    <w:sig w:usb0="00000001" w:usb1="080E0000" w:usb2="00000000" w:usb3="00000000" w:csb0="00040000" w:csb1="00000000"/>
    <w:embedRegular r:id="rId3" w:fontKey="{CBC6C485-10DB-4069-96F5-91CCEF819047}"/>
  </w:font>
  <w:font w:name="仿宋">
    <w:panose1 w:val="02010609060101010101"/>
    <w:charset w:val="86"/>
    <w:family w:val="auto"/>
    <w:pitch w:val="default"/>
    <w:sig w:usb0="800002BF" w:usb1="38CF7CFA" w:usb2="00000016" w:usb3="00000000" w:csb0="00040001" w:csb1="00000000"/>
    <w:embedRegular r:id="rId4" w:fontKey="{072B2354-A685-497D-8B18-FF633A5E3056}"/>
  </w:font>
  <w:font w:name="方正小标宋简体">
    <w:panose1 w:val="02000000000000000000"/>
    <w:charset w:val="86"/>
    <w:family w:val="script"/>
    <w:pitch w:val="default"/>
    <w:sig w:usb0="00000001" w:usb1="08000000" w:usb2="00000000" w:usb3="00000000" w:csb0="00040000" w:csb1="00000000"/>
    <w:embedRegular r:id="rId5" w:fontKey="{5B36F666-C9C9-4516-8AE7-BFC71584837A}"/>
  </w:font>
  <w:font w:name="楷体_GB2312">
    <w:altName w:val="楷体"/>
    <w:panose1 w:val="02010609030101010101"/>
    <w:charset w:val="86"/>
    <w:family w:val="auto"/>
    <w:pitch w:val="default"/>
    <w:sig w:usb0="00000000" w:usb1="00000000" w:usb2="00000000" w:usb3="00000000" w:csb0="00040000" w:csb1="00000000"/>
    <w:embedRegular r:id="rId6" w:fontKey="{6AADE2E0-9F17-4D29-89EF-0F77EC9995F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51C05"/>
    <w:multiLevelType w:val="singleLevel"/>
    <w:tmpl w:val="A0851C05"/>
    <w:lvl w:ilvl="0" w:tentative="0">
      <w:start w:val="2"/>
      <w:numFmt w:val="decimal"/>
      <w:lvlText w:val="%1."/>
      <w:lvlJc w:val="left"/>
      <w:pPr>
        <w:tabs>
          <w:tab w:val="left" w:pos="312"/>
        </w:tabs>
      </w:pPr>
    </w:lvl>
  </w:abstractNum>
  <w:abstractNum w:abstractNumId="1">
    <w:nsid w:val="A6E4E8B0"/>
    <w:multiLevelType w:val="singleLevel"/>
    <w:tmpl w:val="A6E4E8B0"/>
    <w:lvl w:ilvl="0" w:tentative="0">
      <w:start w:val="2"/>
      <w:numFmt w:val="chineseCounting"/>
      <w:suff w:val="nothing"/>
      <w:lvlText w:val="（%1）"/>
      <w:lvlJc w:val="left"/>
      <w:rPr>
        <w:rFonts w:hint="eastAsia"/>
      </w:rPr>
    </w:lvl>
  </w:abstractNum>
  <w:abstractNum w:abstractNumId="2">
    <w:nsid w:val="C49C7FEF"/>
    <w:multiLevelType w:val="singleLevel"/>
    <w:tmpl w:val="C49C7FEF"/>
    <w:lvl w:ilvl="0" w:tentative="0">
      <w:start w:val="3"/>
      <w:numFmt w:val="chineseCounting"/>
      <w:suff w:val="nothing"/>
      <w:lvlText w:val="（%1）"/>
      <w:lvlJc w:val="left"/>
      <w:rPr>
        <w:rFonts w:hint="eastAsia"/>
      </w:rPr>
    </w:lvl>
  </w:abstractNum>
  <w:abstractNum w:abstractNumId="3">
    <w:nsid w:val="CEC34A6D"/>
    <w:multiLevelType w:val="singleLevel"/>
    <w:tmpl w:val="CEC34A6D"/>
    <w:lvl w:ilvl="0" w:tentative="0">
      <w:start w:val="2"/>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D8798681"/>
    <w:multiLevelType w:val="singleLevel"/>
    <w:tmpl w:val="D8798681"/>
    <w:lvl w:ilvl="0" w:tentative="0">
      <w:start w:val="1"/>
      <w:numFmt w:val="chineseCounting"/>
      <w:suff w:val="nothing"/>
      <w:lvlText w:val="%1、"/>
      <w:lvlJc w:val="left"/>
      <w:rPr>
        <w:rFonts w:hint="eastAsia"/>
      </w:rPr>
    </w:lvl>
  </w:abstractNum>
  <w:abstractNum w:abstractNumId="6">
    <w:nsid w:val="D9CDA7BA"/>
    <w:multiLevelType w:val="singleLevel"/>
    <w:tmpl w:val="D9CDA7BA"/>
    <w:lvl w:ilvl="0" w:tentative="0">
      <w:start w:val="2"/>
      <w:numFmt w:val="chineseCounting"/>
      <w:suff w:val="nothing"/>
      <w:lvlText w:val="（%1）"/>
      <w:lvlJc w:val="left"/>
      <w:rPr>
        <w:rFonts w:hint="eastAsia"/>
      </w:rPr>
    </w:lvl>
  </w:abstractNum>
  <w:abstractNum w:abstractNumId="7">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8">
    <w:nsid w:val="F606BBAE"/>
    <w:multiLevelType w:val="singleLevel"/>
    <w:tmpl w:val="F606BBAE"/>
    <w:lvl w:ilvl="0" w:tentative="0">
      <w:start w:val="1"/>
      <w:numFmt w:val="chineseCounting"/>
      <w:suff w:val="nothing"/>
      <w:lvlText w:val="（%1）"/>
      <w:lvlJc w:val="left"/>
      <w:pPr>
        <w:ind w:left="-90"/>
      </w:pPr>
      <w:rPr>
        <w:rFonts w:hint="eastAsia"/>
      </w:r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9"/>
  </w:num>
  <w:num w:numId="3">
    <w:abstractNumId w:val="4"/>
  </w:num>
  <w:num w:numId="4">
    <w:abstractNumId w:val="7"/>
  </w:num>
  <w:num w:numId="5">
    <w:abstractNumId w:val="3"/>
  </w:num>
  <w:num w:numId="6">
    <w:abstractNumId w:val="2"/>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jg1ZTRmYTA1NTMyNmYzODdlOTFjNjcyOTI1NjU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39611B"/>
    <w:rsid w:val="04C120ED"/>
    <w:rsid w:val="07A13AAD"/>
    <w:rsid w:val="0A2032A3"/>
    <w:rsid w:val="0A594DFA"/>
    <w:rsid w:val="0B8A37D8"/>
    <w:rsid w:val="0BF7791F"/>
    <w:rsid w:val="0CD2016A"/>
    <w:rsid w:val="0DC85ED2"/>
    <w:rsid w:val="10C055FF"/>
    <w:rsid w:val="118107EC"/>
    <w:rsid w:val="11DD6519"/>
    <w:rsid w:val="123E3940"/>
    <w:rsid w:val="13390EFF"/>
    <w:rsid w:val="14FC672A"/>
    <w:rsid w:val="16BB723D"/>
    <w:rsid w:val="17420AF0"/>
    <w:rsid w:val="17AA2BC4"/>
    <w:rsid w:val="18015F3F"/>
    <w:rsid w:val="1802012A"/>
    <w:rsid w:val="185045CC"/>
    <w:rsid w:val="197414AF"/>
    <w:rsid w:val="1BE8440E"/>
    <w:rsid w:val="1D155CEE"/>
    <w:rsid w:val="1E230704"/>
    <w:rsid w:val="1EC72146"/>
    <w:rsid w:val="20F57F95"/>
    <w:rsid w:val="240371BF"/>
    <w:rsid w:val="25C741E6"/>
    <w:rsid w:val="27630C0D"/>
    <w:rsid w:val="27842671"/>
    <w:rsid w:val="29D804BB"/>
    <w:rsid w:val="29FD04D3"/>
    <w:rsid w:val="2ABE7A3E"/>
    <w:rsid w:val="2EFA178C"/>
    <w:rsid w:val="2FE2558D"/>
    <w:rsid w:val="3059045B"/>
    <w:rsid w:val="30B46D73"/>
    <w:rsid w:val="31353FF4"/>
    <w:rsid w:val="319F7F4E"/>
    <w:rsid w:val="33690AAB"/>
    <w:rsid w:val="33D51A6D"/>
    <w:rsid w:val="33FB0E45"/>
    <w:rsid w:val="344F5840"/>
    <w:rsid w:val="35430768"/>
    <w:rsid w:val="36016F96"/>
    <w:rsid w:val="36531388"/>
    <w:rsid w:val="39AE70AB"/>
    <w:rsid w:val="3A3B3ED3"/>
    <w:rsid w:val="3C0C0783"/>
    <w:rsid w:val="3F795B0E"/>
    <w:rsid w:val="3F9F3A96"/>
    <w:rsid w:val="40350D30"/>
    <w:rsid w:val="40E415C7"/>
    <w:rsid w:val="41CE6B33"/>
    <w:rsid w:val="45E46CA4"/>
    <w:rsid w:val="493C27E9"/>
    <w:rsid w:val="496F39ED"/>
    <w:rsid w:val="49FF41D3"/>
    <w:rsid w:val="4A185DC8"/>
    <w:rsid w:val="4BE068DB"/>
    <w:rsid w:val="4BF6002B"/>
    <w:rsid w:val="4C7F3666"/>
    <w:rsid w:val="4CF654EE"/>
    <w:rsid w:val="4ECE2238"/>
    <w:rsid w:val="4F9C3F91"/>
    <w:rsid w:val="50C81361"/>
    <w:rsid w:val="51DB4B86"/>
    <w:rsid w:val="520124BB"/>
    <w:rsid w:val="52F15B41"/>
    <w:rsid w:val="532F531A"/>
    <w:rsid w:val="534F1C70"/>
    <w:rsid w:val="55333C3E"/>
    <w:rsid w:val="5CC16D2F"/>
    <w:rsid w:val="5CE95B7F"/>
    <w:rsid w:val="5D9C50FB"/>
    <w:rsid w:val="629D0923"/>
    <w:rsid w:val="629E17B2"/>
    <w:rsid w:val="62A8747D"/>
    <w:rsid w:val="64CA39A1"/>
    <w:rsid w:val="65632E77"/>
    <w:rsid w:val="65B5235C"/>
    <w:rsid w:val="66C0363A"/>
    <w:rsid w:val="691517D5"/>
    <w:rsid w:val="69237047"/>
    <w:rsid w:val="6B18596E"/>
    <w:rsid w:val="6C4A05C8"/>
    <w:rsid w:val="6C752839"/>
    <w:rsid w:val="6CB52DA9"/>
    <w:rsid w:val="6F3239AE"/>
    <w:rsid w:val="72734D90"/>
    <w:rsid w:val="73724677"/>
    <w:rsid w:val="75167E9B"/>
    <w:rsid w:val="79E7B28D"/>
    <w:rsid w:val="7B50702E"/>
    <w:rsid w:val="7C775BAB"/>
    <w:rsid w:val="7CB00C2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0"/>
    <w:pPr>
      <w:ind w:left="400" w:leftChars="200" w:hanging="200" w:hangingChars="200"/>
    </w:p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page number"/>
    <w:unhideWhenUsed/>
    <w:qFormat/>
    <w:uiPriority w:val="0"/>
    <w:rPr>
      <w:rFonts w:hint="default"/>
      <w:sz w:val="24"/>
      <w:szCs w:val="24"/>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font31"/>
    <w:basedOn w:val="14"/>
    <w:qFormat/>
    <w:uiPriority w:val="0"/>
    <w:rPr>
      <w:rFonts w:hint="eastAsia" w:ascii="宋体" w:hAnsi="宋体" w:eastAsia="宋体" w:cs="宋体"/>
      <w:color w:val="000000"/>
      <w:sz w:val="24"/>
      <w:szCs w:val="24"/>
      <w:u w:val="none"/>
    </w:rPr>
  </w:style>
  <w:style w:type="character" w:customStyle="1" w:styleId="33">
    <w:name w:val="font51"/>
    <w:basedOn w:val="14"/>
    <w:qFormat/>
    <w:uiPriority w:val="0"/>
    <w:rPr>
      <w:rFonts w:hint="eastAsia" w:ascii="宋体" w:hAnsi="宋体" w:eastAsia="宋体" w:cs="宋体"/>
      <w:color w:val="000000"/>
      <w:sz w:val="16"/>
      <w:szCs w:val="16"/>
      <w:u w:val="none"/>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7.xml"/><Relationship Id="rId24" Type="http://schemas.openxmlformats.org/officeDocument/2006/relationships/chart" Target="charts/chart6.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收支决算总计对比</a:t>
            </a:r>
          </a:p>
        </c:rich>
      </c:tx>
      <c:layout/>
      <c:overlay val="0"/>
      <c:spPr>
        <a:noFill/>
        <a:ln>
          <a:noFill/>
        </a:ln>
        <a:effectLst/>
      </c:spPr>
    </c:title>
    <c:autoTitleDeleted val="0"/>
    <c:plotArea>
      <c:layout/>
      <c:barChart>
        <c:barDir val="col"/>
        <c:grouping val="clustered"/>
        <c:varyColors val="0"/>
        <c:ser>
          <c:idx val="1"/>
          <c:order val="1"/>
          <c:tx>
            <c:strRef>
              <c:f>Sheet1!#REF!</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33131377"/>
        <c:axId val="77878087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788.03</c:v>
                </c:pt>
                <c:pt idx="1">
                  <c:v>843.49</c:v>
                </c:pt>
              </c:numCache>
            </c:numRef>
          </c:val>
        </c:ser>
        <c:dLbls>
          <c:showLegendKey val="0"/>
          <c:showVal val="1"/>
          <c:showCatName val="0"/>
          <c:showSerName val="0"/>
          <c:showPercent val="0"/>
          <c:showBubbleSize val="0"/>
        </c:dLbls>
        <c:gapWidth val="219"/>
        <c:overlap val="-27"/>
        <c:axId val="741538918"/>
        <c:axId val="104642470"/>
      </c:barChart>
      <c:catAx>
        <c:axId val="2331313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780876"/>
        <c:crosses val="autoZero"/>
        <c:auto val="1"/>
        <c:lblAlgn val="ctr"/>
        <c:lblOffset val="100"/>
        <c:noMultiLvlLbl val="0"/>
      </c:catAx>
      <c:valAx>
        <c:axId val="7787808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131377"/>
        <c:crosses val="autoZero"/>
        <c:crossBetween val="between"/>
      </c:valAx>
      <c:catAx>
        <c:axId val="74153891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642470"/>
        <c:crosses val="autoZero"/>
        <c:auto val="1"/>
        <c:lblAlgn val="ctr"/>
        <c:lblOffset val="100"/>
        <c:noMultiLvlLbl val="0"/>
      </c:catAx>
      <c:valAx>
        <c:axId val="104642470"/>
        <c:scaling>
          <c:orientation val="minMax"/>
        </c:scaling>
        <c:delete val="1"/>
        <c:axPos val="r"/>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53891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843.37</c:v>
                </c:pt>
                <c:pt idx="1">
                  <c:v>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836.14</c:v>
                </c:pt>
                <c:pt idx="1">
                  <c:v>7.28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财政拨款收支决算总计对比</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772.05</c:v>
                </c:pt>
                <c:pt idx="1">
                  <c:v>843.47</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2020</c:v>
                      </c:pt>
                    </c:strCache>
                  </c:strRef>
                </c15:tx>
              </c15:filteredSeriesTitle>
            </c:ext>
          </c:extLst>
        </c:ser>
        <c:dLbls>
          <c:showLegendKey val="0"/>
          <c:showVal val="1"/>
          <c:showCatName val="0"/>
          <c:showSerName val="0"/>
          <c:showPercent val="0"/>
          <c:showBubbleSize val="0"/>
        </c:dLbls>
        <c:gapWidth val="219"/>
        <c:overlap val="-27"/>
        <c:axId val="857878513"/>
        <c:axId val="824667313"/>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
                            </c:pt>
                          </c:strCache>
                        </c:strRef>
                      </c15:tx>
                    </c15:filteredSeriesTitle>
                  </c:ext>
                </c:extLst>
              </c15:ser>
            </c15:filteredBarSeries>
          </c:ext>
        </c:extLst>
      </c:barChart>
      <c:catAx>
        <c:axId val="85787851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mn-lt"/>
                <a:ea typeface="+mn-ea"/>
                <a:cs typeface="+mn-cs"/>
              </a:defRPr>
            </a:pPr>
          </a:p>
        </c:txPr>
        <c:crossAx val="824667313"/>
        <c:crosses val="autoZero"/>
        <c:auto val="1"/>
        <c:lblAlgn val="ctr"/>
        <c:lblOffset val="100"/>
        <c:noMultiLvlLbl val="0"/>
      </c:catAx>
      <c:valAx>
        <c:axId val="824667313"/>
        <c:scaling>
          <c:orientation val="minMax"/>
          <c:max val="9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8785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7120377655389"/>
          <c:y val="0.191164658634538"/>
          <c:w val="0.900524521374246"/>
          <c:h val="0.749879518072289"/>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771.95</c:v>
                </c:pt>
                <c:pt idx="1">
                  <c:v>843.42</c:v>
                </c:pt>
              </c:numCache>
            </c:numRef>
          </c:val>
        </c:ser>
        <c:dLbls>
          <c:showLegendKey val="0"/>
          <c:showVal val="0"/>
          <c:showCatName val="0"/>
          <c:showSerName val="0"/>
          <c:showPercent val="0"/>
          <c:showBubbleSize val="0"/>
        </c:dLbls>
        <c:gapWidth val="219"/>
        <c:overlap val="-27"/>
        <c:axId val="59689708"/>
        <c:axId val="102470445"/>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96897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470445"/>
        <c:crosses val="autoZero"/>
        <c:auto val="1"/>
        <c:lblAlgn val="ctr"/>
        <c:lblOffset val="100"/>
        <c:noMultiLvlLbl val="0"/>
      </c:catAx>
      <c:valAx>
        <c:axId val="102470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6897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交通运输支出</c:v>
                </c:pt>
                <c:pt idx="3">
                  <c:v>住房保障支出</c:v>
                </c:pt>
              </c:strCache>
            </c:strRef>
          </c:cat>
          <c:val>
            <c:numRef>
              <c:f>Sheet1!$B$2:$B$5</c:f>
              <c:numCache>
                <c:formatCode>General</c:formatCode>
                <c:ptCount val="4"/>
                <c:pt idx="0">
                  <c:v>81.97</c:v>
                </c:pt>
                <c:pt idx="1">
                  <c:v>28.99</c:v>
                </c:pt>
                <c:pt idx="2">
                  <c:v>674.02</c:v>
                </c:pt>
                <c:pt idx="3">
                  <c:v>58.44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2.09</c:v>
                </c:pt>
                <c:pt idx="1">
                  <c:v>0.18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9897</Words>
  <Characters>10539</Characters>
  <Lines>1</Lines>
  <Paragraphs>1</Paragraphs>
  <TotalTime>182</TotalTime>
  <ScaleCrop>false</ScaleCrop>
  <LinksUpToDate>false</LinksUpToDate>
  <CharactersWithSpaces>10681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 俊俊</cp:lastModifiedBy>
  <cp:lastPrinted>2022-08-06T02:23:00Z</cp:lastPrinted>
  <dcterms:modified xsi:type="dcterms:W3CDTF">2022-09-16T08:54:14Z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0B569208E27D4745B8EC99FE9CA9B4F0</vt:lpwstr>
  </property>
</Properties>
</file>