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sz w:val="72"/>
          <w:szCs w:val="72"/>
        </w:rPr>
      </w:pPr>
      <w:bookmarkStart w:id="0" w:name="_Toc15306267"/>
    </w:p>
    <w:p>
      <w:pPr>
        <w:spacing w:line="600" w:lineRule="exact"/>
        <w:jc w:val="center"/>
        <w:rPr>
          <w:rFonts w:ascii="方正小标宋简体" w:hAnsi="宋体" w:eastAsia="方正小标宋简体"/>
          <w:sz w:val="72"/>
          <w:szCs w:val="72"/>
        </w:rPr>
      </w:pPr>
    </w:p>
    <w:p>
      <w:pPr>
        <w:spacing w:line="600" w:lineRule="exact"/>
        <w:jc w:val="center"/>
        <w:rPr>
          <w:rFonts w:ascii="方正小标宋简体" w:hAnsi="宋体" w:eastAsia="方正小标宋简体"/>
          <w:sz w:val="72"/>
          <w:szCs w:val="72"/>
        </w:rPr>
      </w:pPr>
    </w:p>
    <w:p>
      <w:pPr>
        <w:spacing w:line="600" w:lineRule="exact"/>
        <w:jc w:val="center"/>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8441"/>
      <w:bookmarkStart w:id="2" w:name="_Toc15377193"/>
      <w:bookmarkStart w:id="3" w:name="_Toc1601886276"/>
      <w:bookmarkStart w:id="4" w:name="_Toc1653539650"/>
      <w:bookmarkStart w:id="5" w:name="_Toc15377425"/>
      <w:bookmarkStart w:id="6" w:name="_Toc15396597"/>
      <w:bookmarkStart w:id="7" w:name="_Toc15396475"/>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bookmarkEnd w:id="6"/>
      <w:bookmarkEnd w:id="7"/>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8" w:name="_Toc15396598"/>
      <w:bookmarkStart w:id="9" w:name="_Toc15377426"/>
      <w:bookmarkStart w:id="10" w:name="_Toc15378442"/>
      <w:bookmarkStart w:id="11" w:name="_Toc15377194"/>
      <w:bookmarkStart w:id="12" w:name="_Toc1981284315"/>
      <w:bookmarkStart w:id="13" w:name="_Toc2042906315"/>
      <w:bookmarkStart w:id="14" w:name="_Toc15396476"/>
      <w:r>
        <w:rPr>
          <w:rFonts w:hint="eastAsia" w:ascii="方正小标宋简体" w:hAnsi="方正小标宋简体" w:eastAsia="方正小标宋简体" w:cs="方正小标宋简体"/>
          <w:sz w:val="72"/>
          <w:szCs w:val="72"/>
        </w:rPr>
        <w:t>广元市</w:t>
      </w:r>
      <w:bookmarkEnd w:id="0"/>
      <w:bookmarkStart w:id="15" w:name="_Toc15306268"/>
      <w:r>
        <w:rPr>
          <w:rFonts w:ascii="方正小标宋简体" w:hAnsi="方正小标宋简体" w:eastAsia="方正小标宋简体" w:cs="方正小标宋简体"/>
          <w:sz w:val="72"/>
          <w:szCs w:val="72"/>
        </w:rPr>
        <w:t>交通运输综合行政执法支队</w:t>
      </w:r>
      <w:r>
        <w:rPr>
          <w:rFonts w:hint="eastAsia" w:ascii="方正小标宋简体" w:hAnsi="方正小标宋简体" w:eastAsia="方正小标宋简体" w:cs="方正小标宋简体"/>
          <w:sz w:val="72"/>
          <w:szCs w:val="72"/>
        </w:rPr>
        <w:t>决算</w:t>
      </w:r>
      <w:bookmarkEnd w:id="8"/>
      <w:bookmarkEnd w:id="9"/>
      <w:bookmarkEnd w:id="10"/>
      <w:bookmarkEnd w:id="11"/>
      <w:bookmarkEnd w:id="12"/>
      <w:bookmarkEnd w:id="13"/>
      <w:bookmarkEnd w:id="14"/>
      <w:bookmarkEnd w:id="15"/>
    </w:p>
    <w:p>
      <w:pPr>
        <w:pStyle w:val="15"/>
        <w:adjustRightInd w:val="0"/>
        <w:snapToGrid w:val="0"/>
        <w:spacing w:line="440" w:lineRule="exact"/>
        <w:jc w:val="left"/>
        <w:rPr>
          <w:sz w:val="24"/>
        </w:rPr>
      </w:pPr>
      <w:r>
        <w:rPr>
          <w:rFonts w:ascii="方正小标宋简体" w:hAnsi="宋体" w:eastAsia="方正小标宋简体"/>
          <w:sz w:val="36"/>
          <w:szCs w:val="36"/>
        </w:rPr>
        <w:br w:type="page"/>
      </w:r>
    </w:p>
    <w:sdt>
      <w:sdtPr>
        <w:rPr>
          <w:rFonts w:ascii="宋体" w:hAnsi="宋体"/>
        </w:rPr>
        <w:id w:val="851239231"/>
      </w:sdtPr>
      <w:sdtEndPr>
        <w:rPr>
          <w:rFonts w:ascii="宋体" w:hAnsi="宋体"/>
        </w:rPr>
      </w:sdtEndPr>
      <w:sdtContent>
        <w:p>
          <w:pPr>
            <w:jc w:val="center"/>
            <w:rPr>
              <w:rFonts w:ascii="黑体" w:hAnsi="黑体" w:eastAsia="黑体" w:cs="黑体"/>
              <w:sz w:val="48"/>
              <w:szCs w:val="48"/>
            </w:rPr>
          </w:pPr>
          <w:bookmarkStart w:id="16" w:name="_Toc15396599"/>
          <w:bookmarkStart w:id="17" w:name="_Toc15377196"/>
          <w:r>
            <w:rPr>
              <w:rFonts w:hint="eastAsia" w:ascii="黑体" w:hAnsi="黑体" w:eastAsia="黑体" w:cs="黑体"/>
              <w:sz w:val="48"/>
              <w:szCs w:val="48"/>
            </w:rPr>
            <w:t>目  录</w:t>
          </w:r>
        </w:p>
        <w:p>
          <w:pPr>
            <w:pStyle w:val="13"/>
            <w:tabs>
              <w:tab w:val="right" w:leader="dot" w:pos="8306"/>
              <w:tab w:val="clear" w:pos="8296"/>
            </w:tabs>
            <w:spacing w:line="578" w:lineRule="exact"/>
            <w:rPr>
              <w:rFonts w:ascii="宋体" w:hAnsi="宋体" w:eastAsia="宋体" w:cs="宋体"/>
              <w:sz w:val="24"/>
              <w:szCs w:val="24"/>
            </w:rPr>
          </w:pPr>
          <w:r>
            <w:rPr>
              <w:rFonts w:hint="eastAsia" w:ascii="宋体" w:hAnsi="宋体" w:eastAsia="宋体" w:cs="宋体"/>
            </w:rPr>
            <w:t>（公开时间：2022年10月1</w:t>
          </w:r>
          <w:ins w:id="0" w:author="user" w:date="2023-06-27T11:41:11Z">
            <w:r>
              <w:rPr>
                <w:rFonts w:hint="default" w:ascii="宋体" w:hAnsi="宋体" w:eastAsia="宋体" w:cs="宋体"/>
              </w:rPr>
              <w:t>3</w:t>
            </w:r>
          </w:ins>
          <w:bookmarkStart w:id="109" w:name="_GoBack"/>
          <w:bookmarkEnd w:id="109"/>
          <w:r>
            <w:rPr>
              <w:rFonts w:hint="eastAsia" w:ascii="宋体" w:hAnsi="宋体" w:eastAsia="宋体" w:cs="宋体"/>
            </w:rPr>
            <w:t>日）</w:t>
          </w:r>
          <w:r>
            <w:rPr>
              <w:rFonts w:hint="eastAsia" w:ascii="宋体" w:hAnsi="宋体" w:eastAsia="宋体" w:cs="宋体"/>
            </w:rPr>
            <w:fldChar w:fldCharType="begin"/>
          </w:r>
          <w:r>
            <w:rPr>
              <w:rFonts w:hint="eastAsia" w:ascii="宋体" w:hAnsi="宋体" w:eastAsia="宋体" w:cs="宋体"/>
            </w:rPr>
            <w:instrText xml:space="preserve">TOC \o "1-2" \h \u </w:instrText>
          </w:r>
          <w:r>
            <w:rPr>
              <w:rFonts w:hint="eastAsia" w:ascii="宋体" w:hAnsi="宋体" w:eastAsia="宋体" w:cs="宋体"/>
            </w:rPr>
            <w:fldChar w:fldCharType="separate"/>
          </w:r>
        </w:p>
        <w:p>
          <w:pPr>
            <w:pStyle w:val="13"/>
            <w:tabs>
              <w:tab w:val="right" w:leader="dot" w:pos="8306"/>
              <w:tab w:val="clear" w:pos="8296"/>
            </w:tabs>
            <w:spacing w:line="578" w:lineRule="exact"/>
            <w:rPr>
              <w:rFonts w:ascii="宋体" w:hAnsi="宋体" w:eastAsia="宋体" w:cs="宋体"/>
              <w:sz w:val="24"/>
              <w:szCs w:val="24"/>
            </w:rPr>
          </w:pPr>
          <w:r>
            <w:fldChar w:fldCharType="begin"/>
          </w:r>
          <w:r>
            <w:instrText xml:space="preserve"> HYPERLINK \l "_Toc2103833812" </w:instrText>
          </w:r>
          <w:r>
            <w:fldChar w:fldCharType="separate"/>
          </w:r>
          <w:r>
            <w:rPr>
              <w:rFonts w:hint="eastAsia" w:ascii="宋体" w:hAnsi="宋体" w:eastAsia="宋体" w:cs="宋体"/>
              <w:sz w:val="24"/>
              <w:szCs w:val="24"/>
            </w:rPr>
            <w:t>第一部分 单位概况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_Toc2103833812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tabs>
              <w:tab w:val="right" w:leader="dot" w:pos="8306"/>
              <w:tab w:val="clear" w:pos="8296"/>
            </w:tabs>
            <w:spacing w:line="578" w:lineRule="exact"/>
            <w:rPr>
              <w:rFonts w:ascii="宋体" w:hAnsi="宋体" w:cs="宋体"/>
              <w:sz w:val="24"/>
            </w:rPr>
          </w:pPr>
          <w:r>
            <w:fldChar w:fldCharType="begin"/>
          </w:r>
          <w:r>
            <w:instrText xml:space="preserve"> HYPERLINK \l "_Toc446515911" </w:instrText>
          </w:r>
          <w:r>
            <w:fldChar w:fldCharType="separate"/>
          </w:r>
          <w:r>
            <w:rPr>
              <w:rFonts w:hint="eastAsia" w:ascii="宋体" w:hAnsi="宋体" w:cs="宋体"/>
              <w:sz w:val="24"/>
            </w:rPr>
            <w:t>一、 职能简介</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_Toc446515911 \h </w:instrText>
          </w:r>
          <w:r>
            <w:rPr>
              <w:rFonts w:hint="eastAsia" w:ascii="宋体" w:hAnsi="宋体" w:cs="宋体"/>
              <w:sz w:val="24"/>
            </w:rPr>
            <w:fldChar w:fldCharType="separate"/>
          </w:r>
          <w:r>
            <w:rPr>
              <w:rFonts w:hint="eastAsia" w:ascii="宋体" w:hAnsi="宋体" w:cs="宋体"/>
              <w:sz w:val="24"/>
            </w:rPr>
            <w:t>1</w:t>
          </w:r>
          <w:r>
            <w:rPr>
              <w:rFonts w:hint="eastAsia" w:ascii="宋体" w:hAnsi="宋体" w:cs="宋体"/>
              <w:sz w:val="24"/>
            </w:rPr>
            <w:fldChar w:fldCharType="end"/>
          </w:r>
          <w:r>
            <w:rPr>
              <w:rFonts w:hint="eastAsia" w:ascii="宋体" w:hAnsi="宋体" w:cs="宋体"/>
              <w:sz w:val="24"/>
            </w:rPr>
            <w:fldChar w:fldCharType="end"/>
          </w:r>
        </w:p>
        <w:p>
          <w:pPr>
            <w:pStyle w:val="15"/>
            <w:tabs>
              <w:tab w:val="right" w:leader="dot" w:pos="8306"/>
              <w:tab w:val="clear" w:pos="8296"/>
            </w:tabs>
            <w:spacing w:line="578" w:lineRule="exact"/>
            <w:rPr>
              <w:rFonts w:ascii="宋体" w:hAnsi="宋体" w:cs="宋体"/>
              <w:sz w:val="24"/>
            </w:rPr>
          </w:pPr>
          <w:r>
            <w:fldChar w:fldCharType="begin"/>
          </w:r>
          <w:r>
            <w:instrText xml:space="preserve"> HYPERLINK \l "_Toc2132613762" </w:instrText>
          </w:r>
          <w:r>
            <w:fldChar w:fldCharType="separate"/>
          </w:r>
          <w:r>
            <w:rPr>
              <w:rFonts w:hint="eastAsia" w:ascii="宋体" w:hAnsi="宋体" w:cs="宋体"/>
              <w:sz w:val="24"/>
            </w:rPr>
            <w:t>二、2021年重点工作完成情况</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_Toc2132613762 \h </w:instrText>
          </w:r>
          <w:r>
            <w:rPr>
              <w:rFonts w:hint="eastAsia" w:ascii="宋体" w:hAnsi="宋体" w:cs="宋体"/>
              <w:sz w:val="24"/>
            </w:rPr>
            <w:fldChar w:fldCharType="separate"/>
          </w:r>
          <w:r>
            <w:rPr>
              <w:rFonts w:hint="eastAsia" w:ascii="宋体" w:hAnsi="宋体" w:cs="宋体"/>
              <w:sz w:val="24"/>
            </w:rPr>
            <w:t>4</w:t>
          </w:r>
          <w:r>
            <w:rPr>
              <w:rFonts w:hint="eastAsia" w:ascii="宋体" w:hAnsi="宋体" w:cs="宋体"/>
              <w:sz w:val="24"/>
            </w:rPr>
            <w:fldChar w:fldCharType="end"/>
          </w:r>
          <w:r>
            <w:rPr>
              <w:rFonts w:hint="eastAsia" w:ascii="宋体" w:hAnsi="宋体" w:cs="宋体"/>
              <w:sz w:val="24"/>
            </w:rPr>
            <w:fldChar w:fldCharType="end"/>
          </w:r>
        </w:p>
        <w:p>
          <w:pPr>
            <w:pStyle w:val="13"/>
            <w:tabs>
              <w:tab w:val="right" w:leader="dot" w:pos="8306"/>
              <w:tab w:val="clear" w:pos="8296"/>
            </w:tabs>
            <w:spacing w:line="578" w:lineRule="exact"/>
            <w:rPr>
              <w:rFonts w:ascii="宋体" w:hAnsi="宋体" w:eastAsia="宋体" w:cs="宋体"/>
              <w:sz w:val="24"/>
              <w:szCs w:val="24"/>
            </w:rPr>
          </w:pPr>
          <w:r>
            <w:fldChar w:fldCharType="begin"/>
          </w:r>
          <w:r>
            <w:instrText xml:space="preserve"> HYPERLINK \l "_Toc1254913573" </w:instrText>
          </w:r>
          <w:r>
            <w:fldChar w:fldCharType="separate"/>
          </w:r>
          <w:r>
            <w:rPr>
              <w:rFonts w:hint="eastAsia" w:ascii="宋体" w:hAnsi="宋体" w:eastAsia="宋体" w:cs="宋体"/>
              <w:bCs/>
              <w:sz w:val="24"/>
              <w:szCs w:val="24"/>
            </w:rPr>
            <w:t>第二部分 2021年度单位决算情况说明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_Toc1254913573 \h </w:instrText>
          </w:r>
          <w:r>
            <w:rPr>
              <w:rFonts w:hint="eastAsia" w:ascii="宋体" w:hAnsi="宋体" w:eastAsia="宋体" w:cs="宋体"/>
              <w:sz w:val="24"/>
              <w:szCs w:val="24"/>
            </w:rPr>
            <w:fldChar w:fldCharType="separate"/>
          </w:r>
          <w:r>
            <w:rPr>
              <w:rFonts w:hint="eastAsia" w:ascii="宋体" w:hAnsi="宋体" w:eastAsia="宋体" w:cs="宋体"/>
              <w:sz w:val="24"/>
              <w:szCs w:val="24"/>
            </w:rPr>
            <w:t>16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tabs>
              <w:tab w:val="right" w:leader="dot" w:pos="8306"/>
              <w:tab w:val="clear" w:pos="8296"/>
            </w:tabs>
            <w:spacing w:line="578" w:lineRule="exact"/>
            <w:rPr>
              <w:rFonts w:ascii="宋体" w:hAnsi="宋体" w:cs="宋体"/>
              <w:sz w:val="24"/>
            </w:rPr>
          </w:pPr>
          <w:r>
            <w:fldChar w:fldCharType="begin"/>
          </w:r>
          <w:r>
            <w:instrText xml:space="preserve"> HYPERLINK \l "_Toc1628279920" </w:instrText>
          </w:r>
          <w:r>
            <w:fldChar w:fldCharType="separate"/>
          </w:r>
          <w:r>
            <w:rPr>
              <w:rFonts w:hint="eastAsia" w:ascii="宋体" w:hAnsi="宋体" w:cs="宋体"/>
              <w:sz w:val="24"/>
            </w:rPr>
            <w:t>一、 收入支出决算总体情况说明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_Toc1628279920 \h </w:instrText>
          </w:r>
          <w:r>
            <w:rPr>
              <w:rFonts w:hint="eastAsia" w:ascii="宋体" w:hAnsi="宋体" w:cs="宋体"/>
              <w:sz w:val="24"/>
            </w:rPr>
            <w:fldChar w:fldCharType="separate"/>
          </w:r>
          <w:r>
            <w:rPr>
              <w:rFonts w:hint="eastAsia" w:ascii="宋体" w:hAnsi="宋体" w:cs="宋体"/>
              <w:sz w:val="24"/>
            </w:rPr>
            <w:t>16</w:t>
          </w:r>
          <w:r>
            <w:rPr>
              <w:rFonts w:hint="eastAsia" w:ascii="宋体" w:hAnsi="宋体" w:cs="宋体"/>
              <w:sz w:val="24"/>
            </w:rPr>
            <w:fldChar w:fldCharType="end"/>
          </w:r>
          <w:r>
            <w:rPr>
              <w:rFonts w:hint="eastAsia" w:ascii="宋体" w:hAnsi="宋体" w:cs="宋体"/>
              <w:sz w:val="24"/>
            </w:rPr>
            <w:fldChar w:fldCharType="end"/>
          </w:r>
        </w:p>
        <w:p>
          <w:pPr>
            <w:pStyle w:val="15"/>
            <w:tabs>
              <w:tab w:val="right" w:leader="dot" w:pos="8306"/>
              <w:tab w:val="clear" w:pos="8296"/>
            </w:tabs>
            <w:spacing w:line="578" w:lineRule="exact"/>
            <w:rPr>
              <w:rFonts w:ascii="宋体" w:hAnsi="宋体" w:cs="宋体"/>
              <w:sz w:val="24"/>
            </w:rPr>
          </w:pPr>
          <w:r>
            <w:fldChar w:fldCharType="begin"/>
          </w:r>
          <w:r>
            <w:instrText xml:space="preserve"> HYPERLINK \l "_Toc1102754215" </w:instrText>
          </w:r>
          <w:r>
            <w:fldChar w:fldCharType="separate"/>
          </w:r>
          <w:r>
            <w:rPr>
              <w:rFonts w:hint="eastAsia" w:ascii="宋体" w:hAnsi="宋体" w:cs="宋体"/>
              <w:sz w:val="24"/>
            </w:rPr>
            <w:t>二、 收入决算情况说明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_Toc1102754215 \h </w:instrText>
          </w:r>
          <w:r>
            <w:rPr>
              <w:rFonts w:hint="eastAsia" w:ascii="宋体" w:hAnsi="宋体" w:cs="宋体"/>
              <w:sz w:val="24"/>
            </w:rPr>
            <w:fldChar w:fldCharType="separate"/>
          </w:r>
          <w:r>
            <w:rPr>
              <w:rFonts w:hint="eastAsia" w:ascii="宋体" w:hAnsi="宋体" w:cs="宋体"/>
              <w:sz w:val="24"/>
            </w:rPr>
            <w:t>16</w:t>
          </w:r>
          <w:r>
            <w:rPr>
              <w:rFonts w:hint="eastAsia" w:ascii="宋体" w:hAnsi="宋体" w:cs="宋体"/>
              <w:sz w:val="24"/>
            </w:rPr>
            <w:fldChar w:fldCharType="end"/>
          </w:r>
          <w:r>
            <w:rPr>
              <w:rFonts w:hint="eastAsia" w:ascii="宋体" w:hAnsi="宋体" w:cs="宋体"/>
              <w:sz w:val="24"/>
            </w:rPr>
            <w:fldChar w:fldCharType="end"/>
          </w:r>
        </w:p>
        <w:p>
          <w:pPr>
            <w:pStyle w:val="15"/>
            <w:tabs>
              <w:tab w:val="right" w:leader="dot" w:pos="8306"/>
              <w:tab w:val="clear" w:pos="8296"/>
            </w:tabs>
            <w:spacing w:line="578" w:lineRule="exact"/>
            <w:rPr>
              <w:rFonts w:ascii="宋体" w:hAnsi="宋体" w:cs="宋体"/>
              <w:sz w:val="24"/>
            </w:rPr>
          </w:pPr>
          <w:r>
            <w:fldChar w:fldCharType="begin"/>
          </w:r>
          <w:r>
            <w:instrText xml:space="preserve"> HYPERLINK \l "_Toc1647093938" </w:instrText>
          </w:r>
          <w:r>
            <w:fldChar w:fldCharType="separate"/>
          </w:r>
          <w:r>
            <w:rPr>
              <w:rFonts w:hint="eastAsia" w:ascii="宋体" w:hAnsi="宋体" w:cs="宋体"/>
              <w:sz w:val="24"/>
            </w:rPr>
            <w:t>三、 支出决算情况说明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_Toc1647093938 \h </w:instrText>
          </w:r>
          <w:r>
            <w:rPr>
              <w:rFonts w:hint="eastAsia" w:ascii="宋体" w:hAnsi="宋体" w:cs="宋体"/>
              <w:sz w:val="24"/>
            </w:rPr>
            <w:fldChar w:fldCharType="separate"/>
          </w:r>
          <w:r>
            <w:rPr>
              <w:rFonts w:hint="eastAsia" w:ascii="宋体" w:hAnsi="宋体" w:cs="宋体"/>
              <w:sz w:val="24"/>
            </w:rPr>
            <w:t>17</w:t>
          </w:r>
          <w:r>
            <w:rPr>
              <w:rFonts w:hint="eastAsia" w:ascii="宋体" w:hAnsi="宋体" w:cs="宋体"/>
              <w:sz w:val="24"/>
            </w:rPr>
            <w:fldChar w:fldCharType="end"/>
          </w:r>
          <w:r>
            <w:rPr>
              <w:rFonts w:hint="eastAsia" w:ascii="宋体" w:hAnsi="宋体" w:cs="宋体"/>
              <w:sz w:val="24"/>
            </w:rPr>
            <w:fldChar w:fldCharType="end"/>
          </w:r>
        </w:p>
        <w:p>
          <w:pPr>
            <w:pStyle w:val="15"/>
            <w:tabs>
              <w:tab w:val="right" w:leader="dot" w:pos="8306"/>
              <w:tab w:val="clear" w:pos="8296"/>
            </w:tabs>
            <w:spacing w:line="578" w:lineRule="exact"/>
            <w:rPr>
              <w:rFonts w:ascii="宋体" w:hAnsi="宋体" w:cs="宋体"/>
              <w:sz w:val="24"/>
            </w:rPr>
          </w:pPr>
          <w:r>
            <w:fldChar w:fldCharType="begin"/>
          </w:r>
          <w:r>
            <w:instrText xml:space="preserve"> HYPERLINK \l "_Toc1113734316" </w:instrText>
          </w:r>
          <w:r>
            <w:fldChar w:fldCharType="separate"/>
          </w:r>
          <w:r>
            <w:rPr>
              <w:rFonts w:hint="eastAsia" w:ascii="宋体" w:hAnsi="宋体" w:cs="宋体"/>
              <w:sz w:val="24"/>
            </w:rPr>
            <w:t>四、财政拨款收入支出决算总体情况说明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_Toc1113734316 \h </w:instrText>
          </w:r>
          <w:r>
            <w:rPr>
              <w:rFonts w:hint="eastAsia" w:ascii="宋体" w:hAnsi="宋体" w:cs="宋体"/>
              <w:sz w:val="24"/>
            </w:rPr>
            <w:fldChar w:fldCharType="separate"/>
          </w:r>
          <w:r>
            <w:rPr>
              <w:rFonts w:hint="eastAsia" w:ascii="宋体" w:hAnsi="宋体" w:cs="宋体"/>
              <w:sz w:val="24"/>
            </w:rPr>
            <w:t>17</w:t>
          </w:r>
          <w:r>
            <w:rPr>
              <w:rFonts w:hint="eastAsia" w:ascii="宋体" w:hAnsi="宋体" w:cs="宋体"/>
              <w:sz w:val="24"/>
            </w:rPr>
            <w:fldChar w:fldCharType="end"/>
          </w:r>
          <w:r>
            <w:rPr>
              <w:rFonts w:hint="eastAsia" w:ascii="宋体" w:hAnsi="宋体" w:cs="宋体"/>
              <w:sz w:val="24"/>
            </w:rPr>
            <w:fldChar w:fldCharType="end"/>
          </w:r>
        </w:p>
        <w:p>
          <w:pPr>
            <w:pStyle w:val="15"/>
            <w:tabs>
              <w:tab w:val="right" w:leader="dot" w:pos="8306"/>
              <w:tab w:val="clear" w:pos="8296"/>
            </w:tabs>
            <w:spacing w:line="578" w:lineRule="exact"/>
            <w:rPr>
              <w:rFonts w:ascii="宋体" w:hAnsi="宋体" w:cs="宋体"/>
              <w:sz w:val="24"/>
            </w:rPr>
          </w:pPr>
          <w:r>
            <w:fldChar w:fldCharType="begin"/>
          </w:r>
          <w:r>
            <w:instrText xml:space="preserve"> HYPERLINK \l "_Toc1012426879" </w:instrText>
          </w:r>
          <w:r>
            <w:fldChar w:fldCharType="separate"/>
          </w:r>
          <w:r>
            <w:rPr>
              <w:rFonts w:hint="eastAsia" w:ascii="宋体" w:hAnsi="宋体" w:cs="宋体"/>
              <w:sz w:val="24"/>
            </w:rPr>
            <w:t>五、一般公共预算财政拨款支出决算情况说明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_Toc1012426879 \h </w:instrText>
          </w:r>
          <w:r>
            <w:rPr>
              <w:rFonts w:hint="eastAsia" w:ascii="宋体" w:hAnsi="宋体" w:cs="宋体"/>
              <w:sz w:val="24"/>
            </w:rPr>
            <w:fldChar w:fldCharType="separate"/>
          </w:r>
          <w:r>
            <w:rPr>
              <w:rFonts w:hint="eastAsia" w:ascii="宋体" w:hAnsi="宋体" w:cs="宋体"/>
              <w:sz w:val="24"/>
            </w:rPr>
            <w:t>18</w:t>
          </w:r>
          <w:r>
            <w:rPr>
              <w:rFonts w:hint="eastAsia" w:ascii="宋体" w:hAnsi="宋体" w:cs="宋体"/>
              <w:sz w:val="24"/>
            </w:rPr>
            <w:fldChar w:fldCharType="end"/>
          </w:r>
          <w:r>
            <w:rPr>
              <w:rFonts w:hint="eastAsia" w:ascii="宋体" w:hAnsi="宋体" w:cs="宋体"/>
              <w:sz w:val="24"/>
            </w:rPr>
            <w:fldChar w:fldCharType="end"/>
          </w:r>
        </w:p>
        <w:p>
          <w:pPr>
            <w:pStyle w:val="15"/>
            <w:tabs>
              <w:tab w:val="right" w:leader="dot" w:pos="8306"/>
              <w:tab w:val="clear" w:pos="8296"/>
            </w:tabs>
            <w:spacing w:line="578" w:lineRule="exact"/>
            <w:rPr>
              <w:rFonts w:ascii="宋体" w:hAnsi="宋体" w:cs="宋体"/>
              <w:sz w:val="24"/>
            </w:rPr>
          </w:pPr>
          <w:r>
            <w:fldChar w:fldCharType="begin"/>
          </w:r>
          <w:r>
            <w:instrText xml:space="preserve"> HYPERLINK \l "_Toc598549407" </w:instrText>
          </w:r>
          <w:r>
            <w:fldChar w:fldCharType="separate"/>
          </w:r>
          <w:r>
            <w:rPr>
              <w:rFonts w:hint="eastAsia" w:ascii="宋体" w:hAnsi="宋体" w:cs="宋体"/>
              <w:sz w:val="24"/>
            </w:rPr>
            <w:t>六、一般公共预算财政拨款基本支出决算情况说明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_Toc598549407 \h </w:instrText>
          </w:r>
          <w:r>
            <w:rPr>
              <w:rFonts w:hint="eastAsia" w:ascii="宋体" w:hAnsi="宋体" w:cs="宋体"/>
              <w:sz w:val="24"/>
            </w:rPr>
            <w:fldChar w:fldCharType="separate"/>
          </w:r>
          <w:r>
            <w:rPr>
              <w:rFonts w:hint="eastAsia" w:ascii="宋体" w:hAnsi="宋体" w:cs="宋体"/>
              <w:sz w:val="24"/>
            </w:rPr>
            <w:t>20</w:t>
          </w:r>
          <w:r>
            <w:rPr>
              <w:rFonts w:hint="eastAsia" w:ascii="宋体" w:hAnsi="宋体" w:cs="宋体"/>
              <w:sz w:val="24"/>
            </w:rPr>
            <w:fldChar w:fldCharType="end"/>
          </w:r>
          <w:r>
            <w:rPr>
              <w:rFonts w:hint="eastAsia" w:ascii="宋体" w:hAnsi="宋体" w:cs="宋体"/>
              <w:sz w:val="24"/>
            </w:rPr>
            <w:fldChar w:fldCharType="end"/>
          </w:r>
        </w:p>
        <w:p>
          <w:pPr>
            <w:pStyle w:val="15"/>
            <w:tabs>
              <w:tab w:val="right" w:leader="dot" w:pos="8306"/>
              <w:tab w:val="clear" w:pos="8296"/>
            </w:tabs>
            <w:spacing w:line="578" w:lineRule="exact"/>
            <w:rPr>
              <w:rFonts w:ascii="宋体" w:hAnsi="宋体" w:cs="宋体"/>
              <w:sz w:val="24"/>
            </w:rPr>
          </w:pPr>
          <w:r>
            <w:fldChar w:fldCharType="begin"/>
          </w:r>
          <w:r>
            <w:instrText xml:space="preserve"> HYPERLINK \l "_Toc1919559624" </w:instrText>
          </w:r>
          <w:r>
            <w:fldChar w:fldCharType="separate"/>
          </w:r>
          <w:r>
            <w:rPr>
              <w:rFonts w:hint="eastAsia" w:ascii="宋体" w:hAnsi="宋体" w:cs="宋体"/>
              <w:sz w:val="24"/>
            </w:rPr>
            <w:t>七、“三公”经费财政拨款支出决算情况说明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_Toc1919559624 \h </w:instrText>
          </w:r>
          <w:r>
            <w:rPr>
              <w:rFonts w:hint="eastAsia" w:ascii="宋体" w:hAnsi="宋体" w:cs="宋体"/>
              <w:sz w:val="24"/>
            </w:rPr>
            <w:fldChar w:fldCharType="separate"/>
          </w:r>
          <w:r>
            <w:rPr>
              <w:rFonts w:hint="eastAsia" w:ascii="宋体" w:hAnsi="宋体" w:cs="宋体"/>
              <w:sz w:val="24"/>
            </w:rPr>
            <w:t>21</w:t>
          </w:r>
          <w:r>
            <w:rPr>
              <w:rFonts w:hint="eastAsia" w:ascii="宋体" w:hAnsi="宋体" w:cs="宋体"/>
              <w:sz w:val="24"/>
            </w:rPr>
            <w:fldChar w:fldCharType="end"/>
          </w:r>
          <w:r>
            <w:rPr>
              <w:rFonts w:hint="eastAsia" w:ascii="宋体" w:hAnsi="宋体" w:cs="宋体"/>
              <w:sz w:val="24"/>
            </w:rPr>
            <w:fldChar w:fldCharType="end"/>
          </w:r>
        </w:p>
        <w:p>
          <w:pPr>
            <w:pStyle w:val="15"/>
            <w:tabs>
              <w:tab w:val="right" w:leader="dot" w:pos="8306"/>
              <w:tab w:val="clear" w:pos="8296"/>
            </w:tabs>
            <w:spacing w:line="578" w:lineRule="exact"/>
            <w:rPr>
              <w:rFonts w:ascii="宋体" w:hAnsi="宋体" w:cs="宋体"/>
              <w:sz w:val="24"/>
            </w:rPr>
          </w:pPr>
          <w:r>
            <w:fldChar w:fldCharType="begin"/>
          </w:r>
          <w:r>
            <w:instrText xml:space="preserve"> HYPERLINK \l "_Toc1322756170" </w:instrText>
          </w:r>
          <w:r>
            <w:fldChar w:fldCharType="separate"/>
          </w:r>
          <w:r>
            <w:rPr>
              <w:rFonts w:hint="eastAsia" w:ascii="宋体" w:hAnsi="宋体" w:cs="宋体"/>
              <w:sz w:val="24"/>
            </w:rPr>
            <w:t>八、政府性基金预算支出决算情况说明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_Toc1322756170 \h </w:instrText>
          </w:r>
          <w:r>
            <w:rPr>
              <w:rFonts w:hint="eastAsia" w:ascii="宋体" w:hAnsi="宋体" w:cs="宋体"/>
              <w:sz w:val="24"/>
            </w:rPr>
            <w:fldChar w:fldCharType="separate"/>
          </w:r>
          <w:r>
            <w:rPr>
              <w:rFonts w:hint="eastAsia" w:ascii="宋体" w:hAnsi="宋体" w:cs="宋体"/>
              <w:sz w:val="24"/>
            </w:rPr>
            <w:t>23</w:t>
          </w:r>
          <w:r>
            <w:rPr>
              <w:rFonts w:hint="eastAsia" w:ascii="宋体" w:hAnsi="宋体" w:cs="宋体"/>
              <w:sz w:val="24"/>
            </w:rPr>
            <w:fldChar w:fldCharType="end"/>
          </w:r>
          <w:r>
            <w:rPr>
              <w:rFonts w:hint="eastAsia" w:ascii="宋体" w:hAnsi="宋体" w:cs="宋体"/>
              <w:sz w:val="24"/>
            </w:rPr>
            <w:fldChar w:fldCharType="end"/>
          </w:r>
        </w:p>
        <w:p>
          <w:pPr>
            <w:pStyle w:val="15"/>
            <w:tabs>
              <w:tab w:val="right" w:leader="dot" w:pos="8306"/>
              <w:tab w:val="clear" w:pos="8296"/>
            </w:tabs>
            <w:spacing w:line="578" w:lineRule="exact"/>
            <w:rPr>
              <w:rFonts w:ascii="宋体" w:hAnsi="宋体" w:cs="宋体"/>
              <w:sz w:val="24"/>
            </w:rPr>
          </w:pPr>
          <w:r>
            <w:fldChar w:fldCharType="begin"/>
          </w:r>
          <w:r>
            <w:instrText xml:space="preserve"> HYPERLINK \l "_Toc1318249094" </w:instrText>
          </w:r>
          <w:r>
            <w:fldChar w:fldCharType="separate"/>
          </w:r>
          <w:r>
            <w:rPr>
              <w:rFonts w:hint="eastAsia" w:ascii="宋体" w:hAnsi="宋体" w:cs="宋体"/>
              <w:sz w:val="24"/>
            </w:rPr>
            <w:t>九、 国有资本经营预算支出决算情况说明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_Toc1318249094 \h </w:instrText>
          </w:r>
          <w:r>
            <w:rPr>
              <w:rFonts w:hint="eastAsia" w:ascii="宋体" w:hAnsi="宋体" w:cs="宋体"/>
              <w:sz w:val="24"/>
            </w:rPr>
            <w:fldChar w:fldCharType="separate"/>
          </w:r>
          <w:r>
            <w:rPr>
              <w:rFonts w:hint="eastAsia" w:ascii="宋体" w:hAnsi="宋体" w:cs="宋体"/>
              <w:sz w:val="24"/>
            </w:rPr>
            <w:t>23</w:t>
          </w:r>
          <w:r>
            <w:rPr>
              <w:rFonts w:hint="eastAsia" w:ascii="宋体" w:hAnsi="宋体" w:cs="宋体"/>
              <w:sz w:val="24"/>
            </w:rPr>
            <w:fldChar w:fldCharType="end"/>
          </w:r>
          <w:r>
            <w:rPr>
              <w:rFonts w:hint="eastAsia" w:ascii="宋体" w:hAnsi="宋体" w:cs="宋体"/>
              <w:sz w:val="24"/>
            </w:rPr>
            <w:fldChar w:fldCharType="end"/>
          </w:r>
        </w:p>
        <w:p>
          <w:pPr>
            <w:pStyle w:val="15"/>
            <w:tabs>
              <w:tab w:val="right" w:leader="dot" w:pos="8306"/>
              <w:tab w:val="clear" w:pos="8296"/>
            </w:tabs>
            <w:spacing w:line="578" w:lineRule="exact"/>
            <w:rPr>
              <w:rFonts w:ascii="宋体" w:hAnsi="宋体" w:cs="宋体"/>
              <w:sz w:val="24"/>
            </w:rPr>
          </w:pPr>
          <w:r>
            <w:fldChar w:fldCharType="begin"/>
          </w:r>
          <w:r>
            <w:instrText xml:space="preserve"> HYPERLINK \l "_Toc1326103758" </w:instrText>
          </w:r>
          <w:r>
            <w:fldChar w:fldCharType="separate"/>
          </w:r>
          <w:r>
            <w:rPr>
              <w:rFonts w:hint="eastAsia" w:ascii="宋体" w:hAnsi="宋体" w:cs="宋体"/>
              <w:sz w:val="24"/>
            </w:rPr>
            <w:t>十、 预算绩效管理情况</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_Toc1326103758 \h </w:instrText>
          </w:r>
          <w:r>
            <w:rPr>
              <w:rFonts w:hint="eastAsia" w:ascii="宋体" w:hAnsi="宋体" w:cs="宋体"/>
              <w:sz w:val="24"/>
            </w:rPr>
            <w:fldChar w:fldCharType="separate"/>
          </w:r>
          <w:r>
            <w:rPr>
              <w:rFonts w:hint="eastAsia" w:ascii="宋体" w:hAnsi="宋体" w:cs="宋体"/>
              <w:sz w:val="24"/>
            </w:rPr>
            <w:t>23</w:t>
          </w:r>
          <w:r>
            <w:rPr>
              <w:rFonts w:hint="eastAsia" w:ascii="宋体" w:hAnsi="宋体" w:cs="宋体"/>
              <w:sz w:val="24"/>
            </w:rPr>
            <w:fldChar w:fldCharType="end"/>
          </w:r>
          <w:r>
            <w:rPr>
              <w:rFonts w:hint="eastAsia" w:ascii="宋体" w:hAnsi="宋体" w:cs="宋体"/>
              <w:sz w:val="24"/>
            </w:rPr>
            <w:fldChar w:fldCharType="end"/>
          </w:r>
        </w:p>
        <w:p>
          <w:pPr>
            <w:pStyle w:val="15"/>
            <w:tabs>
              <w:tab w:val="right" w:leader="dot" w:pos="8306"/>
              <w:tab w:val="clear" w:pos="8296"/>
            </w:tabs>
            <w:spacing w:line="578" w:lineRule="exact"/>
            <w:rPr>
              <w:rFonts w:ascii="宋体" w:hAnsi="宋体" w:cs="宋体"/>
              <w:sz w:val="24"/>
            </w:rPr>
          </w:pPr>
          <w:r>
            <w:fldChar w:fldCharType="begin"/>
          </w:r>
          <w:r>
            <w:instrText xml:space="preserve"> HYPERLINK \l "_Toc1064547123" </w:instrText>
          </w:r>
          <w:r>
            <w:fldChar w:fldCharType="separate"/>
          </w:r>
          <w:r>
            <w:rPr>
              <w:rFonts w:hint="eastAsia" w:ascii="宋体" w:hAnsi="宋体" w:cs="宋体"/>
              <w:sz w:val="24"/>
            </w:rPr>
            <w:t>十一、 其他重要事项的情况说明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_Toc1064547123 \h </w:instrText>
          </w:r>
          <w:r>
            <w:rPr>
              <w:rFonts w:hint="eastAsia" w:ascii="宋体" w:hAnsi="宋体" w:cs="宋体"/>
              <w:sz w:val="24"/>
            </w:rPr>
            <w:fldChar w:fldCharType="separate"/>
          </w:r>
          <w:r>
            <w:rPr>
              <w:rFonts w:hint="eastAsia" w:ascii="宋体" w:hAnsi="宋体" w:cs="宋体"/>
              <w:sz w:val="24"/>
            </w:rPr>
            <w:t>24</w:t>
          </w:r>
          <w:r>
            <w:rPr>
              <w:rFonts w:hint="eastAsia" w:ascii="宋体" w:hAnsi="宋体" w:cs="宋体"/>
              <w:sz w:val="24"/>
            </w:rPr>
            <w:fldChar w:fldCharType="end"/>
          </w:r>
          <w:r>
            <w:rPr>
              <w:rFonts w:hint="eastAsia" w:ascii="宋体" w:hAnsi="宋体" w:cs="宋体"/>
              <w:sz w:val="24"/>
            </w:rPr>
            <w:fldChar w:fldCharType="end"/>
          </w:r>
        </w:p>
        <w:p>
          <w:pPr>
            <w:pStyle w:val="13"/>
            <w:tabs>
              <w:tab w:val="right" w:leader="dot" w:pos="8306"/>
              <w:tab w:val="clear" w:pos="8296"/>
            </w:tabs>
            <w:spacing w:line="578" w:lineRule="exact"/>
            <w:rPr>
              <w:rFonts w:ascii="宋体" w:hAnsi="宋体" w:eastAsia="宋体" w:cs="宋体"/>
              <w:sz w:val="24"/>
              <w:szCs w:val="24"/>
            </w:rPr>
          </w:pPr>
          <w:r>
            <w:fldChar w:fldCharType="begin"/>
          </w:r>
          <w:r>
            <w:instrText xml:space="preserve"> HYPERLINK \l "_Toc687799633" </w:instrText>
          </w:r>
          <w:r>
            <w:fldChar w:fldCharType="separate"/>
          </w:r>
          <w:r>
            <w:rPr>
              <w:rFonts w:hint="eastAsia" w:ascii="宋体" w:hAnsi="宋体" w:eastAsia="宋体" w:cs="宋体"/>
              <w:sz w:val="24"/>
              <w:szCs w:val="24"/>
            </w:rPr>
            <w:t>第三部分 名词解释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_Toc687799633 \h </w:instrText>
          </w:r>
          <w:r>
            <w:rPr>
              <w:rFonts w:hint="eastAsia" w:ascii="宋体" w:hAnsi="宋体" w:eastAsia="宋体" w:cs="宋体"/>
              <w:sz w:val="24"/>
              <w:szCs w:val="24"/>
            </w:rPr>
            <w:fldChar w:fldCharType="separate"/>
          </w:r>
          <w:r>
            <w:rPr>
              <w:rFonts w:hint="eastAsia" w:ascii="宋体" w:hAnsi="宋体" w:eastAsia="宋体" w:cs="宋体"/>
              <w:sz w:val="24"/>
              <w:szCs w:val="24"/>
            </w:rPr>
            <w:t>26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306"/>
              <w:tab w:val="clear" w:pos="8296"/>
            </w:tabs>
            <w:spacing w:line="578" w:lineRule="exact"/>
            <w:rPr>
              <w:rFonts w:ascii="宋体" w:hAnsi="宋体" w:eastAsia="宋体" w:cs="宋体"/>
              <w:sz w:val="24"/>
              <w:szCs w:val="24"/>
            </w:rPr>
          </w:pPr>
          <w:r>
            <w:fldChar w:fldCharType="begin"/>
          </w:r>
          <w:r>
            <w:instrText xml:space="preserve"> HYPERLINK \l "_Toc131287977" </w:instrText>
          </w:r>
          <w:r>
            <w:fldChar w:fldCharType="separate"/>
          </w:r>
          <w:r>
            <w:rPr>
              <w:rFonts w:hint="eastAsia" w:ascii="宋体" w:hAnsi="宋体" w:eastAsia="宋体" w:cs="宋体"/>
              <w:sz w:val="24"/>
              <w:szCs w:val="24"/>
            </w:rPr>
            <w:t>第四部分 附件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_Toc131287977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3"/>
            <w:tabs>
              <w:tab w:val="right" w:leader="dot" w:pos="8306"/>
              <w:tab w:val="clear" w:pos="8296"/>
            </w:tabs>
            <w:spacing w:line="578" w:lineRule="exact"/>
            <w:rPr>
              <w:rFonts w:ascii="宋体" w:hAnsi="宋体" w:eastAsia="宋体" w:cs="宋体"/>
              <w:sz w:val="24"/>
              <w:szCs w:val="24"/>
            </w:rPr>
          </w:pPr>
          <w:r>
            <w:fldChar w:fldCharType="begin"/>
          </w:r>
          <w:r>
            <w:instrText xml:space="preserve"> HYPERLINK \l "_Toc955580996" </w:instrText>
          </w:r>
          <w:r>
            <w:fldChar w:fldCharType="separate"/>
          </w:r>
          <w:r>
            <w:rPr>
              <w:rFonts w:hint="eastAsia" w:ascii="宋体" w:hAnsi="宋体" w:eastAsia="宋体" w:cs="宋体"/>
              <w:sz w:val="24"/>
              <w:szCs w:val="24"/>
            </w:rPr>
            <w:t>第五部分 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_Toc955580996 \h </w:instrText>
          </w:r>
          <w:r>
            <w:rPr>
              <w:rFonts w:hint="eastAsia" w:ascii="宋体" w:hAnsi="宋体" w:eastAsia="宋体" w:cs="宋体"/>
              <w:sz w:val="24"/>
              <w:szCs w:val="24"/>
            </w:rPr>
            <w:fldChar w:fldCharType="separate"/>
          </w:r>
          <w:r>
            <w:rPr>
              <w:rFonts w:hint="eastAsia" w:ascii="宋体" w:hAnsi="宋体" w:eastAsia="宋体" w:cs="宋体"/>
              <w:sz w:val="24"/>
              <w:szCs w:val="24"/>
            </w:rPr>
            <w:t>61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5"/>
            <w:tabs>
              <w:tab w:val="right" w:leader="dot" w:pos="8306"/>
              <w:tab w:val="clear" w:pos="8296"/>
            </w:tabs>
            <w:spacing w:line="578" w:lineRule="exact"/>
            <w:rPr>
              <w:rFonts w:ascii="宋体" w:hAnsi="宋体" w:cs="宋体"/>
              <w:sz w:val="24"/>
            </w:rPr>
          </w:pPr>
          <w:r>
            <w:fldChar w:fldCharType="begin"/>
          </w:r>
          <w:r>
            <w:instrText xml:space="preserve"> HYPERLINK \l "_Toc122276102" </w:instrText>
          </w:r>
          <w:r>
            <w:fldChar w:fldCharType="separate"/>
          </w:r>
          <w:r>
            <w:rPr>
              <w:rFonts w:hint="eastAsia" w:ascii="宋体" w:hAnsi="宋体" w:cs="宋体"/>
              <w:sz w:val="24"/>
            </w:rPr>
            <w:t>一、收入支出决算总表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_Toc122276102 \h </w:instrText>
          </w:r>
          <w:r>
            <w:rPr>
              <w:rFonts w:hint="eastAsia" w:ascii="宋体" w:hAnsi="宋体" w:cs="宋体"/>
              <w:sz w:val="24"/>
            </w:rPr>
            <w:fldChar w:fldCharType="separate"/>
          </w:r>
          <w:r>
            <w:rPr>
              <w:rFonts w:hint="eastAsia" w:ascii="宋体" w:hAnsi="宋体" w:cs="宋体"/>
              <w:sz w:val="24"/>
            </w:rPr>
            <w:t>61</w:t>
          </w:r>
          <w:r>
            <w:rPr>
              <w:rFonts w:hint="eastAsia" w:ascii="宋体" w:hAnsi="宋体" w:cs="宋体"/>
              <w:sz w:val="24"/>
            </w:rPr>
            <w:fldChar w:fldCharType="end"/>
          </w:r>
          <w:r>
            <w:rPr>
              <w:rFonts w:hint="eastAsia" w:ascii="宋体" w:hAnsi="宋体" w:cs="宋体"/>
              <w:sz w:val="24"/>
            </w:rPr>
            <w:fldChar w:fldCharType="end"/>
          </w:r>
        </w:p>
        <w:p>
          <w:pPr>
            <w:pStyle w:val="15"/>
            <w:tabs>
              <w:tab w:val="right" w:leader="dot" w:pos="8306"/>
              <w:tab w:val="clear" w:pos="8296"/>
            </w:tabs>
            <w:spacing w:line="578" w:lineRule="exact"/>
            <w:rPr>
              <w:rFonts w:ascii="宋体" w:hAnsi="宋体" w:cs="宋体"/>
              <w:sz w:val="24"/>
            </w:rPr>
          </w:pPr>
          <w:r>
            <w:fldChar w:fldCharType="begin"/>
          </w:r>
          <w:r>
            <w:instrText xml:space="preserve"> HYPERLINK \l "_Toc828115923" </w:instrText>
          </w:r>
          <w:r>
            <w:fldChar w:fldCharType="separate"/>
          </w:r>
          <w:r>
            <w:rPr>
              <w:rFonts w:hint="eastAsia" w:ascii="宋体" w:hAnsi="宋体" w:cs="宋体"/>
              <w:sz w:val="24"/>
            </w:rPr>
            <w:t>二、收入决算表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_Toc828115923 \h </w:instrText>
          </w:r>
          <w:r>
            <w:rPr>
              <w:rFonts w:hint="eastAsia" w:ascii="宋体" w:hAnsi="宋体" w:cs="宋体"/>
              <w:sz w:val="24"/>
            </w:rPr>
            <w:fldChar w:fldCharType="separate"/>
          </w:r>
          <w:r>
            <w:rPr>
              <w:rFonts w:hint="eastAsia" w:ascii="宋体" w:hAnsi="宋体" w:cs="宋体"/>
              <w:sz w:val="24"/>
            </w:rPr>
            <w:t>61</w:t>
          </w:r>
          <w:r>
            <w:rPr>
              <w:rFonts w:hint="eastAsia" w:ascii="宋体" w:hAnsi="宋体" w:cs="宋体"/>
              <w:sz w:val="24"/>
            </w:rPr>
            <w:fldChar w:fldCharType="end"/>
          </w:r>
          <w:r>
            <w:rPr>
              <w:rFonts w:hint="eastAsia" w:ascii="宋体" w:hAnsi="宋体" w:cs="宋体"/>
              <w:sz w:val="24"/>
            </w:rPr>
            <w:fldChar w:fldCharType="end"/>
          </w:r>
        </w:p>
        <w:p>
          <w:pPr>
            <w:pStyle w:val="15"/>
            <w:tabs>
              <w:tab w:val="right" w:leader="dot" w:pos="8306"/>
              <w:tab w:val="clear" w:pos="8296"/>
            </w:tabs>
            <w:spacing w:line="578" w:lineRule="exact"/>
            <w:rPr>
              <w:rFonts w:ascii="宋体" w:hAnsi="宋体" w:cs="宋体"/>
              <w:sz w:val="24"/>
            </w:rPr>
          </w:pPr>
          <w:r>
            <w:fldChar w:fldCharType="begin"/>
          </w:r>
          <w:r>
            <w:instrText xml:space="preserve"> HYPERLINK \l "_Toc535250193" </w:instrText>
          </w:r>
          <w:r>
            <w:fldChar w:fldCharType="separate"/>
          </w:r>
          <w:r>
            <w:rPr>
              <w:rFonts w:hint="eastAsia" w:ascii="宋体" w:hAnsi="宋体" w:cs="宋体"/>
              <w:sz w:val="24"/>
            </w:rPr>
            <w:t>三、支出决算表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_Toc535250193 \h </w:instrText>
          </w:r>
          <w:r>
            <w:rPr>
              <w:rFonts w:hint="eastAsia" w:ascii="宋体" w:hAnsi="宋体" w:cs="宋体"/>
              <w:sz w:val="24"/>
            </w:rPr>
            <w:fldChar w:fldCharType="separate"/>
          </w:r>
          <w:r>
            <w:rPr>
              <w:rFonts w:hint="eastAsia" w:ascii="宋体" w:hAnsi="宋体" w:cs="宋体"/>
              <w:sz w:val="24"/>
            </w:rPr>
            <w:t>61</w:t>
          </w:r>
          <w:r>
            <w:rPr>
              <w:rFonts w:hint="eastAsia" w:ascii="宋体" w:hAnsi="宋体" w:cs="宋体"/>
              <w:sz w:val="24"/>
            </w:rPr>
            <w:fldChar w:fldCharType="end"/>
          </w:r>
          <w:r>
            <w:rPr>
              <w:rFonts w:hint="eastAsia" w:ascii="宋体" w:hAnsi="宋体" w:cs="宋体"/>
              <w:sz w:val="24"/>
            </w:rPr>
            <w:fldChar w:fldCharType="end"/>
          </w:r>
        </w:p>
        <w:p>
          <w:pPr>
            <w:pStyle w:val="15"/>
            <w:tabs>
              <w:tab w:val="right" w:leader="dot" w:pos="8306"/>
              <w:tab w:val="clear" w:pos="8296"/>
            </w:tabs>
            <w:spacing w:line="578" w:lineRule="exact"/>
            <w:rPr>
              <w:rFonts w:ascii="宋体" w:hAnsi="宋体" w:cs="宋体"/>
              <w:sz w:val="24"/>
            </w:rPr>
          </w:pPr>
          <w:r>
            <w:fldChar w:fldCharType="begin"/>
          </w:r>
          <w:r>
            <w:instrText xml:space="preserve"> HYPERLINK \l "_Toc1077229934" </w:instrText>
          </w:r>
          <w:r>
            <w:fldChar w:fldCharType="separate"/>
          </w:r>
          <w:r>
            <w:rPr>
              <w:rFonts w:hint="eastAsia" w:ascii="宋体" w:hAnsi="宋体" w:cs="宋体"/>
              <w:sz w:val="24"/>
            </w:rPr>
            <w:t>四、财政拨款收入支出决算总表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_Toc1077229934 \h </w:instrText>
          </w:r>
          <w:r>
            <w:rPr>
              <w:rFonts w:hint="eastAsia" w:ascii="宋体" w:hAnsi="宋体" w:cs="宋体"/>
              <w:sz w:val="24"/>
            </w:rPr>
            <w:fldChar w:fldCharType="separate"/>
          </w:r>
          <w:r>
            <w:rPr>
              <w:rFonts w:hint="eastAsia" w:ascii="宋体" w:hAnsi="宋体" w:cs="宋体"/>
              <w:sz w:val="24"/>
            </w:rPr>
            <w:t>61</w:t>
          </w:r>
          <w:r>
            <w:rPr>
              <w:rFonts w:hint="eastAsia" w:ascii="宋体" w:hAnsi="宋体" w:cs="宋体"/>
              <w:sz w:val="24"/>
            </w:rPr>
            <w:fldChar w:fldCharType="end"/>
          </w:r>
          <w:r>
            <w:rPr>
              <w:rFonts w:hint="eastAsia" w:ascii="宋体" w:hAnsi="宋体" w:cs="宋体"/>
              <w:sz w:val="24"/>
            </w:rPr>
            <w:fldChar w:fldCharType="end"/>
          </w:r>
        </w:p>
        <w:p>
          <w:pPr>
            <w:pStyle w:val="15"/>
            <w:tabs>
              <w:tab w:val="right" w:leader="dot" w:pos="8306"/>
              <w:tab w:val="clear" w:pos="8296"/>
            </w:tabs>
            <w:spacing w:line="578" w:lineRule="exact"/>
            <w:rPr>
              <w:rFonts w:ascii="宋体" w:hAnsi="宋体" w:cs="宋体"/>
              <w:sz w:val="24"/>
            </w:rPr>
          </w:pPr>
          <w:r>
            <w:fldChar w:fldCharType="begin"/>
          </w:r>
          <w:r>
            <w:instrText xml:space="preserve"> HYPERLINK \l "_Toc892521346" </w:instrText>
          </w:r>
          <w:r>
            <w:fldChar w:fldCharType="separate"/>
          </w:r>
          <w:r>
            <w:rPr>
              <w:rFonts w:hint="eastAsia" w:ascii="宋体" w:hAnsi="宋体" w:cs="宋体"/>
              <w:sz w:val="24"/>
            </w:rPr>
            <w:t>五、财政拨款支出决算明细表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_Toc892521346 \h </w:instrText>
          </w:r>
          <w:r>
            <w:rPr>
              <w:rFonts w:hint="eastAsia" w:ascii="宋体" w:hAnsi="宋体" w:cs="宋体"/>
              <w:sz w:val="24"/>
            </w:rPr>
            <w:fldChar w:fldCharType="separate"/>
          </w:r>
          <w:r>
            <w:rPr>
              <w:rFonts w:hint="eastAsia" w:ascii="宋体" w:hAnsi="宋体" w:cs="宋体"/>
              <w:sz w:val="24"/>
            </w:rPr>
            <w:t>61</w:t>
          </w:r>
          <w:r>
            <w:rPr>
              <w:rFonts w:hint="eastAsia" w:ascii="宋体" w:hAnsi="宋体" w:cs="宋体"/>
              <w:sz w:val="24"/>
            </w:rPr>
            <w:fldChar w:fldCharType="end"/>
          </w:r>
          <w:r>
            <w:rPr>
              <w:rFonts w:hint="eastAsia" w:ascii="宋体" w:hAnsi="宋体" w:cs="宋体"/>
              <w:sz w:val="24"/>
            </w:rPr>
            <w:fldChar w:fldCharType="end"/>
          </w:r>
        </w:p>
        <w:p>
          <w:pPr>
            <w:pStyle w:val="15"/>
            <w:tabs>
              <w:tab w:val="right" w:leader="dot" w:pos="8306"/>
              <w:tab w:val="clear" w:pos="8296"/>
            </w:tabs>
            <w:spacing w:line="578" w:lineRule="exact"/>
            <w:rPr>
              <w:rFonts w:ascii="宋体" w:hAnsi="宋体" w:cs="宋体"/>
              <w:sz w:val="24"/>
            </w:rPr>
          </w:pPr>
          <w:r>
            <w:fldChar w:fldCharType="begin"/>
          </w:r>
          <w:r>
            <w:instrText xml:space="preserve"> HYPERLINK \l "_Toc2069066789" </w:instrText>
          </w:r>
          <w:r>
            <w:fldChar w:fldCharType="separate"/>
          </w:r>
          <w:r>
            <w:rPr>
              <w:rFonts w:hint="eastAsia" w:ascii="宋体" w:hAnsi="宋体" w:cs="宋体"/>
              <w:sz w:val="24"/>
            </w:rPr>
            <w:t>六、一般公共预算财政拨款支出决算表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_Toc2069066789 \h </w:instrText>
          </w:r>
          <w:r>
            <w:rPr>
              <w:rFonts w:hint="eastAsia" w:ascii="宋体" w:hAnsi="宋体" w:cs="宋体"/>
              <w:sz w:val="24"/>
            </w:rPr>
            <w:fldChar w:fldCharType="separate"/>
          </w:r>
          <w:r>
            <w:rPr>
              <w:rFonts w:hint="eastAsia" w:ascii="宋体" w:hAnsi="宋体" w:cs="宋体"/>
              <w:sz w:val="24"/>
            </w:rPr>
            <w:t>61</w:t>
          </w:r>
          <w:r>
            <w:rPr>
              <w:rFonts w:hint="eastAsia" w:ascii="宋体" w:hAnsi="宋体" w:cs="宋体"/>
              <w:sz w:val="24"/>
            </w:rPr>
            <w:fldChar w:fldCharType="end"/>
          </w:r>
          <w:r>
            <w:rPr>
              <w:rFonts w:hint="eastAsia" w:ascii="宋体" w:hAnsi="宋体" w:cs="宋体"/>
              <w:sz w:val="24"/>
            </w:rPr>
            <w:fldChar w:fldCharType="end"/>
          </w:r>
        </w:p>
        <w:p>
          <w:pPr>
            <w:pStyle w:val="15"/>
            <w:tabs>
              <w:tab w:val="right" w:leader="dot" w:pos="8306"/>
              <w:tab w:val="clear" w:pos="8296"/>
            </w:tabs>
            <w:spacing w:line="578" w:lineRule="exact"/>
            <w:rPr>
              <w:rFonts w:ascii="宋体" w:hAnsi="宋体" w:cs="宋体"/>
              <w:sz w:val="24"/>
            </w:rPr>
          </w:pPr>
          <w:r>
            <w:fldChar w:fldCharType="begin"/>
          </w:r>
          <w:r>
            <w:instrText xml:space="preserve"> HYPERLINK \l "_Toc1377020344" </w:instrText>
          </w:r>
          <w:r>
            <w:fldChar w:fldCharType="separate"/>
          </w:r>
          <w:r>
            <w:rPr>
              <w:rFonts w:hint="eastAsia" w:ascii="宋体" w:hAnsi="宋体" w:cs="宋体"/>
              <w:sz w:val="24"/>
            </w:rPr>
            <w:t>七、一般公共预算财政拨款支出决算明细表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_Toc1377020344 \h </w:instrText>
          </w:r>
          <w:r>
            <w:rPr>
              <w:rFonts w:hint="eastAsia" w:ascii="宋体" w:hAnsi="宋体" w:cs="宋体"/>
              <w:sz w:val="24"/>
            </w:rPr>
            <w:fldChar w:fldCharType="separate"/>
          </w:r>
          <w:r>
            <w:rPr>
              <w:rFonts w:hint="eastAsia" w:ascii="宋体" w:hAnsi="宋体" w:cs="宋体"/>
              <w:sz w:val="24"/>
            </w:rPr>
            <w:t>61</w:t>
          </w:r>
          <w:r>
            <w:rPr>
              <w:rFonts w:hint="eastAsia" w:ascii="宋体" w:hAnsi="宋体" w:cs="宋体"/>
              <w:sz w:val="24"/>
            </w:rPr>
            <w:fldChar w:fldCharType="end"/>
          </w:r>
          <w:r>
            <w:rPr>
              <w:rFonts w:hint="eastAsia" w:ascii="宋体" w:hAnsi="宋体" w:cs="宋体"/>
              <w:sz w:val="24"/>
            </w:rPr>
            <w:fldChar w:fldCharType="end"/>
          </w:r>
        </w:p>
        <w:p>
          <w:pPr>
            <w:pStyle w:val="15"/>
            <w:tabs>
              <w:tab w:val="right" w:leader="dot" w:pos="8306"/>
              <w:tab w:val="clear" w:pos="8296"/>
            </w:tabs>
            <w:spacing w:line="578" w:lineRule="exact"/>
            <w:rPr>
              <w:rFonts w:ascii="宋体" w:hAnsi="宋体" w:cs="宋体"/>
              <w:sz w:val="24"/>
            </w:rPr>
          </w:pPr>
          <w:r>
            <w:fldChar w:fldCharType="begin"/>
          </w:r>
          <w:r>
            <w:instrText xml:space="preserve"> HYPERLINK \l "_Toc1475793706" </w:instrText>
          </w:r>
          <w:r>
            <w:fldChar w:fldCharType="separate"/>
          </w:r>
          <w:r>
            <w:rPr>
              <w:rFonts w:hint="eastAsia" w:ascii="宋体" w:hAnsi="宋体" w:cs="宋体"/>
              <w:sz w:val="24"/>
            </w:rPr>
            <w:t>八、一般公共预算财政拨款基本支出决算表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_Toc1475793706 \h </w:instrText>
          </w:r>
          <w:r>
            <w:rPr>
              <w:rFonts w:hint="eastAsia" w:ascii="宋体" w:hAnsi="宋体" w:cs="宋体"/>
              <w:sz w:val="24"/>
            </w:rPr>
            <w:fldChar w:fldCharType="separate"/>
          </w:r>
          <w:r>
            <w:rPr>
              <w:rFonts w:hint="eastAsia" w:ascii="宋体" w:hAnsi="宋体" w:cs="宋体"/>
              <w:sz w:val="24"/>
            </w:rPr>
            <w:t>61</w:t>
          </w:r>
          <w:r>
            <w:rPr>
              <w:rFonts w:hint="eastAsia" w:ascii="宋体" w:hAnsi="宋体" w:cs="宋体"/>
              <w:sz w:val="24"/>
            </w:rPr>
            <w:fldChar w:fldCharType="end"/>
          </w:r>
          <w:r>
            <w:rPr>
              <w:rFonts w:hint="eastAsia" w:ascii="宋体" w:hAnsi="宋体" w:cs="宋体"/>
              <w:sz w:val="24"/>
            </w:rPr>
            <w:fldChar w:fldCharType="end"/>
          </w:r>
        </w:p>
        <w:p>
          <w:pPr>
            <w:pStyle w:val="15"/>
            <w:tabs>
              <w:tab w:val="right" w:leader="dot" w:pos="8306"/>
              <w:tab w:val="clear" w:pos="8296"/>
            </w:tabs>
            <w:spacing w:line="578" w:lineRule="exact"/>
            <w:rPr>
              <w:rFonts w:ascii="宋体" w:hAnsi="宋体" w:cs="宋体"/>
              <w:sz w:val="24"/>
            </w:rPr>
          </w:pPr>
          <w:r>
            <w:fldChar w:fldCharType="begin"/>
          </w:r>
          <w:r>
            <w:instrText xml:space="preserve"> HYPERLINK \l "_Toc1523469417" </w:instrText>
          </w:r>
          <w:r>
            <w:fldChar w:fldCharType="separate"/>
          </w:r>
          <w:r>
            <w:rPr>
              <w:rFonts w:hint="eastAsia" w:ascii="宋体" w:hAnsi="宋体" w:cs="宋体"/>
              <w:sz w:val="24"/>
            </w:rPr>
            <w:t>九、一般公共预算财政拨款项目支出决算表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_Toc1523469417 \h </w:instrText>
          </w:r>
          <w:r>
            <w:rPr>
              <w:rFonts w:hint="eastAsia" w:ascii="宋体" w:hAnsi="宋体" w:cs="宋体"/>
              <w:sz w:val="24"/>
            </w:rPr>
            <w:fldChar w:fldCharType="separate"/>
          </w:r>
          <w:r>
            <w:rPr>
              <w:rFonts w:hint="eastAsia" w:ascii="宋体" w:hAnsi="宋体" w:cs="宋体"/>
              <w:sz w:val="24"/>
            </w:rPr>
            <w:t>61</w:t>
          </w:r>
          <w:r>
            <w:rPr>
              <w:rFonts w:hint="eastAsia" w:ascii="宋体" w:hAnsi="宋体" w:cs="宋体"/>
              <w:sz w:val="24"/>
            </w:rPr>
            <w:fldChar w:fldCharType="end"/>
          </w:r>
          <w:r>
            <w:rPr>
              <w:rFonts w:hint="eastAsia" w:ascii="宋体" w:hAnsi="宋体" w:cs="宋体"/>
              <w:sz w:val="24"/>
            </w:rPr>
            <w:fldChar w:fldCharType="end"/>
          </w:r>
        </w:p>
        <w:p>
          <w:pPr>
            <w:pStyle w:val="15"/>
            <w:tabs>
              <w:tab w:val="right" w:leader="dot" w:pos="8306"/>
              <w:tab w:val="clear" w:pos="8296"/>
            </w:tabs>
            <w:spacing w:line="578" w:lineRule="exact"/>
            <w:rPr>
              <w:rFonts w:ascii="宋体" w:hAnsi="宋体" w:cs="宋体"/>
              <w:sz w:val="24"/>
            </w:rPr>
          </w:pPr>
          <w:r>
            <w:fldChar w:fldCharType="begin"/>
          </w:r>
          <w:r>
            <w:instrText xml:space="preserve"> HYPERLINK \l "_Toc1210821011" </w:instrText>
          </w:r>
          <w:r>
            <w:fldChar w:fldCharType="separate"/>
          </w:r>
          <w:r>
            <w:rPr>
              <w:rFonts w:hint="eastAsia" w:ascii="宋体" w:hAnsi="宋体" w:cs="宋体"/>
              <w:sz w:val="24"/>
            </w:rPr>
            <w:t>十、一般公共预算财政拨款“三公”经费支出决算表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_Toc1210821011 \h </w:instrText>
          </w:r>
          <w:r>
            <w:rPr>
              <w:rFonts w:hint="eastAsia" w:ascii="宋体" w:hAnsi="宋体" w:cs="宋体"/>
              <w:sz w:val="24"/>
            </w:rPr>
            <w:fldChar w:fldCharType="separate"/>
          </w:r>
          <w:r>
            <w:rPr>
              <w:rFonts w:hint="eastAsia" w:ascii="宋体" w:hAnsi="宋体" w:cs="宋体"/>
              <w:sz w:val="24"/>
            </w:rPr>
            <w:t>61</w:t>
          </w:r>
          <w:r>
            <w:rPr>
              <w:rFonts w:hint="eastAsia" w:ascii="宋体" w:hAnsi="宋体" w:cs="宋体"/>
              <w:sz w:val="24"/>
            </w:rPr>
            <w:fldChar w:fldCharType="end"/>
          </w:r>
          <w:r>
            <w:rPr>
              <w:rFonts w:hint="eastAsia" w:ascii="宋体" w:hAnsi="宋体" w:cs="宋体"/>
              <w:sz w:val="24"/>
            </w:rPr>
            <w:fldChar w:fldCharType="end"/>
          </w:r>
        </w:p>
        <w:p>
          <w:pPr>
            <w:pStyle w:val="15"/>
            <w:tabs>
              <w:tab w:val="right" w:leader="dot" w:pos="8306"/>
              <w:tab w:val="clear" w:pos="8296"/>
            </w:tabs>
            <w:spacing w:line="578" w:lineRule="exact"/>
            <w:rPr>
              <w:rFonts w:ascii="宋体" w:hAnsi="宋体" w:cs="宋体"/>
              <w:sz w:val="24"/>
            </w:rPr>
          </w:pPr>
          <w:r>
            <w:fldChar w:fldCharType="begin"/>
          </w:r>
          <w:r>
            <w:instrText xml:space="preserve"> HYPERLINK \l "_Toc1473829370" </w:instrText>
          </w:r>
          <w:r>
            <w:fldChar w:fldCharType="separate"/>
          </w:r>
          <w:r>
            <w:rPr>
              <w:rFonts w:hint="eastAsia" w:ascii="宋体" w:hAnsi="宋体" w:cs="宋体"/>
              <w:sz w:val="24"/>
            </w:rPr>
            <w:t>十一、政府性基金预算财政拨款收入支出决算表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_Toc1473829370 \h </w:instrText>
          </w:r>
          <w:r>
            <w:rPr>
              <w:rFonts w:hint="eastAsia" w:ascii="宋体" w:hAnsi="宋体" w:cs="宋体"/>
              <w:sz w:val="24"/>
            </w:rPr>
            <w:fldChar w:fldCharType="separate"/>
          </w:r>
          <w:r>
            <w:rPr>
              <w:rFonts w:hint="eastAsia" w:ascii="宋体" w:hAnsi="宋体" w:cs="宋体"/>
              <w:sz w:val="24"/>
            </w:rPr>
            <w:t>61</w:t>
          </w:r>
          <w:r>
            <w:rPr>
              <w:rFonts w:hint="eastAsia" w:ascii="宋体" w:hAnsi="宋体" w:cs="宋体"/>
              <w:sz w:val="24"/>
            </w:rPr>
            <w:fldChar w:fldCharType="end"/>
          </w:r>
          <w:r>
            <w:rPr>
              <w:rFonts w:hint="eastAsia" w:ascii="宋体" w:hAnsi="宋体" w:cs="宋体"/>
              <w:sz w:val="24"/>
            </w:rPr>
            <w:fldChar w:fldCharType="end"/>
          </w:r>
        </w:p>
        <w:p>
          <w:pPr>
            <w:pStyle w:val="15"/>
            <w:tabs>
              <w:tab w:val="right" w:leader="dot" w:pos="8306"/>
              <w:tab w:val="clear" w:pos="8296"/>
            </w:tabs>
            <w:spacing w:line="578" w:lineRule="exact"/>
            <w:rPr>
              <w:rFonts w:ascii="宋体" w:hAnsi="宋体" w:cs="宋体"/>
              <w:sz w:val="24"/>
            </w:rPr>
          </w:pPr>
          <w:r>
            <w:fldChar w:fldCharType="begin"/>
          </w:r>
          <w:r>
            <w:instrText xml:space="preserve"> HYPERLINK \l "_Toc1479819582" </w:instrText>
          </w:r>
          <w:r>
            <w:fldChar w:fldCharType="separate"/>
          </w:r>
          <w:r>
            <w:rPr>
              <w:rFonts w:hint="eastAsia" w:ascii="宋体" w:hAnsi="宋体" w:cs="宋体"/>
              <w:sz w:val="24"/>
            </w:rPr>
            <w:t>十二、政府性基金预算财政拨款“三公”经费支出决算表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_Toc1479819582 \h </w:instrText>
          </w:r>
          <w:r>
            <w:rPr>
              <w:rFonts w:hint="eastAsia" w:ascii="宋体" w:hAnsi="宋体" w:cs="宋体"/>
              <w:sz w:val="24"/>
            </w:rPr>
            <w:fldChar w:fldCharType="separate"/>
          </w:r>
          <w:r>
            <w:rPr>
              <w:rFonts w:hint="eastAsia" w:ascii="宋体" w:hAnsi="宋体" w:cs="宋体"/>
              <w:sz w:val="24"/>
            </w:rPr>
            <w:t>61</w:t>
          </w:r>
          <w:r>
            <w:rPr>
              <w:rFonts w:hint="eastAsia" w:ascii="宋体" w:hAnsi="宋体" w:cs="宋体"/>
              <w:sz w:val="24"/>
            </w:rPr>
            <w:fldChar w:fldCharType="end"/>
          </w:r>
          <w:r>
            <w:rPr>
              <w:rFonts w:hint="eastAsia" w:ascii="宋体" w:hAnsi="宋体" w:cs="宋体"/>
              <w:sz w:val="24"/>
            </w:rPr>
            <w:fldChar w:fldCharType="end"/>
          </w:r>
        </w:p>
        <w:p>
          <w:pPr>
            <w:pStyle w:val="15"/>
            <w:tabs>
              <w:tab w:val="right" w:leader="dot" w:pos="8306"/>
              <w:tab w:val="clear" w:pos="8296"/>
            </w:tabs>
            <w:spacing w:line="578" w:lineRule="exact"/>
            <w:rPr>
              <w:rFonts w:ascii="宋体" w:hAnsi="宋体" w:cs="宋体"/>
              <w:sz w:val="24"/>
            </w:rPr>
          </w:pPr>
          <w:r>
            <w:fldChar w:fldCharType="begin"/>
          </w:r>
          <w:r>
            <w:instrText xml:space="preserve"> HYPERLINK \l "_Toc1657336922" </w:instrText>
          </w:r>
          <w:r>
            <w:fldChar w:fldCharType="separate"/>
          </w:r>
          <w:r>
            <w:rPr>
              <w:rFonts w:hint="eastAsia" w:ascii="宋体" w:hAnsi="宋体" w:cs="宋体"/>
              <w:sz w:val="24"/>
            </w:rPr>
            <w:t>十三、国有资本经营预算财政拨款收入支出决算表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_Toc1657336922 \h </w:instrText>
          </w:r>
          <w:r>
            <w:rPr>
              <w:rFonts w:hint="eastAsia" w:ascii="宋体" w:hAnsi="宋体" w:cs="宋体"/>
              <w:sz w:val="24"/>
            </w:rPr>
            <w:fldChar w:fldCharType="separate"/>
          </w:r>
          <w:r>
            <w:rPr>
              <w:rFonts w:hint="eastAsia" w:ascii="宋体" w:hAnsi="宋体" w:cs="宋体"/>
              <w:sz w:val="24"/>
            </w:rPr>
            <w:t>61</w:t>
          </w:r>
          <w:r>
            <w:rPr>
              <w:rFonts w:hint="eastAsia" w:ascii="宋体" w:hAnsi="宋体" w:cs="宋体"/>
              <w:sz w:val="24"/>
            </w:rPr>
            <w:fldChar w:fldCharType="end"/>
          </w:r>
          <w:r>
            <w:rPr>
              <w:rFonts w:hint="eastAsia" w:ascii="宋体" w:hAnsi="宋体" w:cs="宋体"/>
              <w:sz w:val="24"/>
            </w:rPr>
            <w:fldChar w:fldCharType="end"/>
          </w:r>
        </w:p>
        <w:p>
          <w:pPr>
            <w:pStyle w:val="15"/>
            <w:tabs>
              <w:tab w:val="right" w:leader="dot" w:pos="8306"/>
              <w:tab w:val="clear" w:pos="8296"/>
            </w:tabs>
            <w:spacing w:line="578" w:lineRule="exact"/>
            <w:rPr>
              <w:rFonts w:ascii="宋体" w:hAnsi="宋体" w:cs="宋体"/>
              <w:sz w:val="28"/>
              <w:szCs w:val="28"/>
            </w:rPr>
          </w:pPr>
          <w:r>
            <w:fldChar w:fldCharType="begin"/>
          </w:r>
          <w:r>
            <w:instrText xml:space="preserve"> HYPERLINK \l "_Toc1458959484" </w:instrText>
          </w:r>
          <w:r>
            <w:fldChar w:fldCharType="separate"/>
          </w:r>
          <w:r>
            <w:rPr>
              <w:rFonts w:hint="eastAsia" w:ascii="宋体" w:hAnsi="宋体" w:cs="宋体"/>
              <w:sz w:val="24"/>
            </w:rPr>
            <w:t>十四、国有资本经营预算财政拨款支出决算表</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_Toc1458959484 \h </w:instrText>
          </w:r>
          <w:r>
            <w:rPr>
              <w:rFonts w:hint="eastAsia" w:ascii="宋体" w:hAnsi="宋体" w:cs="宋体"/>
              <w:sz w:val="24"/>
            </w:rPr>
            <w:fldChar w:fldCharType="separate"/>
          </w:r>
          <w:r>
            <w:rPr>
              <w:rFonts w:hint="eastAsia" w:ascii="宋体" w:hAnsi="宋体" w:cs="宋体"/>
              <w:sz w:val="24"/>
            </w:rPr>
            <w:t>61</w:t>
          </w:r>
          <w:r>
            <w:rPr>
              <w:rFonts w:hint="eastAsia" w:ascii="宋体" w:hAnsi="宋体" w:cs="宋体"/>
              <w:sz w:val="24"/>
            </w:rPr>
            <w:fldChar w:fldCharType="end"/>
          </w:r>
          <w:r>
            <w:rPr>
              <w:rFonts w:hint="eastAsia" w:ascii="宋体" w:hAnsi="宋体" w:cs="宋体"/>
              <w:sz w:val="24"/>
            </w:rPr>
            <w:fldChar w:fldCharType="end"/>
          </w:r>
        </w:p>
        <w:p>
          <w:r>
            <w:rPr>
              <w:rFonts w:hint="eastAsia" w:ascii="宋体" w:hAnsi="宋体" w:cs="宋体"/>
              <w:sz w:val="28"/>
              <w:szCs w:val="28"/>
            </w:rPr>
            <w:fldChar w:fldCharType="end"/>
          </w:r>
        </w:p>
        <w:p>
          <w:pPr>
            <w:sectPr>
              <w:headerReference r:id="rId3" w:type="default"/>
              <w:pgSz w:w="11906" w:h="16838"/>
              <w:pgMar w:top="1440" w:right="1800" w:bottom="1440" w:left="1800" w:header="851" w:footer="992" w:gutter="0"/>
              <w:pgNumType w:start="1"/>
              <w:cols w:space="425" w:num="1"/>
              <w:titlePg/>
              <w:docGrid w:type="lines" w:linePitch="312" w:charSpace="0"/>
            </w:sectPr>
          </w:pPr>
        </w:p>
      </w:sdtContent>
    </w:sdt>
    <w:p>
      <w:pPr>
        <w:pStyle w:val="4"/>
        <w:jc w:val="center"/>
        <w:rPr>
          <w:rFonts w:ascii="黑体" w:eastAsia="黑体"/>
          <w:sz w:val="32"/>
          <w:szCs w:val="32"/>
        </w:rPr>
      </w:pPr>
      <w:bookmarkStart w:id="18" w:name="_Toc2103833812"/>
      <w:bookmarkStart w:id="19" w:name="_Toc923080507"/>
      <w:r>
        <w:rPr>
          <w:rFonts w:hint="eastAsia" w:ascii="黑体" w:hAnsi="黑体" w:eastAsia="黑体"/>
          <w:b w:val="0"/>
        </w:rPr>
        <w:t>第一部分 单位</w:t>
      </w:r>
      <w:r>
        <w:rPr>
          <w:rStyle w:val="30"/>
          <w:rFonts w:hint="eastAsia" w:ascii="黑体" w:hAnsi="黑体" w:eastAsia="黑体"/>
          <w:b w:val="0"/>
          <w:bCs w:val="0"/>
        </w:rPr>
        <w:t>概况</w:t>
      </w:r>
      <w:bookmarkEnd w:id="16"/>
      <w:bookmarkEnd w:id="17"/>
      <w:bookmarkEnd w:id="18"/>
      <w:bookmarkEnd w:id="19"/>
    </w:p>
    <w:p>
      <w:pPr>
        <w:pStyle w:val="5"/>
        <w:numPr>
          <w:ilvl w:val="0"/>
          <w:numId w:val="1"/>
        </w:numPr>
        <w:spacing w:line="576" w:lineRule="exact"/>
        <w:rPr>
          <w:rStyle w:val="31"/>
          <w:rFonts w:ascii="黑体" w:hAnsi="黑体" w:eastAsia="黑体"/>
          <w:b w:val="0"/>
          <w:bCs w:val="0"/>
        </w:rPr>
      </w:pPr>
      <w:bookmarkStart w:id="20" w:name="_Toc446515911"/>
      <w:bookmarkStart w:id="21" w:name="_Toc15396600"/>
      <w:bookmarkStart w:id="22" w:name="_Toc15377197"/>
      <w:r>
        <w:rPr>
          <w:rStyle w:val="31"/>
          <w:rFonts w:hint="eastAsia" w:ascii="黑体" w:hAnsi="黑体" w:eastAsia="黑体"/>
          <w:b w:val="0"/>
          <w:bCs w:val="0"/>
        </w:rPr>
        <w:t>职能简介</w:t>
      </w:r>
      <w:bookmarkEnd w:id="20"/>
    </w:p>
    <w:p>
      <w:pPr>
        <w:pStyle w:val="16"/>
        <w:widowControl/>
        <w:shd w:val="clear" w:color="auto" w:fill="FFFFFF"/>
        <w:spacing w:before="130" w:beforeAutospacing="0" w:afterAutospacing="0" w:line="576" w:lineRule="exact"/>
        <w:ind w:firstLine="674"/>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（一）广元市交通运输综合行政支队单位职能简介</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 xml:space="preserve">承担市本级和利州区（含广元经开区）道路运政执法门类的行政处罚以及与行政处罚相关的行政检查、行政强制。 </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 xml:space="preserve">承担市本级和利州区（含广元经开区）通航水域水路运政、航道行政、港口行政、地方海事行政等执法门类的行政处罚以及与行政处罚相关的行政检查、行政强制。 </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 xml:space="preserve">承担市本级和利州区（含广元经开区）国、省、县道公路路政执法门类的行政处罚以及与行政处罚相关的行政检查、行政强制。 </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 xml:space="preserve">承担职责范围内重点公路、水运建设项目等执法门类的行政处罚以及与行政处罚相关的行政检查、行政强制。 </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 xml:space="preserve">负责职责范围内交通运输行业安全生产执法门类的 </w:t>
      </w:r>
    </w:p>
    <w:p>
      <w:pPr>
        <w:widowControl/>
        <w:spacing w:line="576"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行政处罚以及与行政处罚相关的行政检查、行政强制。 </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 xml:space="preserve">按规定组织或参与交通运输行业安全生产事故调查 </w:t>
      </w:r>
    </w:p>
    <w:p>
      <w:pPr>
        <w:widowControl/>
        <w:spacing w:line="576"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处理；负责职责范围内通航水域水上交通事故的调查处理。 </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rPr>
        <w:t xml:space="preserve">负责协调组织全市跨区域案件、重大复杂疑难案件、 </w:t>
      </w:r>
    </w:p>
    <w:p>
      <w:pPr>
        <w:widowControl/>
        <w:spacing w:line="576" w:lineRule="exact"/>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转办交办案件的查处。 </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8、</w:t>
      </w:r>
      <w:r>
        <w:rPr>
          <w:rFonts w:hint="eastAsia" w:ascii="仿宋_GB2312" w:hAnsi="仿宋_GB2312" w:eastAsia="仿宋_GB2312" w:cs="仿宋_GB2312"/>
          <w:color w:val="000000"/>
          <w:kern w:val="0"/>
          <w:sz w:val="32"/>
          <w:szCs w:val="32"/>
        </w:rPr>
        <w:t xml:space="preserve">指导、监督县（区）交通运输综合行政执法工作。 </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9、</w:t>
      </w:r>
      <w:r>
        <w:rPr>
          <w:rFonts w:hint="eastAsia" w:ascii="仿宋_GB2312" w:hAnsi="仿宋_GB2312" w:eastAsia="仿宋_GB2312" w:cs="仿宋_GB2312"/>
          <w:color w:val="000000"/>
          <w:kern w:val="0"/>
          <w:sz w:val="32"/>
          <w:szCs w:val="32"/>
        </w:rPr>
        <w:t>完成市交通运输局交办的其他任务。</w:t>
      </w:r>
    </w:p>
    <w:p>
      <w:pPr>
        <w:pStyle w:val="16"/>
        <w:widowControl/>
        <w:shd w:val="clear" w:color="auto" w:fill="FFFFFF"/>
        <w:spacing w:before="130" w:beforeAutospacing="0" w:afterAutospacing="0" w:line="576" w:lineRule="exact"/>
        <w:ind w:firstLine="674"/>
        <w:jc w:val="both"/>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（二）广元市交通运输综合行政执法支队单位2022年重点工作</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w:t>
      </w:r>
      <w:r>
        <w:rPr>
          <w:rFonts w:ascii="仿宋_GB2312" w:hAnsi="仿宋_GB2312" w:eastAsia="仿宋_GB2312" w:cs="仿宋_GB2312"/>
          <w:color w:val="000000"/>
          <w:kern w:val="0"/>
          <w:sz w:val="32"/>
          <w:szCs w:val="32"/>
        </w:rPr>
        <w:t>2年</w:t>
      </w:r>
      <w:r>
        <w:rPr>
          <w:rFonts w:hint="eastAsia" w:ascii="仿宋_GB2312" w:hAnsi="仿宋_GB2312" w:eastAsia="仿宋_GB2312" w:cs="仿宋_GB2312"/>
          <w:color w:val="000000"/>
          <w:kern w:val="0"/>
          <w:sz w:val="32"/>
          <w:szCs w:val="32"/>
        </w:rPr>
        <w:t xml:space="preserve">支队将始终坚持以习近平新时代中国特色社会主义思想为指导，主动对接国家级综合交通枢纽、川陕甘结合部现代化中心城市和“交通强市”战略目标，不断强化交通运输执法工作，为广元交通运输高质量发展提供坚强有力的执法保障。 </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 xml:space="preserve">牢记职责，强化担当，进一步抓好党建这个根本。巩固党史学习教育成果，全面加强班子建设和队伍建设，紧扣我市“十四五”交通规划实施、常态化疫情防控、风险防范、安全稳定、机关党建、党风廉政建设、意识形态责任制落实等重点工作，扎实推动全面从严治党向纵深发展，坚决确保中央、省委、市委以及市交通运输局党组决策部署落地落实。 </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 xml:space="preserve">严字当头，实字打底，进一步抓好交通行政执法这个关键。运政执法要在突出旅客运输、公共交通、危货运输等重点行业、重点领域执法监督的同时，不断强化道路运输各个方面、各个环节、各个细节的执法监督检查，确保道路运输安全稳定、秩序良好。路政执法要深入推进交通领域突出违法行为专项整治三年行动，抓好源头“双超”监管和路面联合执法工作，继续以科技治超为引领，创造安全、整洁、畅通的公路路域环境。海事执法要持续开展涉砂、涉渔“三无”船舶及非法采砂整治行动；加强对水运企业、船舶、船员的专项检查；确保辖区内水上交通运输安全稳定向好。质监执法工作要加大对工程质量监督检查和安全生产执法监管力度，确保不发生交通工程建设安全生产责任事故，全市重点建设项目工程受监率达 100%，交（竣）工合格率达到 100%。 </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 xml:space="preserve">严明纪律，强化作风，进一步抓好执法队伍建设这个根本。以交通运输部《交通运输综合行政执法队伍素质能力提升三年行动方案（2021—2023 年）》为契机，以扎实推进交通运输综合行政执法队伍准军事化管理为目标，持续开展交通综合执法业务培训和能力培训，着力解决执法人员能力不强、水平不高的问题，推动交通运输执法现代化建设和治理能力不断提升，全力打造政治坚定、素质过硬、纪律严明、作风优良、廉洁高效的执法队伍。 </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落实责任，巩固成果，进一步抓好安全生产这个重点。进一步健全完善“以责任制为龙头、以清单制为载体、以双控为基础、以科技为支撑”的安全生产执法监督体系。紧盯重点行业、重大领域、重点企业和重大隐患、重大问题、重大风险，坚决防范安全生产的重大风险、系统性风险，坚决杜绝重大事故，守住安全生产底线。切实加强交通运输安全生产全领域、全过程、全链条的执法监督，确保不出现盲区、死角和断档、脱节。持续加大信息科技投入，不断加强交通运输执法保障和能力建设，不断健全完善应急处置机制，全面提升应对紧急、复杂、突发情况的能力和防灾、减灾、抗灾能力。</w:t>
      </w:r>
    </w:p>
    <w:p>
      <w:pPr>
        <w:pStyle w:val="5"/>
        <w:spacing w:line="576" w:lineRule="exact"/>
        <w:rPr>
          <w:rFonts w:ascii="仿宋" w:hAnsi="仿宋" w:eastAsia="仿宋" w:cs="仿宋_GB2312"/>
          <w:b w:val="0"/>
          <w:bCs w:val="0"/>
        </w:rPr>
      </w:pPr>
      <w:bookmarkStart w:id="23" w:name="_Toc2132613762"/>
      <w:r>
        <w:rPr>
          <w:rFonts w:hint="eastAsia" w:ascii="黑体" w:hAnsi="黑体" w:eastAsia="黑体"/>
          <w:b w:val="0"/>
        </w:rPr>
        <w:t>二、2021年重点工作</w:t>
      </w:r>
      <w:bookmarkEnd w:id="21"/>
      <w:bookmarkEnd w:id="22"/>
      <w:r>
        <w:rPr>
          <w:rFonts w:hint="eastAsia" w:ascii="黑体" w:hAnsi="黑体" w:eastAsia="黑体"/>
          <w:b w:val="0"/>
        </w:rPr>
        <w:t>完成情况</w:t>
      </w:r>
      <w:bookmarkEnd w:id="23"/>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2021年，市交通运输综合行政执法支队坚持以习近平新时代中国特色社会主义思想为指导，以队伍建设和制度建设为抓手，紧盯执法改革后产生的矛盾问题，紧扣我市加快建设川陕甘结合部现代化中心城市工作目标，通过不断完善执法制度、健全执法机制、严格执法程序、严肃执法纪律，全面推进交通运输执法工作有序开展，各项目标任务全面完成。</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强化党建引领，队伍建设坚强有力。支队党总支充分发挥基层党组织的战斗堡垒作用，全面落实新时代党建要求和省委、市委党建工作部署，紧紧围绕中心工作，加强组织建设、制度建设、思想政治建设、队伍建设和党风廉政建设，努力打造政治过硬、业务精良、锐意进取的执法队伍。一是“班子+队伍”组织基础坚强有力。支队成立后及时组建了党总支和各支部班子，配齐配强班子成员，严格落实“三会一课”等党组织生活各项制度。全年支队发展新党员4人，党员转正3人，确定入党积极分子8人。二是“集中+自学”党史学习教育走深走实。党总支印发了《关于开展党史学习教育的工作方案》，明确党史学习教育目标任务、学习内容，全年开展专题学习7次、专题培训2次、专题研讨4次、考试答题2次。组织开展“追寻红色记忆·传承革命精神”主题党日活动，参观红色基地南山红军文化园、走进821厂、重温入党誓词，引导党员干部把党史学习教育转化为工作动力。三是“教育+警示”组织生活严实规范。总支先后组织学习了习近平新时代中国特色社会主义思想、党的十九大和十九届四中、五中、六中全会精神以及中央、省、市有关重大决策部署，确保支队班子和全体党员干部进一步增强“四个意识”，坚定“四个自信”，自觉做到“两个维护”。制定了《2021年党风廉政建设和反腐败工作要点》，明确了主体责任5个方面17项清单，严格落实警示教育常态化，以曝光案例、以案说纪、以案警示、廉政早提醒等形式，打造警示教育网上课堂，做到提醒常在、警钟长鸣，共召开4次警示教育大会，覆盖240人次。支队干部队伍全年未发现违法违规问题。四是“清单+销号”纪律作风整顿卓有成效。明确了纪律作风整顿的4个目标、12项重点任务、7方面的具体措施。组织开展纪律作风对照检查4次，从整治“小进即满、不思进取”等12个方面的典型问题入手，支队班子共征求意见7条，自查问题13条，制定整改措施13个；干部职工个人查摆问题625个，制定整改措施625条。对查摆出来的问题分层分类建立问题清单和整改台账，逐一落实整改措施，边查边改，立行立改。支队干部纪律作风整顿工作取得了明显成效。</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强化机制建设，执法队伍凝心聚力。支队整合了原市运管局、市海事局、市路政处、市交通质监站的行政执法职能职责，组建后按照“事合、人合、心合、力合”的工作思路，切实加强干部队伍建设管理，顺利实现了从机构整合到队伍融合、人心融合、工作融合的目标。一是“举旗定向”促进思想融合。严格落实党总支思想政治工作的主体责任，深入研判机改后队伍思想动态，切实把思想摸清、把问题找准、把对策定优。通过组织全体中层干部开展集体谈心谈话、召开职工大会等方式，引导全体干部职工树立大局意识，正确对待机构改革，尽快转变观念，适应新的工作岗位。二是“谋篇布局”促进行动融合。支队制定了《2021年交通运输综合行政执法工作要点》，明确了交通运输执法等9大项、42个分项的工作目标任务。印发了《干部职工平时考核工作实施方案》，通过“平时+年终”考核的方式，督促全体人员尽职履责，确保支队上下心往一处想，劲往一处使。三是“靶向提能”促进人岗融合。通过业务培训等多种手段，着力破解执法改革后，执法人员工作能力与工作职责不匹配的问题。全年共举办执法业务知识培训5次，“职业道德大讲堂”4次，讲政治、优作风、强服务主题教育2次，82人通过了省交通运输厅统一组织的执法培训考试。四是“建章立制”促进执法规范。坚持以制度管人管事的原则，建立健全各项规章制度，制定了《广元市交通运输行政处罚重大案件集体讨论制度（试行）》《行政执法全过程记录实施办法》《市交通运输综合行政执法支队公务员（参公人员）平时考核工作实施方案》等15项制度，确保了队伍建设和各项执法工作有章可循，运转高效。</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强化执法监督，执法行为严格规范。认真落实交通运输部交通运输执法领域突出问题专项整治和创建法治政府示范市工作要求，切实加强执法队伍建设，提升执法质量和执法效果。一是严格程序，法制审核到位。印发了《广元市交通运输综合行政执法证据管理规范（试行）》等制度，对执法源头、过程和结果进行整体性审查、带动性规范，及时驳回并反馈不规范执法问题。全年共审查执法案件245件，退回要求补正案件30余件。二是真督实导，监督落实到位。结合日常监督和专项检查，以“四不两直”的检查方式，通过对案卷、执法现场、执法对象的走访，及时纠正处理不规范执法行为。组织开展案卷抽查评查4次140余份。在专项督导行动中，发出执法建议书12份，发出抄告案件信息3份，移送案件2件。三是从严要求，行为规范到位。支队印发了《关于加强执法队伍形象建设的通知》，明确执法人员文明用语、亮证执法等相关要求，进一步强化执法人员身份意识、法纪意识、责任意识。严格贯彻落实交通运输部严格规范公正文明执法的意见，真正让制度“长牙”、让纪律“带电”。四是细化举措，制度执行到位。严格执行“双随机、一公开”监管工作制度。印发了《2021年双随机一公开监督检查计划》，对检查时间、对象、流程3个方面提出工作具体要求。列出工作清单，针对道路旅客运输、机动车维修、水路运输等市场主体制定了16个具体抽检项目，做到了名单一次性抽取、人员一次性选派、检查一次性完成。协调</w:t>
      </w:r>
      <w:r>
        <w:rPr>
          <w:rFonts w:ascii="仿宋_GB2312" w:hAnsi="仿宋_GB2312" w:eastAsia="仿宋_GB2312" w:cs="仿宋_GB2312"/>
          <w:color w:val="000000"/>
          <w:kern w:val="0"/>
          <w:sz w:val="32"/>
          <w:szCs w:val="32"/>
        </w:rPr>
        <w:t>市公安</w:t>
      </w:r>
      <w:r>
        <w:rPr>
          <w:rFonts w:hint="eastAsia" w:ascii="仿宋_GB2312" w:hAnsi="仿宋_GB2312" w:eastAsia="仿宋_GB2312" w:cs="仿宋_GB2312"/>
          <w:color w:val="000000"/>
          <w:kern w:val="0"/>
          <w:sz w:val="32"/>
          <w:szCs w:val="32"/>
        </w:rPr>
        <w:t>局</w:t>
      </w:r>
      <w:r>
        <w:rPr>
          <w:rFonts w:ascii="仿宋_GB2312" w:hAnsi="仿宋_GB2312" w:eastAsia="仿宋_GB2312" w:cs="仿宋_GB2312"/>
          <w:color w:val="000000"/>
          <w:kern w:val="0"/>
          <w:sz w:val="32"/>
          <w:szCs w:val="32"/>
        </w:rPr>
        <w:t>、市应急管理</w:t>
      </w:r>
      <w:r>
        <w:rPr>
          <w:rFonts w:hint="eastAsia" w:ascii="仿宋_GB2312" w:hAnsi="仿宋_GB2312" w:eastAsia="仿宋_GB2312" w:cs="仿宋_GB2312"/>
          <w:color w:val="000000"/>
          <w:kern w:val="0"/>
          <w:sz w:val="32"/>
          <w:szCs w:val="32"/>
        </w:rPr>
        <w:t>局</w:t>
      </w:r>
      <w:r>
        <w:rPr>
          <w:rFonts w:ascii="仿宋_GB2312" w:hAnsi="仿宋_GB2312" w:eastAsia="仿宋_GB2312" w:cs="仿宋_GB2312"/>
          <w:color w:val="000000"/>
          <w:kern w:val="0"/>
          <w:sz w:val="32"/>
          <w:szCs w:val="32"/>
        </w:rPr>
        <w:t>等部门开展</w:t>
      </w:r>
      <w:r>
        <w:rPr>
          <w:rFonts w:hint="eastAsia" w:ascii="仿宋_GB2312" w:hAnsi="仿宋_GB2312" w:eastAsia="仿宋_GB2312" w:cs="仿宋_GB2312"/>
          <w:color w:val="000000"/>
          <w:kern w:val="0"/>
          <w:sz w:val="32"/>
          <w:szCs w:val="32"/>
        </w:rPr>
        <w:t>联合执法</w:t>
      </w:r>
      <w:r>
        <w:rPr>
          <w:rFonts w:ascii="仿宋_GB2312" w:hAnsi="仿宋_GB2312" w:eastAsia="仿宋_GB2312" w:cs="仿宋_GB2312"/>
          <w:color w:val="000000"/>
          <w:kern w:val="0"/>
          <w:sz w:val="32"/>
          <w:szCs w:val="32"/>
        </w:rPr>
        <w:t>检查，真正实现“进一次门、查多项事”。今年以来，</w:t>
      </w:r>
      <w:r>
        <w:rPr>
          <w:rFonts w:hint="eastAsia" w:ascii="仿宋_GB2312" w:hAnsi="仿宋_GB2312" w:eastAsia="仿宋_GB2312" w:cs="仿宋_GB2312"/>
          <w:color w:val="000000"/>
          <w:kern w:val="0"/>
          <w:sz w:val="32"/>
          <w:szCs w:val="32"/>
        </w:rPr>
        <w:t>向</w:t>
      </w:r>
      <w:r>
        <w:rPr>
          <w:rFonts w:ascii="仿宋_GB2312" w:hAnsi="仿宋_GB2312" w:eastAsia="仿宋_GB2312" w:cs="仿宋_GB2312"/>
          <w:color w:val="000000"/>
          <w:kern w:val="0"/>
          <w:sz w:val="32"/>
          <w:szCs w:val="32"/>
        </w:rPr>
        <w:t>其他部门抄告</w:t>
      </w:r>
      <w:r>
        <w:rPr>
          <w:rFonts w:hint="eastAsia" w:ascii="仿宋_GB2312" w:hAnsi="仿宋_GB2312" w:eastAsia="仿宋_GB2312" w:cs="仿宋_GB2312"/>
          <w:color w:val="000000"/>
          <w:kern w:val="0"/>
          <w:sz w:val="32"/>
          <w:szCs w:val="32"/>
        </w:rPr>
        <w:t>执法</w:t>
      </w:r>
      <w:r>
        <w:rPr>
          <w:rFonts w:ascii="仿宋_GB2312" w:hAnsi="仿宋_GB2312" w:eastAsia="仿宋_GB2312" w:cs="仿宋_GB2312"/>
          <w:color w:val="000000"/>
          <w:kern w:val="0"/>
          <w:sz w:val="32"/>
          <w:szCs w:val="32"/>
        </w:rPr>
        <w:t>文书10份。</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规范运输市场，运政执法提档升级。以道路客货突出违法违规行为专项整治、道路旅客非法营运专项整治行动等专项工作为抓手，联合县区交通运输执法大队以及公安交警等执法部门，对4家客运企业、 16家出租汽车公司、1家公交公司、834家维修企业、12家客车租赁企业、5家驾驶培训学校和7343户货运经营业户开展了常态化执法检查，有效维护了道路运输市场秩序。一是打击非法营运行为。通过日常监管与专项检查相结合，采取区域联动、路地联动、部门联动等联合执法方式，全天候、全时段、全覆盖开展非法营运执法检查，重点在广旺线、广青线、广剑线等重点路段和火车站、汽车站、广博街等重点区域，常态化开展非法营运执法检查。全年查处非法营运案件136件，罚款135万元。二是整治城市客运乱象。以“12328”投诉热线反映案件为线索，着力整治巡游出租车、公交车乱收费、拒载、绕路等行业乱象，持续规范网约车经营行为，对滴滴、万顺叫车等网约车平台非法营运行为依法立案调查。全年查处巡游出租汽车驾驶员经营服务违规行为207起，记分120起，实施行政处罚93起，出租车行业投诉同比下降20%以上。三是整治客运行业乱象。紧盯客运班车不按批准的配客站点停靠、不按规定线路行驶、擅自改变线路起止点以及客运包车变相经营班线等乱象，采取联合排查、实地检查及通过信息系统核查共40余次，对违法的2家道路客运企业和8辆客运班车处罚1万元。四是整治货运行业乱象。以货运企业、车辆、驾驶员为重点，针对车辆动态监控责任不落实、车辆失控失管行为、危险货物运输企业管理不到位等顽疾，通过源头和路面联合执法检查的方式，确保道路客货运输突出违法违规行为专项整治行动取得实效。全年共查处危货案件26起，罚款46.6万元；查处普货案件54起，罚款8.78万元。五是整治驾培行业乱象。以驾培市场突出问题专项整治为抓手，对无序招生、不良竞争、教学不规范等行业乱象开展执法检查180余次，发出整改通知书4份，整改问题4起。六是整治机动车维修行业乱象。对机动车维修企业登记备案、危险废物申报登记、危险废物规范储存等行为开展专项执法行动，结合国家环保督察，全年对328家机动车维修企业开展常态化执法检查，对存在问题的200余家机动车维修企业发出责令整改通知书114份，执法建议书14份。七是整治汽车租赁市场乱象。督促汽车租赁企业限时备案登记、为车辆办理运输证，同时强化企业经营行为执法检查，确保企业合法合规经营。全年共检查租赁企业38家次，对4家未限时备案租赁企业处罚2万元。</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推进科技治超，路政执法规范有序。大力推进科技治超，抓实货运车辆突出违法行为专项整治，切实维护辖区170公里国、省道公路和523公里县道公路路产路权。一是全力推进治超科技化。投资289万元率先建成全省首个交通运输执法电子抓拍系统网络，与公安交警部门联合出台了《全市治超站点电子抓拍系统建设标准》，加强对各县区电子抓拍系统的技术指导。二是抓实“双超”治理。联合公安交警部门，采取流动检测方式在辖区内开展“双超”联合执法21次，检查车辆660台，依法处置车辆9台。加大企业“双超”执法监督力度，深入砂石料场、矿场等重点货运源头企业，开展执法检查18次，向货运源头单位主管部门签发执法建议书3份。通过对“双超”车辆的路面执法和源头管控，辖区内“百吨王”现象基本消失，车辆超限超载违法违规行为得到有效遏制。三是持续加大公路巡查执法力度。全年开展公路巡查220余次，巡查公路6500余公里，排除公路险情18次，查处违章占道、公路非标等涉路案件3起，撤除广告标牌94块、围栏2处。配合利州区政府成功创建全省第五批“四好农村路”省级示范县。</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执法服务并重，水上交通安全有序。利州区（含经开区）辖区水域通航里程79公里，共有各类船舶38艘，码头7处，三级Ⅲ类船舶生产企业1家，水路运输企业2家，二、三类资质船员培训机构1家。支队坚持执法监督与主动服务相结合，突出重点水域隐患排查整治，确保水上交通安全有序。一是抓实日常执法检查。联合市港航发展中心、广元航道段等部门扎实开展航务海事执法检查，全年检查船舶221艘次、水运企业22次、船舶生产企业16次、船员培训机构3次，查处违法案件3起，罚款1.6万元。二是深入推进“三大”行动。深入推进全市长江流域重点水域禁捕和河道采砂专项整治行动，规范自用船舶1404艘，拆解吊离“三无”船舶79艘。开展禁捕及河道采砂联合整治行动14次，查处涉砂船舶违法案件10起，罚款8.7万元。深入推进船舶安全突出问题专项整治行动，对南河湿公园码头等不按规定配备有效锚泊系泊的船舶下达《安全隐患整改通知书》2份；对金洞乡18艘未登记自用船舶，下达《行政执法建议书》1份。深入推进桥梁防碰撞专项整治行动，联合市港航发展中心摸排辖区内桥梁防避碰设施配置状况，查处违法行为1起。三是精心构筑服务保障。全力为女儿节凤舟赛、“横渡嘉陵江游泳比赛”、市武装部年度水上演练以及栖凤湖水域旅游船舶夜航提供执法保障。四是认真落实汛期安全检查。督促企业严格落实船舶“一船一策”“单船独揽独桩”等防汛措施，防止了“跑船”事件发生，开展汛期船舶码头渡口和船舶停泊点排查检查35次，确保了汛期水上交通安全。</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严格质量监督，推动“品质工程”建设。认真落实交通工程建设质量标准和规程，切实加强质量和安全执法监督检查，为全市420公里18个重点在建设项目提供坚强的执法保障。一是质量监管统筹兼顾。认真开展“品质工程”“施工标准化”“班组规范化”等工程质量管理专项活动，加强对监管项目的日常检查和监督抽检力度。全年完成交（竣）工验收项目11个，评定等级均为合格。开展综合大检查6次，发出整改文书6份，责令处置返工32次，下发责令改正通知书38份。抽检工程实体和原材料26305点（组），合格25779点（组），总体合格率为98%。二是安全监督扎实到位。以“平安工地”考核为契机，制定了《关于进一步加强项目施工安全生产管理的紧急通知》，健全安全监督长效机制，实现执法监督常态化。加大施工现场安全检查力度，对排查的171个安全隐患问题及时督促相关单位整改到位。对在建项目驻地、施工现场、拌合站等地开展地质灾害隐患专项检查，确保汛期安全生产。完成了四川公路桥梁建设集团有限公司安全管理问题挂牌跟踪督办工作。三是资质技术管理持续加强。坚持从业单位备案制度，建立了全市工地试验室的备案资料，对检测机构和从业人员进行登记，对检测机构及检测人员纳入日常监管，全年备案工地试验室10个。对18个项目80余家从业单位进行了信用评价。四是大力推广科技创新。在绵苍巴高速项目推行的智慧工地系统，实现人员、材料、机械设备等动态监管和过程化控制。通过技术改良，对预制梁板喷淋养生工艺方面和梁板智能张拉压浆等新工艺进行推广，提高产品质量、提高工效、缩短工期、降低成本。</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（八）强化底线思维，安全生产</w:t>
      </w:r>
      <w:ins w:id="1" w:author="优钵罗华86nlss" w:date="2023-06-13T15:49:33Z">
        <w:r>
          <w:rPr>
            <w:rFonts w:hint="eastAsia" w:ascii="仿宋_GB2312" w:hAnsi="仿宋_GB2312" w:eastAsia="仿宋_GB2312" w:cs="仿宋_GB2312"/>
            <w:b w:val="0"/>
            <w:bCs w:val="0"/>
            <w:color w:val="auto"/>
            <w:kern w:val="0"/>
            <w:sz w:val="32"/>
            <w:szCs w:val="32"/>
            <w:lang w:eastAsia="zh-CN"/>
          </w:rPr>
          <w:t>形势</w:t>
        </w:r>
      </w:ins>
      <w:r>
        <w:rPr>
          <w:rFonts w:hint="eastAsia" w:ascii="仿宋_GB2312" w:hAnsi="仿宋_GB2312" w:eastAsia="仿宋_GB2312" w:cs="仿宋_GB2312"/>
          <w:color w:val="000000"/>
          <w:kern w:val="0"/>
          <w:sz w:val="32"/>
          <w:szCs w:val="32"/>
        </w:rPr>
        <w:t>持续向好。支队始终把安全生产作为第一目标，坚持“安全第一、预防为主、综合治理”方针，不断加强安全生产执法监督检查。一是健全安全生产执法监督体系。以健全安全生产执法制度机制为目标，不断加强安全生产执法监督的制度机制建设，初步形成了“以责任制为龙头，以清单制为载体，以双控为基础，以科技为支撑”的安全生产执法制度机制，各项安全生产执法工作有力有序有效。二是持续整治安全生产隐患。以防范安全生产重大风险和系统性风险为目标，以“安全生产三年攻坚行动”为抓手，突出重点行业、重点领域、重点企业、重大问题，先后组织开展了道路客货运输突出违法违规行为专项整治、船舶突出问题专项整治、超限超载专项整治、交通工程建设领域安全隐患排查整治等12个方面的专项整治，有效解决了一大批安全生产重点领域的重大问题、重大隐患、重大风险，全市交通运输行业全年未发生较大以上安全生产事故，杜绝了重大事故的发生，守住了安全生产底线。三是强化安全生产执法检查。以防止漏管失控、失职失守为目标，强化全行业、全领域、全覆盖的安全生产执法监督检查。在突出解决安全生产重大问题，重大隐患、重大风险的同时，不断强化全行业、全领域、全覆盖的安全生产执法检查，全年共督促排查整治安全风险隐患320个，有效防止了安全生产执法工作出现盲区空白和断档脱节，确保了交通运输执法领域安全生产</w:t>
      </w:r>
      <w:ins w:id="2" w:author="优钵罗华86nlss" w:date="2023-06-13T15:49:37Z">
        <w:r>
          <w:rPr>
            <w:rFonts w:hint="eastAsia" w:ascii="仿宋_GB2312" w:hAnsi="仿宋_GB2312" w:eastAsia="仿宋_GB2312" w:cs="仿宋_GB2312"/>
            <w:color w:val="000000"/>
            <w:kern w:val="0"/>
            <w:sz w:val="32"/>
            <w:szCs w:val="32"/>
            <w:lang w:eastAsia="zh-CN"/>
          </w:rPr>
          <w:t>形势</w:t>
        </w:r>
      </w:ins>
      <w:r>
        <w:rPr>
          <w:rFonts w:hint="eastAsia" w:ascii="仿宋_GB2312" w:hAnsi="仿宋_GB2312" w:eastAsia="仿宋_GB2312" w:cs="仿宋_GB2312"/>
          <w:color w:val="000000"/>
          <w:kern w:val="0"/>
          <w:sz w:val="32"/>
          <w:szCs w:val="32"/>
        </w:rPr>
        <w:t>持续平稳向好。</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严守防疫底线，疫情防控取得阶段性胜利。支队高度重视疫情防控工作，多措并举全面落实疫情防控措施，坚决打好疫情防控攻坚战。一是抓实客运行业疫情防控工作。成立客运、“两站一场”疫情防控专项工作组，每日安排执法人员督促指导汽车站、火车站、飞机场、公交车、出租车、班线客运车辆落实通风、消毒、口罩佩戴等相关防疫措施落实情况。要求未严格落实“川行通”扫码乘车措施的广运集团股份有限公司等7家客运企业，加强对从业人员的教育管理，对未严格落实防疫措施的31名驾驶员分别作出停车3天的处罚。二是抓实货运行业疫情防控工作。支队主动发挥冷链食品及进口高风险非冷链商品运输疫情防控领导小组办公室作用，主动思考谋划领导小组工作，主动协调指导行业疫情防控，严格落实冷链食品及进口高风险非冷链商品运输行业的防疫工作责任。支队执法人员不定期检查冷链及非冷链物流企业、从业人员个人防护、核酸检测、疫苗接种、车辆消毒和“两证一报告”等情况。参加市冷链食品疫情防控专项督查第三组对旺苍县开展专项督查11次，依法查处违规冷链运输企业2家、车辆4台，全市货运行业疫情防控工作安全稳定。三是做好其他行业的防疫工作。重点检查在建交通工程、船舶、驾培等相关行业实名制登记、测温、扫码、核验健康码等疫情防控措施落实情况，进一步加强对相关企业的宣传教育，压实防疫主体责任。同时，严格落实机关防疫措施。督促单位干部职工严格执行“两码一卡”查验制度，严格落实通风、消毒等疫情防控措施，全体干部职工做到了新冠疫苗应接尽接。</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聚力社会发展，营商环境更加优化。一是打击扰乱市场行为。以交通运输领域突出问题专项整治行动、道路客货运输突出违法违规行为专项整治为契机，进一步规范交通运输市场秩序，联合相关部门打击交通运输执法领域扰乱市场竞争违法行为。专项整治行动期间，组织开展大调研、大走访活动4次，走访企业20余家，召开座谈会13次，座谈从业人员290余人次。二是认真落实“首违不罚”。严格执行省交通运输厅《交通运输行政处罚自由裁量标准》（2018版），加强对行政处罚自由裁量的监督制约机制，严格执行首次违法从轻处罚，积极实施告知承诺制，对于符合条件的案件一律适用“首违不罚”条款。三是做好扫黑除恶常态化工作。支队成立了扫黑除恶常态化工作领导小组，严肃整治欺行霸市、强揽工程、恶意竞标、阻碍执法的“路霸”“行霸”以及黑恶势力组织参与违法行为等涉黑涉恶行为。开辟了群众举报投诉热线12328，及时受理群众举报，全年支队查处“黑车”37件，罚款37万元；非法网约车99件，罚款98万元，</w:t>
      </w:r>
      <w:ins w:id="3" w:author="优钵罗华86nlss" w:date="2023-06-13T15:49:45Z">
        <w:r>
          <w:rPr>
            <w:rFonts w:hint="eastAsia" w:ascii="仿宋_GB2312" w:hAnsi="仿宋_GB2312" w:eastAsia="仿宋_GB2312" w:cs="仿宋_GB2312"/>
            <w:color w:val="000000"/>
            <w:kern w:val="0"/>
            <w:sz w:val="32"/>
            <w:szCs w:val="32"/>
            <w:lang w:eastAsia="zh-CN"/>
          </w:rPr>
          <w:t>极大地规范</w:t>
        </w:r>
      </w:ins>
      <w:r>
        <w:rPr>
          <w:rFonts w:hint="eastAsia" w:ascii="仿宋_GB2312" w:hAnsi="仿宋_GB2312" w:eastAsia="仿宋_GB2312" w:cs="仿宋_GB2312"/>
          <w:color w:val="000000"/>
          <w:kern w:val="0"/>
          <w:sz w:val="32"/>
          <w:szCs w:val="32"/>
        </w:rPr>
        <w:t>了交通市场运输秩序。</w:t>
      </w:r>
    </w:p>
    <w:p>
      <w:pPr>
        <w:widowControl/>
        <w:spacing w:line="576"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加强县区指导，提高综合执法水平。建立了班子成员包片联系县区工作制度，通过对县区交通运输综合行政执法以及纪律作风整顿、双超治理、非法营运整治等工作的监督指导，进一步压实了属地交通运输执法责任，全年支队班子成员带队到县区检查32次，开展专项整治行动督导19次，约谈县区大队直接责任人1次，发出执法建议书12份，发出抄告案件信息3份，移送案件1件。针对县区执法工作的薄弱环节，就《四川省交通运输综合运输执法条例》、执法业务知识、执法文书制作等进行培训13次。全年各县区办理交通运输违法案件1384件，罚款516.62万元。</w:t>
      </w:r>
    </w:p>
    <w:p>
      <w:pPr>
        <w:widowControl/>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br w:type="page"/>
      </w:r>
    </w:p>
    <w:p>
      <w:pPr>
        <w:pStyle w:val="4"/>
        <w:ind w:right="440"/>
        <w:jc w:val="center"/>
        <w:rPr>
          <w:rStyle w:val="30"/>
          <w:rFonts w:ascii="黑体" w:hAnsi="黑体" w:eastAsia="黑体"/>
          <w:b w:val="0"/>
          <w:bCs/>
        </w:rPr>
      </w:pPr>
      <w:bookmarkStart w:id="24" w:name="_Toc598520679"/>
      <w:bookmarkStart w:id="25" w:name="_Toc1254913573"/>
      <w:bookmarkStart w:id="26" w:name="_Toc15396602"/>
      <w:bookmarkStart w:id="27" w:name="_Toc15377204"/>
      <w:r>
        <w:rPr>
          <w:rFonts w:hint="eastAsia" w:ascii="黑体" w:hAnsi="黑体" w:eastAsia="黑体"/>
          <w:b w:val="0"/>
        </w:rPr>
        <w:t>第二部分 2021年度</w:t>
      </w:r>
      <w:r>
        <w:rPr>
          <w:rStyle w:val="30"/>
          <w:rFonts w:hint="eastAsia" w:ascii="黑体" w:hAnsi="黑体" w:eastAsia="黑体"/>
          <w:b w:val="0"/>
          <w:bCs/>
        </w:rPr>
        <w:t>单位决算情况说明</w:t>
      </w:r>
      <w:bookmarkEnd w:id="24"/>
      <w:bookmarkEnd w:id="25"/>
      <w:bookmarkEnd w:id="26"/>
      <w:bookmarkEnd w:id="27"/>
    </w:p>
    <w:p/>
    <w:p>
      <w:pPr>
        <w:pStyle w:val="29"/>
        <w:numPr>
          <w:ilvl w:val="0"/>
          <w:numId w:val="2"/>
        </w:numPr>
        <w:spacing w:line="600" w:lineRule="exact"/>
        <w:ind w:firstLineChars="0"/>
        <w:outlineLvl w:val="1"/>
        <w:rPr>
          <w:rStyle w:val="31"/>
          <w:rFonts w:ascii="黑体" w:hAnsi="黑体" w:eastAsia="黑体"/>
          <w:b w:val="0"/>
        </w:rPr>
      </w:pPr>
      <w:bookmarkStart w:id="28" w:name="_Toc15396603"/>
      <w:bookmarkStart w:id="29" w:name="_Toc15377205"/>
      <w:bookmarkStart w:id="30" w:name="_Toc1628279920"/>
      <w:r>
        <w:rPr>
          <w:rFonts w:hint="eastAsia" w:ascii="黑体" w:hAnsi="黑体" w:eastAsia="黑体"/>
          <w:sz w:val="32"/>
          <w:szCs w:val="32"/>
        </w:rPr>
        <w:t>收</w:t>
      </w:r>
      <w:r>
        <w:rPr>
          <w:rStyle w:val="31"/>
          <w:rFonts w:hint="eastAsia" w:ascii="黑体" w:hAnsi="黑体" w:eastAsia="黑体"/>
          <w:b w:val="0"/>
        </w:rPr>
        <w:t>入支出决算总体情况说明</w:t>
      </w:r>
      <w:bookmarkEnd w:id="28"/>
      <w:bookmarkEnd w:id="29"/>
      <w:bookmarkEnd w:id="30"/>
    </w:p>
    <w:p>
      <w:pPr>
        <w:widowControl/>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2021年度收、支总计</w:t>
      </w:r>
      <w:r>
        <w:rPr>
          <w:rFonts w:ascii="仿宋_GB2312" w:hAnsi="仿宋_GB2312" w:eastAsia="仿宋_GB2312" w:cs="仿宋_GB2312"/>
          <w:color w:val="000000"/>
          <w:kern w:val="0"/>
          <w:sz w:val="32"/>
          <w:szCs w:val="32"/>
        </w:rPr>
        <w:t>1772.14</w:t>
      </w:r>
      <w:r>
        <w:rPr>
          <w:rFonts w:hint="eastAsia" w:ascii="仿宋_GB2312" w:hAnsi="仿宋_GB2312" w:eastAsia="仿宋_GB2312" w:cs="仿宋_GB2312"/>
          <w:color w:val="000000"/>
          <w:kern w:val="0"/>
          <w:sz w:val="32"/>
          <w:szCs w:val="32"/>
        </w:rPr>
        <w:t>万元。本单位</w:t>
      </w:r>
      <w:r>
        <w:rPr>
          <w:rFonts w:ascii="仿宋_GB2312" w:hAnsi="仿宋_GB2312" w:eastAsia="仿宋_GB2312" w:cs="仿宋_GB2312"/>
          <w:color w:val="000000"/>
          <w:kern w:val="0"/>
          <w:sz w:val="32"/>
          <w:szCs w:val="32"/>
        </w:rPr>
        <w:t>为</w:t>
      </w:r>
      <w:r>
        <w:rPr>
          <w:rFonts w:hint="eastAsia" w:ascii="仿宋_GB2312" w:hAnsi="仿宋_GB2312" w:eastAsia="仿宋_GB2312" w:cs="仿宋_GB2312"/>
          <w:color w:val="000000"/>
          <w:kern w:val="0"/>
          <w:sz w:val="32"/>
          <w:szCs w:val="32"/>
        </w:rPr>
        <w:t>2021年交通行政执法改革后</w:t>
      </w:r>
      <w:r>
        <w:rPr>
          <w:rFonts w:ascii="仿宋_GB2312" w:hAnsi="仿宋_GB2312" w:eastAsia="仿宋_GB2312" w:cs="仿宋_GB2312"/>
          <w:color w:val="000000"/>
          <w:kern w:val="0"/>
          <w:sz w:val="32"/>
          <w:szCs w:val="32"/>
        </w:rPr>
        <w:t>新成立单位，2020年无决算数据，无法对比。</w:t>
      </w:r>
    </w:p>
    <w:p>
      <w:pPr>
        <w:widowControl/>
        <w:ind w:firstLine="640" w:firstLineChars="200"/>
        <w:jc w:val="center"/>
        <w:rPr>
          <w:rFonts w:ascii="仿宋_GB2312" w:eastAsia="仿宋_GB2312"/>
          <w:sz w:val="32"/>
          <w:szCs w:val="32"/>
        </w:rPr>
      </w:pPr>
      <w:r>
        <w:rPr>
          <w:rFonts w:hint="eastAsia" w:ascii="仿宋_GB2312" w:hAnsi="仿宋_GB2312" w:eastAsia="仿宋_GB2312" w:cs="仿宋_GB2312"/>
          <w:color w:val="000000"/>
          <w:kern w:val="0"/>
          <w:sz w:val="32"/>
          <w:szCs w:val="32"/>
        </w:rPr>
        <w:t>（图1：收、支决算总计变动情况图）</w:t>
      </w:r>
      <w:r>
        <w:rPr>
          <w:rFonts w:hint="eastAsia" w:ascii="仿宋_GB2312" w:eastAsia="仿宋_GB2312"/>
          <w:color w:val="FF0000"/>
          <w:sz w:val="32"/>
          <w:szCs w:val="32"/>
        </w:rPr>
        <w:drawing>
          <wp:anchor distT="0" distB="0" distL="0" distR="0" simplePos="0" relativeHeight="251660288" behindDoc="0" locked="0" layoutInCell="1" allowOverlap="1">
            <wp:simplePos x="0" y="0"/>
            <wp:positionH relativeFrom="column">
              <wp:posOffset>116840</wp:posOffset>
            </wp:positionH>
            <wp:positionV relativeFrom="paragraph">
              <wp:posOffset>182880</wp:posOffset>
            </wp:positionV>
            <wp:extent cx="5086350" cy="2905125"/>
            <wp:effectExtent l="4445" t="4445" r="14605" b="5080"/>
            <wp:wrapSquare wrapText="bothSides"/>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9"/>
        <w:numPr>
          <w:ilvl w:val="0"/>
          <w:numId w:val="2"/>
        </w:numPr>
        <w:spacing w:line="600" w:lineRule="exact"/>
        <w:ind w:firstLineChars="0"/>
        <w:outlineLvl w:val="1"/>
        <w:rPr>
          <w:rStyle w:val="31"/>
          <w:rFonts w:ascii="黑体" w:hAnsi="黑体" w:eastAsia="黑体"/>
          <w:b w:val="0"/>
        </w:rPr>
      </w:pPr>
      <w:bookmarkStart w:id="31" w:name="_Toc15377206"/>
      <w:bookmarkStart w:id="32" w:name="_Toc1102754215"/>
      <w:bookmarkStart w:id="33" w:name="_Toc15396604"/>
      <w:r>
        <w:rPr>
          <w:rFonts w:hint="eastAsia" w:ascii="黑体" w:hAnsi="黑体" w:eastAsia="黑体"/>
          <w:sz w:val="32"/>
          <w:szCs w:val="32"/>
        </w:rPr>
        <w:t>收</w:t>
      </w:r>
      <w:r>
        <w:rPr>
          <w:rStyle w:val="31"/>
          <w:rFonts w:hint="eastAsia" w:ascii="黑体" w:hAnsi="黑体" w:eastAsia="黑体"/>
          <w:b w:val="0"/>
        </w:rPr>
        <w:t>入决算情况说明</w:t>
      </w:r>
      <w:bookmarkEnd w:id="31"/>
      <w:bookmarkEnd w:id="32"/>
      <w:bookmarkEnd w:id="33"/>
    </w:p>
    <w:p>
      <w:pPr>
        <w:widowControl/>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2021年本年收入合计</w:t>
      </w:r>
      <w:r>
        <w:rPr>
          <w:rFonts w:ascii="仿宋_GB2312" w:hAnsi="仿宋_GB2312" w:eastAsia="仿宋_GB2312" w:cs="仿宋_GB2312"/>
          <w:color w:val="000000"/>
          <w:kern w:val="0"/>
          <w:sz w:val="32"/>
          <w:szCs w:val="32"/>
        </w:rPr>
        <w:t>1754.27</w:t>
      </w:r>
      <w:r>
        <w:rPr>
          <w:rFonts w:hint="eastAsia" w:ascii="仿宋_GB2312" w:hAnsi="仿宋_GB2312" w:eastAsia="仿宋_GB2312" w:cs="仿宋_GB2312"/>
          <w:color w:val="000000"/>
          <w:kern w:val="0"/>
          <w:sz w:val="32"/>
          <w:szCs w:val="32"/>
        </w:rPr>
        <w:t>万元，其中：一般公共预算财政拨款收入</w:t>
      </w:r>
      <w:r>
        <w:rPr>
          <w:rFonts w:ascii="仿宋_GB2312" w:hAnsi="仿宋_GB2312" w:eastAsia="仿宋_GB2312" w:cs="仿宋_GB2312"/>
          <w:color w:val="000000"/>
          <w:kern w:val="0"/>
          <w:sz w:val="32"/>
          <w:szCs w:val="32"/>
        </w:rPr>
        <w:t>1754.27</w:t>
      </w:r>
      <w:r>
        <w:rPr>
          <w:rFonts w:hint="eastAsia" w:ascii="仿宋_GB2312" w:hAnsi="仿宋_GB2312" w:eastAsia="仿宋_GB2312" w:cs="仿宋_GB2312"/>
          <w:color w:val="000000"/>
          <w:kern w:val="0"/>
          <w:sz w:val="32"/>
          <w:szCs w:val="32"/>
        </w:rPr>
        <w:t>万元，占</w:t>
      </w:r>
      <w:r>
        <w:rPr>
          <w:rFonts w:ascii="仿宋_GB2312" w:hAnsi="仿宋_GB2312" w:eastAsia="仿宋_GB2312" w:cs="仿宋_GB2312"/>
          <w:color w:val="000000"/>
          <w:kern w:val="0"/>
          <w:sz w:val="32"/>
          <w:szCs w:val="32"/>
        </w:rPr>
        <w:t>100</w:t>
      </w:r>
      <w:r>
        <w:rPr>
          <w:rFonts w:hint="eastAsia" w:ascii="仿宋_GB2312" w:hAnsi="仿宋_GB2312" w:eastAsia="仿宋_GB2312" w:cs="仿宋_GB2312"/>
          <w:color w:val="000000"/>
          <w:kern w:val="0"/>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color w:val="FF0000"/>
          <w:sz w:val="32"/>
          <w:szCs w:val="32"/>
        </w:rPr>
        <w:drawing>
          <wp:anchor distT="0" distB="0" distL="0" distR="0" simplePos="0" relativeHeight="251661312" behindDoc="0" locked="0" layoutInCell="1" allowOverlap="1">
            <wp:simplePos x="0" y="0"/>
            <wp:positionH relativeFrom="column">
              <wp:posOffset>247015</wp:posOffset>
            </wp:positionH>
            <wp:positionV relativeFrom="paragraph">
              <wp:posOffset>-6419215</wp:posOffset>
            </wp:positionV>
            <wp:extent cx="5274310" cy="3076575"/>
            <wp:effectExtent l="5080" t="4445" r="16510" b="5080"/>
            <wp:wrapSquare wrapText="bothSides"/>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2"/>
        <w:spacing w:before="93"/>
        <w:rPr>
          <w:sz w:val="32"/>
          <w:szCs w:val="32"/>
        </w:rPr>
      </w:pPr>
    </w:p>
    <w:p>
      <w:pPr>
        <w:pStyle w:val="2"/>
        <w:spacing w:before="93"/>
        <w:rPr>
          <w:sz w:val="32"/>
          <w:szCs w:val="32"/>
        </w:rPr>
      </w:pPr>
    </w:p>
    <w:p>
      <w:pPr>
        <w:pStyle w:val="2"/>
        <w:spacing w:before="93"/>
        <w:rPr>
          <w:sz w:val="32"/>
          <w:szCs w:val="32"/>
        </w:rPr>
      </w:pPr>
    </w:p>
    <w:p>
      <w:pPr>
        <w:pStyle w:val="2"/>
        <w:spacing w:before="93"/>
        <w:rPr>
          <w:sz w:val="32"/>
          <w:szCs w:val="32"/>
        </w:rPr>
      </w:pPr>
    </w:p>
    <w:p>
      <w:pPr>
        <w:spacing w:line="600" w:lineRule="exact"/>
        <w:ind w:firstLine="640" w:firstLineChars="200"/>
        <w:jc w:val="center"/>
        <w:outlineLvl w:val="1"/>
        <w:rPr>
          <w:rFonts w:ascii="仿宋_GB2312" w:eastAsia="仿宋_GB2312"/>
          <w:sz w:val="32"/>
          <w:szCs w:val="32"/>
        </w:rPr>
      </w:pPr>
      <w:bookmarkStart w:id="34" w:name="_Toc186884257"/>
      <w:r>
        <w:rPr>
          <w:rFonts w:hint="eastAsia" w:ascii="仿宋" w:hAnsi="仿宋" w:eastAsia="仿宋"/>
          <w:bCs/>
          <w:sz w:val="32"/>
          <w:szCs w:val="32"/>
        </w:rPr>
        <w:t>（</w:t>
      </w:r>
      <w:r>
        <w:rPr>
          <w:rFonts w:hint="eastAsia" w:ascii="仿宋" w:hAnsi="仿宋" w:eastAsia="仿宋"/>
          <w:sz w:val="32"/>
          <w:szCs w:val="32"/>
        </w:rPr>
        <w:t>图2：收入决算结构图）</w:t>
      </w:r>
      <w:bookmarkEnd w:id="34"/>
    </w:p>
    <w:p>
      <w:pPr>
        <w:pStyle w:val="29"/>
        <w:numPr>
          <w:ilvl w:val="0"/>
          <w:numId w:val="2"/>
        </w:numPr>
        <w:spacing w:line="600" w:lineRule="exact"/>
        <w:ind w:firstLineChars="0"/>
        <w:outlineLvl w:val="1"/>
        <w:rPr>
          <w:rStyle w:val="31"/>
          <w:rFonts w:ascii="黑体" w:hAnsi="黑体" w:eastAsia="黑体"/>
          <w:b w:val="0"/>
        </w:rPr>
      </w:pPr>
      <w:bookmarkStart w:id="35" w:name="_Toc15396605"/>
      <w:bookmarkStart w:id="36" w:name="_Toc15377207"/>
      <w:bookmarkStart w:id="37" w:name="_Toc1647093938"/>
      <w:r>
        <w:rPr>
          <w:rFonts w:hint="eastAsia" w:ascii="黑体" w:hAnsi="黑体" w:eastAsia="黑体"/>
          <w:sz w:val="32"/>
          <w:szCs w:val="32"/>
        </w:rPr>
        <w:t>支</w:t>
      </w:r>
      <w:r>
        <w:rPr>
          <w:rStyle w:val="31"/>
          <w:rFonts w:hint="eastAsia" w:ascii="黑体" w:hAnsi="黑体" w:eastAsia="黑体"/>
          <w:b w:val="0"/>
        </w:rPr>
        <w:t>出决算情况说明</w:t>
      </w:r>
      <w:bookmarkEnd w:id="35"/>
      <w:bookmarkEnd w:id="36"/>
      <w:bookmarkEnd w:id="37"/>
    </w:p>
    <w:p>
      <w:pPr>
        <w:widowControl/>
        <w:ind w:firstLine="640" w:firstLineChars="200"/>
        <w:jc w:val="left"/>
        <w:rPr>
          <w:rFonts w:ascii="仿宋" w:hAnsi="仿宋" w:eastAsia="仿宋"/>
          <w:sz w:val="32"/>
          <w:szCs w:val="32"/>
          <w:shd w:val="pct10" w:color="auto" w:fill="FFFFFF"/>
        </w:rPr>
      </w:pPr>
      <w:r>
        <w:rPr>
          <w:rFonts w:hint="eastAsia" w:ascii="仿宋_GB2312" w:hAnsi="仿宋_GB2312" w:eastAsia="仿宋_GB2312" w:cs="仿宋_GB2312"/>
          <w:color w:val="000000"/>
          <w:kern w:val="0"/>
          <w:sz w:val="32"/>
          <w:szCs w:val="32"/>
        </w:rPr>
        <w:t>2021年本年支出合计</w:t>
      </w:r>
      <w:r>
        <w:rPr>
          <w:rFonts w:ascii="仿宋_GB2312" w:hAnsi="仿宋_GB2312" w:eastAsia="仿宋_GB2312" w:cs="仿宋_GB2312"/>
          <w:color w:val="000000"/>
          <w:kern w:val="0"/>
          <w:sz w:val="32"/>
          <w:szCs w:val="32"/>
        </w:rPr>
        <w:t>1761.4</w:t>
      </w:r>
      <w:r>
        <w:rPr>
          <w:rFonts w:hint="eastAsia" w:ascii="仿宋_GB2312" w:hAnsi="仿宋_GB2312" w:eastAsia="仿宋_GB2312" w:cs="仿宋_GB2312"/>
          <w:color w:val="000000"/>
          <w:kern w:val="0"/>
          <w:sz w:val="32"/>
          <w:szCs w:val="32"/>
        </w:rPr>
        <w:t>万元，其中：基本支出</w:t>
      </w:r>
      <w:r>
        <w:rPr>
          <w:rFonts w:ascii="仿宋_GB2312" w:hAnsi="仿宋_GB2312" w:eastAsia="仿宋_GB2312" w:cs="仿宋_GB2312"/>
          <w:color w:val="000000"/>
          <w:kern w:val="0"/>
          <w:sz w:val="32"/>
          <w:szCs w:val="32"/>
        </w:rPr>
        <w:t>1474.52</w:t>
      </w:r>
      <w:r>
        <w:rPr>
          <w:rFonts w:hint="eastAsia" w:ascii="仿宋_GB2312" w:hAnsi="仿宋_GB2312" w:eastAsia="仿宋_GB2312" w:cs="仿宋_GB2312"/>
          <w:color w:val="000000"/>
          <w:kern w:val="0"/>
          <w:sz w:val="32"/>
          <w:szCs w:val="32"/>
        </w:rPr>
        <w:t>万元，占</w:t>
      </w:r>
      <w:r>
        <w:rPr>
          <w:rFonts w:ascii="仿宋_GB2312" w:hAnsi="仿宋_GB2312" w:eastAsia="仿宋_GB2312" w:cs="仿宋_GB2312"/>
          <w:color w:val="000000"/>
          <w:kern w:val="0"/>
          <w:sz w:val="32"/>
          <w:szCs w:val="32"/>
        </w:rPr>
        <w:t>83.</w:t>
      </w:r>
      <w:r>
        <w:rPr>
          <w:rFonts w:hint="eastAsia" w:ascii="仿宋_GB2312" w:hAnsi="仿宋_GB2312" w:eastAsia="仿宋_GB2312" w:cs="仿宋_GB2312"/>
          <w:color w:val="000000"/>
          <w:kern w:val="0"/>
          <w:sz w:val="32"/>
          <w:szCs w:val="32"/>
        </w:rPr>
        <w:t>71%；项目支出</w:t>
      </w:r>
      <w:r>
        <w:rPr>
          <w:rFonts w:ascii="仿宋_GB2312" w:hAnsi="仿宋_GB2312" w:eastAsia="仿宋_GB2312" w:cs="仿宋_GB2312"/>
          <w:color w:val="000000"/>
          <w:kern w:val="0"/>
          <w:sz w:val="32"/>
          <w:szCs w:val="32"/>
        </w:rPr>
        <w:t>286.87</w:t>
      </w:r>
      <w:r>
        <w:rPr>
          <w:rFonts w:hint="eastAsia" w:ascii="仿宋_GB2312" w:hAnsi="仿宋_GB2312" w:eastAsia="仿宋_GB2312" w:cs="仿宋_GB2312"/>
          <w:color w:val="000000"/>
          <w:kern w:val="0"/>
          <w:sz w:val="32"/>
          <w:szCs w:val="32"/>
        </w:rPr>
        <w:t>万元，占</w:t>
      </w:r>
      <w:r>
        <w:rPr>
          <w:rFonts w:ascii="仿宋_GB2312" w:hAnsi="仿宋_GB2312" w:eastAsia="仿宋_GB2312" w:cs="仿宋_GB2312"/>
          <w:color w:val="000000"/>
          <w:kern w:val="0"/>
          <w:sz w:val="32"/>
          <w:szCs w:val="32"/>
        </w:rPr>
        <w:t>16.</w:t>
      </w:r>
      <w:r>
        <w:rPr>
          <w:rFonts w:hint="eastAsia" w:ascii="仿宋_GB2312" w:hAnsi="仿宋_GB2312" w:eastAsia="仿宋_GB2312" w:cs="仿宋_GB2312"/>
          <w:color w:val="000000"/>
          <w:kern w:val="0"/>
          <w:sz w:val="32"/>
          <w:szCs w:val="32"/>
        </w:rPr>
        <w:t>29%。</w:t>
      </w:r>
    </w:p>
    <w:p>
      <w:pPr>
        <w:pStyle w:val="2"/>
        <w:spacing w:before="93"/>
        <w:rPr>
          <w:color w:val="FF0000"/>
          <w:sz w:val="32"/>
          <w:szCs w:val="32"/>
        </w:rPr>
      </w:pPr>
      <w:r>
        <w:rPr>
          <w:rFonts w:hint="eastAsia"/>
          <w:color w:val="FF0000"/>
          <w:sz w:val="32"/>
          <w:szCs w:val="32"/>
        </w:rPr>
        <w:drawing>
          <wp:inline distT="0" distB="0" distL="0" distR="0">
            <wp:extent cx="5274310" cy="3076575"/>
            <wp:effectExtent l="5080" t="4445" r="16510" b="5080"/>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3"/>
        <w:spacing w:before="93"/>
        <w:ind w:firstLine="320"/>
        <w:jc w:val="center"/>
      </w:pPr>
      <w:r>
        <w:rPr>
          <w:rFonts w:hint="eastAsia" w:ascii="仿宋" w:hAnsi="仿宋" w:eastAsia="仿宋"/>
          <w:szCs w:val="32"/>
        </w:rPr>
        <w:t>（图3：支出决算结构图）</w:t>
      </w:r>
    </w:p>
    <w:p>
      <w:pPr>
        <w:spacing w:line="600" w:lineRule="exact"/>
        <w:ind w:firstLine="640" w:firstLineChars="200"/>
        <w:outlineLvl w:val="1"/>
        <w:rPr>
          <w:rStyle w:val="31"/>
          <w:rFonts w:ascii="黑体" w:hAnsi="黑体" w:eastAsia="黑体"/>
          <w:b w:val="0"/>
        </w:rPr>
      </w:pPr>
      <w:bookmarkStart w:id="38" w:name="_Toc1113734316"/>
      <w:bookmarkStart w:id="39" w:name="_Toc15377208"/>
      <w:bookmarkStart w:id="40" w:name="_Toc15396606"/>
      <w:r>
        <w:rPr>
          <w:rFonts w:hint="eastAsia" w:ascii="黑体" w:hAnsi="黑体" w:eastAsia="黑体"/>
          <w:sz w:val="32"/>
          <w:szCs w:val="32"/>
        </w:rPr>
        <w:t>四、财</w:t>
      </w:r>
      <w:r>
        <w:rPr>
          <w:rStyle w:val="31"/>
          <w:rFonts w:hint="eastAsia" w:ascii="黑体" w:hAnsi="黑体" w:eastAsia="黑体"/>
          <w:b w:val="0"/>
        </w:rPr>
        <w:t>政拨款收入支出决算总体情况说明</w:t>
      </w:r>
      <w:bookmarkEnd w:id="38"/>
      <w:bookmarkEnd w:id="39"/>
      <w:bookmarkEnd w:id="40"/>
    </w:p>
    <w:p>
      <w:pPr>
        <w:widowControl/>
        <w:ind w:firstLine="640" w:firstLineChars="200"/>
        <w:jc w:val="left"/>
        <w:rPr>
          <w:rFonts w:ascii="仿宋" w:hAnsi="仿宋" w:eastAsia="仿宋"/>
          <w:b/>
          <w:sz w:val="32"/>
          <w:szCs w:val="32"/>
        </w:rPr>
      </w:pPr>
      <w:r>
        <w:rPr>
          <w:rFonts w:hint="eastAsia" w:ascii="仿宋_GB2312" w:hAnsi="仿宋_GB2312" w:eastAsia="仿宋_GB2312" w:cs="仿宋_GB2312"/>
          <w:color w:val="000000"/>
          <w:kern w:val="0"/>
          <w:sz w:val="32"/>
          <w:szCs w:val="32"/>
        </w:rPr>
        <w:t>2021年财政拨款收、支总计</w:t>
      </w:r>
      <w:r>
        <w:rPr>
          <w:rFonts w:ascii="仿宋_GB2312" w:hAnsi="仿宋_GB2312" w:eastAsia="仿宋_GB2312" w:cs="仿宋_GB2312"/>
          <w:color w:val="000000"/>
          <w:kern w:val="0"/>
          <w:sz w:val="32"/>
          <w:szCs w:val="32"/>
        </w:rPr>
        <w:t>1772.14万</w:t>
      </w:r>
      <w:r>
        <w:rPr>
          <w:rFonts w:hint="eastAsia" w:ascii="仿宋_GB2312" w:hAnsi="仿宋_GB2312" w:eastAsia="仿宋_GB2312" w:cs="仿宋_GB2312"/>
          <w:color w:val="000000"/>
          <w:kern w:val="0"/>
          <w:sz w:val="32"/>
          <w:szCs w:val="32"/>
        </w:rPr>
        <w:t>元。本单位</w:t>
      </w:r>
      <w:r>
        <w:rPr>
          <w:rFonts w:ascii="仿宋_GB2312" w:hAnsi="仿宋_GB2312" w:eastAsia="仿宋_GB2312" w:cs="仿宋_GB2312"/>
          <w:color w:val="000000"/>
          <w:kern w:val="0"/>
          <w:sz w:val="32"/>
          <w:szCs w:val="32"/>
        </w:rPr>
        <w:t>为</w:t>
      </w:r>
      <w:r>
        <w:rPr>
          <w:rFonts w:hint="eastAsia" w:ascii="仿宋_GB2312" w:hAnsi="仿宋_GB2312" w:eastAsia="仿宋_GB2312" w:cs="仿宋_GB2312"/>
          <w:color w:val="000000"/>
          <w:kern w:val="0"/>
          <w:sz w:val="32"/>
          <w:szCs w:val="32"/>
        </w:rPr>
        <w:t>2021年交通行政执法改革后</w:t>
      </w:r>
      <w:r>
        <w:rPr>
          <w:rFonts w:ascii="仿宋_GB2312" w:hAnsi="仿宋_GB2312" w:eastAsia="仿宋_GB2312" w:cs="仿宋_GB2312"/>
          <w:color w:val="000000"/>
          <w:kern w:val="0"/>
          <w:sz w:val="32"/>
          <w:szCs w:val="32"/>
        </w:rPr>
        <w:t>新成立单位，2020年无决算数据，无法对比。。</w:t>
      </w:r>
    </w:p>
    <w:p>
      <w:pPr>
        <w:pStyle w:val="2"/>
        <w:spacing w:before="93"/>
      </w:pPr>
      <w:r>
        <w:rPr>
          <w:rFonts w:hint="eastAsia" w:ascii="仿宋" w:eastAsia="仿宋"/>
          <w:b/>
          <w:color w:val="00B050"/>
          <w:sz w:val="32"/>
          <w:szCs w:val="32"/>
        </w:rPr>
        <w:drawing>
          <wp:inline distT="0" distB="0" distL="0" distR="0">
            <wp:extent cx="5274310" cy="3076575"/>
            <wp:effectExtent l="5080" t="4445" r="16510" b="5080"/>
            <wp:docPr id="8"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outlineLvl w:val="1"/>
        <w:rPr>
          <w:rFonts w:ascii="黑体" w:hAnsi="黑体" w:eastAsia="黑体"/>
          <w:sz w:val="32"/>
          <w:szCs w:val="32"/>
        </w:rPr>
      </w:pPr>
      <w:bookmarkStart w:id="41" w:name="_Toc1012426879"/>
      <w:bookmarkStart w:id="42" w:name="_Toc15396607"/>
      <w:bookmarkStart w:id="43" w:name="_Toc15377209"/>
      <w:r>
        <w:rPr>
          <w:rFonts w:hint="eastAsia" w:ascii="仿宋_GB2312" w:hAnsi="仿宋_GB2312" w:eastAsia="仿宋_GB2312" w:cs="仿宋_GB2312"/>
          <w:color w:val="000000"/>
          <w:kern w:val="0"/>
          <w:sz w:val="32"/>
          <w:szCs w:val="32"/>
        </w:rPr>
        <w:t>（图4：财政拨款收、支决算总计变动情况）</w:t>
      </w:r>
    </w:p>
    <w:p>
      <w:pPr>
        <w:spacing w:line="600" w:lineRule="exact"/>
        <w:ind w:firstLine="640" w:firstLineChars="200"/>
        <w:outlineLvl w:val="1"/>
        <w:rPr>
          <w:rStyle w:val="31"/>
          <w:rFonts w:ascii="黑体" w:hAnsi="黑体" w:eastAsia="黑体"/>
          <w:b w:val="0"/>
        </w:rPr>
      </w:pPr>
      <w:r>
        <w:rPr>
          <w:rFonts w:hint="eastAsia" w:ascii="黑体" w:hAnsi="黑体" w:eastAsia="黑体"/>
          <w:sz w:val="32"/>
          <w:szCs w:val="32"/>
        </w:rPr>
        <w:t>五、</w:t>
      </w:r>
      <w:r>
        <w:rPr>
          <w:rFonts w:hint="eastAsia" w:ascii="黑体" w:hAnsi="黑体" w:eastAsia="黑体"/>
          <w:b/>
          <w:sz w:val="32"/>
          <w:szCs w:val="32"/>
        </w:rPr>
        <w:t>一</w:t>
      </w:r>
      <w:r>
        <w:rPr>
          <w:rStyle w:val="31"/>
          <w:rFonts w:hint="eastAsia" w:ascii="黑体" w:hAnsi="黑体" w:eastAsia="黑体"/>
          <w:b w:val="0"/>
        </w:rPr>
        <w:t>般公共预算财政拨款支出决算情况说明</w:t>
      </w:r>
      <w:bookmarkEnd w:id="41"/>
      <w:bookmarkEnd w:id="42"/>
      <w:bookmarkEnd w:id="43"/>
    </w:p>
    <w:p>
      <w:pPr>
        <w:spacing w:line="600" w:lineRule="exact"/>
        <w:ind w:firstLine="640" w:firstLineChars="200"/>
        <w:outlineLvl w:val="2"/>
        <w:rPr>
          <w:rFonts w:ascii="楷体_GB2312" w:hAnsi="楷体_GB2312" w:eastAsia="楷体_GB2312" w:cs="楷体_GB2312"/>
          <w:bCs/>
          <w:sz w:val="32"/>
          <w:szCs w:val="32"/>
        </w:rPr>
      </w:pPr>
      <w:bookmarkStart w:id="44" w:name="_Toc15377210"/>
      <w:r>
        <w:rPr>
          <w:rFonts w:hint="eastAsia" w:ascii="楷体_GB2312" w:hAnsi="楷体_GB2312" w:eastAsia="楷体_GB2312" w:cs="楷体_GB2312"/>
          <w:bCs/>
          <w:sz w:val="32"/>
          <w:szCs w:val="32"/>
        </w:rPr>
        <w:t>（一）一般公共预算财政拨款支出决算总体情况</w:t>
      </w:r>
      <w:bookmarkEnd w:id="44"/>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2021年一般公共预算财政拨款支出</w:t>
      </w:r>
      <w:r>
        <w:rPr>
          <w:rFonts w:ascii="仿宋_GB2312" w:hAnsi="仿宋_GB2312" w:eastAsia="仿宋_GB2312" w:cs="仿宋_GB2312"/>
          <w:color w:val="000000"/>
          <w:kern w:val="0"/>
          <w:sz w:val="32"/>
          <w:szCs w:val="32"/>
        </w:rPr>
        <w:t>1761.40</w:t>
      </w:r>
      <w:r>
        <w:rPr>
          <w:rFonts w:hint="eastAsia" w:ascii="仿宋_GB2312" w:hAnsi="仿宋_GB2312" w:eastAsia="仿宋_GB2312" w:cs="仿宋_GB2312"/>
          <w:color w:val="000000"/>
          <w:kern w:val="0"/>
          <w:sz w:val="32"/>
          <w:szCs w:val="32"/>
        </w:rPr>
        <w:t>万元，占本年支出合计的</w:t>
      </w:r>
      <w:r>
        <w:rPr>
          <w:rFonts w:ascii="仿宋_GB2312" w:hAnsi="仿宋_GB2312" w:eastAsia="仿宋_GB2312" w:cs="仿宋_GB2312"/>
          <w:color w:val="000000"/>
          <w:kern w:val="0"/>
          <w:sz w:val="32"/>
          <w:szCs w:val="32"/>
        </w:rPr>
        <w:t>100</w:t>
      </w:r>
      <w:r>
        <w:rPr>
          <w:rFonts w:hint="eastAsia" w:ascii="仿宋_GB2312" w:hAnsi="仿宋_GB2312" w:eastAsia="仿宋_GB2312" w:cs="仿宋_GB2312"/>
          <w:color w:val="000000"/>
          <w:kern w:val="0"/>
          <w:sz w:val="32"/>
          <w:szCs w:val="32"/>
        </w:rPr>
        <w:t>%。本单位</w:t>
      </w:r>
      <w:r>
        <w:rPr>
          <w:rFonts w:ascii="仿宋_GB2312" w:hAnsi="仿宋_GB2312" w:eastAsia="仿宋_GB2312" w:cs="仿宋_GB2312"/>
          <w:color w:val="000000"/>
          <w:kern w:val="0"/>
          <w:sz w:val="32"/>
          <w:szCs w:val="32"/>
        </w:rPr>
        <w:t>为</w:t>
      </w:r>
      <w:r>
        <w:rPr>
          <w:rFonts w:hint="eastAsia" w:ascii="仿宋_GB2312" w:hAnsi="仿宋_GB2312" w:eastAsia="仿宋_GB2312" w:cs="仿宋_GB2312"/>
          <w:color w:val="000000"/>
          <w:kern w:val="0"/>
          <w:sz w:val="32"/>
          <w:szCs w:val="32"/>
        </w:rPr>
        <w:t>2021年交通行政执法改革后</w:t>
      </w:r>
      <w:r>
        <w:rPr>
          <w:rFonts w:ascii="仿宋_GB2312" w:hAnsi="仿宋_GB2312" w:eastAsia="仿宋_GB2312" w:cs="仿宋_GB2312"/>
          <w:color w:val="000000"/>
          <w:kern w:val="0"/>
          <w:sz w:val="32"/>
          <w:szCs w:val="32"/>
        </w:rPr>
        <w:t>新成立单位，2020年无决算数据，无法对比。</w:t>
      </w:r>
    </w:p>
    <w:p>
      <w:pPr>
        <w:spacing w:line="600" w:lineRule="exact"/>
        <w:ind w:firstLine="640" w:firstLineChars="200"/>
        <w:rPr>
          <w:rFonts w:ascii="仿宋" w:hAnsi="仿宋" w:eastAsia="仿宋"/>
          <w:sz w:val="32"/>
          <w:szCs w:val="32"/>
        </w:rPr>
      </w:pPr>
      <w:r>
        <w:rPr>
          <w:rFonts w:hint="eastAsia" w:ascii="仿宋" w:eastAsia="仿宋"/>
          <w:color w:val="000000"/>
          <w:sz w:val="32"/>
          <w:szCs w:val="32"/>
        </w:rPr>
        <w:drawing>
          <wp:anchor distT="0" distB="0" distL="0" distR="0" simplePos="0" relativeHeight="251662336" behindDoc="0" locked="0" layoutInCell="1" allowOverlap="1">
            <wp:simplePos x="0" y="0"/>
            <wp:positionH relativeFrom="column">
              <wp:posOffset>255270</wp:posOffset>
            </wp:positionH>
            <wp:positionV relativeFrom="paragraph">
              <wp:posOffset>158750</wp:posOffset>
            </wp:positionV>
            <wp:extent cx="5274310" cy="3076575"/>
            <wp:effectExtent l="5080" t="4445" r="16510" b="5080"/>
            <wp:wrapSquare wrapText="bothSides"/>
            <wp:docPr id="9"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2" w:firstLineChars="200"/>
        <w:rPr>
          <w:rFonts w:ascii="仿宋" w:hAnsi="仿宋" w:eastAsia="仿宋"/>
          <w:b/>
          <w:sz w:val="32"/>
          <w:szCs w:val="32"/>
        </w:rPr>
      </w:pPr>
      <w:bookmarkStart w:id="45" w:name="_Toc15377211"/>
    </w:p>
    <w:p>
      <w:pPr>
        <w:spacing w:line="600" w:lineRule="exact"/>
        <w:ind w:firstLine="642" w:firstLineChars="200"/>
        <w:rPr>
          <w:rFonts w:ascii="仿宋" w:hAnsi="仿宋" w:eastAsia="仿宋"/>
          <w:b/>
          <w:sz w:val="32"/>
          <w:szCs w:val="32"/>
        </w:rPr>
      </w:pPr>
    </w:p>
    <w:p>
      <w:pPr>
        <w:spacing w:line="600" w:lineRule="exact"/>
        <w:ind w:firstLine="642" w:firstLineChars="200"/>
        <w:rPr>
          <w:rFonts w:ascii="仿宋" w:hAnsi="仿宋" w:eastAsia="仿宋"/>
          <w:b/>
          <w:sz w:val="32"/>
          <w:szCs w:val="32"/>
        </w:rPr>
      </w:pPr>
    </w:p>
    <w:p>
      <w:pPr>
        <w:spacing w:line="600" w:lineRule="exact"/>
        <w:ind w:firstLine="640" w:firstLineChars="200"/>
        <w:rPr>
          <w:rFonts w:ascii="仿宋_GB2312" w:hAnsi="仿宋_GB2312" w:eastAsia="仿宋_GB2312" w:cs="仿宋_GB2312"/>
          <w:color w:val="000000"/>
          <w:kern w:val="0"/>
          <w:sz w:val="32"/>
          <w:szCs w:val="32"/>
        </w:rPr>
      </w:pP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p>
    <w:p>
      <w:pPr>
        <w:spacing w:line="600" w:lineRule="exact"/>
        <w:ind w:firstLine="640" w:firstLineChars="200"/>
        <w:rPr>
          <w:rFonts w:ascii="仿宋_GB2312" w:hAnsi="仿宋_GB2312" w:eastAsia="仿宋_GB2312" w:cs="仿宋_GB2312"/>
          <w:color w:val="000000"/>
          <w:kern w:val="0"/>
          <w:sz w:val="32"/>
          <w:szCs w:val="32"/>
        </w:rPr>
      </w:pPr>
    </w:p>
    <w:p>
      <w:pPr>
        <w:spacing w:line="600" w:lineRule="exact"/>
        <w:rPr>
          <w:rFonts w:ascii="仿宋_GB2312" w:hAnsi="仿宋_GB2312" w:eastAsia="仿宋_GB2312" w:cs="仿宋_GB2312"/>
          <w:color w:val="000000"/>
          <w:kern w:val="0"/>
          <w:sz w:val="32"/>
          <w:szCs w:val="32"/>
        </w:rPr>
      </w:pPr>
    </w:p>
    <w:p>
      <w:pPr>
        <w:spacing w:line="600" w:lineRule="exact"/>
        <w:ind w:firstLine="640" w:firstLineChars="200"/>
        <w:rPr>
          <w:rFonts w:ascii="仿宋" w:hAnsi="仿宋" w:eastAsia="仿宋"/>
          <w:b/>
          <w:sz w:val="32"/>
          <w:szCs w:val="32"/>
        </w:rPr>
      </w:pP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图5：一般公共预算财政拨款支出决算变动情况）</w:t>
      </w:r>
    </w:p>
    <w:p>
      <w:pPr>
        <w:spacing w:line="600" w:lineRule="exact"/>
        <w:ind w:firstLine="640" w:firstLineChars="200"/>
        <w:outlineLvl w:val="2"/>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（二）一般公共预算财政拨款支出决算结构情况</w:t>
      </w:r>
      <w:bookmarkEnd w:id="45"/>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2021年一般公共预算财政拨款支出</w:t>
      </w:r>
      <w:r>
        <w:rPr>
          <w:rFonts w:ascii="仿宋_GB2312" w:hAnsi="仿宋_GB2312" w:eastAsia="仿宋_GB2312" w:cs="仿宋_GB2312"/>
          <w:color w:val="000000"/>
          <w:kern w:val="0"/>
          <w:sz w:val="32"/>
          <w:szCs w:val="32"/>
        </w:rPr>
        <w:t>1761.4</w:t>
      </w:r>
      <w:r>
        <w:rPr>
          <w:rFonts w:hint="eastAsia" w:ascii="仿宋_GB2312" w:hAnsi="仿宋_GB2312" w:eastAsia="仿宋_GB2312" w:cs="仿宋_GB2312"/>
          <w:color w:val="000000"/>
          <w:kern w:val="0"/>
          <w:sz w:val="32"/>
          <w:szCs w:val="32"/>
        </w:rPr>
        <w:t>万元，主要用于以下方面:</w:t>
      </w:r>
      <w:r>
        <w:rPr>
          <w:rFonts w:ascii="仿宋_GB2312" w:hAnsi="仿宋_GB2312" w:eastAsia="仿宋_GB2312" w:cs="仿宋_GB2312"/>
          <w:color w:val="000000"/>
          <w:kern w:val="0"/>
          <w:sz w:val="32"/>
          <w:szCs w:val="32"/>
        </w:rPr>
        <w:t>社会保障和就业</w:t>
      </w:r>
      <w:r>
        <w:rPr>
          <w:rFonts w:hint="eastAsia" w:ascii="仿宋_GB2312" w:hAnsi="仿宋_GB2312" w:eastAsia="仿宋_GB2312" w:cs="仿宋_GB2312"/>
          <w:color w:val="000000"/>
          <w:kern w:val="0"/>
          <w:sz w:val="32"/>
          <w:szCs w:val="32"/>
        </w:rPr>
        <w:t>（类）支出</w:t>
      </w:r>
      <w:r>
        <w:rPr>
          <w:rFonts w:ascii="仿宋_GB2312" w:hAnsi="仿宋_GB2312" w:eastAsia="仿宋_GB2312" w:cs="仿宋_GB2312"/>
          <w:color w:val="000000"/>
          <w:kern w:val="0"/>
          <w:sz w:val="32"/>
          <w:szCs w:val="32"/>
        </w:rPr>
        <w:t>155.82</w:t>
      </w:r>
      <w:r>
        <w:rPr>
          <w:rFonts w:hint="eastAsia" w:ascii="仿宋_GB2312" w:hAnsi="仿宋_GB2312" w:eastAsia="仿宋_GB2312" w:cs="仿宋_GB2312"/>
          <w:color w:val="000000"/>
          <w:kern w:val="0"/>
          <w:sz w:val="32"/>
          <w:szCs w:val="32"/>
        </w:rPr>
        <w:t>万元，占</w:t>
      </w:r>
      <w:r>
        <w:rPr>
          <w:rFonts w:ascii="仿宋_GB2312" w:hAnsi="仿宋_GB2312" w:eastAsia="仿宋_GB2312" w:cs="仿宋_GB2312"/>
          <w:color w:val="000000"/>
          <w:kern w:val="0"/>
          <w:sz w:val="32"/>
          <w:szCs w:val="32"/>
        </w:rPr>
        <w:t>8.85</w:t>
      </w:r>
      <w:r>
        <w:rPr>
          <w:rFonts w:hint="eastAsia" w:ascii="仿宋_GB2312" w:hAnsi="仿宋_GB2312" w:eastAsia="仿宋_GB2312" w:cs="仿宋_GB2312"/>
          <w:color w:val="000000"/>
          <w:kern w:val="0"/>
          <w:sz w:val="32"/>
          <w:szCs w:val="32"/>
        </w:rPr>
        <w:t>%；卫生健康（类）</w:t>
      </w:r>
      <w:r>
        <w:rPr>
          <w:rFonts w:ascii="仿宋_GB2312" w:hAnsi="仿宋_GB2312" w:eastAsia="仿宋_GB2312" w:cs="仿宋_GB2312"/>
          <w:color w:val="000000"/>
          <w:kern w:val="0"/>
          <w:sz w:val="32"/>
          <w:szCs w:val="32"/>
        </w:rPr>
        <w:t>支出25.75</w:t>
      </w:r>
      <w:r>
        <w:rPr>
          <w:rFonts w:hint="eastAsia" w:ascii="仿宋_GB2312" w:hAnsi="仿宋_GB2312" w:eastAsia="仿宋_GB2312" w:cs="仿宋_GB2312"/>
          <w:color w:val="000000"/>
          <w:kern w:val="0"/>
          <w:sz w:val="32"/>
          <w:szCs w:val="32"/>
        </w:rPr>
        <w:t>万元，占</w:t>
      </w:r>
      <w:r>
        <w:rPr>
          <w:rFonts w:ascii="仿宋_GB2312" w:hAnsi="仿宋_GB2312" w:eastAsia="仿宋_GB2312" w:cs="仿宋_GB2312"/>
          <w:color w:val="000000"/>
          <w:kern w:val="0"/>
          <w:sz w:val="32"/>
          <w:szCs w:val="32"/>
        </w:rPr>
        <w:t>1.46</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交通运输</w:t>
      </w:r>
      <w:r>
        <w:rPr>
          <w:rFonts w:hint="eastAsia" w:ascii="仿宋_GB2312" w:hAnsi="仿宋_GB2312" w:eastAsia="仿宋_GB2312" w:cs="仿宋_GB2312"/>
          <w:color w:val="000000"/>
          <w:kern w:val="0"/>
          <w:sz w:val="32"/>
          <w:szCs w:val="32"/>
        </w:rPr>
        <w:t>（类）</w:t>
      </w:r>
      <w:r>
        <w:rPr>
          <w:rFonts w:ascii="仿宋_GB2312" w:hAnsi="仿宋_GB2312" w:eastAsia="仿宋_GB2312" w:cs="仿宋_GB2312"/>
          <w:color w:val="000000"/>
          <w:kern w:val="0"/>
          <w:sz w:val="32"/>
          <w:szCs w:val="32"/>
        </w:rPr>
        <w:t>支出1484.52</w:t>
      </w:r>
      <w:r>
        <w:rPr>
          <w:rFonts w:hint="eastAsia" w:ascii="仿宋_GB2312" w:hAnsi="仿宋_GB2312" w:eastAsia="仿宋_GB2312" w:cs="仿宋_GB2312"/>
          <w:color w:val="000000"/>
          <w:kern w:val="0"/>
          <w:sz w:val="32"/>
          <w:szCs w:val="32"/>
        </w:rPr>
        <w:t>万元，占</w:t>
      </w:r>
      <w:r>
        <w:rPr>
          <w:rFonts w:ascii="仿宋_GB2312" w:hAnsi="仿宋_GB2312" w:eastAsia="仿宋_GB2312" w:cs="仿宋_GB2312"/>
          <w:color w:val="000000"/>
          <w:kern w:val="0"/>
          <w:sz w:val="32"/>
          <w:szCs w:val="32"/>
        </w:rPr>
        <w:t>84.28</w:t>
      </w:r>
      <w:r>
        <w:rPr>
          <w:rFonts w:hint="eastAsia" w:ascii="仿宋_GB2312" w:hAnsi="仿宋_GB2312" w:eastAsia="仿宋_GB2312" w:cs="仿宋_GB2312"/>
          <w:color w:val="000000"/>
          <w:kern w:val="0"/>
          <w:sz w:val="32"/>
          <w:szCs w:val="32"/>
        </w:rPr>
        <w:t>%；住房保障（类）</w:t>
      </w:r>
      <w:r>
        <w:rPr>
          <w:rFonts w:ascii="仿宋_GB2312" w:hAnsi="仿宋_GB2312" w:eastAsia="仿宋_GB2312" w:cs="仿宋_GB2312"/>
          <w:color w:val="000000"/>
          <w:kern w:val="0"/>
          <w:sz w:val="32"/>
          <w:szCs w:val="32"/>
        </w:rPr>
        <w:t>支出95.31</w:t>
      </w:r>
      <w:r>
        <w:rPr>
          <w:rFonts w:hint="eastAsia" w:ascii="仿宋_GB2312" w:hAnsi="仿宋_GB2312" w:eastAsia="仿宋_GB2312" w:cs="仿宋_GB2312"/>
          <w:color w:val="000000"/>
          <w:kern w:val="0"/>
          <w:sz w:val="32"/>
          <w:szCs w:val="32"/>
        </w:rPr>
        <w:t>万元，占</w:t>
      </w:r>
      <w:r>
        <w:rPr>
          <w:rFonts w:ascii="仿宋_GB2312" w:hAnsi="仿宋_GB2312" w:eastAsia="仿宋_GB2312" w:cs="仿宋_GB2312"/>
          <w:color w:val="000000"/>
          <w:kern w:val="0"/>
          <w:sz w:val="32"/>
          <w:szCs w:val="32"/>
        </w:rPr>
        <w:t>5.41</w:t>
      </w:r>
      <w:r>
        <w:rPr>
          <w:rFonts w:hint="eastAsia" w:ascii="仿宋_GB2312" w:hAnsi="仿宋_GB2312" w:eastAsia="仿宋_GB2312" w:cs="仿宋_GB2312"/>
          <w:color w:val="000000"/>
          <w:kern w:val="0"/>
          <w:sz w:val="32"/>
          <w:szCs w:val="32"/>
        </w:rPr>
        <w:t>%。</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drawing>
          <wp:anchor distT="0" distB="0" distL="0" distR="0" simplePos="0" relativeHeight="251663360" behindDoc="0" locked="0" layoutInCell="1" allowOverlap="1">
            <wp:simplePos x="0" y="0"/>
            <wp:positionH relativeFrom="column">
              <wp:posOffset>410210</wp:posOffset>
            </wp:positionH>
            <wp:positionV relativeFrom="paragraph">
              <wp:posOffset>205105</wp:posOffset>
            </wp:positionV>
            <wp:extent cx="4281805" cy="2743835"/>
            <wp:effectExtent l="4445" t="4445" r="19050" b="1397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jc w:val="center"/>
        <w:rPr>
          <w:rFonts w:ascii="仿宋_GB2312" w:hAnsi="仿宋_GB2312" w:eastAsia="仿宋_GB2312" w:cs="仿宋_GB2312"/>
          <w:color w:val="000000"/>
          <w:kern w:val="0"/>
          <w:sz w:val="32"/>
          <w:szCs w:val="32"/>
        </w:rPr>
      </w:pPr>
      <w:bookmarkStart w:id="46" w:name="_Toc15377212"/>
    </w:p>
    <w:p>
      <w:pPr>
        <w:spacing w:line="600" w:lineRule="exact"/>
        <w:jc w:val="center"/>
        <w:rPr>
          <w:rFonts w:ascii="仿宋_GB2312" w:hAnsi="仿宋_GB2312" w:eastAsia="仿宋_GB2312" w:cs="仿宋_GB2312"/>
          <w:color w:val="000000"/>
          <w:kern w:val="0"/>
          <w:sz w:val="32"/>
          <w:szCs w:val="32"/>
        </w:rPr>
      </w:pPr>
    </w:p>
    <w:p>
      <w:pPr>
        <w:spacing w:line="600" w:lineRule="exact"/>
        <w:jc w:val="center"/>
        <w:rPr>
          <w:rFonts w:ascii="仿宋_GB2312" w:hAnsi="仿宋_GB2312" w:eastAsia="仿宋_GB2312" w:cs="仿宋_GB2312"/>
          <w:color w:val="000000"/>
          <w:kern w:val="0"/>
          <w:sz w:val="32"/>
          <w:szCs w:val="32"/>
        </w:rPr>
      </w:pPr>
    </w:p>
    <w:p>
      <w:pPr>
        <w:spacing w:line="600" w:lineRule="exact"/>
        <w:jc w:val="center"/>
        <w:rPr>
          <w:rFonts w:ascii="仿宋_GB2312" w:hAnsi="仿宋_GB2312" w:eastAsia="仿宋_GB2312" w:cs="仿宋_GB2312"/>
          <w:color w:val="000000"/>
          <w:kern w:val="0"/>
          <w:sz w:val="32"/>
          <w:szCs w:val="32"/>
        </w:rPr>
      </w:pPr>
    </w:p>
    <w:p>
      <w:pPr>
        <w:spacing w:line="600" w:lineRule="exact"/>
        <w:jc w:val="center"/>
        <w:rPr>
          <w:rFonts w:ascii="仿宋_GB2312" w:hAnsi="仿宋_GB2312" w:eastAsia="仿宋_GB2312" w:cs="仿宋_GB2312"/>
          <w:color w:val="000000"/>
          <w:kern w:val="0"/>
          <w:sz w:val="32"/>
          <w:szCs w:val="32"/>
        </w:rPr>
      </w:pPr>
    </w:p>
    <w:p>
      <w:pPr>
        <w:spacing w:line="600" w:lineRule="exact"/>
        <w:jc w:val="center"/>
        <w:rPr>
          <w:rFonts w:ascii="仿宋_GB2312" w:hAnsi="仿宋_GB2312" w:eastAsia="仿宋_GB2312" w:cs="仿宋_GB2312"/>
          <w:color w:val="000000"/>
          <w:kern w:val="0"/>
          <w:sz w:val="32"/>
          <w:szCs w:val="32"/>
        </w:rPr>
      </w:pPr>
    </w:p>
    <w:p>
      <w:pPr>
        <w:spacing w:line="600" w:lineRule="exact"/>
        <w:jc w:val="center"/>
        <w:rPr>
          <w:rFonts w:ascii="仿宋_GB2312" w:hAnsi="仿宋_GB2312" w:eastAsia="仿宋_GB2312" w:cs="仿宋_GB2312"/>
          <w:color w:val="000000"/>
          <w:kern w:val="0"/>
          <w:sz w:val="32"/>
          <w:szCs w:val="32"/>
        </w:rPr>
      </w:pPr>
    </w:p>
    <w:p>
      <w:pPr>
        <w:spacing w:line="60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（图6：一般公共预算财政拨款支出决算结构）</w:t>
      </w:r>
    </w:p>
    <w:p>
      <w:pPr>
        <w:spacing w:line="600" w:lineRule="exact"/>
        <w:ind w:firstLine="640" w:firstLineChars="200"/>
        <w:outlineLvl w:val="2"/>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（三）一般公共预算财政拨款支出决算具体情况</w:t>
      </w:r>
      <w:bookmarkEnd w:id="46"/>
    </w:p>
    <w:p>
      <w:pPr>
        <w:spacing w:line="600" w:lineRule="exact"/>
        <w:ind w:firstLine="640" w:firstLineChars="200"/>
        <w:outlineLvl w:val="2"/>
        <w:rPr>
          <w:rFonts w:ascii="仿宋" w:hAnsi="仿宋" w:eastAsia="仿宋"/>
          <w:bCs/>
          <w:sz w:val="32"/>
          <w:szCs w:val="32"/>
        </w:rPr>
      </w:pPr>
      <w:bookmarkStart w:id="47" w:name="_Toc15377213"/>
      <w:bookmarkStart w:id="48" w:name="_Toc15377444"/>
      <w:bookmarkStart w:id="49" w:name="_Toc15378460"/>
      <w:r>
        <w:rPr>
          <w:rFonts w:hint="eastAsia" w:ascii="仿宋" w:hAnsi="仿宋" w:eastAsia="仿宋"/>
          <w:bCs/>
          <w:sz w:val="32"/>
          <w:szCs w:val="32"/>
        </w:rPr>
        <w:t>2021年一般公共预算支出决算数为</w:t>
      </w:r>
      <w:r>
        <w:rPr>
          <w:rFonts w:ascii="仿宋" w:hAnsi="仿宋" w:eastAsia="仿宋"/>
          <w:bCs/>
          <w:sz w:val="32"/>
          <w:szCs w:val="32"/>
        </w:rPr>
        <w:t>1761.4万元</w:t>
      </w:r>
      <w:r>
        <w:rPr>
          <w:rFonts w:hint="eastAsia" w:ascii="仿宋" w:hAnsi="仿宋" w:eastAsia="仿宋"/>
          <w:bCs/>
          <w:sz w:val="32"/>
          <w:szCs w:val="32"/>
        </w:rPr>
        <w:t>，</w:t>
      </w:r>
      <w:r>
        <w:rPr>
          <w:rStyle w:val="20"/>
          <w:rFonts w:hint="eastAsia" w:ascii="仿宋" w:hAnsi="仿宋" w:eastAsia="仿宋"/>
          <w:b w:val="0"/>
          <w:bCs/>
          <w:sz w:val="32"/>
          <w:szCs w:val="32"/>
        </w:rPr>
        <w:t>完成预算99.39</w:t>
      </w:r>
      <w:r>
        <w:rPr>
          <w:rStyle w:val="20"/>
          <w:rFonts w:ascii="仿宋" w:hAnsi="仿宋" w:eastAsia="仿宋"/>
          <w:b w:val="0"/>
          <w:bCs/>
          <w:sz w:val="32"/>
          <w:szCs w:val="32"/>
        </w:rPr>
        <w:t>%</w:t>
      </w:r>
      <w:r>
        <w:rPr>
          <w:rStyle w:val="20"/>
          <w:rFonts w:hint="eastAsia" w:ascii="仿宋" w:hAnsi="仿宋" w:eastAsia="仿宋"/>
          <w:b w:val="0"/>
          <w:bCs/>
          <w:sz w:val="32"/>
          <w:szCs w:val="32"/>
        </w:rPr>
        <w:t>。其中：</w:t>
      </w:r>
      <w:bookmarkEnd w:id="47"/>
      <w:bookmarkEnd w:id="48"/>
      <w:bookmarkEnd w:id="49"/>
    </w:p>
    <w:p>
      <w:pPr>
        <w:spacing w:line="60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社会保障和就业支出（类）行政事业单位养老支出（款）机关事业单位基本养老保险缴费支出（项）:支出决算为</w:t>
      </w:r>
      <w:r>
        <w:rPr>
          <w:rFonts w:ascii="仿宋_GB2312" w:hAnsi="仿宋_GB2312" w:eastAsia="仿宋_GB2312" w:cs="仿宋_GB2312"/>
          <w:color w:val="000000"/>
          <w:kern w:val="0"/>
          <w:sz w:val="32"/>
          <w:szCs w:val="32"/>
        </w:rPr>
        <w:t>48.13</w:t>
      </w:r>
      <w:r>
        <w:rPr>
          <w:rFonts w:hint="eastAsia" w:ascii="仿宋_GB2312" w:hAnsi="仿宋_GB2312" w:eastAsia="仿宋_GB2312" w:cs="仿宋_GB2312"/>
          <w:color w:val="000000"/>
          <w:kern w:val="0"/>
          <w:sz w:val="32"/>
          <w:szCs w:val="32"/>
        </w:rPr>
        <w:t>万元，完成预算</w:t>
      </w:r>
      <w:r>
        <w:rPr>
          <w:rFonts w:ascii="仿宋_GB2312" w:hAnsi="仿宋_GB2312" w:eastAsia="仿宋_GB2312" w:cs="仿宋_GB2312"/>
          <w:color w:val="000000"/>
          <w:kern w:val="0"/>
          <w:sz w:val="32"/>
          <w:szCs w:val="32"/>
        </w:rPr>
        <w:t>100</w:t>
      </w:r>
      <w:r>
        <w:rPr>
          <w:rFonts w:hint="eastAsia" w:ascii="仿宋_GB2312" w:hAnsi="仿宋_GB2312" w:eastAsia="仿宋_GB2312" w:cs="仿宋_GB2312"/>
          <w:color w:val="000000"/>
          <w:kern w:val="0"/>
          <w:sz w:val="32"/>
          <w:szCs w:val="32"/>
        </w:rPr>
        <w:t>%，决算数等于预算数。</w:t>
      </w:r>
    </w:p>
    <w:p>
      <w:pPr>
        <w:spacing w:line="60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社会保障和就业支出（类）行政事业单位养老支出（款）机关事业单位</w:t>
      </w:r>
      <w:r>
        <w:rPr>
          <w:rFonts w:ascii="仿宋_GB2312" w:hAnsi="仿宋_GB2312" w:eastAsia="仿宋_GB2312" w:cs="仿宋_GB2312"/>
          <w:color w:val="000000"/>
          <w:kern w:val="0"/>
          <w:sz w:val="32"/>
          <w:szCs w:val="32"/>
        </w:rPr>
        <w:t>职业年金缴费</w:t>
      </w:r>
      <w:r>
        <w:rPr>
          <w:rFonts w:hint="eastAsia" w:ascii="仿宋_GB2312" w:hAnsi="仿宋_GB2312" w:eastAsia="仿宋_GB2312" w:cs="仿宋_GB2312"/>
          <w:color w:val="000000"/>
          <w:kern w:val="0"/>
          <w:sz w:val="32"/>
          <w:szCs w:val="32"/>
        </w:rPr>
        <w:t>支出（项）:支出决算为</w:t>
      </w:r>
      <w:r>
        <w:rPr>
          <w:rFonts w:ascii="仿宋_GB2312" w:hAnsi="仿宋_GB2312" w:eastAsia="仿宋_GB2312" w:cs="仿宋_GB2312"/>
          <w:color w:val="000000"/>
          <w:kern w:val="0"/>
          <w:sz w:val="32"/>
          <w:szCs w:val="32"/>
        </w:rPr>
        <w:t>5.03</w:t>
      </w:r>
      <w:r>
        <w:rPr>
          <w:rFonts w:hint="eastAsia" w:ascii="仿宋_GB2312" w:hAnsi="仿宋_GB2312" w:eastAsia="仿宋_GB2312" w:cs="仿宋_GB2312"/>
          <w:color w:val="000000"/>
          <w:kern w:val="0"/>
          <w:sz w:val="32"/>
          <w:szCs w:val="32"/>
        </w:rPr>
        <w:t>万元，完成预算</w:t>
      </w:r>
      <w:r>
        <w:rPr>
          <w:rFonts w:ascii="仿宋_GB2312" w:hAnsi="仿宋_GB2312" w:eastAsia="仿宋_GB2312" w:cs="仿宋_GB2312"/>
          <w:color w:val="000000"/>
          <w:kern w:val="0"/>
          <w:sz w:val="32"/>
          <w:szCs w:val="32"/>
        </w:rPr>
        <w:t>100</w:t>
      </w:r>
      <w:r>
        <w:rPr>
          <w:rFonts w:hint="eastAsia" w:ascii="仿宋_GB2312" w:hAnsi="仿宋_GB2312" w:eastAsia="仿宋_GB2312" w:cs="仿宋_GB2312"/>
          <w:color w:val="000000"/>
          <w:kern w:val="0"/>
          <w:sz w:val="32"/>
          <w:szCs w:val="32"/>
        </w:rPr>
        <w:t>%，决算数等于预算数。</w:t>
      </w:r>
    </w:p>
    <w:p>
      <w:pPr>
        <w:spacing w:line="60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社会保障和就业支出（类）其他社会保障和就业支出（款）</w:t>
      </w:r>
      <w:r>
        <w:rPr>
          <w:rFonts w:ascii="仿宋_GB2312" w:hAnsi="仿宋_GB2312" w:eastAsia="仿宋_GB2312" w:cs="仿宋_GB2312"/>
          <w:color w:val="000000"/>
          <w:kern w:val="0"/>
          <w:sz w:val="32"/>
          <w:szCs w:val="32"/>
        </w:rPr>
        <w:t>其他社会保障和就业支出</w:t>
      </w:r>
      <w:r>
        <w:rPr>
          <w:rFonts w:hint="eastAsia" w:ascii="仿宋_GB2312" w:hAnsi="仿宋_GB2312" w:eastAsia="仿宋_GB2312" w:cs="仿宋_GB2312"/>
          <w:color w:val="000000"/>
          <w:kern w:val="0"/>
          <w:sz w:val="32"/>
          <w:szCs w:val="32"/>
        </w:rPr>
        <w:t>（项）:支出决算为</w:t>
      </w:r>
      <w:r>
        <w:rPr>
          <w:rFonts w:ascii="仿宋_GB2312" w:hAnsi="仿宋_GB2312" w:eastAsia="仿宋_GB2312" w:cs="仿宋_GB2312"/>
          <w:color w:val="000000"/>
          <w:kern w:val="0"/>
          <w:sz w:val="32"/>
          <w:szCs w:val="32"/>
        </w:rPr>
        <w:t>102.66</w:t>
      </w:r>
      <w:r>
        <w:rPr>
          <w:rFonts w:hint="eastAsia" w:ascii="仿宋_GB2312" w:hAnsi="仿宋_GB2312" w:eastAsia="仿宋_GB2312" w:cs="仿宋_GB2312"/>
          <w:color w:val="000000"/>
          <w:kern w:val="0"/>
          <w:sz w:val="32"/>
          <w:szCs w:val="32"/>
        </w:rPr>
        <w:t>万元，完成预算</w:t>
      </w:r>
      <w:r>
        <w:rPr>
          <w:rFonts w:ascii="仿宋_GB2312" w:hAnsi="仿宋_GB2312" w:eastAsia="仿宋_GB2312" w:cs="仿宋_GB2312"/>
          <w:color w:val="000000"/>
          <w:kern w:val="0"/>
          <w:sz w:val="32"/>
          <w:szCs w:val="32"/>
        </w:rPr>
        <w:t>100</w:t>
      </w:r>
      <w:r>
        <w:rPr>
          <w:rFonts w:hint="eastAsia" w:ascii="仿宋_GB2312" w:hAnsi="仿宋_GB2312" w:eastAsia="仿宋_GB2312" w:cs="仿宋_GB2312"/>
          <w:color w:val="000000"/>
          <w:kern w:val="0"/>
          <w:sz w:val="32"/>
          <w:szCs w:val="32"/>
        </w:rPr>
        <w:t>%，决算数等于预算数。</w:t>
      </w:r>
    </w:p>
    <w:p>
      <w:pPr>
        <w:spacing w:line="60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rPr>
        <w:t>.卫生健康支出（类）行政事业单位医疗（款）行政单位医疗（项）:支出决算为</w:t>
      </w:r>
      <w:r>
        <w:rPr>
          <w:rFonts w:ascii="仿宋_GB2312" w:hAnsi="仿宋_GB2312" w:eastAsia="仿宋_GB2312" w:cs="仿宋_GB2312"/>
          <w:color w:val="000000"/>
          <w:kern w:val="0"/>
          <w:sz w:val="32"/>
          <w:szCs w:val="32"/>
        </w:rPr>
        <w:t>25.75</w:t>
      </w:r>
      <w:r>
        <w:rPr>
          <w:rFonts w:hint="eastAsia" w:ascii="仿宋_GB2312" w:hAnsi="仿宋_GB2312" w:eastAsia="仿宋_GB2312" w:cs="仿宋_GB2312"/>
          <w:color w:val="000000"/>
          <w:kern w:val="0"/>
          <w:sz w:val="32"/>
          <w:szCs w:val="32"/>
        </w:rPr>
        <w:t>万元，完成预算</w:t>
      </w:r>
      <w:r>
        <w:rPr>
          <w:rFonts w:ascii="仿宋_GB2312" w:hAnsi="仿宋_GB2312" w:eastAsia="仿宋_GB2312" w:cs="仿宋_GB2312"/>
          <w:color w:val="000000"/>
          <w:kern w:val="0"/>
          <w:sz w:val="32"/>
          <w:szCs w:val="32"/>
        </w:rPr>
        <w:t>100</w:t>
      </w:r>
      <w:r>
        <w:rPr>
          <w:rFonts w:hint="eastAsia" w:ascii="仿宋_GB2312" w:hAnsi="仿宋_GB2312" w:eastAsia="仿宋_GB2312" w:cs="仿宋_GB2312"/>
          <w:color w:val="000000"/>
          <w:kern w:val="0"/>
          <w:sz w:val="32"/>
          <w:szCs w:val="32"/>
        </w:rPr>
        <w:t>%，决算数等于预算数。</w:t>
      </w:r>
    </w:p>
    <w:p>
      <w:pPr>
        <w:spacing w:line="60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交通运输</w:t>
      </w:r>
      <w:r>
        <w:rPr>
          <w:rFonts w:hint="eastAsia" w:ascii="仿宋_GB2312" w:hAnsi="仿宋_GB2312" w:eastAsia="仿宋_GB2312" w:cs="仿宋_GB2312"/>
          <w:color w:val="000000"/>
          <w:kern w:val="0"/>
          <w:sz w:val="32"/>
          <w:szCs w:val="32"/>
        </w:rPr>
        <w:t>支出（类）公路水路运输（款）交通运输信息化建设（项）:支出决算为</w:t>
      </w:r>
      <w:r>
        <w:rPr>
          <w:rFonts w:ascii="仿宋_GB2312" w:hAnsi="仿宋_GB2312" w:eastAsia="仿宋_GB2312" w:cs="仿宋_GB2312"/>
          <w:color w:val="000000"/>
          <w:kern w:val="0"/>
          <w:sz w:val="32"/>
          <w:szCs w:val="32"/>
        </w:rPr>
        <w:t>75.67</w:t>
      </w:r>
      <w:r>
        <w:rPr>
          <w:rFonts w:hint="eastAsia" w:ascii="仿宋_GB2312" w:hAnsi="仿宋_GB2312" w:eastAsia="仿宋_GB2312" w:cs="仿宋_GB2312"/>
          <w:color w:val="000000"/>
          <w:kern w:val="0"/>
          <w:sz w:val="32"/>
          <w:szCs w:val="32"/>
        </w:rPr>
        <w:t>万元，完成预算</w:t>
      </w:r>
      <w:r>
        <w:rPr>
          <w:rFonts w:ascii="仿宋_GB2312" w:hAnsi="仿宋_GB2312" w:eastAsia="仿宋_GB2312" w:cs="仿宋_GB2312"/>
          <w:color w:val="000000"/>
          <w:kern w:val="0"/>
          <w:sz w:val="32"/>
          <w:szCs w:val="32"/>
        </w:rPr>
        <w:t>89.02</w:t>
      </w:r>
      <w:r>
        <w:rPr>
          <w:rFonts w:hint="eastAsia" w:ascii="仿宋_GB2312" w:hAnsi="仿宋_GB2312" w:eastAsia="仿宋_GB2312" w:cs="仿宋_GB2312"/>
          <w:color w:val="000000"/>
          <w:kern w:val="0"/>
          <w:sz w:val="32"/>
          <w:szCs w:val="32"/>
        </w:rPr>
        <w:t>%，决算数</w:t>
      </w:r>
      <w:r>
        <w:rPr>
          <w:rFonts w:ascii="仿宋_GB2312" w:hAnsi="仿宋_GB2312" w:eastAsia="仿宋_GB2312" w:cs="仿宋_GB2312"/>
          <w:color w:val="000000"/>
          <w:kern w:val="0"/>
          <w:sz w:val="32"/>
          <w:szCs w:val="32"/>
        </w:rPr>
        <w:t>小于</w:t>
      </w:r>
      <w:r>
        <w:rPr>
          <w:rFonts w:hint="eastAsia" w:ascii="仿宋_GB2312" w:hAnsi="仿宋_GB2312" w:eastAsia="仿宋_GB2312" w:cs="仿宋_GB2312"/>
          <w:color w:val="000000"/>
          <w:kern w:val="0"/>
          <w:sz w:val="32"/>
          <w:szCs w:val="32"/>
        </w:rPr>
        <w:t>预算数的主要原因是</w:t>
      </w:r>
      <w:r>
        <w:rPr>
          <w:rFonts w:ascii="仿宋_GB2312" w:hAnsi="仿宋_GB2312" w:eastAsia="仿宋_GB2312" w:cs="仿宋_GB2312"/>
          <w:color w:val="000000"/>
          <w:kern w:val="0"/>
          <w:sz w:val="32"/>
          <w:szCs w:val="32"/>
        </w:rPr>
        <w:t>交通运输信息化建设项目质保</w:t>
      </w:r>
      <w:r>
        <w:rPr>
          <w:rFonts w:hint="eastAsia" w:ascii="仿宋_GB2312" w:hAnsi="仿宋_GB2312" w:eastAsia="仿宋_GB2312" w:cs="仿宋_GB2312"/>
          <w:color w:val="000000"/>
          <w:kern w:val="0"/>
          <w:sz w:val="32"/>
          <w:szCs w:val="32"/>
        </w:rPr>
        <w:t>期未到，部分质保金结转下年支出。</w:t>
      </w:r>
    </w:p>
    <w:p>
      <w:pPr>
        <w:spacing w:line="60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交通运输</w:t>
      </w:r>
      <w:r>
        <w:rPr>
          <w:rFonts w:hint="eastAsia" w:ascii="仿宋_GB2312" w:hAnsi="仿宋_GB2312" w:eastAsia="仿宋_GB2312" w:cs="仿宋_GB2312"/>
          <w:color w:val="000000"/>
          <w:kern w:val="0"/>
          <w:sz w:val="32"/>
          <w:szCs w:val="32"/>
        </w:rPr>
        <w:t>支出（类）公路水路运输（款）公路运输管理（项）:支出决算为</w:t>
      </w:r>
      <w:r>
        <w:rPr>
          <w:rFonts w:ascii="仿宋_GB2312" w:hAnsi="仿宋_GB2312" w:eastAsia="仿宋_GB2312" w:cs="仿宋_GB2312"/>
          <w:color w:val="000000"/>
          <w:kern w:val="0"/>
          <w:sz w:val="32"/>
          <w:szCs w:val="32"/>
        </w:rPr>
        <w:t>1408.85</w:t>
      </w:r>
      <w:r>
        <w:rPr>
          <w:rFonts w:hint="eastAsia" w:ascii="仿宋_GB2312" w:hAnsi="仿宋_GB2312" w:eastAsia="仿宋_GB2312" w:cs="仿宋_GB2312"/>
          <w:color w:val="000000"/>
          <w:kern w:val="0"/>
          <w:sz w:val="32"/>
          <w:szCs w:val="32"/>
        </w:rPr>
        <w:t>万元，完成预算</w:t>
      </w:r>
      <w:r>
        <w:rPr>
          <w:rFonts w:ascii="仿宋_GB2312" w:hAnsi="仿宋_GB2312" w:eastAsia="仿宋_GB2312" w:cs="仿宋_GB2312"/>
          <w:color w:val="000000"/>
          <w:kern w:val="0"/>
          <w:sz w:val="32"/>
          <w:szCs w:val="32"/>
        </w:rPr>
        <w:t>99.90</w:t>
      </w:r>
      <w:r>
        <w:rPr>
          <w:rFonts w:hint="eastAsia" w:ascii="仿宋_GB2312" w:hAnsi="仿宋_GB2312" w:eastAsia="仿宋_GB2312" w:cs="仿宋_GB2312"/>
          <w:color w:val="000000"/>
          <w:kern w:val="0"/>
          <w:sz w:val="32"/>
          <w:szCs w:val="32"/>
        </w:rPr>
        <w:t>%，决算数</w:t>
      </w:r>
      <w:r>
        <w:rPr>
          <w:rFonts w:ascii="仿宋_GB2312" w:hAnsi="仿宋_GB2312" w:eastAsia="仿宋_GB2312" w:cs="仿宋_GB2312"/>
          <w:color w:val="000000"/>
          <w:kern w:val="0"/>
          <w:sz w:val="32"/>
          <w:szCs w:val="32"/>
        </w:rPr>
        <w:t>小于</w:t>
      </w:r>
      <w:r>
        <w:rPr>
          <w:rFonts w:hint="eastAsia" w:ascii="仿宋_GB2312" w:hAnsi="仿宋_GB2312" w:eastAsia="仿宋_GB2312" w:cs="仿宋_GB2312"/>
          <w:color w:val="000000"/>
          <w:kern w:val="0"/>
          <w:sz w:val="32"/>
          <w:szCs w:val="32"/>
        </w:rPr>
        <w:t>预算数的主要原因是预算的政府采购资金节约已不足</w:t>
      </w:r>
      <w:r>
        <w:rPr>
          <w:rFonts w:ascii="仿宋_GB2312" w:hAnsi="仿宋_GB2312" w:eastAsia="仿宋_GB2312" w:cs="仿宋_GB2312"/>
          <w:color w:val="000000"/>
          <w:kern w:val="0"/>
          <w:sz w:val="32"/>
          <w:szCs w:val="32"/>
        </w:rPr>
        <w:t>采购打印机，结转下年</w:t>
      </w:r>
      <w:r>
        <w:rPr>
          <w:rFonts w:hint="eastAsia" w:ascii="仿宋_GB2312" w:hAnsi="仿宋_GB2312" w:eastAsia="仿宋_GB2312" w:cs="仿宋_GB2312"/>
          <w:color w:val="000000"/>
          <w:kern w:val="0"/>
          <w:sz w:val="32"/>
          <w:szCs w:val="32"/>
        </w:rPr>
        <w:t>采购。</w:t>
      </w:r>
    </w:p>
    <w:p>
      <w:pPr>
        <w:spacing w:line="600" w:lineRule="exact"/>
        <w:ind w:firstLine="640" w:firstLineChars="200"/>
        <w:rPr>
          <w:rFonts w:ascii="仿宋" w:hAnsi="仿宋" w:eastAsia="仿宋"/>
          <w:b/>
          <w:sz w:val="32"/>
          <w:szCs w:val="32"/>
        </w:rPr>
      </w:pPr>
      <w:r>
        <w:rPr>
          <w:rFonts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rPr>
        <w:t>.住房保障支出（类）住房改革支出（款）住房公积金（项）</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支出决算为</w:t>
      </w:r>
      <w:r>
        <w:rPr>
          <w:rFonts w:ascii="仿宋_GB2312" w:hAnsi="仿宋_GB2312" w:eastAsia="仿宋_GB2312" w:cs="仿宋_GB2312"/>
          <w:color w:val="000000"/>
          <w:kern w:val="0"/>
          <w:sz w:val="32"/>
          <w:szCs w:val="32"/>
        </w:rPr>
        <w:t>95.31</w:t>
      </w:r>
      <w:r>
        <w:rPr>
          <w:rFonts w:hint="eastAsia" w:ascii="仿宋_GB2312" w:hAnsi="仿宋_GB2312" w:eastAsia="仿宋_GB2312" w:cs="仿宋_GB2312"/>
          <w:color w:val="000000"/>
          <w:kern w:val="0"/>
          <w:sz w:val="32"/>
          <w:szCs w:val="32"/>
        </w:rPr>
        <w:t>万元，完成预算</w:t>
      </w:r>
      <w:r>
        <w:rPr>
          <w:rFonts w:ascii="仿宋_GB2312" w:hAnsi="仿宋_GB2312" w:eastAsia="仿宋_GB2312" w:cs="仿宋_GB2312"/>
          <w:color w:val="000000"/>
          <w:kern w:val="0"/>
          <w:sz w:val="32"/>
          <w:szCs w:val="32"/>
        </w:rPr>
        <w:t>100</w:t>
      </w:r>
      <w:r>
        <w:rPr>
          <w:rFonts w:hint="eastAsia" w:ascii="仿宋_GB2312" w:hAnsi="仿宋_GB2312" w:eastAsia="仿宋_GB2312" w:cs="仿宋_GB2312"/>
          <w:color w:val="000000"/>
          <w:kern w:val="0"/>
          <w:sz w:val="32"/>
          <w:szCs w:val="32"/>
        </w:rPr>
        <w:t>%，决算数等于预算数。</w:t>
      </w:r>
    </w:p>
    <w:p>
      <w:pPr>
        <w:tabs>
          <w:tab w:val="right" w:pos="8306"/>
        </w:tabs>
        <w:spacing w:line="600" w:lineRule="exact"/>
        <w:ind w:firstLine="640"/>
        <w:outlineLvl w:val="1"/>
        <w:rPr>
          <w:rStyle w:val="31"/>
        </w:rPr>
      </w:pPr>
      <w:bookmarkStart w:id="50" w:name="_Toc598549407"/>
      <w:bookmarkStart w:id="51" w:name="_Toc15377214"/>
      <w:bookmarkStart w:id="52"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1"/>
          <w:rFonts w:hint="eastAsia" w:ascii="黑体" w:hAnsi="黑体" w:eastAsia="黑体"/>
          <w:b w:val="0"/>
        </w:rPr>
        <w:t>般公共预算财政拨款基本支出决算情况说明</w:t>
      </w:r>
      <w:bookmarkEnd w:id="50"/>
      <w:bookmarkEnd w:id="51"/>
      <w:bookmarkEnd w:id="52"/>
      <w:r>
        <w:rPr>
          <w:rStyle w:val="31"/>
          <w:rFonts w:ascii="黑体" w:hAnsi="黑体" w:eastAsia="黑体"/>
          <w:b w:val="0"/>
        </w:rPr>
        <w:tab/>
      </w:r>
    </w:p>
    <w:p>
      <w:pPr>
        <w:spacing w:line="60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rPr>
        <w:t>21年一般公共预算财政拨款基本支出</w:t>
      </w:r>
      <w:r>
        <w:rPr>
          <w:rFonts w:ascii="仿宋_GB2312" w:hAnsi="仿宋_GB2312" w:eastAsia="仿宋_GB2312" w:cs="仿宋_GB2312"/>
          <w:color w:val="000000"/>
          <w:kern w:val="0"/>
          <w:sz w:val="32"/>
          <w:szCs w:val="32"/>
        </w:rPr>
        <w:t>1474.52</w:t>
      </w:r>
      <w:r>
        <w:rPr>
          <w:rFonts w:hint="eastAsia" w:ascii="仿宋_GB2312" w:hAnsi="仿宋_GB2312" w:eastAsia="仿宋_GB2312" w:cs="仿宋_GB2312"/>
          <w:color w:val="000000"/>
          <w:kern w:val="0"/>
          <w:sz w:val="32"/>
          <w:szCs w:val="32"/>
        </w:rPr>
        <w:t>万元，其中：</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人员经费1146.39万元，主要包括：基本工资、津贴补贴、奖金、伙食补助费、绩效工资、机关事业单位基本养老保险缴费、职业年金缴费、</w:t>
      </w:r>
      <w:r>
        <w:rPr>
          <w:rFonts w:ascii="仿宋_GB2312" w:hAnsi="仿宋_GB2312" w:eastAsia="仿宋_GB2312" w:cs="仿宋_GB2312"/>
          <w:color w:val="000000"/>
          <w:kern w:val="0"/>
          <w:sz w:val="32"/>
          <w:szCs w:val="32"/>
        </w:rPr>
        <w:t>职工基本医疗保险缴费</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其他社会保险缴费、住房公积金、医疗费、其他工资福利支出</w:t>
      </w:r>
      <w:r>
        <w:rPr>
          <w:rFonts w:hint="eastAsia" w:ascii="仿宋_GB2312" w:hAnsi="仿宋_GB2312" w:eastAsia="仿宋_GB2312" w:cs="仿宋_GB2312"/>
          <w:color w:val="000000"/>
          <w:kern w:val="0"/>
          <w:sz w:val="32"/>
          <w:szCs w:val="32"/>
        </w:rPr>
        <w:t>、生活补助、奖励金等。</w:t>
      </w:r>
      <w:r>
        <w:rPr>
          <w:rFonts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公用经费</w:t>
      </w:r>
      <w:r>
        <w:rPr>
          <w:rFonts w:ascii="仿宋_GB2312" w:hAnsi="仿宋_GB2312" w:eastAsia="仿宋_GB2312" w:cs="仿宋_GB2312"/>
          <w:color w:val="000000"/>
          <w:kern w:val="0"/>
          <w:sz w:val="32"/>
          <w:szCs w:val="32"/>
        </w:rPr>
        <w:t>328.13</w:t>
      </w:r>
      <w:r>
        <w:rPr>
          <w:rFonts w:hint="eastAsia" w:ascii="仿宋_GB2312" w:hAnsi="仿宋_GB2312" w:eastAsia="仿宋_GB2312" w:cs="仿宋_GB2312"/>
          <w:color w:val="000000"/>
          <w:kern w:val="0"/>
          <w:sz w:val="32"/>
          <w:szCs w:val="32"/>
        </w:rPr>
        <w:t>万元，主要包括：办公费、印刷费、咨询费、手续费、水费、电费、邮电费、物业管理费、差旅费、维修（护）费、租赁费、会议费、培训费、公务接待费、被装购置费、专用燃料费、劳务费、工会经费、福利费、公务用车运行维护费、其他交通费用、其他商品和服务支出等。</w:t>
      </w:r>
    </w:p>
    <w:p>
      <w:pPr>
        <w:spacing w:line="600" w:lineRule="exact"/>
        <w:ind w:firstLine="640"/>
        <w:outlineLvl w:val="1"/>
        <w:rPr>
          <w:rStyle w:val="31"/>
          <w:rFonts w:ascii="黑体" w:hAnsi="黑体" w:eastAsia="黑体"/>
          <w:b w:val="0"/>
        </w:rPr>
      </w:pPr>
      <w:bookmarkStart w:id="53" w:name="_Toc15396609"/>
      <w:bookmarkStart w:id="54" w:name="_Toc1919559624"/>
      <w:bookmarkStart w:id="55" w:name="_Toc15377215"/>
      <w:r>
        <w:rPr>
          <w:rFonts w:hint="eastAsia" w:ascii="黑体" w:eastAsia="黑体"/>
          <w:sz w:val="32"/>
          <w:szCs w:val="32"/>
        </w:rPr>
        <w:t>七、</w:t>
      </w:r>
      <w:r>
        <w:rPr>
          <w:rStyle w:val="31"/>
          <w:rFonts w:hint="eastAsia" w:ascii="黑体" w:hAnsi="黑体" w:eastAsia="黑体"/>
        </w:rPr>
        <w:t>“</w:t>
      </w:r>
      <w:r>
        <w:rPr>
          <w:rStyle w:val="31"/>
          <w:rFonts w:hint="eastAsia" w:ascii="黑体" w:hAnsi="黑体" w:eastAsia="黑体"/>
          <w:b w:val="0"/>
        </w:rPr>
        <w:t>三公”经费财政拨款支出决算情况说明</w:t>
      </w:r>
      <w:bookmarkEnd w:id="53"/>
      <w:bookmarkEnd w:id="54"/>
      <w:bookmarkEnd w:id="55"/>
    </w:p>
    <w:p>
      <w:pPr>
        <w:spacing w:line="600" w:lineRule="exact"/>
        <w:ind w:firstLine="640"/>
        <w:outlineLvl w:val="2"/>
        <w:rPr>
          <w:rFonts w:ascii="仿宋" w:hAnsi="仿宋" w:eastAsia="仿宋"/>
          <w:b/>
          <w:sz w:val="32"/>
          <w:szCs w:val="32"/>
        </w:rPr>
      </w:pPr>
      <w:bookmarkStart w:id="56" w:name="_Toc15377216"/>
      <w:r>
        <w:rPr>
          <w:rFonts w:hint="eastAsia" w:ascii="楷体_GB2312" w:hAnsi="楷体_GB2312" w:eastAsia="楷体_GB2312" w:cs="楷体_GB2312"/>
          <w:bCs/>
          <w:sz w:val="32"/>
          <w:szCs w:val="32"/>
        </w:rPr>
        <w:t>（一）“三公”经费财政拨款支出决算总体情况说明</w:t>
      </w:r>
      <w:bookmarkEnd w:id="56"/>
    </w:p>
    <w:p>
      <w:pPr>
        <w:spacing w:line="600" w:lineRule="exact"/>
        <w:ind w:firstLine="640" w:firstLineChars="200"/>
        <w:rPr>
          <w:rFonts w:ascii="仿宋" w:hAnsi="仿宋" w:eastAsia="仿宋"/>
          <w:b/>
          <w:sz w:val="32"/>
          <w:szCs w:val="32"/>
        </w:rPr>
      </w:pPr>
      <w:r>
        <w:rPr>
          <w:rFonts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rPr>
        <w:t>21年“三公”经费财政拨款支出决算为46.63万元，完成预算</w:t>
      </w:r>
      <w:r>
        <w:rPr>
          <w:rFonts w:ascii="仿宋_GB2312" w:hAnsi="仿宋_GB2312" w:eastAsia="仿宋_GB2312" w:cs="仿宋_GB2312"/>
          <w:color w:val="000000"/>
          <w:kern w:val="0"/>
          <w:sz w:val="32"/>
          <w:szCs w:val="32"/>
        </w:rPr>
        <w:t>98.02%，</w:t>
      </w:r>
      <w:r>
        <w:rPr>
          <w:rFonts w:hint="eastAsia" w:ascii="仿宋" w:hAnsi="仿宋" w:eastAsia="仿宋" w:cs="仿宋"/>
          <w:color w:val="000000"/>
          <w:kern w:val="0"/>
          <w:sz w:val="32"/>
          <w:szCs w:val="32"/>
          <w:shd w:val="clear" w:color="auto" w:fill="FFFFFF"/>
        </w:rPr>
        <w:t>决算数小于预算数的主要原因是厉行节约，压减经费</w:t>
      </w:r>
      <w:r>
        <w:rPr>
          <w:rFonts w:hint="eastAsia" w:ascii="仿宋_GB2312" w:hAnsi="仿宋_GB2312" w:eastAsia="仿宋_GB2312" w:cs="仿宋_GB2312"/>
          <w:color w:val="000000"/>
          <w:kern w:val="0"/>
          <w:sz w:val="32"/>
          <w:szCs w:val="32"/>
        </w:rPr>
        <w:t>。本单位</w:t>
      </w:r>
      <w:r>
        <w:rPr>
          <w:rFonts w:ascii="仿宋_GB2312" w:hAnsi="仿宋_GB2312" w:eastAsia="仿宋_GB2312" w:cs="仿宋_GB2312"/>
          <w:color w:val="000000"/>
          <w:kern w:val="0"/>
          <w:sz w:val="32"/>
          <w:szCs w:val="32"/>
        </w:rPr>
        <w:t>为</w:t>
      </w:r>
      <w:r>
        <w:rPr>
          <w:rFonts w:hint="eastAsia" w:ascii="仿宋_GB2312" w:hAnsi="仿宋_GB2312" w:eastAsia="仿宋_GB2312" w:cs="仿宋_GB2312"/>
          <w:color w:val="000000"/>
          <w:kern w:val="0"/>
          <w:sz w:val="32"/>
          <w:szCs w:val="32"/>
        </w:rPr>
        <w:t>2021年交通行政执法改革后</w:t>
      </w:r>
      <w:r>
        <w:rPr>
          <w:rFonts w:ascii="仿宋_GB2312" w:hAnsi="仿宋_GB2312" w:eastAsia="仿宋_GB2312" w:cs="仿宋_GB2312"/>
          <w:color w:val="000000"/>
          <w:kern w:val="0"/>
          <w:sz w:val="32"/>
          <w:szCs w:val="32"/>
        </w:rPr>
        <w:t>新成立单位，2020年无决算数据，无法对比。</w:t>
      </w:r>
    </w:p>
    <w:p>
      <w:pPr>
        <w:spacing w:line="600" w:lineRule="exact"/>
        <w:ind w:firstLine="640"/>
        <w:outlineLvl w:val="2"/>
        <w:rPr>
          <w:rFonts w:ascii="楷体_GB2312" w:hAnsi="楷体_GB2312" w:eastAsia="楷体_GB2312" w:cs="楷体_GB2312"/>
          <w:bCs/>
          <w:sz w:val="32"/>
          <w:szCs w:val="32"/>
        </w:rPr>
      </w:pPr>
      <w:bookmarkStart w:id="57" w:name="_Toc15377217"/>
      <w:r>
        <w:rPr>
          <w:rFonts w:hint="eastAsia" w:ascii="楷体_GB2312" w:hAnsi="楷体_GB2312" w:eastAsia="楷体_GB2312" w:cs="楷体_GB2312"/>
          <w:bCs/>
          <w:sz w:val="32"/>
          <w:szCs w:val="32"/>
        </w:rPr>
        <w:t>（二）“三公”经费财政拨款支出决算具体情况说明</w:t>
      </w:r>
      <w:bookmarkEnd w:id="57"/>
    </w:p>
    <w:p>
      <w:pPr>
        <w:spacing w:line="60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rPr>
        <w:t>21年“三公”经费财政拨款支出决算中，因公出国（境）费支出决算</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万元，占</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；公务用车购置及运行维护费支出决算46.06万元，占</w:t>
      </w:r>
      <w:r>
        <w:rPr>
          <w:rFonts w:ascii="仿宋_GB2312" w:hAnsi="仿宋_GB2312" w:eastAsia="仿宋_GB2312" w:cs="仿宋_GB2312"/>
          <w:color w:val="000000"/>
          <w:kern w:val="0"/>
          <w:sz w:val="32"/>
          <w:szCs w:val="32"/>
        </w:rPr>
        <w:t>98.</w:t>
      </w:r>
      <w:r>
        <w:rPr>
          <w:rFonts w:hint="eastAsia" w:ascii="仿宋_GB2312" w:hAnsi="仿宋_GB2312" w:eastAsia="仿宋_GB2312" w:cs="仿宋_GB2312"/>
          <w:color w:val="000000"/>
          <w:kern w:val="0"/>
          <w:sz w:val="32"/>
          <w:szCs w:val="32"/>
        </w:rPr>
        <w:t>78</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；公务接待费支出决算</w:t>
      </w:r>
      <w:r>
        <w:rPr>
          <w:rFonts w:ascii="仿宋_GB2312" w:hAnsi="仿宋_GB2312" w:eastAsia="仿宋_GB2312" w:cs="仿宋_GB2312"/>
          <w:color w:val="000000"/>
          <w:kern w:val="0"/>
          <w:sz w:val="32"/>
          <w:szCs w:val="32"/>
        </w:rPr>
        <w:t>0.57</w:t>
      </w:r>
      <w:r>
        <w:rPr>
          <w:rFonts w:hint="eastAsia" w:ascii="仿宋_GB2312" w:hAnsi="仿宋_GB2312" w:eastAsia="仿宋_GB2312" w:cs="仿宋_GB2312"/>
          <w:color w:val="000000"/>
          <w:kern w:val="0"/>
          <w:sz w:val="32"/>
          <w:szCs w:val="32"/>
        </w:rPr>
        <w:t>万元，占</w:t>
      </w: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22</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。具体情况如下：</w:t>
      </w:r>
    </w:p>
    <w:p>
      <w:pPr>
        <w:pStyle w:val="14"/>
        <w:ind w:left="1060" w:hanging="640"/>
        <w:rPr>
          <w:rFonts w:ascii="仿宋" w:eastAsia="仿宋"/>
          <w:color w:val="000000"/>
          <w:sz w:val="32"/>
          <w:szCs w:val="32"/>
        </w:rPr>
      </w:pPr>
      <w:r>
        <w:rPr>
          <w:rFonts w:hint="eastAsia" w:ascii="仿宋" w:eastAsia="仿宋"/>
          <w:color w:val="000000"/>
          <w:sz w:val="32"/>
          <w:szCs w:val="32"/>
        </w:rPr>
        <w:drawing>
          <wp:inline distT="0" distB="0" distL="0" distR="0">
            <wp:extent cx="4590415" cy="2756535"/>
            <wp:effectExtent l="5080" t="4445" r="14605" b="2032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firstLineChars="200"/>
        <w:jc w:val="center"/>
      </w:pPr>
      <w:r>
        <w:rPr>
          <w:rFonts w:hint="eastAsia" w:ascii="仿宋_GB2312" w:hAnsi="仿宋_GB2312" w:eastAsia="仿宋_GB2312" w:cs="仿宋_GB2312"/>
          <w:color w:val="000000"/>
          <w:kern w:val="0"/>
          <w:sz w:val="32"/>
          <w:szCs w:val="32"/>
        </w:rPr>
        <w:t>（图7：“三公”经费财政拨款支出结构）</w:t>
      </w:r>
    </w:p>
    <w:p>
      <w:pPr>
        <w:widowControl/>
        <w:ind w:firstLine="640" w:firstLineChars="200"/>
        <w:jc w:val="left"/>
        <w:rPr>
          <w:rFonts w:ascii="仿宋_GB2312" w:eastAsia="仿宋_GB2312"/>
          <w:b/>
          <w:sz w:val="32"/>
          <w:szCs w:val="32"/>
        </w:rPr>
      </w:pPr>
      <w:r>
        <w:rPr>
          <w:rFonts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因公出国（境）经费支出</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w:t>
      </w:r>
      <w:r>
        <w:rPr>
          <w:rFonts w:ascii="仿宋_GB2312" w:hAnsi="仿宋_GB2312" w:eastAsia="仿宋_GB2312" w:cs="仿宋_GB2312"/>
          <w:color w:val="000000"/>
          <w:kern w:val="0"/>
          <w:sz w:val="32"/>
          <w:szCs w:val="32"/>
        </w:rPr>
        <w:t>年初未安排预算</w:t>
      </w:r>
      <w:r>
        <w:rPr>
          <w:rFonts w:hint="eastAsia" w:ascii="仿宋_GB2312" w:hAnsi="仿宋_GB2312" w:eastAsia="仿宋_GB2312" w:cs="仿宋_GB2312"/>
          <w:color w:val="000000"/>
          <w:kern w:val="0"/>
          <w:sz w:val="32"/>
          <w:szCs w:val="32"/>
        </w:rPr>
        <w:t>。本单位</w:t>
      </w:r>
      <w:r>
        <w:rPr>
          <w:rFonts w:ascii="仿宋_GB2312" w:hAnsi="仿宋_GB2312" w:eastAsia="仿宋_GB2312" w:cs="仿宋_GB2312"/>
          <w:color w:val="000000"/>
          <w:kern w:val="0"/>
          <w:sz w:val="32"/>
          <w:szCs w:val="32"/>
        </w:rPr>
        <w:t>为</w:t>
      </w:r>
      <w:r>
        <w:rPr>
          <w:rFonts w:hint="eastAsia" w:ascii="仿宋_GB2312" w:hAnsi="仿宋_GB2312" w:eastAsia="仿宋_GB2312" w:cs="仿宋_GB2312"/>
          <w:color w:val="000000"/>
          <w:kern w:val="0"/>
          <w:sz w:val="32"/>
          <w:szCs w:val="32"/>
        </w:rPr>
        <w:t>2021年交通行政执法改革后</w:t>
      </w:r>
      <w:r>
        <w:rPr>
          <w:rFonts w:ascii="仿宋_GB2312" w:hAnsi="仿宋_GB2312" w:eastAsia="仿宋_GB2312" w:cs="仿宋_GB2312"/>
          <w:color w:val="000000"/>
          <w:kern w:val="0"/>
          <w:sz w:val="32"/>
          <w:szCs w:val="32"/>
        </w:rPr>
        <w:t>新成立单位，2020年无因公出国（境）经费决算数据，无法对比。</w:t>
      </w:r>
    </w:p>
    <w:p>
      <w:pPr>
        <w:spacing w:line="600" w:lineRule="exact"/>
        <w:ind w:firstLine="640"/>
        <w:rPr>
          <w:rFonts w:ascii="仿宋_GB2312" w:eastAsia="仿宋_GB2312"/>
          <w:b/>
          <w:sz w:val="32"/>
          <w:szCs w:val="32"/>
        </w:rPr>
      </w:pPr>
      <w:r>
        <w:rPr>
          <w:rFonts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rPr>
        <w:t>公务用车购置及运行维护费支出</w:t>
      </w:r>
      <w:r>
        <w:rPr>
          <w:rFonts w:ascii="仿宋_GB2312" w:eastAsia="仿宋_GB2312"/>
          <w:sz w:val="32"/>
          <w:szCs w:val="32"/>
        </w:rPr>
        <w:t>46.06</w:t>
      </w:r>
      <w:r>
        <w:rPr>
          <w:rFonts w:hint="eastAsia" w:ascii="仿宋_GB2312" w:eastAsia="仿宋_GB2312"/>
          <w:sz w:val="32"/>
          <w:szCs w:val="32"/>
        </w:rPr>
        <w:t>万元,</w:t>
      </w:r>
      <w:r>
        <w:rPr>
          <w:rStyle w:val="20"/>
          <w:rFonts w:hint="eastAsia" w:ascii="仿宋" w:hAnsi="仿宋" w:eastAsia="仿宋"/>
          <w:b w:val="0"/>
          <w:bCs/>
          <w:sz w:val="32"/>
          <w:szCs w:val="32"/>
        </w:rPr>
        <w:t>完成预算</w:t>
      </w:r>
      <w:r>
        <w:rPr>
          <w:rStyle w:val="20"/>
          <w:rFonts w:ascii="仿宋" w:hAnsi="仿宋" w:eastAsia="仿宋"/>
          <w:b w:val="0"/>
          <w:bCs/>
          <w:sz w:val="32"/>
          <w:szCs w:val="32"/>
        </w:rPr>
        <w:t>98%</w:t>
      </w:r>
      <w:r>
        <w:rPr>
          <w:rStyle w:val="20"/>
          <w:rFonts w:hint="eastAsia" w:ascii="仿宋" w:hAnsi="仿宋" w:eastAsia="仿宋"/>
          <w:b w:val="0"/>
          <w:bCs/>
          <w:sz w:val="32"/>
          <w:szCs w:val="32"/>
        </w:rPr>
        <w:t>。</w:t>
      </w:r>
      <w:r>
        <w:rPr>
          <w:rFonts w:hint="eastAsia" w:ascii="仿宋" w:hAnsi="仿宋" w:eastAsia="仿宋" w:cs="仿宋"/>
          <w:color w:val="000000"/>
          <w:kern w:val="0"/>
          <w:sz w:val="32"/>
          <w:szCs w:val="32"/>
          <w:shd w:val="clear" w:color="auto" w:fill="FFFFFF"/>
        </w:rPr>
        <w:t>决算数小于预算数的原因是按要求从严压减“三公”经费</w:t>
      </w:r>
      <w:r>
        <w:rPr>
          <w:rFonts w:ascii="仿宋" w:hAnsi="仿宋" w:eastAsia="仿宋" w:cs="仿宋"/>
          <w:color w:val="000000"/>
          <w:kern w:val="0"/>
          <w:sz w:val="32"/>
          <w:szCs w:val="32"/>
          <w:shd w:val="clear" w:color="auto" w:fill="FFFFFF"/>
        </w:rPr>
        <w:t>。</w:t>
      </w:r>
      <w:r>
        <w:rPr>
          <w:rFonts w:hint="eastAsia" w:ascii="仿宋_GB2312" w:hAnsi="仿宋_GB2312" w:eastAsia="仿宋_GB2312" w:cs="仿宋_GB2312"/>
          <w:color w:val="000000"/>
          <w:kern w:val="0"/>
          <w:sz w:val="32"/>
          <w:szCs w:val="32"/>
        </w:rPr>
        <w:t>本单位</w:t>
      </w:r>
      <w:r>
        <w:rPr>
          <w:rFonts w:ascii="仿宋_GB2312" w:hAnsi="仿宋_GB2312" w:eastAsia="仿宋_GB2312" w:cs="仿宋_GB2312"/>
          <w:color w:val="000000"/>
          <w:kern w:val="0"/>
          <w:sz w:val="32"/>
          <w:szCs w:val="32"/>
        </w:rPr>
        <w:t>为</w:t>
      </w:r>
      <w:r>
        <w:rPr>
          <w:rFonts w:hint="eastAsia" w:ascii="仿宋_GB2312" w:hAnsi="仿宋_GB2312" w:eastAsia="仿宋_GB2312" w:cs="仿宋_GB2312"/>
          <w:color w:val="000000"/>
          <w:kern w:val="0"/>
          <w:sz w:val="32"/>
          <w:szCs w:val="32"/>
        </w:rPr>
        <w:t>2021年交通行政执法改革后</w:t>
      </w:r>
      <w:r>
        <w:rPr>
          <w:rFonts w:ascii="仿宋_GB2312" w:hAnsi="仿宋_GB2312" w:eastAsia="仿宋_GB2312" w:cs="仿宋_GB2312"/>
          <w:color w:val="000000"/>
          <w:kern w:val="0"/>
          <w:sz w:val="32"/>
          <w:szCs w:val="32"/>
        </w:rPr>
        <w:t>新成立单位，2020年无公务用车购置及运行维护费决算数据，无法对比。</w:t>
      </w:r>
    </w:p>
    <w:p>
      <w:pPr>
        <w:spacing w:line="600" w:lineRule="exact"/>
        <w:ind w:firstLine="640"/>
        <w:rPr>
          <w:rFonts w:ascii="仿宋_GB2312" w:hAnsi="仿宋_GB2312" w:eastAsia="仿宋_GB2312" w:cs="仿宋_GB2312"/>
          <w:color w:val="000000"/>
          <w:kern w:val="0"/>
          <w:sz w:val="32"/>
          <w:szCs w:val="32"/>
        </w:rPr>
      </w:pPr>
      <w:r>
        <w:rPr>
          <w:rFonts w:hint="eastAsia" w:ascii="仿宋_GB2312" w:eastAsia="仿宋_GB2312"/>
          <w:sz w:val="32"/>
          <w:szCs w:val="32"/>
        </w:rPr>
        <w:t>其中：</w:t>
      </w:r>
      <w:r>
        <w:rPr>
          <w:rFonts w:hint="eastAsia" w:ascii="仿宋_GB2312" w:hAnsi="仿宋_GB2312" w:eastAsia="仿宋_GB2312" w:cs="仿宋_GB2312"/>
          <w:color w:val="000000"/>
          <w:kern w:val="0"/>
          <w:sz w:val="32"/>
          <w:szCs w:val="32"/>
        </w:rPr>
        <w:t>公务用车购置支出</w:t>
      </w:r>
      <w:r>
        <w:rPr>
          <w:rFonts w:ascii="仿宋_GB2312" w:hAnsi="仿宋_GB2312" w:eastAsia="仿宋_GB2312" w:cs="仿宋_GB2312"/>
          <w:color w:val="000000"/>
          <w:kern w:val="0"/>
          <w:sz w:val="32"/>
          <w:szCs w:val="32"/>
        </w:rPr>
        <w:t>0</w:t>
      </w:r>
      <w:r>
        <w:rPr>
          <w:rFonts w:hint="eastAsia" w:ascii="仿宋_GB2312" w:hAnsi="仿宋_GB2312" w:eastAsia="仿宋_GB2312" w:cs="仿宋_GB2312"/>
          <w:color w:val="000000"/>
          <w:kern w:val="0"/>
          <w:sz w:val="32"/>
          <w:szCs w:val="32"/>
        </w:rPr>
        <w:t>万元。年内未购置公务用车。截至2021年12月底，单位实际保有公务用车20辆，其中执法执勤用车20辆。</w:t>
      </w:r>
    </w:p>
    <w:p>
      <w:pPr>
        <w:spacing w:line="600" w:lineRule="exact"/>
        <w:ind w:firstLine="640"/>
        <w:rPr>
          <w:rFonts w:ascii="仿宋_GB2312" w:eastAsia="仿宋_GB2312"/>
          <w:sz w:val="32"/>
          <w:szCs w:val="32"/>
        </w:rPr>
      </w:pPr>
      <w:r>
        <w:rPr>
          <w:rFonts w:hint="eastAsia" w:ascii="仿宋_GB2312" w:hAnsi="仿宋_GB2312" w:eastAsia="仿宋_GB2312" w:cs="仿宋_GB2312"/>
          <w:color w:val="000000"/>
          <w:kern w:val="0"/>
          <w:sz w:val="32"/>
          <w:szCs w:val="32"/>
        </w:rPr>
        <w:t>公务用车运行维护费支出46.06</w:t>
      </w:r>
      <w:r>
        <w:rPr>
          <w:rFonts w:hint="eastAsia" w:ascii="仿宋_GB2312" w:eastAsia="仿宋_GB2312"/>
          <w:sz w:val="32"/>
          <w:szCs w:val="32"/>
        </w:rPr>
        <w:t>万元。主要用于</w:t>
      </w:r>
      <w:r>
        <w:rPr>
          <w:rFonts w:ascii="仿宋_GB2312" w:eastAsia="仿宋_GB2312"/>
          <w:sz w:val="32"/>
          <w:szCs w:val="32"/>
        </w:rPr>
        <w:t>开展交通行政执法工作</w:t>
      </w:r>
      <w:r>
        <w:rPr>
          <w:rFonts w:hint="eastAsia" w:ascii="仿宋_GB2312" w:eastAsia="仿宋_GB2312"/>
          <w:sz w:val="32"/>
          <w:szCs w:val="32"/>
        </w:rPr>
        <w:t>所需的公务用车燃料费、维修费、过路过桥费、保险费等支出。</w:t>
      </w:r>
    </w:p>
    <w:p>
      <w:pPr>
        <w:spacing w:line="600" w:lineRule="exact"/>
        <w:ind w:firstLine="64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3.公务接待费支出</w:t>
      </w:r>
      <w:r>
        <w:rPr>
          <w:rFonts w:ascii="仿宋_GB2312" w:eastAsia="仿宋_GB2312"/>
          <w:sz w:val="32"/>
          <w:szCs w:val="32"/>
        </w:rPr>
        <w:t>0.57</w:t>
      </w:r>
      <w:r>
        <w:rPr>
          <w:rFonts w:hint="eastAsia" w:ascii="仿宋_GB2312" w:eastAsia="仿宋_GB2312"/>
          <w:sz w:val="32"/>
          <w:szCs w:val="32"/>
        </w:rPr>
        <w:t>万元，</w:t>
      </w:r>
      <w:r>
        <w:rPr>
          <w:rStyle w:val="20"/>
          <w:rFonts w:hint="eastAsia" w:ascii="仿宋" w:hAnsi="仿宋" w:eastAsia="仿宋"/>
          <w:b w:val="0"/>
          <w:bCs/>
          <w:sz w:val="32"/>
          <w:szCs w:val="32"/>
        </w:rPr>
        <w:t>完成预算</w:t>
      </w:r>
      <w:r>
        <w:rPr>
          <w:rStyle w:val="20"/>
          <w:rFonts w:ascii="仿宋" w:hAnsi="仿宋" w:eastAsia="仿宋"/>
          <w:b w:val="0"/>
          <w:bCs/>
          <w:sz w:val="32"/>
          <w:szCs w:val="32"/>
        </w:rPr>
        <w:t>100%</w:t>
      </w:r>
      <w:r>
        <w:rPr>
          <w:rStyle w:val="20"/>
          <w:rFonts w:hint="eastAsia" w:ascii="仿宋" w:hAnsi="仿宋" w:eastAsia="仿宋"/>
          <w:b w:val="0"/>
          <w:bCs/>
          <w:sz w:val="32"/>
          <w:szCs w:val="32"/>
        </w:rPr>
        <w:t>。</w:t>
      </w:r>
      <w:r>
        <w:rPr>
          <w:rFonts w:hint="eastAsia" w:ascii="仿宋_GB2312" w:hAnsi="仿宋_GB2312" w:eastAsia="仿宋_GB2312" w:cs="仿宋_GB2312"/>
          <w:color w:val="000000"/>
          <w:kern w:val="0"/>
          <w:sz w:val="32"/>
          <w:szCs w:val="32"/>
        </w:rPr>
        <w:t>本单位</w:t>
      </w:r>
      <w:r>
        <w:rPr>
          <w:rFonts w:ascii="仿宋_GB2312" w:hAnsi="仿宋_GB2312" w:eastAsia="仿宋_GB2312" w:cs="仿宋_GB2312"/>
          <w:color w:val="000000"/>
          <w:kern w:val="0"/>
          <w:sz w:val="32"/>
          <w:szCs w:val="32"/>
        </w:rPr>
        <w:t>为</w:t>
      </w:r>
      <w:r>
        <w:rPr>
          <w:rFonts w:hint="eastAsia" w:ascii="仿宋_GB2312" w:hAnsi="仿宋_GB2312" w:eastAsia="仿宋_GB2312" w:cs="仿宋_GB2312"/>
          <w:color w:val="000000"/>
          <w:kern w:val="0"/>
          <w:sz w:val="32"/>
          <w:szCs w:val="32"/>
        </w:rPr>
        <w:t>2021年交通行政执法改革后</w:t>
      </w:r>
      <w:r>
        <w:rPr>
          <w:rFonts w:ascii="仿宋_GB2312" w:hAnsi="仿宋_GB2312" w:eastAsia="仿宋_GB2312" w:cs="仿宋_GB2312"/>
          <w:color w:val="000000"/>
          <w:kern w:val="0"/>
          <w:sz w:val="32"/>
          <w:szCs w:val="32"/>
        </w:rPr>
        <w:t>新成立单位，2020年无公务接待费决算数据，无法对比。</w:t>
      </w:r>
    </w:p>
    <w:p>
      <w:pPr>
        <w:spacing w:line="600" w:lineRule="exact"/>
        <w:ind w:firstLine="640"/>
        <w:rPr>
          <w:rFonts w:ascii="仿宋_GB2312" w:eastAsia="仿宋_GB2312"/>
          <w:sz w:val="32"/>
          <w:szCs w:val="32"/>
        </w:rPr>
      </w:pPr>
      <w:r>
        <w:rPr>
          <w:rFonts w:hint="eastAsia" w:ascii="仿宋_GB2312" w:hAnsi="仿宋_GB2312" w:eastAsia="仿宋_GB2312" w:cs="仿宋_GB2312"/>
          <w:color w:val="000000"/>
          <w:kern w:val="0"/>
          <w:sz w:val="32"/>
          <w:szCs w:val="32"/>
        </w:rPr>
        <w:t>国内公务接待支出</w:t>
      </w:r>
      <w:r>
        <w:rPr>
          <w:rFonts w:ascii="仿宋" w:hAnsi="仿宋" w:eastAsia="仿宋"/>
          <w:sz w:val="32"/>
          <w:szCs w:val="32"/>
        </w:rPr>
        <w:t>0.57</w:t>
      </w:r>
      <w:r>
        <w:rPr>
          <w:rFonts w:hint="eastAsia" w:ascii="仿宋_GB2312" w:eastAsia="仿宋_GB2312"/>
          <w:sz w:val="32"/>
          <w:szCs w:val="32"/>
        </w:rPr>
        <w:t>万元，主要用于执行公务、开展业务活动开支的交通费、住宿费、用餐费等。国内公务接待</w:t>
      </w:r>
      <w:r>
        <w:rPr>
          <w:rFonts w:ascii="仿宋_GB2312" w:eastAsia="仿宋_GB2312"/>
          <w:sz w:val="32"/>
          <w:szCs w:val="32"/>
        </w:rPr>
        <w:t>8</w:t>
      </w:r>
      <w:r>
        <w:rPr>
          <w:rFonts w:hint="eastAsia" w:ascii="仿宋_GB2312" w:eastAsia="仿宋_GB2312"/>
          <w:sz w:val="32"/>
          <w:szCs w:val="32"/>
        </w:rPr>
        <w:t>批次，</w:t>
      </w:r>
      <w:r>
        <w:rPr>
          <w:rFonts w:ascii="仿宋_GB2312" w:eastAsia="仿宋_GB2312"/>
          <w:sz w:val="32"/>
          <w:szCs w:val="32"/>
        </w:rPr>
        <w:t>32</w:t>
      </w:r>
      <w:r>
        <w:rPr>
          <w:rFonts w:hint="eastAsia" w:ascii="仿宋_GB2312" w:eastAsia="仿宋_GB2312"/>
          <w:sz w:val="32"/>
          <w:szCs w:val="32"/>
        </w:rPr>
        <w:t>人次（不包括陪同人员），共计支出</w:t>
      </w:r>
      <w:r>
        <w:rPr>
          <w:rFonts w:ascii="仿宋_GB2312" w:eastAsia="仿宋_GB2312"/>
          <w:sz w:val="32"/>
          <w:szCs w:val="32"/>
        </w:rPr>
        <w:t>0.57</w:t>
      </w:r>
      <w:r>
        <w:rPr>
          <w:rFonts w:hint="eastAsia" w:ascii="仿宋_GB2312" w:eastAsia="仿宋_GB2312"/>
          <w:sz w:val="32"/>
          <w:szCs w:val="32"/>
        </w:rPr>
        <w:t>万元，具体内容包括：</w:t>
      </w:r>
      <w:r>
        <w:rPr>
          <w:rFonts w:ascii="仿宋_GB2312" w:eastAsia="仿宋_GB2312"/>
          <w:sz w:val="32"/>
          <w:szCs w:val="32"/>
        </w:rPr>
        <w:t>苍溪县白桥镇杆柏村村两委一行四人到支队汇报近年来帮扶工作取得的成绩及联系下一步巩固提升和乡村振兴相关工作接待费470元；省交通运输厅调研组到支队开展行政执法条例调研接待费1100元，；省交通运输厅同志到我市开展超限检测站建设进度及非公路标志专项情况等工作接待费660元；重庆市交通运输综合行政执法总队航务海事支队赴广元执法支队交流水上安全监管工作接待费770元；广安市交通运输局到广元市开展交通运输综合行政执法改革学习调研考察接待费1052元；苍溪县白桥镇政府、杆柏村一行到支队对接扶贫工作并送锦旗接待费860元；四川省交通运输执法领域突出问题专项整治行动领导小组到支队开展调研工作接待费770元</w:t>
      </w:r>
      <w:r>
        <w:rPr>
          <w:rFonts w:hint="eastAsia" w:ascii="仿宋_GB2312" w:eastAsia="仿宋_GB2312"/>
          <w:sz w:val="32"/>
          <w:szCs w:val="32"/>
        </w:rPr>
        <w:t>。</w:t>
      </w:r>
      <w:bookmarkStart w:id="58" w:name="_Toc15377218"/>
      <w:bookmarkStart w:id="59" w:name="_Toc15396610"/>
    </w:p>
    <w:p>
      <w:pPr>
        <w:pStyle w:val="2"/>
        <w:spacing w:before="93"/>
        <w:ind w:firstLine="640" w:firstLineChars="200"/>
      </w:pPr>
      <w:r>
        <w:rPr>
          <w:rFonts w:hint="eastAsia"/>
          <w:sz w:val="32"/>
          <w:szCs w:val="32"/>
        </w:rPr>
        <w:t>外事接待0万元。</w:t>
      </w:r>
    </w:p>
    <w:p>
      <w:pPr>
        <w:spacing w:line="600" w:lineRule="exact"/>
        <w:ind w:firstLine="640"/>
        <w:outlineLvl w:val="1"/>
        <w:rPr>
          <w:rStyle w:val="31"/>
          <w:rFonts w:ascii="黑体" w:hAnsi="黑体" w:eastAsia="黑体"/>
        </w:rPr>
      </w:pPr>
      <w:bookmarkStart w:id="60" w:name="_Toc1322756170"/>
      <w:r>
        <w:rPr>
          <w:rFonts w:hint="eastAsia" w:ascii="黑体" w:eastAsia="黑体"/>
          <w:sz w:val="32"/>
          <w:szCs w:val="32"/>
        </w:rPr>
        <w:t>八、</w:t>
      </w:r>
      <w:r>
        <w:rPr>
          <w:rStyle w:val="31"/>
          <w:rFonts w:hint="eastAsia" w:ascii="黑体" w:hAnsi="黑体" w:eastAsia="黑体"/>
          <w:b w:val="0"/>
        </w:rPr>
        <w:t>政府性基金预算支出决算情况说明</w:t>
      </w:r>
      <w:bookmarkEnd w:id="58"/>
      <w:bookmarkEnd w:id="59"/>
      <w:bookmarkEnd w:id="60"/>
    </w:p>
    <w:p>
      <w:pPr>
        <w:spacing w:line="600" w:lineRule="exact"/>
        <w:ind w:firstLine="640"/>
      </w:pPr>
      <w:r>
        <w:rPr>
          <w:rFonts w:ascii="仿宋_GB2312" w:eastAsia="仿宋_GB2312"/>
          <w:sz w:val="32"/>
          <w:szCs w:val="32"/>
        </w:rPr>
        <w:t>20</w:t>
      </w:r>
      <w:r>
        <w:rPr>
          <w:rFonts w:hint="eastAsia" w:ascii="仿宋_GB2312" w:eastAsia="仿宋_GB2312"/>
          <w:sz w:val="32"/>
          <w:szCs w:val="32"/>
        </w:rPr>
        <w:t>21年政府性基金预算财政拨款支出</w:t>
      </w:r>
      <w:r>
        <w:rPr>
          <w:rFonts w:ascii="仿宋_GB2312" w:eastAsia="仿宋_GB2312"/>
          <w:sz w:val="32"/>
          <w:szCs w:val="32"/>
        </w:rPr>
        <w:t>0</w:t>
      </w:r>
      <w:r>
        <w:rPr>
          <w:rFonts w:hint="eastAsia" w:ascii="仿宋_GB2312" w:eastAsia="仿宋_GB2312"/>
          <w:sz w:val="32"/>
          <w:szCs w:val="32"/>
        </w:rPr>
        <w:t>万元，未在政府性基金预算财政拨款安排“三公”经费支出。</w:t>
      </w:r>
    </w:p>
    <w:p>
      <w:pPr>
        <w:numPr>
          <w:ilvl w:val="0"/>
          <w:numId w:val="3"/>
        </w:numPr>
        <w:spacing w:line="600" w:lineRule="exact"/>
        <w:ind w:firstLine="640"/>
        <w:outlineLvl w:val="1"/>
        <w:rPr>
          <w:rStyle w:val="31"/>
          <w:rFonts w:ascii="黑体" w:hAnsi="黑体" w:eastAsia="黑体"/>
          <w:b w:val="0"/>
        </w:rPr>
      </w:pPr>
      <w:bookmarkStart w:id="61" w:name="_Toc15396611"/>
      <w:bookmarkStart w:id="62" w:name="_Toc1318249094"/>
      <w:bookmarkStart w:id="63" w:name="_Toc15377219"/>
      <w:r>
        <w:rPr>
          <w:rStyle w:val="31"/>
          <w:rFonts w:hint="eastAsia" w:ascii="黑体" w:hAnsi="黑体" w:eastAsia="黑体"/>
          <w:b w:val="0"/>
        </w:rPr>
        <w:t>国有资本经营预算支出决算情况说明</w:t>
      </w:r>
      <w:bookmarkEnd w:id="61"/>
      <w:bookmarkEnd w:id="62"/>
      <w:bookmarkEnd w:id="63"/>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w:t>
      </w:r>
      <w:r>
        <w:rPr>
          <w:rFonts w:ascii="仿宋_GB2312" w:eastAsia="仿宋_GB2312"/>
          <w:sz w:val="32"/>
          <w:szCs w:val="32"/>
        </w:rPr>
        <w:t>0</w:t>
      </w:r>
      <w:r>
        <w:rPr>
          <w:rFonts w:hint="eastAsia" w:ascii="仿宋_GB2312" w:eastAsia="仿宋_GB2312"/>
          <w:sz w:val="32"/>
          <w:szCs w:val="32"/>
        </w:rPr>
        <w:t>万元。</w:t>
      </w:r>
    </w:p>
    <w:p>
      <w:pPr>
        <w:numPr>
          <w:ilvl w:val="0"/>
          <w:numId w:val="3"/>
        </w:numPr>
        <w:spacing w:line="600" w:lineRule="exact"/>
        <w:ind w:firstLine="640"/>
        <w:outlineLvl w:val="1"/>
        <w:rPr>
          <w:rStyle w:val="31"/>
          <w:rFonts w:ascii="黑体" w:hAnsi="黑体" w:eastAsia="黑体"/>
          <w:b w:val="0"/>
        </w:rPr>
      </w:pPr>
      <w:bookmarkStart w:id="64" w:name="_Toc1326103758"/>
      <w:bookmarkStart w:id="65" w:name="_Toc15377221"/>
      <w:bookmarkStart w:id="66" w:name="_Toc15396612"/>
      <w:r>
        <w:rPr>
          <w:rStyle w:val="31"/>
          <w:rFonts w:hint="eastAsia" w:ascii="黑体" w:hAnsi="黑体" w:eastAsia="黑体"/>
          <w:b w:val="0"/>
        </w:rPr>
        <w:t>预算绩效管理情况</w:t>
      </w:r>
      <w:bookmarkEnd w:id="64"/>
    </w:p>
    <w:p>
      <w:pPr>
        <w:spacing w:line="600" w:lineRule="exact"/>
        <w:ind w:firstLine="640"/>
        <w:rPr>
          <w:rFonts w:ascii="仿宋_GB2312" w:eastAsia="仿宋_GB2312"/>
          <w:sz w:val="32"/>
          <w:szCs w:val="32"/>
        </w:rPr>
      </w:pPr>
      <w:r>
        <w:rPr>
          <w:rFonts w:hint="eastAsia" w:ascii="仿宋_GB2312" w:eastAsia="仿宋_GB2312"/>
          <w:sz w:val="32"/>
          <w:szCs w:val="32"/>
        </w:rPr>
        <w:t>根据预算绩效管理要求，本单位在2021年度预算编制阶段，组织对</w:t>
      </w:r>
      <w:r>
        <w:rPr>
          <w:rFonts w:ascii="仿宋_GB2312" w:eastAsia="仿宋_GB2312"/>
          <w:sz w:val="32"/>
          <w:szCs w:val="32"/>
        </w:rPr>
        <w:t>交通运输执法信息化建设、协助执法人员经费、帮扶经费、道路运输稽查和执法工作经费、公路巡查经费、监督检测经费、综合管理经费、管理工作经费、广元界“广元市人民欢迎你”广告牌维护、执法装备购置、交通行政执法工作经费、执法装备购置、信息化建设经费、航道维护</w:t>
      </w:r>
      <w:r>
        <w:rPr>
          <w:rFonts w:hint="eastAsia" w:ascii="仿宋_GB2312" w:eastAsia="仿宋_GB2312"/>
          <w:sz w:val="32"/>
          <w:szCs w:val="32"/>
        </w:rPr>
        <w:t>项目等</w:t>
      </w:r>
      <w:r>
        <w:rPr>
          <w:rFonts w:ascii="仿宋_GB2312" w:eastAsia="仿宋_GB2312"/>
          <w:sz w:val="32"/>
          <w:szCs w:val="32"/>
        </w:rPr>
        <w:t>13</w:t>
      </w:r>
      <w:r>
        <w:rPr>
          <w:rFonts w:hint="eastAsia" w:ascii="仿宋_GB2312" w:eastAsia="仿宋_GB2312"/>
          <w:sz w:val="32"/>
          <w:szCs w:val="32"/>
        </w:rPr>
        <w:t>个项目开展了预算事前绩效评估，对</w:t>
      </w:r>
      <w:r>
        <w:rPr>
          <w:rFonts w:ascii="仿宋_GB2312" w:eastAsia="仿宋_GB2312"/>
          <w:sz w:val="32"/>
          <w:szCs w:val="32"/>
        </w:rPr>
        <w:t>13</w:t>
      </w:r>
      <w:r>
        <w:rPr>
          <w:rFonts w:hint="eastAsia" w:ascii="仿宋_GB2312" w:eastAsia="仿宋_GB2312"/>
          <w:sz w:val="32"/>
          <w:szCs w:val="32"/>
        </w:rPr>
        <w:t>个项目编制了绩效目标，预算执行过程中，选取</w:t>
      </w:r>
      <w:r>
        <w:rPr>
          <w:rFonts w:ascii="仿宋_GB2312" w:eastAsia="仿宋_GB2312"/>
          <w:sz w:val="32"/>
          <w:szCs w:val="32"/>
        </w:rPr>
        <w:t>13</w:t>
      </w:r>
      <w:r>
        <w:rPr>
          <w:rFonts w:hint="eastAsia" w:ascii="仿宋_GB2312" w:eastAsia="仿宋_GB2312"/>
          <w:sz w:val="32"/>
          <w:szCs w:val="32"/>
        </w:rPr>
        <w:t>个项目开展绩效监控，年终执行完毕后，对</w:t>
      </w:r>
      <w:r>
        <w:rPr>
          <w:rFonts w:ascii="仿宋_GB2312" w:eastAsia="仿宋_GB2312"/>
          <w:sz w:val="32"/>
          <w:szCs w:val="32"/>
        </w:rPr>
        <w:t>13</w:t>
      </w:r>
      <w:r>
        <w:rPr>
          <w:rFonts w:hint="eastAsia" w:ascii="仿宋_GB2312" w:eastAsia="仿宋_GB2312"/>
          <w:sz w:val="32"/>
          <w:szCs w:val="32"/>
        </w:rPr>
        <w:t>个项目开展了绩效自评，2021年部门预算项目绩效目标自评表见附件（第四部分）。</w:t>
      </w:r>
    </w:p>
    <w:p>
      <w:pPr>
        <w:numPr>
          <w:ilvl w:val="0"/>
          <w:numId w:val="3"/>
        </w:numPr>
        <w:spacing w:line="600" w:lineRule="exact"/>
        <w:ind w:firstLine="640"/>
        <w:outlineLvl w:val="1"/>
        <w:rPr>
          <w:rStyle w:val="31"/>
          <w:rFonts w:ascii="黑体" w:hAnsi="黑体" w:eastAsia="黑体"/>
          <w:b w:val="0"/>
        </w:rPr>
      </w:pPr>
      <w:bookmarkStart w:id="67" w:name="_Toc1064547123"/>
      <w:r>
        <w:rPr>
          <w:rStyle w:val="31"/>
          <w:rFonts w:hint="eastAsia" w:ascii="黑体" w:hAnsi="黑体" w:eastAsia="黑体"/>
          <w:b w:val="0"/>
        </w:rPr>
        <w:t>其他重要事项的情况说明</w:t>
      </w:r>
      <w:bookmarkEnd w:id="65"/>
      <w:bookmarkEnd w:id="66"/>
      <w:bookmarkEnd w:id="67"/>
    </w:p>
    <w:p>
      <w:pPr>
        <w:spacing w:line="600" w:lineRule="exact"/>
        <w:ind w:firstLine="640"/>
        <w:outlineLvl w:val="2"/>
        <w:rPr>
          <w:rFonts w:ascii="楷体_GB2312" w:hAnsi="楷体_GB2312" w:eastAsia="楷体_GB2312" w:cs="楷体_GB2312"/>
          <w:bCs/>
          <w:sz w:val="32"/>
          <w:szCs w:val="32"/>
        </w:rPr>
      </w:pPr>
      <w:bookmarkStart w:id="68" w:name="_Toc15377222"/>
      <w:r>
        <w:rPr>
          <w:rFonts w:hint="eastAsia" w:ascii="楷体_GB2312" w:hAnsi="楷体_GB2312" w:eastAsia="楷体_GB2312" w:cs="楷体_GB2312"/>
          <w:bCs/>
          <w:sz w:val="32"/>
          <w:szCs w:val="32"/>
        </w:rPr>
        <w:t>（一）机关运行经费支出情况</w:t>
      </w:r>
      <w:bookmarkEnd w:id="68"/>
    </w:p>
    <w:p>
      <w:pPr>
        <w:spacing w:line="600" w:lineRule="exact"/>
        <w:ind w:firstLine="640"/>
        <w:outlineLvl w:val="2"/>
        <w:rPr>
          <w:rFonts w:ascii="楷体_GB2312" w:hAnsi="楷体_GB2312" w:eastAsia="楷体_GB2312" w:cs="楷体_GB2312"/>
          <w:bCs/>
          <w:sz w:val="32"/>
          <w:szCs w:val="32"/>
        </w:rPr>
      </w:pP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广元市交通运输综合行政执法支队</w:t>
      </w:r>
      <w:r>
        <w:rPr>
          <w:rFonts w:hint="eastAsia" w:ascii="仿宋_GB2312" w:eastAsia="仿宋_GB2312"/>
          <w:sz w:val="32"/>
          <w:szCs w:val="32"/>
        </w:rPr>
        <w:t>机关运行经费支出</w:t>
      </w:r>
      <w:r>
        <w:rPr>
          <w:rFonts w:ascii="仿宋_GB2312" w:eastAsia="仿宋_GB2312"/>
          <w:sz w:val="32"/>
          <w:szCs w:val="32"/>
        </w:rPr>
        <w:t>328.13</w:t>
      </w:r>
      <w:r>
        <w:rPr>
          <w:rFonts w:hint="eastAsia" w:ascii="仿宋_GB2312" w:eastAsia="仿宋_GB2312"/>
          <w:sz w:val="32"/>
          <w:szCs w:val="32"/>
        </w:rPr>
        <w:t>万元。</w:t>
      </w:r>
      <w:r>
        <w:rPr>
          <w:rFonts w:hint="eastAsia" w:ascii="仿宋_GB2312" w:hAnsi="仿宋_GB2312" w:eastAsia="仿宋_GB2312" w:cs="仿宋_GB2312"/>
          <w:color w:val="000000"/>
          <w:kern w:val="0"/>
          <w:sz w:val="32"/>
          <w:szCs w:val="32"/>
        </w:rPr>
        <w:t>本单位</w:t>
      </w:r>
      <w:r>
        <w:rPr>
          <w:rFonts w:ascii="仿宋_GB2312" w:hAnsi="仿宋_GB2312" w:eastAsia="仿宋_GB2312" w:cs="仿宋_GB2312"/>
          <w:color w:val="000000"/>
          <w:kern w:val="0"/>
          <w:sz w:val="32"/>
          <w:szCs w:val="32"/>
        </w:rPr>
        <w:t>为</w:t>
      </w:r>
      <w:r>
        <w:rPr>
          <w:rFonts w:hint="eastAsia" w:ascii="仿宋_GB2312" w:hAnsi="仿宋_GB2312" w:eastAsia="仿宋_GB2312" w:cs="仿宋_GB2312"/>
          <w:color w:val="000000"/>
          <w:kern w:val="0"/>
          <w:sz w:val="32"/>
          <w:szCs w:val="32"/>
        </w:rPr>
        <w:t>2021年交通行政执法改革后</w:t>
      </w:r>
      <w:r>
        <w:rPr>
          <w:rFonts w:ascii="仿宋_GB2312" w:hAnsi="仿宋_GB2312" w:eastAsia="仿宋_GB2312" w:cs="仿宋_GB2312"/>
          <w:color w:val="000000"/>
          <w:kern w:val="0"/>
          <w:sz w:val="32"/>
          <w:szCs w:val="32"/>
        </w:rPr>
        <w:t>新成立单位，2020年无机关运行经费支出决算数据，无法对比。</w:t>
      </w:r>
    </w:p>
    <w:p>
      <w:pPr>
        <w:spacing w:line="600" w:lineRule="exact"/>
        <w:ind w:firstLine="640"/>
        <w:outlineLvl w:val="2"/>
        <w:rPr>
          <w:rFonts w:ascii="楷体_GB2312" w:hAnsi="楷体_GB2312" w:eastAsia="楷体_GB2312" w:cs="楷体_GB2312"/>
          <w:bCs/>
          <w:sz w:val="32"/>
          <w:szCs w:val="32"/>
        </w:rPr>
      </w:pPr>
      <w:bookmarkStart w:id="69" w:name="_Toc15377223"/>
      <w:r>
        <w:rPr>
          <w:rFonts w:hint="eastAsia" w:ascii="楷体_GB2312" w:hAnsi="楷体_GB2312" w:eastAsia="楷体_GB2312" w:cs="楷体_GB2312"/>
          <w:bCs/>
          <w:sz w:val="32"/>
          <w:szCs w:val="32"/>
        </w:rPr>
        <w:t>（二）政府采购支出情况</w:t>
      </w:r>
      <w:bookmarkEnd w:id="69"/>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广元市交通运输综合行政执法支队</w:t>
      </w:r>
      <w:r>
        <w:rPr>
          <w:rFonts w:hint="eastAsia" w:ascii="仿宋_GB2312" w:eastAsia="仿宋_GB2312"/>
          <w:sz w:val="32"/>
          <w:szCs w:val="32"/>
        </w:rPr>
        <w:t>政府采购支出总额75.67万元，其中：政府采购货物支出75.67万元。主要用于</w:t>
      </w:r>
      <w:r>
        <w:rPr>
          <w:rFonts w:ascii="仿宋_GB2312" w:eastAsia="仿宋_GB2312"/>
          <w:sz w:val="32"/>
          <w:szCs w:val="32"/>
        </w:rPr>
        <w:t>采购执法工作装备，开展支队信息化建设，保障执法工作的开展</w:t>
      </w:r>
      <w:r>
        <w:rPr>
          <w:rFonts w:hint="eastAsia" w:ascii="仿宋_GB2312" w:eastAsia="仿宋_GB2312"/>
          <w:sz w:val="32"/>
          <w:szCs w:val="32"/>
        </w:rPr>
        <w:t>。授予中小企业合同金额0万元，授予小微企业合同金额0万元。</w:t>
      </w:r>
    </w:p>
    <w:p>
      <w:pPr>
        <w:spacing w:line="600" w:lineRule="exact"/>
        <w:ind w:firstLine="640"/>
        <w:outlineLvl w:val="2"/>
        <w:rPr>
          <w:rFonts w:ascii="楷体_GB2312" w:hAnsi="楷体_GB2312" w:eastAsia="楷体_GB2312" w:cs="楷体_GB2312"/>
          <w:bCs/>
          <w:sz w:val="32"/>
          <w:szCs w:val="32"/>
        </w:rPr>
      </w:pPr>
      <w:bookmarkStart w:id="70" w:name="_Toc15377224"/>
      <w:r>
        <w:rPr>
          <w:rFonts w:hint="eastAsia" w:ascii="楷体_GB2312" w:hAnsi="楷体_GB2312" w:eastAsia="楷体_GB2312" w:cs="楷体_GB2312"/>
          <w:bCs/>
          <w:sz w:val="32"/>
          <w:szCs w:val="32"/>
        </w:rPr>
        <w:t>（三）国有资产占有使用情况</w:t>
      </w:r>
      <w:bookmarkEnd w:id="70"/>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sz w:val="32"/>
          <w:szCs w:val="32"/>
        </w:rPr>
        <w:t>广元市交通运输综合行政执法支队</w:t>
      </w:r>
      <w:r>
        <w:rPr>
          <w:rFonts w:hint="eastAsia" w:ascii="仿宋_GB2312" w:eastAsia="仿宋_GB2312"/>
          <w:sz w:val="32"/>
          <w:szCs w:val="32"/>
        </w:rPr>
        <w:t>共有车辆</w:t>
      </w:r>
      <w:r>
        <w:rPr>
          <w:rFonts w:ascii="仿宋_GB2312" w:eastAsia="仿宋_GB2312"/>
          <w:sz w:val="32"/>
          <w:szCs w:val="32"/>
        </w:rPr>
        <w:t>20</w:t>
      </w:r>
      <w:r>
        <w:rPr>
          <w:rFonts w:hint="eastAsia" w:ascii="仿宋_GB2312" w:eastAsia="仿宋_GB2312"/>
          <w:sz w:val="32"/>
          <w:szCs w:val="32"/>
        </w:rPr>
        <w:t>辆，其中：</w:t>
      </w:r>
      <w:r>
        <w:rPr>
          <w:rFonts w:ascii="仿宋_GB2312" w:eastAsia="仿宋_GB2312"/>
          <w:sz w:val="32"/>
          <w:szCs w:val="32"/>
        </w:rPr>
        <w:t>执法执勤</w:t>
      </w:r>
      <w:r>
        <w:rPr>
          <w:rFonts w:hint="eastAsia" w:ascii="仿宋_GB2312" w:eastAsia="仿宋_GB2312"/>
          <w:sz w:val="32"/>
          <w:szCs w:val="32"/>
        </w:rPr>
        <w:t>用车</w:t>
      </w:r>
      <w:r>
        <w:rPr>
          <w:rFonts w:ascii="仿宋_GB2312" w:eastAsia="仿宋_GB2312"/>
          <w:sz w:val="32"/>
          <w:szCs w:val="32"/>
        </w:rPr>
        <w:t>20</w:t>
      </w:r>
      <w:r>
        <w:rPr>
          <w:rFonts w:hint="eastAsia" w:ascii="仿宋_GB2312" w:eastAsia="仿宋_GB2312"/>
          <w:sz w:val="32"/>
          <w:szCs w:val="32"/>
        </w:rPr>
        <w:t>辆。单价</w:t>
      </w:r>
      <w:r>
        <w:rPr>
          <w:rFonts w:ascii="仿宋_GB2312" w:eastAsia="仿宋_GB2312"/>
          <w:sz w:val="32"/>
          <w:szCs w:val="32"/>
        </w:rPr>
        <w:t>50</w:t>
      </w:r>
      <w:r>
        <w:rPr>
          <w:rFonts w:hint="eastAsia" w:ascii="仿宋_GB2312" w:eastAsia="仿宋_GB2312"/>
          <w:sz w:val="32"/>
          <w:szCs w:val="32"/>
        </w:rPr>
        <w:t>万元以上通用设备</w:t>
      </w:r>
      <w:r>
        <w:rPr>
          <w:rFonts w:ascii="仿宋_GB2312" w:eastAsia="仿宋_GB2312"/>
          <w:sz w:val="32"/>
          <w:szCs w:val="32"/>
        </w:rPr>
        <w:t>2艘</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万元以上专用设备</w:t>
      </w:r>
      <w:r>
        <w:rPr>
          <w:rFonts w:ascii="仿宋_GB2312" w:eastAsia="仿宋_GB2312"/>
          <w:sz w:val="32"/>
          <w:szCs w:val="32"/>
        </w:rPr>
        <w:t>1艘</w:t>
      </w:r>
      <w:r>
        <w:rPr>
          <w:rFonts w:hint="eastAsia" w:ascii="仿宋_GB2312" w:eastAsia="仿宋_GB2312"/>
          <w:sz w:val="32"/>
          <w:szCs w:val="32"/>
        </w:rPr>
        <w:t>，均为交通执法船舶。</w:t>
      </w:r>
    </w:p>
    <w:p>
      <w:pPr>
        <w:pStyle w:val="2"/>
        <w:spacing w:before="93"/>
        <w:rPr>
          <w:highlight w:val="yellow"/>
        </w:rPr>
      </w:pP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30"/>
          <w:rFonts w:ascii="黑体" w:hAnsi="黑体" w:eastAsia="黑体"/>
          <w:b w:val="0"/>
        </w:rPr>
      </w:pPr>
      <w:bookmarkStart w:id="71" w:name="_Toc15396613"/>
      <w:bookmarkStart w:id="72" w:name="_Toc15377225"/>
      <w:bookmarkStart w:id="73" w:name="_Toc687799633"/>
      <w:bookmarkStart w:id="74" w:name="_Toc1865794901"/>
      <w:r>
        <w:rPr>
          <w:rFonts w:hint="eastAsia" w:ascii="黑体" w:hAnsi="黑体" w:eastAsia="黑体"/>
          <w:sz w:val="44"/>
          <w:szCs w:val="44"/>
        </w:rPr>
        <w:t>名</w:t>
      </w:r>
      <w:r>
        <w:rPr>
          <w:rStyle w:val="30"/>
          <w:rFonts w:hint="eastAsia" w:ascii="黑体" w:hAnsi="黑体" w:eastAsia="黑体"/>
          <w:b w:val="0"/>
        </w:rPr>
        <w:t>词解释</w:t>
      </w:r>
      <w:bookmarkEnd w:id="71"/>
      <w:bookmarkEnd w:id="72"/>
      <w:bookmarkEnd w:id="73"/>
      <w:bookmarkEnd w:id="74"/>
    </w:p>
    <w:p>
      <w:pPr>
        <w:spacing w:line="600" w:lineRule="exact"/>
        <w:jc w:val="left"/>
        <w:rPr>
          <w:rFonts w:ascii="宋体"/>
          <w:b/>
          <w:sz w:val="44"/>
          <w:szCs w:val="44"/>
        </w:rPr>
      </w:pPr>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1.财政拨款收入：指单位从同级财政部门取得的财政预算资金。</w:t>
      </w:r>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 xml:space="preserve">2.年初结转和结余：指以前年度尚未完成、结转到本年按有关规定继续使用的资金。 </w:t>
      </w:r>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3.年末结转和结余：指单位按有关规定结转到下年或以后年度继续使用的资金。</w:t>
      </w:r>
    </w:p>
    <w:p>
      <w:pPr>
        <w:autoSpaceDE w:val="0"/>
        <w:autoSpaceDN w:val="0"/>
        <w:adjustRightInd w:val="0"/>
        <w:spacing w:line="6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4.社会保障和就业支出（类）行政事业单位养老支出（款）机关事业单位基本养老保险缴费支出（项）：指机关事业单位实施养老保险制度由单位实际缴纳的基本养老保险支出。</w:t>
      </w:r>
    </w:p>
    <w:p>
      <w:pPr>
        <w:pStyle w:val="2"/>
        <w:spacing w:before="93"/>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5.社会保障和就业支出（类）行政事业单位养老支出（款）机关事业单位职业年金缴费支出（项）：指机关事业单位实施养老保险制度由单位实际缴纳的职业年金支出。</w:t>
      </w:r>
    </w:p>
    <w:p>
      <w:pPr>
        <w:pStyle w:val="3"/>
        <w:spacing w:before="93"/>
        <w:ind w:firstLine="640" w:firstLineChars="200"/>
        <w:rPr>
          <w:rFonts w:ascii="仿宋" w:hAnsi="仿宋" w:eastAsia="仿宋" w:cs="仿宋"/>
          <w:color w:val="000000"/>
          <w:szCs w:val="32"/>
        </w:rPr>
      </w:pPr>
      <w:r>
        <w:rPr>
          <w:rFonts w:hint="eastAsia" w:ascii="仿宋" w:hAnsi="仿宋" w:eastAsia="仿宋" w:cs="仿宋"/>
          <w:color w:val="000000"/>
          <w:szCs w:val="32"/>
        </w:rPr>
        <w:t>6.社会保障和就业支出（类）其他社会保障和就业支出（款）其他社会保障和就业支出（项）：指其他用于社会保障和就业方面的支出。</w:t>
      </w:r>
    </w:p>
    <w:p>
      <w:pPr>
        <w:pStyle w:val="3"/>
        <w:spacing w:before="93"/>
        <w:ind w:firstLine="640" w:firstLineChars="200"/>
        <w:rPr>
          <w:rFonts w:ascii="仿宋_GB2312"/>
          <w:szCs w:val="32"/>
        </w:rPr>
      </w:pPr>
      <w:r>
        <w:rPr>
          <w:rFonts w:hint="eastAsia" w:ascii="仿宋_GB2312"/>
          <w:szCs w:val="32"/>
        </w:rPr>
        <w:t>7.卫生健康支出（类）行政事业单位医疗（款）行政单位医疗（项）：指财政部门安排的行政单位（包括实行公务员管理的事业单位）基本医疗保险缴费经费，未参加医疗保险的行政单位的公费医疗经费，按国家规定享受离休人员、红军老战士待遇人员的医疗经费。</w:t>
      </w:r>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8.住房保障支出（类）住房改革支出（款）住房公积金（项）：指行政事业单位按人力资源和社会保障部、财政部规定的基本工资和津贴补贴以及规定比例为职工缴纳的住房公积金。</w:t>
      </w:r>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9.交通运输支出（类）公路水路运输（款）交通运输信息化建设（项）：指交通运输信息化建设支出。。</w:t>
      </w:r>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10.交通运输支出（类）公路水路运输（款）公路运输管理（项）：指公路运输管理支出和公路路政管理支出。</w:t>
      </w:r>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11.项目支出：指在基本支出之外为完成特定行政任务和事业发展目标所发生的支出。</w:t>
      </w:r>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12.基本支出：指为保障机构正常运转、完成日常工作任务而发生的人员支出和公用支出。</w:t>
      </w:r>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13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14.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spacing w:line="600" w:lineRule="exact"/>
        <w:jc w:val="center"/>
        <w:outlineLvl w:val="0"/>
        <w:rPr>
          <w:rStyle w:val="30"/>
          <w:rFonts w:ascii="黑体" w:hAnsi="黑体" w:eastAsia="黑体"/>
          <w:b w:val="0"/>
        </w:rPr>
      </w:pPr>
      <w:bookmarkStart w:id="75" w:name="_Toc15377226"/>
      <w:r>
        <w:rPr>
          <w:rFonts w:ascii="宋体"/>
          <w:b/>
          <w:sz w:val="44"/>
          <w:szCs w:val="44"/>
        </w:rPr>
        <w:br w:type="page"/>
      </w:r>
      <w:bookmarkStart w:id="76" w:name="_Toc15396614"/>
      <w:bookmarkStart w:id="77" w:name="_Toc131287977"/>
      <w:bookmarkStart w:id="78" w:name="_Toc994464350"/>
      <w:r>
        <w:rPr>
          <w:rFonts w:hint="eastAsia" w:ascii="黑体" w:hAnsi="黑体" w:eastAsia="黑体"/>
          <w:sz w:val="44"/>
          <w:szCs w:val="44"/>
        </w:rPr>
        <w:t>第</w:t>
      </w:r>
      <w:r>
        <w:rPr>
          <w:rStyle w:val="30"/>
          <w:rFonts w:hint="eastAsia" w:ascii="黑体" w:hAnsi="黑体" w:eastAsia="黑体"/>
          <w:b w:val="0"/>
        </w:rPr>
        <w:t>四部分 附件</w:t>
      </w:r>
      <w:bookmarkEnd w:id="76"/>
      <w:bookmarkEnd w:id="77"/>
      <w:bookmarkEnd w:id="78"/>
    </w:p>
    <w:p>
      <w:pPr>
        <w:pStyle w:val="2"/>
        <w:spacing w:before="93"/>
        <w:rPr>
          <w:lang w:val="zh-CN"/>
        </w:rPr>
      </w:pPr>
      <w:r>
        <w:rPr>
          <w:rFonts w:hint="eastAsia" w:hAnsi="宋体" w:cs="宋体"/>
          <w:sz w:val="32"/>
          <w:szCs w:val="32"/>
          <w:shd w:val="clear" w:color="auto" w:fill="FFFFFF"/>
          <w:lang w:val="zh-CN"/>
        </w:rPr>
        <w:t>附件</w:t>
      </w:r>
    </w:p>
    <w:p>
      <w:pPr>
        <w:spacing w:line="600" w:lineRule="exact"/>
        <w:jc w:val="center"/>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t>广元市交通运输综合行政执法支队</w:t>
      </w:r>
    </w:p>
    <w:p>
      <w:pPr>
        <w:spacing w:line="600" w:lineRule="exact"/>
        <w:jc w:val="center"/>
        <w:rPr>
          <w:rFonts w:ascii="方正小标宋简体" w:hAnsi="方正小标宋简体" w:eastAsia="方正小标宋简体" w:cs="方正小标宋简体"/>
          <w:sz w:val="40"/>
          <w:szCs w:val="40"/>
          <w:lang w:val="zh-CN"/>
        </w:rPr>
      </w:pPr>
      <w:r>
        <w:rPr>
          <w:rFonts w:ascii="方正小标宋简体" w:hAnsi="方正小标宋简体" w:eastAsia="方正小标宋简体" w:cs="方正小标宋简体"/>
          <w:sz w:val="40"/>
          <w:szCs w:val="40"/>
        </w:rPr>
        <w:t>关于</w:t>
      </w:r>
      <w:r>
        <w:rPr>
          <w:rFonts w:hint="eastAsia" w:ascii="方正小标宋简体" w:hAnsi="方正小标宋简体" w:eastAsia="方正小标宋简体" w:cs="方正小标宋简体"/>
          <w:sz w:val="40"/>
          <w:szCs w:val="40"/>
        </w:rPr>
        <w:t>2022年</w:t>
      </w:r>
      <w:r>
        <w:rPr>
          <w:rFonts w:ascii="方正小标宋简体" w:hAnsi="方正小标宋简体" w:eastAsia="方正小标宋简体" w:cs="方正小标宋简体"/>
          <w:sz w:val="40"/>
          <w:szCs w:val="40"/>
        </w:rPr>
        <w:t>交通行政执法工作经费</w:t>
      </w:r>
      <w:r>
        <w:rPr>
          <w:rFonts w:hint="eastAsia" w:ascii="方正小标宋简体" w:hAnsi="方正小标宋简体" w:eastAsia="方正小标宋简体" w:cs="方正小标宋简体"/>
          <w:sz w:val="40"/>
          <w:szCs w:val="40"/>
          <w:lang w:val="zh-CN"/>
        </w:rPr>
        <w:t>专项预算</w:t>
      </w: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lang w:val="zh-CN"/>
        </w:rPr>
        <w:t>项目支出绩效自评报告</w:t>
      </w:r>
    </w:p>
    <w:p>
      <w:pPr>
        <w:spacing w:line="600" w:lineRule="exact"/>
        <w:ind w:firstLine="640"/>
        <w:jc w:val="center"/>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Cs/>
          <w:sz w:val="32"/>
          <w:szCs w:val="32"/>
          <w:lang w:val="zh-CN"/>
        </w:rPr>
      </w:pPr>
      <w:r>
        <w:rPr>
          <w:rFonts w:hint="eastAsia" w:ascii="楷体_GB2312" w:hAnsi="宋体" w:eastAsia="楷体_GB2312"/>
          <w:bCs/>
          <w:sz w:val="32"/>
          <w:szCs w:val="32"/>
          <w:lang w:val="zh-CN"/>
        </w:rPr>
        <w:t>（一）项目基本情况。</w:t>
      </w:r>
    </w:p>
    <w:p>
      <w:pPr>
        <w:adjustRightInd w:val="0"/>
        <w:snapToGrid w:val="0"/>
        <w:spacing w:line="600" w:lineRule="exact"/>
        <w:ind w:firstLine="720"/>
      </w:pPr>
      <w:r>
        <w:rPr>
          <w:rFonts w:hint="eastAsia" w:ascii="仿宋_GB2312" w:hAnsi="宋体" w:eastAsia="仿宋_GB2312"/>
          <w:sz w:val="32"/>
          <w:szCs w:val="32"/>
          <w:lang w:val="zh-CN"/>
        </w:rPr>
        <w:t>1．说明项目主管部门（单位）在该项目管理中的职能</w:t>
      </w:r>
      <w:r>
        <w:rPr>
          <w:rFonts w:ascii="仿宋_GB2312" w:hAnsi="宋体" w:eastAsia="仿宋_GB2312"/>
          <w:sz w:val="32"/>
          <w:szCs w:val="32"/>
        </w:rPr>
        <w:t>。</w:t>
      </w:r>
      <w:r>
        <w:rPr>
          <w:rFonts w:hint="eastAsia" w:ascii="仿宋_GB2312" w:hAnsi="宋体" w:eastAsia="仿宋_GB2312"/>
          <w:sz w:val="32"/>
          <w:szCs w:val="32"/>
        </w:rPr>
        <w:t>承担全市交通运输综合执法工作的组织协调和监督指导，协调组织全市跨区域案件、重大复杂疑难案件、转办交办案件的查处，负责市本级和利州区（含广元经开区）的交通运输综合执法工作。</w:t>
      </w:r>
    </w:p>
    <w:p>
      <w:pPr>
        <w:adjustRightInd w:val="0"/>
        <w:snapToGrid w:val="0"/>
        <w:spacing w:line="600" w:lineRule="exact"/>
        <w:ind w:firstLine="640" w:firstLineChars="200"/>
      </w:pPr>
      <w:r>
        <w:rPr>
          <w:rFonts w:ascii="仿宋_GB2312" w:hAnsi="宋体" w:eastAsia="仿宋_GB2312"/>
          <w:sz w:val="32"/>
          <w:szCs w:val="32"/>
        </w:rPr>
        <w:t>2</w:t>
      </w:r>
      <w:r>
        <w:rPr>
          <w:rFonts w:hint="eastAsia" w:ascii="仿宋_GB2312" w:hAnsi="宋体" w:eastAsia="仿宋_GB2312"/>
          <w:sz w:val="32"/>
          <w:szCs w:val="32"/>
          <w:lang w:val="zh-CN"/>
        </w:rPr>
        <w:t>．项目立项、资金申报的依据</w:t>
      </w:r>
      <w:r>
        <w:rPr>
          <w:rFonts w:ascii="仿宋_GB2312" w:hAnsi="宋体" w:eastAsia="仿宋_GB2312"/>
          <w:sz w:val="32"/>
          <w:szCs w:val="32"/>
        </w:rPr>
        <w:t>。交通行政</w:t>
      </w:r>
      <w:r>
        <w:rPr>
          <w:rFonts w:hint="eastAsia" w:ascii="仿宋_GB2312" w:hAnsi="宋体" w:eastAsia="仿宋_GB2312"/>
          <w:sz w:val="32"/>
          <w:szCs w:val="32"/>
        </w:rPr>
        <w:t>执法工作</w:t>
      </w:r>
      <w:r>
        <w:rPr>
          <w:rFonts w:hint="eastAsia" w:ascii="仿宋_GB2312" w:hAnsi="宋体" w:eastAsia="仿宋_GB2312"/>
          <w:sz w:val="32"/>
          <w:szCs w:val="32"/>
          <w:lang w:val="zh-CN"/>
        </w:rPr>
        <w:t>经费用于</w:t>
      </w:r>
      <w:r>
        <w:rPr>
          <w:rFonts w:hint="eastAsia" w:ascii="仿宋_GB2312" w:hAnsi="宋体" w:eastAsia="仿宋_GB2312"/>
          <w:sz w:val="32"/>
          <w:szCs w:val="32"/>
        </w:rPr>
        <w:t>完成罚没收入40万目标任务，行政执法罚没款收缴工作经费支出</w:t>
      </w:r>
      <w:r>
        <w:rPr>
          <w:rFonts w:ascii="仿宋_GB2312" w:hAnsi="宋体" w:eastAsia="仿宋_GB2312"/>
          <w:sz w:val="32"/>
          <w:szCs w:val="32"/>
        </w:rPr>
        <w:t>，保障交通行政执法工作的正常开展</w:t>
      </w:r>
      <w:r>
        <w:rPr>
          <w:rFonts w:hint="eastAsia" w:ascii="仿宋_GB2312" w:hAnsi="宋体" w:eastAsia="仿宋_GB2312"/>
          <w:sz w:val="32"/>
          <w:szCs w:val="32"/>
        </w:rPr>
        <w:t>。</w:t>
      </w:r>
      <w:r>
        <w:rPr>
          <w:rFonts w:ascii="仿宋_GB2312" w:hAnsi="宋体" w:eastAsia="仿宋_GB2312"/>
          <w:sz w:val="32"/>
          <w:szCs w:val="32"/>
        </w:rPr>
        <w:t>交通行政</w:t>
      </w:r>
      <w:r>
        <w:rPr>
          <w:rFonts w:hint="eastAsia" w:ascii="仿宋_GB2312" w:hAnsi="宋体" w:eastAsia="仿宋_GB2312"/>
          <w:sz w:val="32"/>
          <w:szCs w:val="32"/>
        </w:rPr>
        <w:t>执法</w:t>
      </w:r>
      <w:r>
        <w:rPr>
          <w:rFonts w:hint="eastAsia" w:ascii="仿宋_GB2312" w:hAnsi="宋体" w:eastAsia="仿宋_GB2312"/>
          <w:sz w:val="32"/>
          <w:szCs w:val="32"/>
          <w:lang w:val="zh-CN"/>
        </w:rPr>
        <w:t>工作</w:t>
      </w:r>
      <w:r>
        <w:rPr>
          <w:rFonts w:ascii="仿宋_GB2312" w:hAnsi="宋体" w:eastAsia="仿宋_GB2312"/>
          <w:sz w:val="32"/>
          <w:szCs w:val="32"/>
        </w:rPr>
        <w:t>经费</w:t>
      </w:r>
      <w:r>
        <w:rPr>
          <w:rFonts w:hint="eastAsia" w:ascii="仿宋_GB2312" w:hAnsi="宋体" w:eastAsia="仿宋_GB2312"/>
          <w:sz w:val="32"/>
          <w:szCs w:val="32"/>
          <w:lang w:val="zh-CN"/>
        </w:rPr>
        <w:t>年初预算数依据工作任务预算。</w:t>
      </w:r>
    </w:p>
    <w:p>
      <w:pPr>
        <w:adjustRightInd w:val="0"/>
        <w:snapToGrid w:val="0"/>
        <w:spacing w:line="600" w:lineRule="exact"/>
        <w:ind w:firstLine="640" w:firstLineChars="200"/>
        <w:rPr>
          <w:rFonts w:ascii="仿宋_GB2312" w:hAnsi="宋体" w:eastAsia="仿宋_GB2312"/>
          <w:sz w:val="32"/>
          <w:szCs w:val="32"/>
          <w:lang w:val="zh-CN"/>
        </w:rPr>
      </w:pPr>
      <w:r>
        <w:rPr>
          <w:rFonts w:ascii="仿宋_GB2312" w:hAnsi="宋体" w:eastAsia="仿宋_GB2312"/>
          <w:sz w:val="32"/>
          <w:szCs w:val="32"/>
        </w:rPr>
        <w:t>3</w:t>
      </w:r>
      <w:r>
        <w:rPr>
          <w:rFonts w:hint="eastAsia" w:ascii="仿宋_GB2312" w:hAnsi="宋体" w:eastAsia="仿宋_GB2312"/>
          <w:sz w:val="32"/>
          <w:szCs w:val="32"/>
          <w:lang w:val="zh-CN"/>
        </w:rPr>
        <w:t>．资金管理办法制定情况，资金支持具体项目的条件、范围与支持方式概况</w:t>
      </w:r>
      <w:r>
        <w:rPr>
          <w:rFonts w:ascii="仿宋_GB2312" w:hAnsi="宋体" w:eastAsia="仿宋_GB2312"/>
          <w:sz w:val="32"/>
          <w:szCs w:val="32"/>
        </w:rPr>
        <w:t>。支队</w:t>
      </w:r>
      <w:r>
        <w:rPr>
          <w:rFonts w:hint="eastAsia" w:ascii="仿宋_GB2312" w:hAnsi="宋体" w:eastAsia="仿宋_GB2312"/>
          <w:sz w:val="32"/>
          <w:szCs w:val="32"/>
        </w:rPr>
        <w:t>建立了财务管理制度及单位内部控制制度，</w:t>
      </w:r>
      <w:r>
        <w:rPr>
          <w:rFonts w:ascii="仿宋_GB2312" w:hAnsi="宋体" w:eastAsia="仿宋_GB2312"/>
          <w:sz w:val="32"/>
          <w:szCs w:val="32"/>
        </w:rPr>
        <w:t>交通行政执法工作</w:t>
      </w:r>
      <w:r>
        <w:rPr>
          <w:rFonts w:hint="eastAsia" w:ascii="仿宋_GB2312" w:hAnsi="宋体" w:eastAsia="仿宋_GB2312"/>
          <w:sz w:val="32"/>
          <w:szCs w:val="32"/>
        </w:rPr>
        <w:t>经费严格按照专项资金管理办法进行管理，在项目实施上严格按照预算进行项目实施，在资金支付上严格执行财务相关制度，切实做到项目资金专款专用，无挪用、占用、套取等违规现象。</w:t>
      </w:r>
    </w:p>
    <w:p>
      <w:pPr>
        <w:adjustRightInd w:val="0"/>
        <w:snapToGrid w:val="0"/>
        <w:spacing w:line="600" w:lineRule="exact"/>
        <w:ind w:firstLine="640" w:firstLineChars="200"/>
      </w:pPr>
      <w:r>
        <w:rPr>
          <w:rFonts w:ascii="仿宋_GB2312" w:hAnsi="宋体" w:eastAsia="仿宋_GB2312"/>
          <w:sz w:val="32"/>
          <w:szCs w:val="32"/>
        </w:rPr>
        <w:t>4</w:t>
      </w:r>
      <w:r>
        <w:rPr>
          <w:rFonts w:hint="eastAsia" w:ascii="仿宋_GB2312" w:hAnsi="宋体" w:eastAsia="仿宋_GB2312"/>
          <w:sz w:val="32"/>
          <w:szCs w:val="32"/>
          <w:lang w:val="zh-CN"/>
        </w:rPr>
        <w:t>．资金分配的原则及考虑因素</w:t>
      </w:r>
      <w:r>
        <w:rPr>
          <w:rFonts w:ascii="仿宋_GB2312" w:hAnsi="宋体" w:eastAsia="仿宋_GB2312"/>
          <w:sz w:val="32"/>
          <w:szCs w:val="32"/>
        </w:rPr>
        <w:t>：</w:t>
      </w:r>
      <w:r>
        <w:rPr>
          <w:rFonts w:ascii="仿宋_GB2312" w:hAnsi="仿宋_GB2312" w:eastAsia="仿宋_GB2312" w:cs="仿宋_GB2312"/>
          <w:color w:val="333333"/>
          <w:kern w:val="0"/>
          <w:sz w:val="32"/>
          <w:szCs w:val="32"/>
        </w:rPr>
        <w:t>资金分配坚持</w:t>
      </w:r>
      <w:r>
        <w:rPr>
          <w:rFonts w:hint="eastAsia" w:ascii="仿宋_GB2312" w:hAnsi="仿宋_GB2312" w:eastAsia="仿宋_GB2312" w:cs="仿宋_GB2312"/>
          <w:color w:val="333333"/>
          <w:kern w:val="0"/>
          <w:sz w:val="32"/>
          <w:szCs w:val="32"/>
        </w:rPr>
        <w:t>“量力而行、量入为出”的原则，结合实际，</w:t>
      </w:r>
      <w:r>
        <w:rPr>
          <w:rFonts w:hint="eastAsia" w:ascii="仿宋_GB2312" w:hAnsi="宋体" w:eastAsia="仿宋_GB2312"/>
          <w:sz w:val="32"/>
          <w:szCs w:val="32"/>
          <w:lang w:val="zh-CN"/>
        </w:rPr>
        <w:t>未进行资金再分配</w:t>
      </w:r>
      <w:r>
        <w:rPr>
          <w:rFonts w:ascii="仿宋_GB2312" w:hAnsi="宋体" w:eastAsia="仿宋_GB2312"/>
          <w:sz w:val="32"/>
          <w:szCs w:val="32"/>
        </w:rPr>
        <w:t>。</w:t>
      </w:r>
    </w:p>
    <w:p>
      <w:pPr>
        <w:adjustRightInd w:val="0"/>
        <w:snapToGrid w:val="0"/>
        <w:spacing w:line="600" w:lineRule="exact"/>
        <w:ind w:firstLine="720"/>
        <w:rPr>
          <w:rFonts w:ascii="楷体_GB2312" w:hAnsi="宋体" w:eastAsia="楷体_GB2312"/>
          <w:bCs/>
          <w:sz w:val="32"/>
          <w:szCs w:val="32"/>
          <w:lang w:val="zh-CN"/>
        </w:rPr>
      </w:pPr>
      <w:r>
        <w:rPr>
          <w:rFonts w:hint="eastAsia" w:ascii="楷体_GB2312" w:hAnsi="宋体" w:eastAsia="楷体_GB2312"/>
          <w:bCs/>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w:t>
      </w:r>
      <w:r>
        <w:rPr>
          <w:rFonts w:ascii="仿宋_GB2312" w:hAnsi="宋体" w:eastAsia="仿宋_GB2312"/>
          <w:sz w:val="32"/>
          <w:szCs w:val="32"/>
        </w:rPr>
        <w:t>：</w:t>
      </w:r>
      <w:r>
        <w:rPr>
          <w:rFonts w:hint="eastAsia" w:ascii="仿宋_GB2312" w:hAnsi="宋体" w:eastAsia="仿宋_GB2312"/>
          <w:sz w:val="32"/>
          <w:szCs w:val="32"/>
        </w:rPr>
        <w:t>完成罚没收入40万目标任务，用于行政执法罚没款收缴工作经费支出。</w:t>
      </w:r>
    </w:p>
    <w:p>
      <w:pPr>
        <w:adjustRightInd w:val="0"/>
        <w:snapToGrid w:val="0"/>
        <w:spacing w:line="600" w:lineRule="exact"/>
        <w:ind w:firstLine="720"/>
        <w:rPr>
          <w:rFonts w:ascii="仿宋_GB2312" w:hAnsi="宋体" w:eastAsia="仿宋_GB2312"/>
          <w:sz w:val="32"/>
          <w:szCs w:val="32"/>
        </w:rPr>
      </w:pPr>
      <w:r>
        <w:rPr>
          <w:rFonts w:hint="eastAsia" w:ascii="仿宋_GB2312" w:hAnsi="宋体" w:eastAsia="仿宋_GB2312"/>
          <w:sz w:val="32"/>
          <w:szCs w:val="32"/>
          <w:lang w:val="zh-CN"/>
        </w:rPr>
        <w:t>2．项目应实现的具体绩效目标</w:t>
      </w:r>
      <w:r>
        <w:rPr>
          <w:rFonts w:ascii="仿宋_GB2312" w:hAnsi="宋体" w:eastAsia="仿宋_GB2312"/>
          <w:sz w:val="32"/>
          <w:szCs w:val="32"/>
        </w:rPr>
        <w:t>：截至2021年12月底之前，</w:t>
      </w:r>
      <w:r>
        <w:rPr>
          <w:rFonts w:hint="eastAsia" w:ascii="仿宋_GB2312" w:hAnsi="宋体" w:eastAsia="仿宋_GB2312"/>
          <w:sz w:val="32"/>
          <w:szCs w:val="32"/>
        </w:rPr>
        <w:t>完成非税收入征收40万的目标任务</w:t>
      </w:r>
      <w:r>
        <w:rPr>
          <w:rFonts w:ascii="仿宋_GB2312" w:hAnsi="宋体" w:eastAsia="仿宋_GB2312"/>
          <w:sz w:val="32"/>
          <w:szCs w:val="32"/>
        </w:rPr>
        <w:t>，</w:t>
      </w:r>
      <w:r>
        <w:rPr>
          <w:rFonts w:hint="eastAsia" w:ascii="仿宋_GB2312" w:hAnsi="宋体" w:eastAsia="仿宋_GB2312"/>
          <w:sz w:val="32"/>
          <w:szCs w:val="32"/>
        </w:rPr>
        <w:t>开展行政执法工作</w:t>
      </w:r>
      <w:r>
        <w:rPr>
          <w:rFonts w:ascii="仿宋_GB2312" w:hAnsi="宋体" w:eastAsia="仿宋_GB2312"/>
          <w:sz w:val="32"/>
          <w:szCs w:val="32"/>
        </w:rPr>
        <w:t>，</w:t>
      </w:r>
      <w:r>
        <w:rPr>
          <w:rFonts w:hint="eastAsia" w:ascii="仿宋_GB2312" w:hAnsi="宋体" w:eastAsia="仿宋_GB2312"/>
          <w:sz w:val="32"/>
          <w:szCs w:val="32"/>
        </w:rPr>
        <w:t>确保2021年交通运输市场安全、有序</w:t>
      </w:r>
      <w:r>
        <w:rPr>
          <w:rFonts w:ascii="仿宋_GB2312" w:hAnsi="宋体" w:eastAsia="仿宋_GB2312"/>
          <w:sz w:val="32"/>
          <w:szCs w:val="32"/>
        </w:rPr>
        <w:t>。</w:t>
      </w:r>
    </w:p>
    <w:p>
      <w:pPr>
        <w:adjustRightInd w:val="0"/>
        <w:snapToGrid w:val="0"/>
        <w:spacing w:line="600" w:lineRule="exact"/>
        <w:ind w:firstLine="720"/>
        <w:rPr>
          <w:rFonts w:ascii="仿宋_GB2312" w:hAnsi="宋体" w:eastAsia="仿宋_GB2312"/>
          <w:sz w:val="32"/>
          <w:szCs w:val="32"/>
        </w:rPr>
      </w:pPr>
      <w:r>
        <w:rPr>
          <w:rFonts w:hint="eastAsia" w:ascii="仿宋_GB2312" w:hAnsi="宋体" w:eastAsia="仿宋_GB2312"/>
          <w:sz w:val="32"/>
          <w:szCs w:val="32"/>
          <w:lang w:val="zh-CN"/>
        </w:rPr>
        <w:t>3．</w:t>
      </w:r>
      <w:r>
        <w:rPr>
          <w:rFonts w:hint="eastAsia" w:ascii="仿宋_GB2312" w:hAnsi="宋体" w:eastAsia="仿宋_GB2312"/>
          <w:sz w:val="32"/>
          <w:szCs w:val="32"/>
        </w:rPr>
        <w:t>项目申报内容与具体实施内容相符，绩效目标设定符合实际需求，合理可行。</w:t>
      </w:r>
    </w:p>
    <w:p>
      <w:pPr>
        <w:adjustRightInd w:val="0"/>
        <w:snapToGrid w:val="0"/>
        <w:spacing w:line="600" w:lineRule="exact"/>
        <w:ind w:firstLine="720"/>
        <w:rPr>
          <w:rFonts w:ascii="楷体_GB2312" w:hAnsi="宋体" w:eastAsia="楷体_GB2312"/>
          <w:bCs/>
          <w:sz w:val="32"/>
          <w:szCs w:val="32"/>
          <w:lang w:val="zh-CN"/>
        </w:rPr>
      </w:pPr>
      <w:r>
        <w:rPr>
          <w:rFonts w:hint="eastAsia" w:ascii="楷体_GB2312" w:hAnsi="宋体" w:eastAsia="楷体_GB2312"/>
          <w:bCs/>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rPr>
        <w:t>支队</w:t>
      </w:r>
      <w:r>
        <w:rPr>
          <w:rFonts w:hint="eastAsia" w:ascii="仿宋_GB2312" w:hAnsi="宋体" w:eastAsia="仿宋_GB2312"/>
          <w:sz w:val="32"/>
          <w:szCs w:val="32"/>
          <w:lang w:val="zh-CN"/>
        </w:rPr>
        <w:t>按照</w:t>
      </w:r>
      <w:r>
        <w:rPr>
          <w:rFonts w:hint="eastAsia" w:ascii="仿宋_GB2312" w:hAnsi="宋体" w:eastAsia="仿宋_GB2312"/>
          <w:sz w:val="32"/>
          <w:szCs w:val="32"/>
        </w:rPr>
        <w:t>广元市</w:t>
      </w:r>
      <w:r>
        <w:rPr>
          <w:rFonts w:hint="eastAsia" w:ascii="仿宋_GB2312" w:hAnsi="宋体" w:eastAsia="仿宋_GB2312"/>
          <w:sz w:val="32"/>
          <w:szCs w:val="32"/>
          <w:lang w:val="zh-CN"/>
        </w:rPr>
        <w:t>财政局《关于开展202</w:t>
      </w:r>
      <w:r>
        <w:rPr>
          <w:rFonts w:hint="eastAsia" w:ascii="仿宋_GB2312" w:hAnsi="宋体" w:eastAsia="仿宋_GB2312"/>
          <w:sz w:val="32"/>
          <w:szCs w:val="32"/>
        </w:rPr>
        <w:t>2</w:t>
      </w:r>
      <w:r>
        <w:rPr>
          <w:rFonts w:hint="eastAsia" w:ascii="仿宋_GB2312" w:hAnsi="宋体" w:eastAsia="仿宋_GB2312"/>
          <w:sz w:val="32"/>
          <w:szCs w:val="32"/>
          <w:lang w:val="zh-CN"/>
        </w:rPr>
        <w:t>年</w:t>
      </w:r>
      <w:r>
        <w:rPr>
          <w:rFonts w:hint="eastAsia" w:ascii="仿宋_GB2312" w:hAnsi="宋体" w:eastAsia="仿宋_GB2312"/>
          <w:sz w:val="32"/>
          <w:szCs w:val="32"/>
        </w:rPr>
        <w:t>部门、政策和项目</w:t>
      </w:r>
      <w:r>
        <w:rPr>
          <w:rFonts w:hint="eastAsia" w:ascii="仿宋_GB2312" w:hAnsi="宋体" w:eastAsia="仿宋_GB2312"/>
          <w:sz w:val="32"/>
          <w:szCs w:val="32"/>
          <w:lang w:val="zh-CN"/>
        </w:rPr>
        <w:t>支出</w:t>
      </w:r>
      <w:r>
        <w:rPr>
          <w:rFonts w:hint="eastAsia" w:ascii="仿宋_GB2312" w:hAnsi="宋体" w:eastAsia="仿宋_GB2312"/>
          <w:sz w:val="32"/>
          <w:szCs w:val="32"/>
        </w:rPr>
        <w:t>自评</w:t>
      </w:r>
      <w:r>
        <w:rPr>
          <w:rFonts w:hint="eastAsia" w:ascii="仿宋_GB2312" w:hAnsi="宋体" w:eastAsia="仿宋_GB2312"/>
          <w:sz w:val="32"/>
          <w:szCs w:val="32"/>
          <w:lang w:val="zh-CN"/>
        </w:rPr>
        <w:t>工作的通知</w:t>
      </w:r>
      <w:r>
        <w:rPr>
          <w:rFonts w:ascii="仿宋_GB2312" w:hAnsi="宋体" w:eastAsia="仿宋_GB2312"/>
          <w:sz w:val="32"/>
          <w:szCs w:val="32"/>
          <w:lang w:val="zh-CN"/>
        </w:rPr>
        <w:t>》（</w:t>
      </w:r>
      <w:r>
        <w:rPr>
          <w:rFonts w:hint="eastAsia" w:ascii="仿宋_GB2312" w:hAnsi="宋体" w:eastAsia="仿宋_GB2312"/>
          <w:sz w:val="32"/>
          <w:szCs w:val="32"/>
        </w:rPr>
        <w:t>广财绩</w:t>
      </w:r>
      <w:r>
        <w:rPr>
          <w:rFonts w:hint="eastAsia" w:ascii="仿宋_GB2312" w:hAnsi="宋体" w:eastAsia="仿宋_GB2312"/>
          <w:sz w:val="32"/>
          <w:szCs w:val="32"/>
          <w:lang w:val="zh-CN"/>
        </w:rPr>
        <w:t>〔202</w:t>
      </w:r>
      <w:r>
        <w:rPr>
          <w:rFonts w:hint="eastAsia" w:ascii="仿宋_GB2312" w:hAnsi="宋体" w:eastAsia="仿宋_GB2312"/>
          <w:sz w:val="32"/>
          <w:szCs w:val="32"/>
        </w:rPr>
        <w:t>2</w:t>
      </w:r>
      <w:r>
        <w:rPr>
          <w:rFonts w:hint="eastAsia" w:ascii="仿宋_GB2312" w:hAnsi="宋体" w:eastAsia="仿宋_GB2312"/>
          <w:sz w:val="32"/>
          <w:szCs w:val="32"/>
          <w:lang w:val="zh-CN"/>
        </w:rPr>
        <w:t>〕</w:t>
      </w:r>
      <w:r>
        <w:rPr>
          <w:rFonts w:hint="eastAsia" w:ascii="仿宋_GB2312" w:hAnsi="宋体" w:eastAsia="仿宋_GB2312"/>
          <w:sz w:val="32"/>
          <w:szCs w:val="32"/>
        </w:rPr>
        <w:t>8</w:t>
      </w:r>
      <w:r>
        <w:rPr>
          <w:rFonts w:hint="eastAsia" w:ascii="仿宋_GB2312" w:hAnsi="宋体" w:eastAsia="仿宋_GB2312"/>
          <w:sz w:val="32"/>
          <w:szCs w:val="32"/>
          <w:lang w:val="zh-CN"/>
        </w:rPr>
        <w:t>号</w:t>
      </w:r>
      <w:r>
        <w:rPr>
          <w:rFonts w:ascii="仿宋_GB2312" w:hAnsi="宋体" w:eastAsia="仿宋_GB2312"/>
          <w:sz w:val="32"/>
          <w:szCs w:val="32"/>
          <w:lang w:val="zh-CN"/>
        </w:rPr>
        <w:t>）文件要求，认真开展项目自评工作，按照评价指标体系的要求，对照实施项目的内容逐条逐项自评。</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Cs/>
          <w:sz w:val="32"/>
          <w:szCs w:val="32"/>
          <w:lang w:val="zh-CN"/>
        </w:rPr>
      </w:pPr>
      <w:r>
        <w:rPr>
          <w:rFonts w:hint="eastAsia" w:ascii="楷体_GB2312" w:hAnsi="宋体" w:eastAsia="楷体_GB2312"/>
          <w:bCs/>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28"/>
        </w:rPr>
        <w:t>202</w:t>
      </w:r>
      <w:r>
        <w:rPr>
          <w:rFonts w:ascii="仿宋_GB2312" w:hAnsi="宋体" w:eastAsia="仿宋_GB2312"/>
          <w:sz w:val="32"/>
          <w:szCs w:val="28"/>
        </w:rPr>
        <w:t>1</w:t>
      </w:r>
      <w:r>
        <w:rPr>
          <w:rFonts w:hint="eastAsia" w:ascii="仿宋_GB2312" w:hAnsi="宋体" w:eastAsia="仿宋_GB2312"/>
          <w:sz w:val="32"/>
          <w:szCs w:val="28"/>
        </w:rPr>
        <w:t>年</w:t>
      </w:r>
      <w:r>
        <w:rPr>
          <w:rFonts w:ascii="仿宋_GB2312" w:hAnsi="宋体" w:eastAsia="仿宋_GB2312"/>
          <w:sz w:val="32"/>
          <w:szCs w:val="28"/>
        </w:rPr>
        <w:t>交通行政执法工</w:t>
      </w:r>
      <w:r>
        <w:rPr>
          <w:rFonts w:hint="eastAsia" w:ascii="仿宋_GB2312" w:hAnsi="宋体" w:eastAsia="仿宋_GB2312"/>
          <w:sz w:val="32"/>
          <w:szCs w:val="28"/>
        </w:rPr>
        <w:t>作经费预算</w:t>
      </w:r>
      <w:r>
        <w:rPr>
          <w:rFonts w:ascii="仿宋_GB2312" w:hAnsi="宋体" w:eastAsia="仿宋_GB2312"/>
          <w:sz w:val="32"/>
          <w:szCs w:val="28"/>
        </w:rPr>
        <w:t>34</w:t>
      </w:r>
      <w:r>
        <w:rPr>
          <w:rFonts w:hint="eastAsia" w:ascii="仿宋_GB2312" w:hAnsi="宋体" w:eastAsia="仿宋_GB2312"/>
          <w:sz w:val="32"/>
          <w:szCs w:val="28"/>
        </w:rPr>
        <w:t>万元，经市财政局批复同意设立。</w:t>
      </w:r>
      <w:r>
        <w:rPr>
          <w:rFonts w:hint="eastAsia" w:ascii="仿宋_GB2312" w:hAnsi="仿宋_GB2312" w:eastAsia="仿宋_GB2312" w:cs="仿宋_GB2312"/>
          <w:bCs/>
          <w:sz w:val="32"/>
          <w:szCs w:val="32"/>
          <w:lang w:val="zh-CN"/>
        </w:rPr>
        <w:t>项目资金</w:t>
      </w:r>
      <w:r>
        <w:rPr>
          <w:rFonts w:ascii="仿宋_GB2312" w:hAnsi="仿宋_GB2312" w:eastAsia="仿宋_GB2312" w:cs="仿宋_GB2312"/>
          <w:bCs/>
          <w:sz w:val="32"/>
          <w:szCs w:val="32"/>
        </w:rPr>
        <w:t>为原广元市道路运输局</w:t>
      </w:r>
      <w:r>
        <w:rPr>
          <w:rFonts w:hint="eastAsia" w:ascii="仿宋_GB2312" w:hAnsi="仿宋_GB2312" w:eastAsia="仿宋_GB2312" w:cs="仿宋_GB2312"/>
          <w:bCs/>
          <w:sz w:val="32"/>
          <w:szCs w:val="32"/>
          <w:lang w:val="zh-CN"/>
        </w:rPr>
        <w:t>2021年初预算，</w:t>
      </w:r>
      <w:r>
        <w:rPr>
          <w:rFonts w:ascii="仿宋_GB2312" w:hAnsi="仿宋_GB2312" w:eastAsia="仿宋_GB2312" w:cs="仿宋_GB2312"/>
          <w:bCs/>
          <w:sz w:val="32"/>
          <w:szCs w:val="32"/>
        </w:rPr>
        <w:t>支队于2021年3月成立，项目资金划拨给支队。</w:t>
      </w:r>
    </w:p>
    <w:p>
      <w:pPr>
        <w:adjustRightInd w:val="0"/>
        <w:snapToGrid w:val="0"/>
        <w:spacing w:line="600" w:lineRule="exact"/>
        <w:ind w:firstLine="720"/>
        <w:rPr>
          <w:rFonts w:ascii="仿宋_GB2312" w:hAnsi="宋体" w:eastAsia="仿宋_GB2312"/>
          <w:bCs/>
          <w:sz w:val="32"/>
          <w:szCs w:val="32"/>
          <w:lang w:val="zh-CN"/>
        </w:rPr>
      </w:pPr>
      <w:r>
        <w:rPr>
          <w:rFonts w:hint="eastAsia" w:ascii="楷体_GB2312" w:hAnsi="宋体" w:eastAsia="楷体_GB2312"/>
          <w:bCs/>
          <w:sz w:val="32"/>
          <w:szCs w:val="32"/>
          <w:lang w:val="zh-CN"/>
        </w:rPr>
        <w:t>（二）资金计划、到位及使用情况。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w:t>
      </w:r>
      <w:r>
        <w:rPr>
          <w:rFonts w:ascii="仿宋_GB2312" w:hAnsi="宋体" w:eastAsia="仿宋_GB2312"/>
          <w:sz w:val="32"/>
          <w:szCs w:val="32"/>
        </w:rPr>
        <w:t>.</w:t>
      </w:r>
      <w:r>
        <w:rPr>
          <w:rFonts w:hint="eastAsia" w:ascii="楷体_GB2312" w:hAnsi="宋体" w:eastAsia="楷体_GB2312"/>
          <w:sz w:val="32"/>
          <w:szCs w:val="32"/>
          <w:lang w:val="zh-CN"/>
        </w:rPr>
        <w:t>资金计划</w:t>
      </w:r>
      <w:r>
        <w:rPr>
          <w:rFonts w:ascii="楷体_GB2312" w:hAnsi="宋体" w:eastAsia="楷体_GB2312"/>
          <w:sz w:val="32"/>
          <w:szCs w:val="32"/>
        </w:rPr>
        <w:t>。</w:t>
      </w:r>
      <w:r>
        <w:rPr>
          <w:rFonts w:hint="eastAsia" w:ascii="仿宋_GB2312" w:hAnsi="宋体" w:eastAsia="仿宋_GB2312"/>
          <w:sz w:val="32"/>
          <w:szCs w:val="32"/>
          <w:lang w:val="zh-CN"/>
        </w:rPr>
        <w:t>交通行政执法工作经费项目资金预算金额为34万元，资金来源为市财政资金。</w:t>
      </w:r>
    </w:p>
    <w:p>
      <w:pPr>
        <w:adjustRightInd w:val="0"/>
        <w:snapToGrid w:val="0"/>
        <w:spacing w:line="576" w:lineRule="exact"/>
        <w:ind w:firstLine="720"/>
        <w:rPr>
          <w:rFonts w:ascii="仿宋_GB2312" w:hAnsi="宋体" w:eastAsia="仿宋_GB2312"/>
          <w:sz w:val="32"/>
          <w:szCs w:val="32"/>
          <w:lang w:val="zh-CN"/>
        </w:rPr>
      </w:pPr>
      <w:r>
        <w:rPr>
          <w:rFonts w:ascii="仿宋_GB2312" w:hAnsi="宋体" w:eastAsia="仿宋_GB2312"/>
          <w:sz w:val="32"/>
          <w:szCs w:val="32"/>
        </w:rPr>
        <w:t>2.</w:t>
      </w:r>
      <w:r>
        <w:rPr>
          <w:rFonts w:hint="eastAsia" w:ascii="仿宋_GB2312" w:hAnsi="宋体" w:eastAsia="仿宋_GB2312"/>
          <w:sz w:val="32"/>
          <w:szCs w:val="32"/>
          <w:lang w:val="zh-CN"/>
        </w:rPr>
        <w:t>资金到位。资金到位及时，到位率为100%。</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使用。交通行政执法工作经费项目资金截至2021年12月使用金额为34万元，剩余资金0万元，支付进度100%。资金用于行政执法罚没款收缴工作经费支出，确保2021年交通运输市场安全、合法、有序；开展行政执法工作；维护道路运输市场的合法有序。资金支付严格遵循财政资金支付规定，支付依据合规合法，资金支付与预算相符。</w:t>
      </w:r>
    </w:p>
    <w:p>
      <w:pPr>
        <w:adjustRightInd w:val="0"/>
        <w:snapToGrid w:val="0"/>
        <w:spacing w:line="600" w:lineRule="exact"/>
        <w:ind w:firstLine="720"/>
        <w:rPr>
          <w:rFonts w:ascii="楷体_GB2312" w:hAnsi="宋体" w:eastAsia="楷体_GB2312"/>
          <w:bCs/>
          <w:sz w:val="32"/>
          <w:szCs w:val="32"/>
          <w:lang w:val="zh-CN"/>
        </w:rPr>
      </w:pPr>
      <w:r>
        <w:rPr>
          <w:rFonts w:hint="eastAsia" w:ascii="楷体_GB2312" w:hAnsi="宋体" w:eastAsia="楷体_GB2312"/>
          <w:bCs/>
          <w:sz w:val="32"/>
          <w:szCs w:val="32"/>
          <w:lang w:val="zh-CN"/>
        </w:rPr>
        <w:t>（三）项目财务管理情况。</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支队财务管理制度健全，严格执行了财务管理制度，账务处理及时，会计核算规范。支队严格执行各项财务管理制度，保证项目经费专款专用，进一步完善财务管理各项规章制度建设，加强内部机构设置。财务科全面负责项目资金的会计核算和账务处理工作，对照项目资金管理办法进行支出。</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ascii="仿宋_GB2312" w:hAnsi="宋体" w:eastAsia="仿宋_GB2312"/>
          <w:sz w:val="32"/>
          <w:szCs w:val="32"/>
        </w:rPr>
      </w:pPr>
      <w:r>
        <w:rPr>
          <w:rFonts w:hint="eastAsia" w:ascii="楷体_GB2312" w:hAnsi="宋体" w:eastAsia="楷体_GB2312"/>
          <w:bCs/>
          <w:sz w:val="32"/>
          <w:szCs w:val="32"/>
          <w:lang w:val="zh-CN"/>
        </w:rPr>
        <w:t>（一）项目组织架构及实施流程。</w:t>
      </w:r>
      <w:r>
        <w:rPr>
          <w:rFonts w:ascii="仿宋_GB2312" w:hAnsi="宋体" w:eastAsia="仿宋_GB2312"/>
          <w:sz w:val="32"/>
          <w:szCs w:val="32"/>
        </w:rPr>
        <w:t>2021年3月支队成立，下设13个科室，交通行政执法工作由交通运输执法一至六大队、航务海事执法大队、特勤大队、路政执法大队、交通建设工程质量执法大队进行具体执行，其他科室进行配合，2021年支队</w:t>
      </w:r>
      <w:r>
        <w:rPr>
          <w:rFonts w:hint="eastAsia" w:ascii="仿宋_GB2312" w:hAnsi="仿宋_GB2312" w:eastAsia="仿宋_GB2312" w:cs="仿宋_GB2312"/>
          <w:color w:val="000000"/>
          <w:kern w:val="0"/>
          <w:sz w:val="32"/>
          <w:szCs w:val="32"/>
        </w:rPr>
        <w:t>认真落实交通运输部交通运输执法领域突出问题专项整治和创建法治政府示范市工作要求，切实加强执法队伍建设，提升执法质量和执法效果。一是严格程序，法制审核到位。印发了《广元市交通运输综合行政执法证据管理规范（试行）》等制度，对执法源头、过程和结果进行整体性审查、带动性规范，及时驳回并反馈不规范执法问题。全年共审查执法案件245件，退回要求补正案件30余件</w:t>
      </w:r>
      <w:r>
        <w:rPr>
          <w:rFonts w:ascii="仿宋_GB2312" w:hAnsi="仿宋_GB2312" w:eastAsia="仿宋_GB2312" w:cs="仿宋_GB2312"/>
          <w:color w:val="000000"/>
          <w:kern w:val="0"/>
          <w:sz w:val="32"/>
          <w:szCs w:val="32"/>
        </w:rPr>
        <w:t>，保障全年执法工作的正常开展，完成年初既定40万元罚没收入任务。</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Cs/>
          <w:sz w:val="32"/>
          <w:szCs w:val="32"/>
          <w:lang w:val="zh-CN"/>
        </w:rPr>
        <w:t>（二）项目管理情况。</w:t>
      </w:r>
      <w:r>
        <w:rPr>
          <w:rFonts w:hint="eastAsia" w:ascii="仿宋_GB2312" w:hAnsi="宋体" w:eastAsia="仿宋_GB2312"/>
          <w:sz w:val="32"/>
          <w:szCs w:val="28"/>
        </w:rPr>
        <w:t>在项目资金使用中，</w:t>
      </w:r>
      <w:r>
        <w:rPr>
          <w:rFonts w:ascii="仿宋_GB2312" w:hAnsi="宋体" w:eastAsia="仿宋_GB2312"/>
          <w:sz w:val="32"/>
          <w:szCs w:val="28"/>
        </w:rPr>
        <w:t>支队</w:t>
      </w:r>
      <w:r>
        <w:rPr>
          <w:rFonts w:hint="eastAsia" w:ascii="仿宋_GB2312" w:hAnsi="宋体" w:eastAsia="仿宋_GB2312"/>
          <w:sz w:val="32"/>
          <w:szCs w:val="28"/>
        </w:rPr>
        <w:t>严格执行相关法律法规，项目从立项、公开、组织实施均严格按相关规定执行，符合国家及财政相关政策规定，项目申报符合国家政策，符合地方经济社会的发展需要，具有明确的项目实施主体及实施决策程序。同时，</w:t>
      </w:r>
      <w:r>
        <w:rPr>
          <w:rFonts w:ascii="仿宋_GB2312" w:hAnsi="宋体" w:eastAsia="仿宋_GB2312"/>
          <w:sz w:val="32"/>
          <w:szCs w:val="28"/>
        </w:rPr>
        <w:t>支队</w:t>
      </w:r>
      <w:r>
        <w:rPr>
          <w:rFonts w:hint="eastAsia" w:ascii="仿宋_GB2312" w:hAnsi="宋体" w:eastAsia="仿宋_GB2312"/>
          <w:sz w:val="32"/>
          <w:szCs w:val="28"/>
        </w:rPr>
        <w:t>制定了较完整的内部建设管理制度，并严格遵守执行，项目管理较规范。</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Cs/>
          <w:sz w:val="32"/>
          <w:szCs w:val="32"/>
          <w:lang w:val="zh-CN"/>
        </w:rPr>
        <w:t>（三）项目监管情况。</w:t>
      </w:r>
      <w:r>
        <w:rPr>
          <w:rFonts w:hint="eastAsia" w:ascii="仿宋_GB2312" w:hAnsi="宋体" w:eastAsia="仿宋_GB2312"/>
          <w:sz w:val="32"/>
          <w:szCs w:val="32"/>
          <w:lang w:val="zh-CN"/>
        </w:rPr>
        <w:t>支队严格按照相关法律法规和程序，对质量、安全和项目进度进行全过程、全方位的监督管理，努力化解风险，提高工作效率，明确规范管理，强化责任，确保安全，保证质量的指导思想，思想观念不放松，严格把好绩效项目实施过程关口。</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Cs/>
          <w:sz w:val="32"/>
          <w:szCs w:val="32"/>
          <w:lang w:val="zh-CN"/>
        </w:rPr>
      </w:pPr>
      <w:r>
        <w:rPr>
          <w:rFonts w:hint="eastAsia" w:ascii="楷体_GB2312" w:hAnsi="宋体" w:eastAsia="楷体_GB2312"/>
          <w:bCs/>
          <w:sz w:val="32"/>
          <w:szCs w:val="32"/>
          <w:lang w:val="zh-CN"/>
        </w:rPr>
        <w:t>（一）项目完成情况。</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截至2021年年底，支队完成非税收入征收40万的目标任务，确保2021年交通运输市场安全、有序；开展行政执法工作。非税收入超出既定绩效目标，行政执法工作全年有序开展，正常进行，绩效目标全部完成，完成率达100%，项目成本控制在预算资金范围内，无结余资金。</w:t>
      </w:r>
    </w:p>
    <w:p>
      <w:pPr>
        <w:adjustRightInd w:val="0"/>
        <w:snapToGrid w:val="0"/>
        <w:spacing w:line="600" w:lineRule="exact"/>
        <w:ind w:firstLine="720"/>
        <w:rPr>
          <w:rFonts w:ascii="楷体_GB2312" w:hAnsi="宋体" w:eastAsia="楷体_GB2312"/>
          <w:bCs/>
          <w:sz w:val="32"/>
          <w:szCs w:val="32"/>
          <w:lang w:val="zh-CN"/>
        </w:rPr>
      </w:pPr>
      <w:r>
        <w:rPr>
          <w:rFonts w:hint="eastAsia" w:ascii="楷体_GB2312" w:hAnsi="宋体" w:eastAsia="楷体_GB2312"/>
          <w:bCs/>
          <w:sz w:val="32"/>
          <w:szCs w:val="32"/>
          <w:lang w:val="zh-CN"/>
        </w:rPr>
        <w:t>（二）项目效益情况。</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保障了行政执法工作的正常开展，确保运输市场合法有序，促进行业健康发展，维护道路运输市场的合法有序</w:t>
      </w:r>
      <w:r>
        <w:rPr>
          <w:rFonts w:ascii="仿宋_GB2312" w:hAnsi="宋体" w:eastAsia="仿宋_GB2312"/>
          <w:sz w:val="32"/>
          <w:szCs w:val="32"/>
        </w:rPr>
        <w:t>，社会满意度良好</w:t>
      </w:r>
      <w:r>
        <w:rPr>
          <w:rFonts w:hint="eastAsia" w:ascii="仿宋_GB2312" w:hAnsi="宋体" w:eastAsia="仿宋_GB2312"/>
          <w:sz w:val="32"/>
          <w:szCs w:val="32"/>
          <w:lang w:val="zh-CN"/>
        </w:rPr>
        <w:t>。</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Cs/>
          <w:sz w:val="32"/>
          <w:szCs w:val="32"/>
          <w:lang w:val="zh-CN"/>
        </w:rPr>
      </w:pPr>
      <w:r>
        <w:rPr>
          <w:rFonts w:hint="eastAsia" w:ascii="楷体_GB2312" w:hAnsi="宋体" w:eastAsia="楷体_GB2312"/>
          <w:bCs/>
          <w:sz w:val="32"/>
          <w:szCs w:val="32"/>
          <w:lang w:val="zh-CN"/>
        </w:rPr>
        <w:t>（一）评价结论。</w:t>
      </w:r>
    </w:p>
    <w:p>
      <w:pPr>
        <w:pStyle w:val="16"/>
        <w:widowControl/>
        <w:spacing w:beforeAutospacing="0" w:afterAutospacing="0" w:line="600" w:lineRule="atLeast"/>
        <w:ind w:firstLine="640"/>
        <w:jc w:val="both"/>
        <w:rPr>
          <w:rFonts w:ascii="仿宋_GB2312" w:hAnsi="宋体" w:eastAsia="仿宋_GB2312"/>
          <w:sz w:val="32"/>
          <w:szCs w:val="32"/>
          <w:bdr w:val="single" w:color="auto" w:sz="4" w:space="0"/>
          <w:lang w:val="zh-CN"/>
        </w:rPr>
      </w:pPr>
      <w:r>
        <w:rPr>
          <w:rFonts w:hint="eastAsia" w:ascii="仿宋_GB2312" w:hAnsi="宋体" w:eastAsia="仿宋_GB2312"/>
          <w:kern w:val="2"/>
          <w:sz w:val="32"/>
          <w:szCs w:val="32"/>
          <w:lang w:val="zh-CN"/>
        </w:rPr>
        <w:t>根据绩效指标评价，</w:t>
      </w:r>
      <w:r>
        <w:rPr>
          <w:rFonts w:ascii="仿宋_GB2312" w:hAnsi="宋体" w:eastAsia="仿宋_GB2312"/>
          <w:kern w:val="2"/>
          <w:sz w:val="32"/>
          <w:szCs w:val="32"/>
        </w:rPr>
        <w:t>支队年初既定绩效目标基本完成</w:t>
      </w:r>
      <w:r>
        <w:rPr>
          <w:rFonts w:hint="eastAsia" w:ascii="仿宋_GB2312" w:hAnsi="宋体" w:eastAsia="仿宋_GB2312"/>
          <w:kern w:val="2"/>
          <w:sz w:val="32"/>
          <w:szCs w:val="32"/>
          <w:lang w:val="zh-CN"/>
        </w:rPr>
        <w:t>。通过自评，从整体情况来看，</w:t>
      </w:r>
      <w:r>
        <w:rPr>
          <w:rFonts w:ascii="仿宋_GB2312" w:hAnsi="宋体" w:eastAsia="仿宋_GB2312"/>
          <w:kern w:val="2"/>
          <w:sz w:val="32"/>
          <w:szCs w:val="32"/>
        </w:rPr>
        <w:t>支队</w:t>
      </w:r>
      <w:r>
        <w:rPr>
          <w:rFonts w:hint="eastAsia" w:ascii="仿宋_GB2312" w:hAnsi="宋体" w:eastAsia="仿宋_GB2312"/>
          <w:kern w:val="2"/>
          <w:sz w:val="32"/>
          <w:szCs w:val="32"/>
          <w:lang w:val="zh-CN"/>
        </w:rPr>
        <w:t>高度重视财政资金的支出绩效，在资金预算、审批、执行、支付等方面都做到了层层把关，严格按照单位预算进行整体支出，严格执行资金管理相关规定及单位财务制度，所有项目资金严格按照项目申报的实施方案组织实施，并加强对项目实施全过程的日常监督，切实做到项目资金专款专用，无挪用、占用、套取等违规现象。项目支出产生的效益显著，达到了预期的资金使用效果。</w:t>
      </w:r>
      <w:r>
        <w:rPr>
          <w:rFonts w:ascii="仿宋_GB2312" w:hAnsi="宋体" w:eastAsia="仿宋_GB2312"/>
          <w:kern w:val="2"/>
          <w:sz w:val="32"/>
          <w:szCs w:val="32"/>
        </w:rPr>
        <w:t>保障了交通行政执法工作的开展</w:t>
      </w:r>
      <w:r>
        <w:rPr>
          <w:rFonts w:hint="eastAsia" w:ascii="仿宋_GB2312" w:hAnsi="宋体" w:eastAsia="仿宋_GB2312"/>
          <w:kern w:val="2"/>
          <w:sz w:val="32"/>
          <w:szCs w:val="32"/>
          <w:lang w:val="zh-CN"/>
        </w:rPr>
        <w:t>，</w:t>
      </w:r>
      <w:r>
        <w:rPr>
          <w:rFonts w:ascii="仿宋_GB2312" w:hAnsi="宋体" w:eastAsia="仿宋_GB2312"/>
          <w:kern w:val="2"/>
          <w:sz w:val="32"/>
          <w:szCs w:val="32"/>
        </w:rPr>
        <w:t>社会满意度达到良好</w:t>
      </w:r>
      <w:r>
        <w:rPr>
          <w:rFonts w:hint="eastAsia" w:ascii="仿宋_GB2312" w:hAnsi="宋体" w:eastAsia="仿宋_GB2312"/>
          <w:kern w:val="2"/>
          <w:sz w:val="32"/>
          <w:szCs w:val="32"/>
          <w:lang w:val="zh-CN"/>
        </w:rPr>
        <w:t>。</w:t>
      </w:r>
    </w:p>
    <w:p>
      <w:pPr>
        <w:adjustRightInd w:val="0"/>
        <w:snapToGrid w:val="0"/>
        <w:spacing w:line="600" w:lineRule="exact"/>
        <w:ind w:firstLine="720"/>
        <w:rPr>
          <w:rFonts w:ascii="楷体_GB2312" w:hAnsi="宋体" w:eastAsia="楷体_GB2312"/>
          <w:bCs/>
          <w:sz w:val="32"/>
          <w:szCs w:val="32"/>
          <w:lang w:val="zh-CN"/>
        </w:rPr>
      </w:pPr>
      <w:r>
        <w:rPr>
          <w:rFonts w:hint="eastAsia" w:ascii="楷体_GB2312" w:hAnsi="宋体" w:eastAsia="楷体_GB2312"/>
          <w:bCs/>
          <w:sz w:val="32"/>
          <w:szCs w:val="32"/>
          <w:lang w:val="zh-CN"/>
        </w:rPr>
        <w:t>（二）存在的问题。</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项目资金使用不够科学。</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Cs/>
          <w:sz w:val="32"/>
          <w:szCs w:val="32"/>
          <w:lang w:val="zh-CN"/>
        </w:rPr>
      </w:pPr>
      <w:r>
        <w:rPr>
          <w:rFonts w:hint="eastAsia" w:ascii="楷体_GB2312" w:hAnsi="宋体" w:eastAsia="楷体_GB2312"/>
          <w:bCs/>
          <w:sz w:val="32"/>
          <w:szCs w:val="32"/>
          <w:lang w:val="zh-CN"/>
        </w:rPr>
        <w:t>（三）相关建议。</w:t>
      </w:r>
    </w:p>
    <w:p>
      <w:pPr>
        <w:pStyle w:val="2"/>
        <w:spacing w:before="93"/>
        <w:ind w:firstLine="640" w:firstLineChars="200"/>
        <w:rPr>
          <w:lang w:val="zh-CN"/>
        </w:rPr>
      </w:pPr>
      <w:r>
        <w:rPr>
          <w:rFonts w:hint="eastAsia" w:hAnsi="宋体"/>
          <w:sz w:val="32"/>
          <w:szCs w:val="32"/>
          <w:lang w:val="zh-CN"/>
        </w:rPr>
        <w:t>对项目计划进度跟踪，合理支出预算资金，使其最大效益化。</w:t>
      </w:r>
    </w:p>
    <w:p>
      <w:pPr>
        <w:spacing w:line="572" w:lineRule="exact"/>
        <w:jc w:val="left"/>
        <w:rPr>
          <w:rFonts w:ascii="黑体" w:hAnsi="黑体" w:eastAsia="黑体" w:cs="黑体"/>
          <w:sz w:val="32"/>
          <w:szCs w:val="32"/>
        </w:rPr>
      </w:pPr>
    </w:p>
    <w:p>
      <w:pPr>
        <w:pStyle w:val="2"/>
        <w:spacing w:before="93"/>
      </w:pPr>
      <w:r>
        <w:rPr>
          <w:rFonts w:hint="eastAsia" w:ascii="黑体" w:hAnsi="黑体" w:eastAsia="黑体" w:cs="黑体"/>
          <w:sz w:val="32"/>
          <w:szCs w:val="32"/>
        </w:rPr>
        <w:t>附表</w:t>
      </w:r>
      <w:bookmarkStart w:id="79" w:name="_Toc15396618"/>
    </w:p>
    <w:tbl>
      <w:tblPr>
        <w:tblStyle w:val="18"/>
        <w:tblpPr w:leftFromText="180" w:rightFromText="180" w:vertAnchor="text" w:horzAnchor="page" w:tblpXSpec="center" w:tblpY="161"/>
        <w:tblOverlap w:val="never"/>
        <w:tblW w:w="9155" w:type="dxa"/>
        <w:jc w:val="center"/>
        <w:tblLayout w:type="fixed"/>
        <w:tblCellMar>
          <w:top w:w="0" w:type="dxa"/>
          <w:left w:w="108" w:type="dxa"/>
          <w:bottom w:w="0" w:type="dxa"/>
          <w:right w:w="108" w:type="dxa"/>
        </w:tblCellMar>
      </w:tblPr>
      <w:tblGrid>
        <w:gridCol w:w="2310"/>
        <w:gridCol w:w="552"/>
        <w:gridCol w:w="572"/>
        <w:gridCol w:w="1198"/>
        <w:gridCol w:w="1603"/>
        <w:gridCol w:w="1597"/>
        <w:gridCol w:w="1323"/>
      </w:tblGrid>
      <w:tr>
        <w:tblPrEx>
          <w:tblCellMar>
            <w:top w:w="0" w:type="dxa"/>
            <w:left w:w="108" w:type="dxa"/>
            <w:bottom w:w="0" w:type="dxa"/>
            <w:right w:w="108" w:type="dxa"/>
          </w:tblCellMar>
        </w:tblPrEx>
        <w:trPr>
          <w:trHeight w:val="307" w:hRule="atLeast"/>
          <w:jc w:val="center"/>
        </w:trPr>
        <w:tc>
          <w:tcPr>
            <w:tcW w:w="9155" w:type="dxa"/>
            <w:gridSpan w:val="7"/>
            <w:tcBorders>
              <w:top w:val="nil"/>
              <w:left w:val="nil"/>
              <w:bottom w:val="nil"/>
              <w:right w:val="nil"/>
            </w:tcBorders>
            <w:shd w:val="clear" w:color="auto" w:fill="auto"/>
            <w:vAlign w:val="center"/>
          </w:tcPr>
          <w:p>
            <w:pPr>
              <w:widowControl/>
              <w:jc w:val="center"/>
              <w:textAlignment w:val="center"/>
              <w:rPr>
                <w:rFonts w:ascii="方正小标宋简体" w:hAnsi="方正小标宋简体" w:eastAsia="方正小标宋简体" w:cs="方正小标宋简体"/>
                <w:color w:val="000000"/>
                <w:sz w:val="18"/>
                <w:szCs w:val="18"/>
              </w:rPr>
            </w:pPr>
            <w:r>
              <w:rPr>
                <w:rFonts w:ascii="方正小标宋简体" w:hAnsi="方正小标宋简体" w:eastAsia="方正小标宋简体" w:cs="方正小标宋简体"/>
                <w:color w:val="000000"/>
                <w:kern w:val="0"/>
                <w:sz w:val="18"/>
                <w:szCs w:val="18"/>
              </w:rPr>
              <w:t>项目支出绩效目标自评表</w:t>
            </w:r>
          </w:p>
        </w:tc>
      </w:tr>
      <w:tr>
        <w:tblPrEx>
          <w:tblCellMar>
            <w:top w:w="0" w:type="dxa"/>
            <w:left w:w="108" w:type="dxa"/>
            <w:bottom w:w="0" w:type="dxa"/>
            <w:right w:w="108" w:type="dxa"/>
          </w:tblCellMar>
        </w:tblPrEx>
        <w:trPr>
          <w:trHeight w:val="307" w:hRule="atLeast"/>
          <w:jc w:val="center"/>
        </w:trPr>
        <w:tc>
          <w:tcPr>
            <w:tcW w:w="9155" w:type="dxa"/>
            <w:gridSpan w:val="7"/>
            <w:tcBorders>
              <w:top w:val="nil"/>
              <w:left w:val="nil"/>
              <w:bottom w:val="nil"/>
              <w:right w:val="nil"/>
            </w:tcBorders>
            <w:shd w:val="clear" w:color="auto" w:fill="auto"/>
            <w:vAlign w:val="center"/>
          </w:tcPr>
          <w:p>
            <w:pPr>
              <w:widowControl/>
              <w:jc w:val="center"/>
              <w:textAlignment w:val="center"/>
              <w:rPr>
                <w:rFonts w:ascii="宋体" w:hAnsi="宋体" w:cs="宋体"/>
                <w:color w:val="000000"/>
                <w:sz w:val="18"/>
                <w:szCs w:val="18"/>
              </w:rPr>
            </w:pPr>
            <w:r>
              <w:rPr>
                <w:rStyle w:val="36"/>
                <w:rFonts w:hint="default"/>
              </w:rPr>
              <w:t>（</w:t>
            </w:r>
            <w:r>
              <w:rPr>
                <w:rStyle w:val="37"/>
              </w:rPr>
              <w:t xml:space="preserve">    2021</w:t>
            </w:r>
            <w:r>
              <w:rPr>
                <w:rStyle w:val="36"/>
                <w:rFonts w:hint="default"/>
              </w:rPr>
              <w:t>年度）</w:t>
            </w:r>
          </w:p>
        </w:tc>
      </w:tr>
      <w:tr>
        <w:tblPrEx>
          <w:tblCellMar>
            <w:top w:w="0" w:type="dxa"/>
            <w:left w:w="108" w:type="dxa"/>
            <w:bottom w:w="0" w:type="dxa"/>
            <w:right w:w="108" w:type="dxa"/>
          </w:tblCellMar>
        </w:tblPrEx>
        <w:trPr>
          <w:trHeight w:val="365" w:hRule="atLeast"/>
          <w:jc w:val="center"/>
        </w:trPr>
        <w:tc>
          <w:tcPr>
            <w:tcW w:w="34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项目名称</w:t>
            </w:r>
          </w:p>
        </w:tc>
        <w:tc>
          <w:tcPr>
            <w:tcW w:w="57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交通行政执法工作经费</w:t>
            </w:r>
          </w:p>
        </w:tc>
      </w:tr>
      <w:tr>
        <w:tblPrEx>
          <w:tblCellMar>
            <w:top w:w="0" w:type="dxa"/>
            <w:left w:w="108" w:type="dxa"/>
            <w:bottom w:w="0" w:type="dxa"/>
            <w:right w:w="108" w:type="dxa"/>
          </w:tblCellMar>
        </w:tblPrEx>
        <w:trPr>
          <w:trHeight w:val="365" w:hRule="atLeast"/>
          <w:jc w:val="center"/>
        </w:trPr>
        <w:tc>
          <w:tcPr>
            <w:tcW w:w="34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主管单位</w:t>
            </w:r>
          </w:p>
        </w:tc>
        <w:tc>
          <w:tcPr>
            <w:tcW w:w="1198"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广元市交通运输局</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实施单位</w:t>
            </w:r>
          </w:p>
        </w:tc>
        <w:tc>
          <w:tcPr>
            <w:tcW w:w="29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广元市交通运输综合行政执法支队</w:t>
            </w:r>
          </w:p>
        </w:tc>
      </w:tr>
      <w:tr>
        <w:tblPrEx>
          <w:tblCellMar>
            <w:top w:w="0" w:type="dxa"/>
            <w:left w:w="108" w:type="dxa"/>
            <w:bottom w:w="0" w:type="dxa"/>
            <w:right w:w="108" w:type="dxa"/>
          </w:tblCellMar>
        </w:tblPrEx>
        <w:trPr>
          <w:trHeight w:val="365" w:hRule="atLeast"/>
          <w:jc w:val="center"/>
        </w:trPr>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执行情况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（万元）</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预算数：</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r>
              <w:rPr>
                <w:rFonts w:ascii="宋体" w:hAnsi="宋体" w:cs="宋体"/>
                <w:color w:val="000000"/>
                <w:sz w:val="18"/>
                <w:szCs w:val="18"/>
              </w:rPr>
              <w:t>34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执行数：</w:t>
            </w:r>
          </w:p>
        </w:tc>
        <w:tc>
          <w:tcPr>
            <w:tcW w:w="2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34</w:t>
            </w:r>
          </w:p>
        </w:tc>
      </w:tr>
      <w:tr>
        <w:tblPrEx>
          <w:tblCellMar>
            <w:top w:w="0" w:type="dxa"/>
            <w:left w:w="108" w:type="dxa"/>
            <w:bottom w:w="0" w:type="dxa"/>
            <w:right w:w="108" w:type="dxa"/>
          </w:tblCellMar>
        </w:tblPrEx>
        <w:trPr>
          <w:trHeight w:val="317" w:hRule="atLeast"/>
          <w:jc w:val="center"/>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w:t>
            </w:r>
          </w:p>
        </w:tc>
        <w:tc>
          <w:tcPr>
            <w:tcW w:w="1603" w:type="dxa"/>
            <w:tcBorders>
              <w:top w:val="single" w:color="000000" w:sz="4" w:space="0"/>
              <w:left w:val="nil"/>
              <w:bottom w:val="nil"/>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2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34</w:t>
            </w:r>
          </w:p>
        </w:tc>
      </w:tr>
      <w:tr>
        <w:tblPrEx>
          <w:tblCellMar>
            <w:top w:w="0" w:type="dxa"/>
            <w:left w:w="108" w:type="dxa"/>
            <w:bottom w:w="0" w:type="dxa"/>
            <w:right w:w="108" w:type="dxa"/>
          </w:tblCellMar>
        </w:tblPrEx>
        <w:trPr>
          <w:trHeight w:val="317" w:hRule="atLeast"/>
          <w:jc w:val="center"/>
        </w:trPr>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w:t>
            </w:r>
          </w:p>
        </w:tc>
        <w:tc>
          <w:tcPr>
            <w:tcW w:w="1603" w:type="dxa"/>
            <w:tcBorders>
              <w:top w:val="single" w:color="000000" w:sz="4" w:space="0"/>
              <w:left w:val="nil"/>
              <w:bottom w:val="nil"/>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2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w:t>
            </w:r>
          </w:p>
        </w:tc>
      </w:tr>
      <w:tr>
        <w:tblPrEx>
          <w:tblCellMar>
            <w:top w:w="0" w:type="dxa"/>
            <w:left w:w="108" w:type="dxa"/>
            <w:bottom w:w="0" w:type="dxa"/>
            <w:right w:w="108" w:type="dxa"/>
          </w:tblCellMar>
        </w:tblPrEx>
        <w:trPr>
          <w:trHeight w:val="325" w:hRule="atLeast"/>
          <w:jc w:val="center"/>
        </w:trPr>
        <w:tc>
          <w:tcPr>
            <w:tcW w:w="2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目标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完成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情况</w:t>
            </w:r>
          </w:p>
        </w:tc>
        <w:tc>
          <w:tcPr>
            <w:tcW w:w="2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预期目标</w:t>
            </w:r>
          </w:p>
        </w:tc>
        <w:tc>
          <w:tcPr>
            <w:tcW w:w="45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实际完成目标</w:t>
            </w:r>
          </w:p>
        </w:tc>
      </w:tr>
      <w:tr>
        <w:tblPrEx>
          <w:tblCellMar>
            <w:top w:w="0" w:type="dxa"/>
            <w:left w:w="108" w:type="dxa"/>
            <w:bottom w:w="0" w:type="dxa"/>
            <w:right w:w="108" w:type="dxa"/>
          </w:tblCellMar>
        </w:tblPrEx>
        <w:trPr>
          <w:trHeight w:val="914" w:hRule="atLeast"/>
          <w:jc w:val="center"/>
        </w:trPr>
        <w:tc>
          <w:tcPr>
            <w:tcW w:w="231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22" w:type="dxa"/>
            <w:gridSpan w:val="3"/>
            <w:tcBorders>
              <w:top w:val="single" w:color="000000" w:sz="4" w:space="0"/>
              <w:left w:val="single" w:color="000000" w:sz="4" w:space="0"/>
              <w:bottom w:val="single" w:color="auto" w:sz="4" w:space="0"/>
              <w:right w:val="single" w:color="000000" w:sz="4" w:space="0"/>
            </w:tcBorders>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完成罚没收入40万目标任务，用于行政执法罚没款收缴工作经费支出</w:t>
            </w:r>
          </w:p>
        </w:tc>
        <w:tc>
          <w:tcPr>
            <w:tcW w:w="4523"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完成罚没收入40万目标任务，用于行政执法罚没款收缴工作经费支出。</w:t>
            </w:r>
          </w:p>
        </w:tc>
      </w:tr>
      <w:tr>
        <w:tblPrEx>
          <w:tblCellMar>
            <w:top w:w="0" w:type="dxa"/>
            <w:left w:w="108" w:type="dxa"/>
            <w:bottom w:w="0" w:type="dxa"/>
            <w:right w:w="108" w:type="dxa"/>
          </w:tblCellMar>
        </w:tblPrEx>
        <w:trPr>
          <w:trHeight w:val="624" w:hRule="atLeast"/>
          <w:jc w:val="center"/>
        </w:trPr>
        <w:tc>
          <w:tcPr>
            <w:tcW w:w="23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绩效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指标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完成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情况</w:t>
            </w: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一级指标</w:t>
            </w:r>
          </w:p>
        </w:tc>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二级指标</w:t>
            </w: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三级指标</w:t>
            </w:r>
          </w:p>
        </w:tc>
        <w:tc>
          <w:tcPr>
            <w:tcW w:w="1603"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指标值（包含数字及文字描述）</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实际完成指标值（包含数字及文字描述）</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未完成原因及改进措施</w:t>
            </w:r>
          </w:p>
        </w:tc>
      </w:tr>
      <w:tr>
        <w:tblPrEx>
          <w:tblCellMar>
            <w:top w:w="0" w:type="dxa"/>
            <w:left w:w="108" w:type="dxa"/>
            <w:bottom w:w="0" w:type="dxa"/>
            <w:right w:w="108" w:type="dxa"/>
          </w:tblCellMar>
        </w:tblPrEx>
        <w:trPr>
          <w:trHeight w:val="624" w:hRule="atLeast"/>
          <w:jc w:val="center"/>
        </w:trPr>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5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项目完成指标</w:t>
            </w:r>
          </w:p>
        </w:tc>
        <w:tc>
          <w:tcPr>
            <w:tcW w:w="5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指标1：40万</w:t>
            </w:r>
          </w:p>
        </w:tc>
        <w:tc>
          <w:tcPr>
            <w:tcW w:w="1603"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完成非税收入征收40万的目标任务</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完成非税收入征收40万的目标任务</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55" w:hRule="atLeast"/>
          <w:jc w:val="center"/>
        </w:trPr>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5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5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指标2：确保2021年交通运输市场安全、有序</w:t>
            </w:r>
          </w:p>
        </w:tc>
        <w:tc>
          <w:tcPr>
            <w:tcW w:w="1603"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确保2021年交通运输市场安全、有序</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确保2021年交通运输市场安全、有序</w:t>
            </w:r>
          </w:p>
        </w:tc>
        <w:tc>
          <w:tcPr>
            <w:tcW w:w="1323" w:type="dxa"/>
            <w:tcBorders>
              <w:top w:val="single" w:color="000000" w:sz="4" w:space="0"/>
              <w:left w:val="nil"/>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24" w:hRule="atLeast"/>
          <w:jc w:val="center"/>
        </w:trPr>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5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5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指标3：开展行政执法工作</w:t>
            </w:r>
          </w:p>
        </w:tc>
        <w:tc>
          <w:tcPr>
            <w:tcW w:w="1603"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开展行政执法工作</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开展行政执法工作</w:t>
            </w:r>
          </w:p>
        </w:tc>
        <w:tc>
          <w:tcPr>
            <w:tcW w:w="1323" w:type="dxa"/>
            <w:tcBorders>
              <w:top w:val="single" w:color="000000" w:sz="4" w:space="0"/>
              <w:left w:val="nil"/>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24" w:hRule="atLeast"/>
          <w:jc w:val="center"/>
        </w:trPr>
        <w:tc>
          <w:tcPr>
            <w:tcW w:w="23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5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1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指标1：2021年</w:t>
            </w:r>
          </w:p>
        </w:tc>
        <w:tc>
          <w:tcPr>
            <w:tcW w:w="1603"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根据工作安排，2021年全年定期或不定期进行</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根据工作安排，2021年全年定期或不定期进行</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24" w:hRule="atLeast"/>
          <w:jc w:val="center"/>
        </w:trPr>
        <w:tc>
          <w:tcPr>
            <w:tcW w:w="2310" w:type="dxa"/>
            <w:vMerge w:val="continue"/>
            <w:tcBorders>
              <w:top w:val="single" w:color="auto" w:sz="4" w:space="0"/>
              <w:left w:val="single" w:color="auto"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552"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72" w:type="dxa"/>
            <w:tcBorders>
              <w:top w:val="single" w:color="auto"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指标</w:t>
            </w:r>
          </w:p>
        </w:tc>
        <w:tc>
          <w:tcPr>
            <w:tcW w:w="119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指标1：促进行业健康发展</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确保运输市场合法有序</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确保运输市场合法有序</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34" w:hRule="atLeast"/>
          <w:jc w:val="center"/>
        </w:trPr>
        <w:tc>
          <w:tcPr>
            <w:tcW w:w="231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指标</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1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指标1：完成各项稽查工作</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维护道路运输市场的合法有序</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维护道路运输市场的合法有序</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bl>
    <w:p/>
    <w:p>
      <w:pPr>
        <w:jc w:val="center"/>
      </w:pPr>
    </w:p>
    <w:p>
      <w:pPr>
        <w:pStyle w:val="2"/>
        <w:spacing w:before="93"/>
      </w:pPr>
    </w:p>
    <w:p>
      <w:pPr>
        <w:rPr>
          <w:rFonts w:cs="Droid Sans"/>
        </w:rPr>
      </w:pPr>
    </w:p>
    <w:p/>
    <w:p/>
    <w:p>
      <w:pPr>
        <w:pStyle w:val="2"/>
        <w:spacing w:before="93"/>
        <w:rPr>
          <w:lang w:val="zh-CN"/>
        </w:rPr>
      </w:pPr>
      <w:r>
        <w:rPr>
          <w:rFonts w:hint="eastAsia" w:hAnsi="宋体" w:cs="宋体"/>
          <w:sz w:val="32"/>
          <w:szCs w:val="32"/>
          <w:shd w:val="clear" w:color="auto" w:fill="FFFFFF"/>
          <w:lang w:val="zh-CN"/>
        </w:rPr>
        <w:t>附件</w:t>
      </w:r>
    </w:p>
    <w:p>
      <w:pPr>
        <w:spacing w:line="600" w:lineRule="exact"/>
        <w:jc w:val="center"/>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t>广元市交通运输综合行政执法支队</w:t>
      </w:r>
    </w:p>
    <w:p>
      <w:pPr>
        <w:spacing w:line="600" w:lineRule="exact"/>
        <w:jc w:val="center"/>
        <w:rPr>
          <w:rFonts w:ascii="方正小标宋简体" w:hAnsi="方正小标宋简体" w:eastAsia="方正小标宋简体" w:cs="方正小标宋简体"/>
          <w:sz w:val="40"/>
          <w:szCs w:val="40"/>
          <w:lang w:val="zh-CN"/>
        </w:rPr>
      </w:pPr>
      <w:r>
        <w:rPr>
          <w:rFonts w:ascii="方正小标宋简体" w:hAnsi="方正小标宋简体" w:eastAsia="方正小标宋简体" w:cs="方正小标宋简体"/>
          <w:sz w:val="40"/>
          <w:szCs w:val="40"/>
        </w:rPr>
        <w:t>关于</w:t>
      </w:r>
      <w:r>
        <w:rPr>
          <w:rFonts w:hint="eastAsia" w:ascii="方正小标宋简体" w:hAnsi="方正小标宋简体" w:eastAsia="方正小标宋简体" w:cs="方正小标宋简体"/>
          <w:sz w:val="40"/>
          <w:szCs w:val="40"/>
        </w:rPr>
        <w:t>2022年</w:t>
      </w:r>
      <w:r>
        <w:rPr>
          <w:rFonts w:ascii="方正小标宋简体" w:hAnsi="方正小标宋简体" w:eastAsia="方正小标宋简体" w:cs="方正小标宋简体"/>
          <w:sz w:val="40"/>
          <w:szCs w:val="40"/>
        </w:rPr>
        <w:t>协助执法人员经费</w:t>
      </w:r>
      <w:r>
        <w:rPr>
          <w:rFonts w:hint="eastAsia" w:ascii="方正小标宋简体" w:hAnsi="方正小标宋简体" w:eastAsia="方正小标宋简体" w:cs="方正小标宋简体"/>
          <w:sz w:val="40"/>
          <w:szCs w:val="40"/>
          <w:lang w:val="zh-CN"/>
        </w:rPr>
        <w:t>专项预算项目</w:t>
      </w: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lang w:val="zh-CN"/>
        </w:rPr>
        <w:t>支出绩效自评报告</w:t>
      </w:r>
    </w:p>
    <w:p>
      <w:pPr>
        <w:spacing w:line="600" w:lineRule="exact"/>
        <w:ind w:firstLine="640"/>
        <w:jc w:val="center"/>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Cs/>
          <w:sz w:val="32"/>
          <w:szCs w:val="32"/>
          <w:lang w:val="zh-CN"/>
        </w:rPr>
      </w:pPr>
      <w:r>
        <w:rPr>
          <w:rFonts w:hint="eastAsia" w:ascii="楷体_GB2312" w:hAnsi="宋体" w:eastAsia="楷体_GB2312"/>
          <w:bCs/>
          <w:sz w:val="32"/>
          <w:szCs w:val="32"/>
          <w:lang w:val="zh-CN"/>
        </w:rPr>
        <w:t>（一）项目基本情况。</w:t>
      </w:r>
    </w:p>
    <w:p>
      <w:pPr>
        <w:widowControl/>
        <w:ind w:firstLine="640" w:firstLineChars="200"/>
        <w:jc w:val="left"/>
        <w:rPr>
          <w:rFonts w:ascii="仿宋_GB2312" w:hAnsi="宋体" w:eastAsia="仿宋_GB2312"/>
          <w:sz w:val="32"/>
          <w:szCs w:val="32"/>
          <w:lang w:val="zh-CN"/>
        </w:rPr>
      </w:pPr>
      <w:r>
        <w:rPr>
          <w:rFonts w:hint="eastAsia" w:ascii="仿宋_GB2312" w:hAnsi="宋体" w:eastAsia="仿宋_GB2312"/>
          <w:sz w:val="32"/>
          <w:szCs w:val="32"/>
          <w:lang w:val="zh-CN"/>
        </w:rPr>
        <w:t>1．说明项目主管部门（单位）在该项目管理中的职能。</w:t>
      </w:r>
      <w:r>
        <w:rPr>
          <w:rFonts w:hint="eastAsia" w:ascii="仿宋_GB2312" w:hAnsi="宋体" w:eastAsia="仿宋_GB2312"/>
          <w:sz w:val="32"/>
          <w:szCs w:val="32"/>
        </w:rPr>
        <w:t>承担全市交通运输综合执法工作的组织协调和监督指导，协调组织全市跨区域案件、重大复杂疑难案件、转办交办案件的查处，负责市本级和利州区（含广元经开区）的交通运输综合执法工作。</w:t>
      </w:r>
      <w:r>
        <w:rPr>
          <w:rFonts w:ascii="仿宋_GB2312" w:hAnsi="宋体" w:eastAsia="仿宋_GB2312"/>
          <w:sz w:val="32"/>
          <w:szCs w:val="32"/>
        </w:rPr>
        <w:t>支付职工工资，保障职工合法权益。</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w:t>
      </w:r>
      <w:r>
        <w:rPr>
          <w:rFonts w:ascii="仿宋_GB2312" w:hAnsi="宋体" w:eastAsia="仿宋_GB2312"/>
          <w:sz w:val="32"/>
          <w:szCs w:val="32"/>
        </w:rPr>
        <w:t>协助执法人员</w:t>
      </w:r>
      <w:r>
        <w:rPr>
          <w:rFonts w:hint="eastAsia" w:ascii="仿宋_GB2312" w:hAnsi="宋体" w:eastAsia="仿宋_GB2312"/>
          <w:sz w:val="32"/>
          <w:szCs w:val="32"/>
        </w:rPr>
        <w:t>工作</w:t>
      </w:r>
      <w:r>
        <w:rPr>
          <w:rFonts w:hint="eastAsia" w:ascii="仿宋_GB2312" w:hAnsi="宋体" w:eastAsia="仿宋_GB2312"/>
          <w:sz w:val="32"/>
          <w:szCs w:val="32"/>
          <w:lang w:val="zh-CN"/>
        </w:rPr>
        <w:t>经费用于</w:t>
      </w:r>
      <w:r>
        <w:rPr>
          <w:rFonts w:ascii="仿宋_GB2312" w:hAnsi="宋体" w:eastAsia="仿宋_GB2312"/>
          <w:sz w:val="32"/>
          <w:szCs w:val="32"/>
        </w:rPr>
        <w:t>支付支队协助执法人员工资</w:t>
      </w:r>
      <w:r>
        <w:rPr>
          <w:rFonts w:hint="eastAsia" w:ascii="仿宋_GB2312" w:hAnsi="宋体" w:eastAsia="仿宋_GB2312"/>
          <w:sz w:val="32"/>
          <w:szCs w:val="32"/>
          <w:lang w:val="zh-CN"/>
        </w:rPr>
        <w:t>，年初预算数依据工作任务预算。</w:t>
      </w:r>
    </w:p>
    <w:p>
      <w:pPr>
        <w:adjustRightInd w:val="0"/>
        <w:snapToGrid w:val="0"/>
        <w:spacing w:line="600" w:lineRule="exact"/>
        <w:ind w:firstLine="640" w:firstLineChars="200"/>
        <w:rPr>
          <w:rFonts w:ascii="仿宋_GB2312" w:hAnsi="宋体" w:eastAsia="仿宋_GB2312"/>
          <w:sz w:val="32"/>
          <w:szCs w:val="32"/>
          <w:lang w:val="zh-CN"/>
        </w:rPr>
      </w:pPr>
      <w:r>
        <w:rPr>
          <w:rFonts w:ascii="仿宋_GB2312" w:hAnsi="宋体" w:eastAsia="仿宋_GB2312"/>
          <w:sz w:val="32"/>
          <w:szCs w:val="32"/>
        </w:rPr>
        <w:t>3</w:t>
      </w:r>
      <w:r>
        <w:rPr>
          <w:rFonts w:hint="eastAsia" w:ascii="仿宋_GB2312" w:hAnsi="宋体" w:eastAsia="仿宋_GB2312"/>
          <w:sz w:val="32"/>
          <w:szCs w:val="32"/>
          <w:lang w:val="zh-CN"/>
        </w:rPr>
        <w:t>．资金管理办法制定情况，资金支持具体项目的条件、范围与支持方式概况</w:t>
      </w:r>
      <w:r>
        <w:rPr>
          <w:rFonts w:ascii="仿宋_GB2312" w:hAnsi="宋体" w:eastAsia="仿宋_GB2312"/>
          <w:sz w:val="32"/>
          <w:szCs w:val="32"/>
        </w:rPr>
        <w:t>。支队</w:t>
      </w:r>
      <w:r>
        <w:rPr>
          <w:rFonts w:hint="eastAsia" w:ascii="仿宋_GB2312" w:hAnsi="宋体" w:eastAsia="仿宋_GB2312"/>
          <w:sz w:val="32"/>
          <w:szCs w:val="32"/>
        </w:rPr>
        <w:t>建立了财务管理制度及单位内部控制制度，</w:t>
      </w:r>
      <w:r>
        <w:rPr>
          <w:rFonts w:ascii="仿宋_GB2312" w:hAnsi="宋体" w:eastAsia="仿宋_GB2312"/>
          <w:sz w:val="32"/>
          <w:szCs w:val="32"/>
        </w:rPr>
        <w:t>交通行政执法工作</w:t>
      </w:r>
      <w:r>
        <w:rPr>
          <w:rFonts w:hint="eastAsia" w:ascii="仿宋_GB2312" w:hAnsi="宋体" w:eastAsia="仿宋_GB2312"/>
          <w:sz w:val="32"/>
          <w:szCs w:val="32"/>
        </w:rPr>
        <w:t>经费严格按照专项资金管理办法进行管理，在项目实施上严格按照预算进行项目实施，在资金支付上严格执行财务相关制度，切实做到项目资金专款专用，无挪用、占用、套取等违规现象。</w:t>
      </w:r>
    </w:p>
    <w:p>
      <w:pPr>
        <w:adjustRightInd w:val="0"/>
        <w:snapToGrid w:val="0"/>
        <w:spacing w:line="600" w:lineRule="exact"/>
        <w:ind w:firstLine="640" w:firstLineChars="200"/>
        <w:rPr>
          <w:rFonts w:ascii="仿宋_GB2312" w:hAnsi="宋体" w:eastAsia="仿宋_GB2312"/>
          <w:sz w:val="32"/>
          <w:szCs w:val="32"/>
          <w:lang w:val="zh-CN"/>
        </w:rPr>
      </w:pPr>
      <w:r>
        <w:rPr>
          <w:rFonts w:ascii="仿宋_GB2312" w:hAnsi="宋体" w:eastAsia="仿宋_GB2312"/>
          <w:sz w:val="32"/>
          <w:szCs w:val="32"/>
        </w:rPr>
        <w:t>4</w:t>
      </w:r>
      <w:r>
        <w:rPr>
          <w:rFonts w:hint="eastAsia" w:ascii="仿宋_GB2312" w:hAnsi="宋体" w:eastAsia="仿宋_GB2312"/>
          <w:sz w:val="32"/>
          <w:szCs w:val="32"/>
          <w:lang w:val="zh-CN"/>
        </w:rPr>
        <w:t>．资金分配的原则及考虑因素</w:t>
      </w:r>
      <w:r>
        <w:rPr>
          <w:rFonts w:ascii="仿宋_GB2312" w:hAnsi="宋体" w:eastAsia="仿宋_GB2312"/>
          <w:sz w:val="32"/>
          <w:szCs w:val="32"/>
        </w:rPr>
        <w:t>：</w:t>
      </w:r>
      <w:r>
        <w:rPr>
          <w:rFonts w:ascii="仿宋_GB2312" w:hAnsi="仿宋_GB2312" w:eastAsia="仿宋_GB2312" w:cs="仿宋_GB2312"/>
          <w:color w:val="333333"/>
          <w:kern w:val="0"/>
          <w:sz w:val="32"/>
          <w:szCs w:val="32"/>
        </w:rPr>
        <w:t>资金分配坚持</w:t>
      </w:r>
      <w:r>
        <w:rPr>
          <w:rFonts w:hint="eastAsia" w:ascii="仿宋_GB2312" w:hAnsi="仿宋_GB2312" w:eastAsia="仿宋_GB2312" w:cs="仿宋_GB2312"/>
          <w:color w:val="333333"/>
          <w:kern w:val="0"/>
          <w:sz w:val="32"/>
          <w:szCs w:val="32"/>
        </w:rPr>
        <w:t>“量力而行、量入为出”的原则，结合实际，</w:t>
      </w:r>
      <w:r>
        <w:rPr>
          <w:rFonts w:hint="eastAsia" w:ascii="仿宋_GB2312" w:hAnsi="宋体" w:eastAsia="仿宋_GB2312"/>
          <w:sz w:val="32"/>
          <w:szCs w:val="32"/>
          <w:lang w:val="zh-CN"/>
        </w:rPr>
        <w:t>未进行资金再分配</w:t>
      </w:r>
      <w:r>
        <w:rPr>
          <w:rFonts w:ascii="仿宋_GB2312" w:hAnsi="宋体" w:eastAsia="仿宋_GB2312"/>
          <w:sz w:val="32"/>
          <w:szCs w:val="32"/>
        </w:rPr>
        <w:t>。</w:t>
      </w:r>
    </w:p>
    <w:p>
      <w:pPr>
        <w:adjustRightInd w:val="0"/>
        <w:snapToGrid w:val="0"/>
        <w:spacing w:line="600" w:lineRule="exact"/>
        <w:ind w:firstLine="720"/>
        <w:rPr>
          <w:rFonts w:ascii="楷体_GB2312" w:hAnsi="宋体" w:eastAsia="楷体_GB2312"/>
          <w:bCs/>
          <w:sz w:val="32"/>
          <w:szCs w:val="32"/>
          <w:lang w:val="zh-CN"/>
        </w:rPr>
      </w:pPr>
      <w:r>
        <w:rPr>
          <w:rFonts w:hint="eastAsia" w:ascii="楷体_GB2312" w:hAnsi="宋体" w:eastAsia="楷体_GB2312"/>
          <w:bCs/>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w:t>
      </w:r>
      <w:r>
        <w:rPr>
          <w:rFonts w:hint="eastAsia" w:ascii="仿宋_GB2312" w:hAnsi="宋体" w:eastAsia="仿宋_GB2312"/>
          <w:sz w:val="32"/>
          <w:szCs w:val="32"/>
        </w:rPr>
        <w:t>支付单位协助执法人员工资、保险、工作经费等。</w:t>
      </w:r>
    </w:p>
    <w:p>
      <w:pPr>
        <w:adjustRightInd w:val="0"/>
        <w:snapToGrid w:val="0"/>
        <w:spacing w:line="600" w:lineRule="exact"/>
        <w:ind w:firstLine="720"/>
        <w:rPr>
          <w:rFonts w:ascii="仿宋_GB2312" w:hAnsi="宋体" w:eastAsia="仿宋_GB2312"/>
          <w:sz w:val="32"/>
          <w:szCs w:val="32"/>
        </w:rPr>
      </w:pPr>
      <w:r>
        <w:rPr>
          <w:rFonts w:hint="eastAsia" w:ascii="仿宋_GB2312" w:hAnsi="宋体" w:eastAsia="仿宋_GB2312"/>
          <w:sz w:val="32"/>
          <w:szCs w:val="32"/>
          <w:lang w:val="zh-CN"/>
        </w:rPr>
        <w:t>2．项目应实现的具体绩效目标，包括目标的量化、细化情况以及项目实施进度计划等。</w:t>
      </w:r>
      <w:r>
        <w:rPr>
          <w:rFonts w:ascii="仿宋_GB2312" w:hAnsi="宋体" w:eastAsia="仿宋_GB2312"/>
          <w:sz w:val="32"/>
          <w:szCs w:val="32"/>
        </w:rPr>
        <w:t>完成2021年度支队32名协助执法人员工资、保险、工作经费等的支出，</w:t>
      </w:r>
      <w:r>
        <w:rPr>
          <w:rFonts w:hint="eastAsia" w:ascii="仿宋_GB2312" w:hAnsi="宋体" w:eastAsia="仿宋_GB2312"/>
          <w:sz w:val="32"/>
          <w:szCs w:val="32"/>
        </w:rPr>
        <w:t>维护职工合法权益</w:t>
      </w:r>
      <w:r>
        <w:rPr>
          <w:rFonts w:ascii="仿宋_GB2312" w:hAnsi="宋体" w:eastAsia="仿宋_GB2312"/>
          <w:sz w:val="32"/>
          <w:szCs w:val="32"/>
        </w:rPr>
        <w:t>、社会稳定。</w:t>
      </w:r>
    </w:p>
    <w:p>
      <w:pPr>
        <w:widowControl/>
        <w:ind w:firstLine="640" w:firstLineChars="200"/>
        <w:jc w:val="left"/>
        <w:rPr>
          <w:rFonts w:ascii="仿宋_GB2312" w:hAnsi="宋体" w:eastAsia="仿宋_GB2312"/>
          <w:sz w:val="32"/>
          <w:szCs w:val="32"/>
          <w:lang w:val="zh-CN"/>
        </w:rPr>
      </w:pPr>
      <w:r>
        <w:rPr>
          <w:rFonts w:hint="eastAsia" w:ascii="仿宋_GB2312" w:hAnsi="宋体" w:eastAsia="仿宋_GB2312"/>
          <w:sz w:val="32"/>
          <w:szCs w:val="32"/>
          <w:lang w:val="zh-CN"/>
        </w:rPr>
        <w:t>3．</w:t>
      </w:r>
      <w:r>
        <w:rPr>
          <w:rFonts w:hint="eastAsia" w:ascii="仿宋_GB2312" w:hAnsi="宋体" w:eastAsia="仿宋_GB2312"/>
          <w:sz w:val="32"/>
          <w:szCs w:val="32"/>
        </w:rPr>
        <w:t>项目申报内容与具体实施内容相符，绩效目标设定符合实际需求，合理可行。</w:t>
      </w:r>
    </w:p>
    <w:p>
      <w:pPr>
        <w:adjustRightInd w:val="0"/>
        <w:snapToGrid w:val="0"/>
        <w:spacing w:line="600" w:lineRule="exact"/>
        <w:ind w:firstLine="720"/>
        <w:rPr>
          <w:rFonts w:ascii="楷体_GB2312" w:hAnsi="宋体" w:eastAsia="楷体_GB2312"/>
          <w:bCs/>
          <w:sz w:val="32"/>
          <w:szCs w:val="32"/>
          <w:lang w:val="zh-CN"/>
        </w:rPr>
      </w:pPr>
      <w:r>
        <w:rPr>
          <w:rFonts w:hint="eastAsia" w:ascii="楷体_GB2312" w:hAnsi="宋体" w:eastAsia="楷体_GB2312"/>
          <w:bCs/>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rPr>
        <w:t>支队</w:t>
      </w:r>
      <w:r>
        <w:rPr>
          <w:rFonts w:hint="eastAsia" w:ascii="仿宋_GB2312" w:hAnsi="宋体" w:eastAsia="仿宋_GB2312"/>
          <w:sz w:val="32"/>
          <w:szCs w:val="32"/>
          <w:lang w:val="zh-CN"/>
        </w:rPr>
        <w:t>按照</w:t>
      </w:r>
      <w:r>
        <w:rPr>
          <w:rFonts w:hint="eastAsia" w:ascii="仿宋_GB2312" w:hAnsi="宋体" w:eastAsia="仿宋_GB2312"/>
          <w:sz w:val="32"/>
          <w:szCs w:val="32"/>
        </w:rPr>
        <w:t>广元市</w:t>
      </w:r>
      <w:r>
        <w:rPr>
          <w:rFonts w:hint="eastAsia" w:ascii="仿宋_GB2312" w:hAnsi="宋体" w:eastAsia="仿宋_GB2312"/>
          <w:sz w:val="32"/>
          <w:szCs w:val="32"/>
          <w:lang w:val="zh-CN"/>
        </w:rPr>
        <w:t>财政局《关于开展202</w:t>
      </w:r>
      <w:r>
        <w:rPr>
          <w:rFonts w:hint="eastAsia" w:ascii="仿宋_GB2312" w:hAnsi="宋体" w:eastAsia="仿宋_GB2312"/>
          <w:sz w:val="32"/>
          <w:szCs w:val="32"/>
        </w:rPr>
        <w:t>2</w:t>
      </w:r>
      <w:r>
        <w:rPr>
          <w:rFonts w:hint="eastAsia" w:ascii="仿宋_GB2312" w:hAnsi="宋体" w:eastAsia="仿宋_GB2312"/>
          <w:sz w:val="32"/>
          <w:szCs w:val="32"/>
          <w:lang w:val="zh-CN"/>
        </w:rPr>
        <w:t>年</w:t>
      </w:r>
      <w:r>
        <w:rPr>
          <w:rFonts w:hint="eastAsia" w:ascii="仿宋_GB2312" w:hAnsi="宋体" w:eastAsia="仿宋_GB2312"/>
          <w:sz w:val="32"/>
          <w:szCs w:val="32"/>
        </w:rPr>
        <w:t>部门、政策和项目</w:t>
      </w:r>
      <w:r>
        <w:rPr>
          <w:rFonts w:hint="eastAsia" w:ascii="仿宋_GB2312" w:hAnsi="宋体" w:eastAsia="仿宋_GB2312"/>
          <w:sz w:val="32"/>
          <w:szCs w:val="32"/>
          <w:lang w:val="zh-CN"/>
        </w:rPr>
        <w:t>支出</w:t>
      </w:r>
      <w:r>
        <w:rPr>
          <w:rFonts w:hint="eastAsia" w:ascii="仿宋_GB2312" w:hAnsi="宋体" w:eastAsia="仿宋_GB2312"/>
          <w:sz w:val="32"/>
          <w:szCs w:val="32"/>
        </w:rPr>
        <w:t>自评</w:t>
      </w:r>
      <w:r>
        <w:rPr>
          <w:rFonts w:hint="eastAsia" w:ascii="仿宋_GB2312" w:hAnsi="宋体" w:eastAsia="仿宋_GB2312"/>
          <w:sz w:val="32"/>
          <w:szCs w:val="32"/>
          <w:lang w:val="zh-CN"/>
        </w:rPr>
        <w:t>工作的通知</w:t>
      </w:r>
      <w:r>
        <w:rPr>
          <w:rFonts w:ascii="仿宋_GB2312" w:hAnsi="宋体" w:eastAsia="仿宋_GB2312"/>
          <w:sz w:val="32"/>
          <w:szCs w:val="32"/>
          <w:lang w:val="zh-CN"/>
        </w:rPr>
        <w:t>》（</w:t>
      </w:r>
      <w:r>
        <w:rPr>
          <w:rFonts w:hint="eastAsia" w:ascii="仿宋_GB2312" w:hAnsi="宋体" w:eastAsia="仿宋_GB2312"/>
          <w:sz w:val="32"/>
          <w:szCs w:val="32"/>
        </w:rPr>
        <w:t>广财绩</w:t>
      </w:r>
      <w:r>
        <w:rPr>
          <w:rFonts w:hint="eastAsia" w:ascii="仿宋_GB2312" w:hAnsi="宋体" w:eastAsia="仿宋_GB2312"/>
          <w:sz w:val="32"/>
          <w:szCs w:val="32"/>
          <w:lang w:val="zh-CN"/>
        </w:rPr>
        <w:t>〔202</w:t>
      </w:r>
      <w:r>
        <w:rPr>
          <w:rFonts w:hint="eastAsia" w:ascii="仿宋_GB2312" w:hAnsi="宋体" w:eastAsia="仿宋_GB2312"/>
          <w:sz w:val="32"/>
          <w:szCs w:val="32"/>
        </w:rPr>
        <w:t>2</w:t>
      </w:r>
      <w:r>
        <w:rPr>
          <w:rFonts w:hint="eastAsia" w:ascii="仿宋_GB2312" w:hAnsi="宋体" w:eastAsia="仿宋_GB2312"/>
          <w:sz w:val="32"/>
          <w:szCs w:val="32"/>
          <w:lang w:val="zh-CN"/>
        </w:rPr>
        <w:t>〕</w:t>
      </w:r>
      <w:r>
        <w:rPr>
          <w:rFonts w:hint="eastAsia" w:ascii="仿宋_GB2312" w:hAnsi="宋体" w:eastAsia="仿宋_GB2312"/>
          <w:sz w:val="32"/>
          <w:szCs w:val="32"/>
        </w:rPr>
        <w:t>8</w:t>
      </w:r>
      <w:r>
        <w:rPr>
          <w:rFonts w:hint="eastAsia" w:ascii="仿宋_GB2312" w:hAnsi="宋体" w:eastAsia="仿宋_GB2312"/>
          <w:sz w:val="32"/>
          <w:szCs w:val="32"/>
          <w:lang w:val="zh-CN"/>
        </w:rPr>
        <w:t>号</w:t>
      </w:r>
      <w:r>
        <w:rPr>
          <w:rFonts w:ascii="仿宋_GB2312" w:hAnsi="宋体" w:eastAsia="仿宋_GB2312"/>
          <w:sz w:val="32"/>
          <w:szCs w:val="32"/>
          <w:lang w:val="zh-CN"/>
        </w:rPr>
        <w:t>）文件要求，认真开展项目自评工作，按照评价指标体系的要求，对照实施项目的内容逐条逐项自评。</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Cs/>
          <w:sz w:val="32"/>
          <w:szCs w:val="32"/>
          <w:lang w:val="zh-CN"/>
        </w:rPr>
      </w:pPr>
      <w:r>
        <w:rPr>
          <w:rFonts w:hint="eastAsia" w:ascii="楷体_GB2312" w:hAnsi="宋体" w:eastAsia="楷体_GB2312"/>
          <w:bCs/>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28"/>
        </w:rPr>
        <w:t>202</w:t>
      </w:r>
      <w:r>
        <w:rPr>
          <w:rFonts w:ascii="仿宋_GB2312" w:hAnsi="宋体" w:eastAsia="仿宋_GB2312"/>
          <w:sz w:val="32"/>
          <w:szCs w:val="28"/>
        </w:rPr>
        <w:t>1</w:t>
      </w:r>
      <w:r>
        <w:rPr>
          <w:rFonts w:hint="eastAsia" w:ascii="仿宋_GB2312" w:hAnsi="宋体" w:eastAsia="仿宋_GB2312"/>
          <w:sz w:val="32"/>
          <w:szCs w:val="28"/>
        </w:rPr>
        <w:t>年</w:t>
      </w:r>
      <w:r>
        <w:rPr>
          <w:rFonts w:ascii="仿宋_GB2312" w:hAnsi="宋体" w:eastAsia="仿宋_GB2312"/>
          <w:sz w:val="32"/>
          <w:szCs w:val="28"/>
        </w:rPr>
        <w:t>交协助执法人员</w:t>
      </w:r>
      <w:r>
        <w:rPr>
          <w:rFonts w:hint="eastAsia" w:ascii="仿宋_GB2312" w:hAnsi="宋体" w:eastAsia="仿宋_GB2312"/>
          <w:sz w:val="32"/>
          <w:szCs w:val="28"/>
        </w:rPr>
        <w:t>经费预算</w:t>
      </w:r>
      <w:r>
        <w:rPr>
          <w:rFonts w:ascii="仿宋_GB2312" w:hAnsi="宋体" w:eastAsia="仿宋_GB2312"/>
          <w:sz w:val="32"/>
          <w:szCs w:val="28"/>
        </w:rPr>
        <w:t>103</w:t>
      </w:r>
      <w:r>
        <w:rPr>
          <w:rFonts w:hint="eastAsia" w:ascii="仿宋_GB2312" w:hAnsi="宋体" w:eastAsia="仿宋_GB2312"/>
          <w:sz w:val="32"/>
          <w:szCs w:val="28"/>
        </w:rPr>
        <w:t>万元，经市财政局批复同意设立。</w:t>
      </w:r>
    </w:p>
    <w:p>
      <w:pPr>
        <w:adjustRightInd w:val="0"/>
        <w:snapToGrid w:val="0"/>
        <w:spacing w:line="600" w:lineRule="exact"/>
        <w:ind w:firstLine="720"/>
        <w:rPr>
          <w:rFonts w:ascii="仿宋_GB2312" w:hAnsi="宋体" w:eastAsia="仿宋_GB2312"/>
          <w:bCs/>
          <w:sz w:val="32"/>
          <w:szCs w:val="32"/>
          <w:lang w:val="zh-CN"/>
        </w:rPr>
      </w:pPr>
      <w:r>
        <w:rPr>
          <w:rFonts w:hint="eastAsia" w:ascii="楷体_GB2312" w:hAnsi="宋体" w:eastAsia="楷体_GB2312"/>
          <w:bCs/>
          <w:sz w:val="32"/>
          <w:szCs w:val="32"/>
          <w:lang w:val="zh-CN"/>
        </w:rPr>
        <w:t>（二）资金计划、到位及使用情况。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ascii="仿宋_GB2312" w:hAnsi="宋体" w:eastAsia="仿宋_GB2312"/>
          <w:sz w:val="32"/>
          <w:szCs w:val="32"/>
        </w:rPr>
        <w:t>协助执法人员</w:t>
      </w:r>
      <w:r>
        <w:rPr>
          <w:rFonts w:hint="eastAsia" w:ascii="仿宋_GB2312" w:hAnsi="宋体" w:eastAsia="仿宋_GB2312"/>
          <w:sz w:val="32"/>
          <w:szCs w:val="32"/>
          <w:lang w:val="zh-CN"/>
        </w:rPr>
        <w:t>工作经费项目资金预算金额为</w:t>
      </w:r>
      <w:r>
        <w:rPr>
          <w:rFonts w:ascii="仿宋_GB2312" w:hAnsi="宋体" w:eastAsia="仿宋_GB2312"/>
          <w:sz w:val="32"/>
          <w:szCs w:val="32"/>
        </w:rPr>
        <w:t>103</w:t>
      </w:r>
      <w:r>
        <w:rPr>
          <w:rFonts w:hint="eastAsia" w:ascii="仿宋_GB2312" w:hAnsi="宋体" w:eastAsia="仿宋_GB2312"/>
          <w:sz w:val="32"/>
          <w:szCs w:val="32"/>
          <w:lang w:val="zh-CN"/>
        </w:rPr>
        <w:t>万元，资金来源为市财政资金。</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资金到位及时，到位率为100%。</w:t>
      </w:r>
    </w:p>
    <w:p>
      <w:pPr>
        <w:adjustRightInd w:val="0"/>
        <w:snapToGrid w:val="0"/>
        <w:spacing w:line="576"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3．资金使用。</w:t>
      </w:r>
      <w:r>
        <w:rPr>
          <w:rFonts w:ascii="仿宋_GB2312" w:hAnsi="宋体" w:eastAsia="仿宋_GB2312"/>
          <w:sz w:val="32"/>
          <w:szCs w:val="32"/>
          <w:lang w:val="zh-CN"/>
        </w:rPr>
        <w:t>协助执法人员经费项目资金截至2021年12月使用金额为103万元，剩余资金0万元，支付进度100%。资金用于支付单位30名协助执法人员工资、保险、工作经费等，维护职工合法权益，保障社会稳定。资金支付严格遵循财政资金支付规定，支付依据合规合法，资金支付与预算相符</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Cs/>
          <w:sz w:val="32"/>
          <w:szCs w:val="32"/>
          <w:lang w:val="zh-CN"/>
        </w:rPr>
      </w:pPr>
      <w:r>
        <w:rPr>
          <w:rFonts w:hint="eastAsia" w:ascii="楷体_GB2312" w:hAnsi="宋体" w:eastAsia="楷体_GB2312"/>
          <w:bCs/>
          <w:sz w:val="32"/>
          <w:szCs w:val="32"/>
          <w:lang w:val="zh-CN"/>
        </w:rPr>
        <w:t>（三）项目财务管理情况。</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支队财务管理制度健全，严格执行了财务管理制度，账务处理及时，会计核算规范。支队严格执行各项财务管理制度，保证项目经费专款专用，进一步完善财务管理各项规章制度建设，加强内部机构设置。财务科全面负责项目资金的会计核算和账务处理工作，对照项目资金管理办法进行支出。</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widowControl/>
        <w:ind w:firstLine="640" w:firstLineChars="200"/>
        <w:jc w:val="left"/>
        <w:rPr>
          <w:rFonts w:ascii="楷体_GB2312" w:hAnsi="宋体" w:eastAsia="楷体_GB2312"/>
          <w:b/>
          <w:sz w:val="32"/>
          <w:szCs w:val="32"/>
        </w:rPr>
      </w:pPr>
      <w:r>
        <w:rPr>
          <w:rFonts w:hint="eastAsia" w:ascii="楷体_GB2312" w:hAnsi="宋体" w:eastAsia="楷体_GB2312"/>
          <w:bCs/>
          <w:sz w:val="32"/>
          <w:szCs w:val="32"/>
          <w:lang w:val="zh-CN"/>
        </w:rPr>
        <w:t>（一）项目组织架构及实施流程。</w:t>
      </w:r>
      <w:r>
        <w:rPr>
          <w:rFonts w:ascii="仿宋_GB2312" w:hAnsi="宋体" w:eastAsia="仿宋_GB2312"/>
          <w:sz w:val="32"/>
          <w:szCs w:val="32"/>
        </w:rPr>
        <w:t>协助执法人员</w:t>
      </w:r>
      <w:r>
        <w:rPr>
          <w:rFonts w:hint="eastAsia" w:ascii="仿宋_GB2312" w:hAnsi="宋体" w:eastAsia="仿宋_GB2312"/>
          <w:sz w:val="32"/>
          <w:szCs w:val="32"/>
        </w:rPr>
        <w:t>经费项目由</w:t>
      </w:r>
      <w:r>
        <w:rPr>
          <w:rFonts w:ascii="仿宋_GB2312" w:hAnsi="宋体" w:eastAsia="仿宋_GB2312"/>
          <w:sz w:val="32"/>
          <w:szCs w:val="32"/>
        </w:rPr>
        <w:t>队伍建设科</w:t>
      </w:r>
      <w:r>
        <w:rPr>
          <w:rFonts w:hint="eastAsia" w:ascii="仿宋_GB2312" w:hAnsi="宋体" w:eastAsia="仿宋_GB2312"/>
          <w:sz w:val="32"/>
          <w:szCs w:val="32"/>
        </w:rPr>
        <w:t>负责，资金使用由办公室、</w:t>
      </w:r>
      <w:r>
        <w:rPr>
          <w:rFonts w:ascii="仿宋_GB2312" w:hAnsi="宋体" w:eastAsia="仿宋_GB2312"/>
          <w:sz w:val="32"/>
          <w:szCs w:val="32"/>
        </w:rPr>
        <w:t>财务装备</w:t>
      </w:r>
      <w:r>
        <w:rPr>
          <w:rFonts w:hint="eastAsia" w:ascii="仿宋_GB2312" w:hAnsi="宋体" w:eastAsia="仿宋_GB2312"/>
          <w:sz w:val="32"/>
          <w:szCs w:val="32"/>
        </w:rPr>
        <w:t>科组织实施。</w:t>
      </w:r>
      <w:r>
        <w:rPr>
          <w:rFonts w:ascii="仿宋_GB2312" w:hAnsi="宋体" w:eastAsia="仿宋_GB2312"/>
          <w:sz w:val="32"/>
          <w:szCs w:val="32"/>
        </w:rPr>
        <w:t>截至2021年12月底，完成支队全年协助执法人员工资发放、社会保险费用缴纳等支出。</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Cs/>
          <w:sz w:val="32"/>
          <w:szCs w:val="32"/>
          <w:lang w:val="zh-CN"/>
        </w:rPr>
        <w:t>（二）项目管理情况。</w:t>
      </w:r>
      <w:r>
        <w:rPr>
          <w:rFonts w:hint="eastAsia" w:ascii="仿宋_GB2312" w:hAnsi="宋体" w:eastAsia="仿宋_GB2312"/>
          <w:bCs/>
          <w:sz w:val="32"/>
          <w:szCs w:val="28"/>
        </w:rPr>
        <w:t>在</w:t>
      </w:r>
      <w:r>
        <w:rPr>
          <w:rFonts w:hint="eastAsia" w:ascii="仿宋_GB2312" w:hAnsi="宋体" w:eastAsia="仿宋_GB2312"/>
          <w:sz w:val="32"/>
          <w:szCs w:val="28"/>
        </w:rPr>
        <w:t>项目资金使用中，</w:t>
      </w:r>
      <w:r>
        <w:rPr>
          <w:rFonts w:ascii="仿宋_GB2312" w:hAnsi="宋体" w:eastAsia="仿宋_GB2312"/>
          <w:sz w:val="32"/>
          <w:szCs w:val="28"/>
        </w:rPr>
        <w:t>支队</w:t>
      </w:r>
      <w:r>
        <w:rPr>
          <w:rFonts w:hint="eastAsia" w:ascii="仿宋_GB2312" w:hAnsi="宋体" w:eastAsia="仿宋_GB2312"/>
          <w:sz w:val="32"/>
          <w:szCs w:val="28"/>
        </w:rPr>
        <w:t>严格执行相关法律法规，项目从立项、公开、组织实施均严格按相关规定执行，符合国家及财政相关政策规定，项目申报符合国家政策，符合地方经济社会的发展需要，具有明确的项目实施主体及实施决策程序。同时，</w:t>
      </w:r>
      <w:r>
        <w:rPr>
          <w:rFonts w:ascii="仿宋_GB2312" w:hAnsi="宋体" w:eastAsia="仿宋_GB2312"/>
          <w:sz w:val="32"/>
          <w:szCs w:val="28"/>
        </w:rPr>
        <w:t>支队</w:t>
      </w:r>
      <w:r>
        <w:rPr>
          <w:rFonts w:hint="eastAsia" w:ascii="仿宋_GB2312" w:hAnsi="宋体" w:eastAsia="仿宋_GB2312"/>
          <w:sz w:val="32"/>
          <w:szCs w:val="28"/>
        </w:rPr>
        <w:t>制定了较完整的内部建设管理制度，并严格遵守执行，项目管理较规范</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Cs/>
          <w:sz w:val="32"/>
          <w:szCs w:val="32"/>
          <w:lang w:val="zh-CN"/>
        </w:rPr>
        <w:t>（三）项目监管情况。</w:t>
      </w:r>
      <w:r>
        <w:rPr>
          <w:rFonts w:hint="eastAsia" w:ascii="仿宋_GB2312" w:hAnsi="宋体" w:eastAsia="仿宋_GB2312"/>
          <w:sz w:val="32"/>
          <w:szCs w:val="32"/>
          <w:lang w:val="zh-CN"/>
        </w:rPr>
        <w:t>支队严格按照相关法律法规和程序，对质量、安全和项目进度进行全过程、全方位的监督管理，努力化解风险，提高工作效率，明确规范管理，强化责任，确保安全，保证质量的指导思想，思想观念不放松，严格把好绩效项目实施过程关口。</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Cs/>
          <w:sz w:val="32"/>
          <w:szCs w:val="32"/>
          <w:lang w:val="zh-CN"/>
        </w:rPr>
      </w:pPr>
      <w:r>
        <w:rPr>
          <w:rFonts w:hint="eastAsia" w:ascii="楷体_GB2312" w:hAnsi="宋体" w:eastAsia="楷体_GB2312"/>
          <w:bCs/>
          <w:sz w:val="32"/>
          <w:szCs w:val="32"/>
          <w:lang w:val="zh-CN"/>
        </w:rPr>
        <w:t>（一）项目完成情况。</w:t>
      </w:r>
    </w:p>
    <w:p>
      <w:pPr>
        <w:adjustRightInd w:val="0"/>
        <w:snapToGrid w:val="0"/>
        <w:spacing w:line="600" w:lineRule="exact"/>
        <w:ind w:firstLine="720"/>
        <w:rPr>
          <w:rFonts w:ascii="仿宋_GB2312" w:hAnsi="宋体" w:eastAsia="仿宋_GB2312"/>
          <w:bCs/>
          <w:sz w:val="32"/>
          <w:szCs w:val="32"/>
          <w:lang w:val="zh-CN"/>
        </w:rPr>
      </w:pPr>
      <w:r>
        <w:rPr>
          <w:rFonts w:ascii="仿宋_GB2312" w:hAnsi="宋体" w:eastAsia="仿宋_GB2312"/>
          <w:bCs/>
          <w:sz w:val="32"/>
          <w:szCs w:val="32"/>
          <w:lang w:val="zh-CN"/>
        </w:rPr>
        <w:t>截至2021年年底，支队完成对32名协助执法人员工资的支付及社会保险费用的缴纳。绩效目标全部完成，完成率达100%，项目成本控制在预算资金范围内，无结余资金</w:t>
      </w:r>
      <w:r>
        <w:rPr>
          <w:rFonts w:hint="eastAsia" w:ascii="仿宋_GB2312" w:hAnsi="宋体" w:eastAsia="仿宋_GB2312"/>
          <w:bCs/>
          <w:sz w:val="32"/>
          <w:szCs w:val="32"/>
          <w:lang w:val="zh-CN"/>
        </w:rPr>
        <w:t>。</w:t>
      </w:r>
    </w:p>
    <w:p>
      <w:pPr>
        <w:adjustRightInd w:val="0"/>
        <w:snapToGrid w:val="0"/>
        <w:spacing w:line="600" w:lineRule="exact"/>
        <w:ind w:firstLine="720"/>
        <w:rPr>
          <w:rFonts w:ascii="楷体_GB2312" w:hAnsi="宋体" w:eastAsia="楷体_GB2312"/>
          <w:bCs/>
          <w:sz w:val="32"/>
          <w:szCs w:val="32"/>
          <w:lang w:val="zh-CN"/>
        </w:rPr>
      </w:pPr>
      <w:r>
        <w:rPr>
          <w:rFonts w:hint="eastAsia" w:ascii="楷体_GB2312" w:hAnsi="宋体" w:eastAsia="楷体_GB2312"/>
          <w:bCs/>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保障了行政执法工作的正常开展，</w:t>
      </w:r>
      <w:r>
        <w:rPr>
          <w:rFonts w:ascii="仿宋_GB2312" w:hAnsi="宋体" w:eastAsia="仿宋_GB2312"/>
          <w:sz w:val="32"/>
          <w:szCs w:val="32"/>
        </w:rPr>
        <w:t>维护了职工合法权益、维护了社会稳定，职工满意度良好</w:t>
      </w:r>
      <w:r>
        <w:rPr>
          <w:rFonts w:hint="eastAsia" w:ascii="仿宋_GB2312" w:hAnsi="宋体" w:eastAsia="仿宋_GB2312"/>
          <w:sz w:val="32"/>
          <w:szCs w:val="32"/>
          <w:lang w:val="zh-CN"/>
        </w:rPr>
        <w:t>。</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Cs/>
          <w:sz w:val="32"/>
          <w:szCs w:val="32"/>
          <w:lang w:val="zh-CN"/>
        </w:rPr>
      </w:pPr>
      <w:r>
        <w:rPr>
          <w:rFonts w:hint="eastAsia" w:ascii="楷体_GB2312" w:hAnsi="宋体" w:eastAsia="楷体_GB2312"/>
          <w:bCs/>
          <w:sz w:val="32"/>
          <w:szCs w:val="32"/>
          <w:lang w:val="zh-CN"/>
        </w:rPr>
        <w:t>（一）评价结论。</w:t>
      </w:r>
    </w:p>
    <w:p>
      <w:pPr>
        <w:pStyle w:val="16"/>
        <w:widowControl/>
        <w:spacing w:beforeAutospacing="0" w:afterAutospacing="0" w:line="600" w:lineRule="atLeast"/>
        <w:ind w:firstLine="640"/>
        <w:jc w:val="both"/>
        <w:rPr>
          <w:rFonts w:ascii="仿宋_GB2312" w:hAnsi="宋体" w:eastAsia="仿宋_GB2312"/>
          <w:bCs/>
          <w:kern w:val="2"/>
          <w:sz w:val="32"/>
          <w:szCs w:val="32"/>
          <w:lang w:val="zh-CN"/>
        </w:rPr>
      </w:pPr>
      <w:r>
        <w:rPr>
          <w:rFonts w:hint="eastAsia" w:ascii="仿宋_GB2312" w:hAnsi="宋体" w:eastAsia="仿宋_GB2312"/>
          <w:bCs/>
          <w:kern w:val="2"/>
          <w:sz w:val="32"/>
          <w:szCs w:val="32"/>
          <w:lang w:val="zh-CN"/>
        </w:rPr>
        <w:t>根据绩效指标评价，</w:t>
      </w:r>
      <w:r>
        <w:rPr>
          <w:rFonts w:ascii="仿宋_GB2312" w:hAnsi="宋体" w:eastAsia="仿宋_GB2312"/>
          <w:bCs/>
          <w:kern w:val="2"/>
          <w:sz w:val="32"/>
          <w:szCs w:val="32"/>
        </w:rPr>
        <w:t>支队年初既定绩效目标基本完成</w:t>
      </w:r>
      <w:r>
        <w:rPr>
          <w:rFonts w:hint="eastAsia" w:ascii="仿宋_GB2312" w:hAnsi="宋体" w:eastAsia="仿宋_GB2312"/>
          <w:bCs/>
          <w:kern w:val="2"/>
          <w:sz w:val="32"/>
          <w:szCs w:val="32"/>
          <w:lang w:val="zh-CN"/>
        </w:rPr>
        <w:t>。通过自评，从整体情况来看，</w:t>
      </w:r>
      <w:r>
        <w:rPr>
          <w:rFonts w:ascii="仿宋_GB2312" w:hAnsi="宋体" w:eastAsia="仿宋_GB2312"/>
          <w:bCs/>
          <w:kern w:val="2"/>
          <w:sz w:val="32"/>
          <w:szCs w:val="32"/>
        </w:rPr>
        <w:t>支队</w:t>
      </w:r>
      <w:r>
        <w:rPr>
          <w:rFonts w:hint="eastAsia" w:ascii="仿宋_GB2312" w:hAnsi="宋体" w:eastAsia="仿宋_GB2312"/>
          <w:bCs/>
          <w:kern w:val="2"/>
          <w:sz w:val="32"/>
          <w:szCs w:val="32"/>
          <w:lang w:val="zh-CN"/>
        </w:rPr>
        <w:t>高度重视财政资金的支出绩效，在资金预算、审批、执行、支付等方面都做到了层层把关，严格按照单位预算进行整体支出，严格执行资金管理相关规定及单位财务制度，所有项目资金严格按照项目申报的实施方案组织实施，并加强对项目实施全过程的日常监督，切实做到项目资金专款专用，无挪用、占用、套取等违规现象。项目支出产生的效益显著，达到了预期的资金使用效果。</w:t>
      </w:r>
      <w:r>
        <w:rPr>
          <w:rFonts w:ascii="仿宋_GB2312" w:hAnsi="宋体" w:eastAsia="仿宋_GB2312"/>
          <w:bCs/>
          <w:kern w:val="2"/>
          <w:sz w:val="32"/>
          <w:szCs w:val="32"/>
        </w:rPr>
        <w:t>保障了协助执法人员的合法权益</w:t>
      </w:r>
      <w:r>
        <w:rPr>
          <w:rFonts w:hint="eastAsia" w:ascii="仿宋_GB2312" w:hAnsi="宋体" w:eastAsia="仿宋_GB2312"/>
          <w:bCs/>
          <w:kern w:val="2"/>
          <w:sz w:val="32"/>
          <w:szCs w:val="32"/>
          <w:lang w:val="zh-CN"/>
        </w:rPr>
        <w:t>，</w:t>
      </w:r>
      <w:r>
        <w:rPr>
          <w:rFonts w:ascii="仿宋_GB2312" w:hAnsi="宋体" w:eastAsia="仿宋_GB2312"/>
          <w:bCs/>
          <w:kern w:val="2"/>
          <w:sz w:val="32"/>
          <w:szCs w:val="32"/>
        </w:rPr>
        <w:t>职工满意度达到良好</w:t>
      </w:r>
      <w:r>
        <w:rPr>
          <w:rFonts w:hint="eastAsia" w:ascii="仿宋_GB2312" w:hAnsi="宋体" w:eastAsia="仿宋_GB2312"/>
          <w:bCs/>
          <w:kern w:val="2"/>
          <w:sz w:val="32"/>
          <w:szCs w:val="32"/>
          <w:lang w:val="zh-CN"/>
        </w:rPr>
        <w:t>。</w:t>
      </w:r>
    </w:p>
    <w:p>
      <w:pPr>
        <w:adjustRightInd w:val="0"/>
        <w:snapToGrid w:val="0"/>
        <w:spacing w:line="600" w:lineRule="exact"/>
        <w:ind w:firstLine="720"/>
        <w:rPr>
          <w:rFonts w:ascii="楷体_GB2312" w:hAnsi="宋体" w:eastAsia="楷体_GB2312"/>
          <w:bCs/>
          <w:sz w:val="32"/>
          <w:szCs w:val="32"/>
          <w:lang w:val="zh-CN"/>
        </w:rPr>
      </w:pPr>
      <w:r>
        <w:rPr>
          <w:rFonts w:hint="eastAsia" w:ascii="楷体_GB2312" w:hAnsi="宋体" w:eastAsia="楷体_GB2312"/>
          <w:bCs/>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bCs/>
          <w:sz w:val="32"/>
          <w:szCs w:val="32"/>
          <w:lang w:val="zh-CN"/>
        </w:rPr>
        <w:t>在预算编制环节，预算支出</w:t>
      </w:r>
      <w:r>
        <w:rPr>
          <w:rFonts w:hint="eastAsia" w:ascii="仿宋_GB2312" w:hAnsi="宋体" w:eastAsia="仿宋_GB2312"/>
          <w:sz w:val="32"/>
          <w:szCs w:val="32"/>
          <w:lang w:val="zh-CN"/>
        </w:rPr>
        <w:t>项目金额和实际支出存在差异，这是由于预算编制经验不足导致，未能全面反映重点工作项目预算内容。</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Cs/>
          <w:sz w:val="32"/>
          <w:szCs w:val="32"/>
          <w:lang w:val="zh-CN"/>
        </w:rPr>
      </w:pPr>
      <w:r>
        <w:rPr>
          <w:rFonts w:hint="eastAsia" w:ascii="楷体_GB2312" w:hAnsi="宋体" w:eastAsia="楷体_GB2312"/>
          <w:bCs/>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bCs/>
          <w:sz w:val="32"/>
          <w:szCs w:val="32"/>
          <w:lang w:val="zh-CN"/>
        </w:rPr>
        <w:t>根据国家政策准确</w:t>
      </w:r>
      <w:ins w:id="4" w:author="优钵罗华86nlss" w:date="2023-06-13T15:50:09Z">
        <w:r>
          <w:rPr>
            <w:rFonts w:hint="eastAsia" w:ascii="仿宋_GB2312" w:hAnsi="宋体" w:eastAsia="仿宋_GB2312"/>
            <w:bCs/>
            <w:sz w:val="32"/>
            <w:szCs w:val="32"/>
            <w:lang w:val="zh-CN"/>
          </w:rPr>
          <w:t>无误地上报</w:t>
        </w:r>
      </w:ins>
      <w:r>
        <w:rPr>
          <w:rFonts w:hint="eastAsia" w:ascii="仿宋_GB2312" w:hAnsi="宋体" w:eastAsia="仿宋_GB2312"/>
          <w:sz w:val="32"/>
          <w:szCs w:val="32"/>
          <w:lang w:val="zh-CN"/>
        </w:rPr>
        <w:t>预算数据，避免不再出现预算调整或追加预算情况发生。</w:t>
      </w:r>
    </w:p>
    <w:p>
      <w:pPr>
        <w:pStyle w:val="2"/>
        <w:spacing w:before="93"/>
      </w:pPr>
    </w:p>
    <w:tbl>
      <w:tblPr>
        <w:tblStyle w:val="18"/>
        <w:tblpPr w:leftFromText="180" w:rightFromText="180" w:vertAnchor="text" w:horzAnchor="page" w:tblpXSpec="center" w:tblpY="655"/>
        <w:tblOverlap w:val="never"/>
        <w:tblW w:w="9336" w:type="dxa"/>
        <w:jc w:val="center"/>
        <w:tblLayout w:type="fixed"/>
        <w:tblCellMar>
          <w:top w:w="0" w:type="dxa"/>
          <w:left w:w="108" w:type="dxa"/>
          <w:bottom w:w="0" w:type="dxa"/>
          <w:right w:w="108" w:type="dxa"/>
        </w:tblCellMar>
      </w:tblPr>
      <w:tblGrid>
        <w:gridCol w:w="3996"/>
        <w:gridCol w:w="490"/>
        <w:gridCol w:w="725"/>
        <w:gridCol w:w="1136"/>
        <w:gridCol w:w="1053"/>
        <w:gridCol w:w="1053"/>
        <w:gridCol w:w="883"/>
      </w:tblGrid>
      <w:tr>
        <w:tblPrEx>
          <w:tblCellMar>
            <w:top w:w="0" w:type="dxa"/>
            <w:left w:w="108" w:type="dxa"/>
            <w:bottom w:w="0" w:type="dxa"/>
            <w:right w:w="108" w:type="dxa"/>
          </w:tblCellMar>
        </w:tblPrEx>
        <w:trPr>
          <w:trHeight w:val="305" w:hRule="atLeast"/>
          <w:jc w:val="center"/>
        </w:trPr>
        <w:tc>
          <w:tcPr>
            <w:tcW w:w="9336" w:type="dxa"/>
            <w:gridSpan w:val="7"/>
            <w:tcBorders>
              <w:top w:val="nil"/>
              <w:left w:val="nil"/>
              <w:bottom w:val="nil"/>
              <w:right w:val="nil"/>
            </w:tcBorders>
            <w:shd w:val="clear" w:color="auto" w:fill="auto"/>
            <w:vAlign w:val="center"/>
          </w:tcPr>
          <w:p>
            <w:pPr>
              <w:pStyle w:val="2"/>
              <w:spacing w:before="93"/>
            </w:pPr>
            <w:r>
              <w:rPr>
                <w:rFonts w:hint="eastAsia" w:ascii="黑体" w:hAnsi="黑体" w:eastAsia="黑体" w:cs="黑体"/>
                <w:sz w:val="32"/>
                <w:szCs w:val="32"/>
              </w:rPr>
              <w:t>附表</w:t>
            </w:r>
          </w:p>
          <w:p>
            <w:pPr>
              <w:widowControl/>
              <w:jc w:val="center"/>
              <w:textAlignment w:val="center"/>
              <w:rPr>
                <w:rFonts w:ascii="方正小标宋简体" w:hAnsi="方正小标宋简体" w:eastAsia="方正小标宋简体" w:cs="方正小标宋简体"/>
                <w:color w:val="000000"/>
                <w:sz w:val="18"/>
                <w:szCs w:val="18"/>
              </w:rPr>
            </w:pPr>
            <w:r>
              <w:rPr>
                <w:rFonts w:ascii="方正小标宋简体" w:hAnsi="方正小标宋简体" w:eastAsia="方正小标宋简体" w:cs="方正小标宋简体"/>
                <w:color w:val="000000"/>
                <w:kern w:val="0"/>
                <w:sz w:val="18"/>
                <w:szCs w:val="18"/>
              </w:rPr>
              <w:t>项目支出绩效目标自评表</w:t>
            </w:r>
          </w:p>
        </w:tc>
      </w:tr>
      <w:tr>
        <w:tblPrEx>
          <w:tblCellMar>
            <w:top w:w="0" w:type="dxa"/>
            <w:left w:w="108" w:type="dxa"/>
            <w:bottom w:w="0" w:type="dxa"/>
            <w:right w:w="108" w:type="dxa"/>
          </w:tblCellMar>
        </w:tblPrEx>
        <w:trPr>
          <w:trHeight w:val="305" w:hRule="atLeast"/>
          <w:jc w:val="center"/>
        </w:trPr>
        <w:tc>
          <w:tcPr>
            <w:tcW w:w="9336" w:type="dxa"/>
            <w:gridSpan w:val="7"/>
            <w:tcBorders>
              <w:top w:val="nil"/>
              <w:left w:val="nil"/>
              <w:bottom w:val="nil"/>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r>
              <w:rPr>
                <w:color w:val="000000"/>
                <w:kern w:val="0"/>
                <w:sz w:val="18"/>
                <w:szCs w:val="18"/>
              </w:rPr>
              <w:t xml:space="preserve">      2021</w:t>
            </w:r>
            <w:r>
              <w:rPr>
                <w:rFonts w:hint="eastAsia" w:ascii="宋体" w:hAnsi="宋体" w:cs="宋体"/>
                <w:color w:val="000000"/>
                <w:kern w:val="0"/>
                <w:sz w:val="18"/>
                <w:szCs w:val="18"/>
              </w:rPr>
              <w:t>年度）</w:t>
            </w:r>
          </w:p>
        </w:tc>
      </w:tr>
      <w:tr>
        <w:tblPrEx>
          <w:tblCellMar>
            <w:top w:w="0" w:type="dxa"/>
            <w:left w:w="108" w:type="dxa"/>
            <w:bottom w:w="0" w:type="dxa"/>
            <w:right w:w="108" w:type="dxa"/>
          </w:tblCellMar>
        </w:tblPrEx>
        <w:trPr>
          <w:trHeight w:val="375" w:hRule="atLeast"/>
          <w:jc w:val="center"/>
        </w:trPr>
        <w:tc>
          <w:tcPr>
            <w:tcW w:w="52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项目名称</w:t>
            </w:r>
          </w:p>
        </w:tc>
        <w:tc>
          <w:tcPr>
            <w:tcW w:w="41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协助执法人员经费</w:t>
            </w:r>
          </w:p>
        </w:tc>
      </w:tr>
      <w:tr>
        <w:tblPrEx>
          <w:tblCellMar>
            <w:top w:w="0" w:type="dxa"/>
            <w:left w:w="108" w:type="dxa"/>
            <w:bottom w:w="0" w:type="dxa"/>
            <w:right w:w="108" w:type="dxa"/>
          </w:tblCellMar>
        </w:tblPrEx>
        <w:trPr>
          <w:trHeight w:val="619" w:hRule="atLeast"/>
          <w:jc w:val="center"/>
        </w:trPr>
        <w:tc>
          <w:tcPr>
            <w:tcW w:w="52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主管单位</w:t>
            </w:r>
          </w:p>
        </w:tc>
        <w:tc>
          <w:tcPr>
            <w:tcW w:w="1136"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广元市交通运输局</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实施单位</w:t>
            </w:r>
          </w:p>
        </w:tc>
        <w:tc>
          <w:tcPr>
            <w:tcW w:w="193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广元市交通运输综合行政执法支队</w:t>
            </w:r>
          </w:p>
        </w:tc>
      </w:tr>
      <w:tr>
        <w:tblPrEx>
          <w:tblCellMar>
            <w:top w:w="0" w:type="dxa"/>
            <w:left w:w="108" w:type="dxa"/>
            <w:bottom w:w="0" w:type="dxa"/>
            <w:right w:w="108" w:type="dxa"/>
          </w:tblCellMar>
        </w:tblPrEx>
        <w:trPr>
          <w:trHeight w:val="375" w:hRule="atLeast"/>
          <w:jc w:val="center"/>
        </w:trPr>
        <w:tc>
          <w:tcPr>
            <w:tcW w:w="3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执行情况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（万元）</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预算数：</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103</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执行数：</w:t>
            </w:r>
          </w:p>
        </w:tc>
        <w:tc>
          <w:tcPr>
            <w:tcW w:w="1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103</w:t>
            </w:r>
          </w:p>
        </w:tc>
      </w:tr>
      <w:tr>
        <w:tblPrEx>
          <w:tblCellMar>
            <w:top w:w="0" w:type="dxa"/>
            <w:left w:w="108" w:type="dxa"/>
            <w:bottom w:w="0" w:type="dxa"/>
            <w:right w:w="108" w:type="dxa"/>
          </w:tblCellMar>
        </w:tblPrEx>
        <w:trPr>
          <w:trHeight w:val="619" w:hRule="atLeast"/>
          <w:jc w:val="center"/>
        </w:trPr>
        <w:tc>
          <w:tcPr>
            <w:tcW w:w="3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103</w:t>
            </w:r>
          </w:p>
        </w:tc>
        <w:tc>
          <w:tcPr>
            <w:tcW w:w="1053" w:type="dxa"/>
            <w:tcBorders>
              <w:top w:val="single" w:color="000000" w:sz="4" w:space="0"/>
              <w:left w:val="nil"/>
              <w:bottom w:val="nil"/>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1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103</w:t>
            </w:r>
          </w:p>
        </w:tc>
      </w:tr>
      <w:tr>
        <w:tblPrEx>
          <w:tblCellMar>
            <w:top w:w="0" w:type="dxa"/>
            <w:left w:w="108" w:type="dxa"/>
            <w:bottom w:w="0" w:type="dxa"/>
            <w:right w:w="108" w:type="dxa"/>
          </w:tblCellMar>
        </w:tblPrEx>
        <w:trPr>
          <w:trHeight w:val="331" w:hRule="atLeast"/>
          <w:jc w:val="center"/>
        </w:trPr>
        <w:tc>
          <w:tcPr>
            <w:tcW w:w="3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w:t>
            </w:r>
          </w:p>
        </w:tc>
        <w:tc>
          <w:tcPr>
            <w:tcW w:w="1053" w:type="dxa"/>
            <w:tcBorders>
              <w:top w:val="single" w:color="000000" w:sz="4" w:space="0"/>
              <w:left w:val="nil"/>
              <w:bottom w:val="nil"/>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1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w:t>
            </w:r>
          </w:p>
        </w:tc>
      </w:tr>
      <w:tr>
        <w:tblPrEx>
          <w:tblCellMar>
            <w:top w:w="0" w:type="dxa"/>
            <w:left w:w="108" w:type="dxa"/>
            <w:bottom w:w="0" w:type="dxa"/>
            <w:right w:w="108" w:type="dxa"/>
          </w:tblCellMar>
        </w:tblPrEx>
        <w:trPr>
          <w:trHeight w:val="331" w:hRule="atLeast"/>
          <w:jc w:val="center"/>
        </w:trPr>
        <w:tc>
          <w:tcPr>
            <w:tcW w:w="3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目标完成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情况</w:t>
            </w: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预期目标</w:t>
            </w:r>
          </w:p>
        </w:tc>
        <w:tc>
          <w:tcPr>
            <w:tcW w:w="29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实际完成目标</w:t>
            </w:r>
          </w:p>
        </w:tc>
      </w:tr>
      <w:tr>
        <w:tblPrEx>
          <w:tblCellMar>
            <w:top w:w="0" w:type="dxa"/>
            <w:left w:w="108" w:type="dxa"/>
            <w:bottom w:w="0" w:type="dxa"/>
            <w:right w:w="108" w:type="dxa"/>
          </w:tblCellMar>
        </w:tblPrEx>
        <w:trPr>
          <w:trHeight w:val="619" w:hRule="atLeast"/>
          <w:jc w:val="center"/>
        </w:trPr>
        <w:tc>
          <w:tcPr>
            <w:tcW w:w="399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51" w:type="dxa"/>
            <w:gridSpan w:val="3"/>
            <w:tcBorders>
              <w:top w:val="single" w:color="000000" w:sz="4" w:space="0"/>
              <w:left w:val="single" w:color="000000" w:sz="4" w:space="0"/>
              <w:bottom w:val="single" w:color="auto" w:sz="4" w:space="0"/>
              <w:right w:val="single" w:color="000000" w:sz="4" w:space="0"/>
            </w:tcBorders>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支付单位30名协助执法人员工资、保险、工作经费等。</w:t>
            </w:r>
          </w:p>
        </w:tc>
        <w:tc>
          <w:tcPr>
            <w:tcW w:w="2989"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支付单位30名协助执法人员工资、保险、工作经费等。</w:t>
            </w:r>
          </w:p>
        </w:tc>
      </w:tr>
      <w:tr>
        <w:tblPrEx>
          <w:tblCellMar>
            <w:top w:w="0" w:type="dxa"/>
            <w:left w:w="108" w:type="dxa"/>
            <w:bottom w:w="0" w:type="dxa"/>
            <w:right w:w="108" w:type="dxa"/>
          </w:tblCellMar>
        </w:tblPrEx>
        <w:trPr>
          <w:trHeight w:val="1227" w:hRule="atLeast"/>
          <w:jc w:val="center"/>
        </w:trPr>
        <w:tc>
          <w:tcPr>
            <w:tcW w:w="39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绩效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指标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完成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情况</w:t>
            </w: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一级指标</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二级指标</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三级指标</w:t>
            </w:r>
          </w:p>
        </w:tc>
        <w:tc>
          <w:tcPr>
            <w:tcW w:w="1053"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指标值（包含数字及文字描述）</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实际完成指标值（包含数字及文字描述）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未完成原因及改进措施</w:t>
            </w:r>
          </w:p>
        </w:tc>
      </w:tr>
      <w:tr>
        <w:tblPrEx>
          <w:tblCellMar>
            <w:top w:w="0" w:type="dxa"/>
            <w:left w:w="108" w:type="dxa"/>
            <w:bottom w:w="0" w:type="dxa"/>
            <w:right w:w="108" w:type="dxa"/>
          </w:tblCellMar>
        </w:tblPrEx>
        <w:trPr>
          <w:trHeight w:val="619" w:hRule="atLeast"/>
          <w:jc w:val="center"/>
        </w:trPr>
        <w:tc>
          <w:tcPr>
            <w:tcW w:w="39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4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项目完成指标</w:t>
            </w:r>
          </w:p>
        </w:tc>
        <w:tc>
          <w:tcPr>
            <w:tcW w:w="7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指标1：协助人员数量</w:t>
            </w:r>
          </w:p>
        </w:tc>
        <w:tc>
          <w:tcPr>
            <w:tcW w:w="1053"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协助执法人员32名</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协助执法人员3</w:t>
            </w:r>
            <w:r>
              <w:rPr>
                <w:rFonts w:ascii="宋体" w:hAnsi="宋体" w:cs="宋体"/>
                <w:color w:val="000000"/>
                <w:kern w:val="0"/>
                <w:sz w:val="18"/>
                <w:szCs w:val="18"/>
              </w:rPr>
              <w:t>2</w:t>
            </w:r>
            <w:r>
              <w:rPr>
                <w:rFonts w:hint="eastAsia" w:ascii="宋体" w:hAnsi="宋体" w:cs="宋体"/>
                <w:color w:val="000000"/>
                <w:kern w:val="0"/>
                <w:sz w:val="18"/>
                <w:szCs w:val="18"/>
              </w:rPr>
              <w:t>名</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23" w:hRule="atLeast"/>
          <w:jc w:val="center"/>
        </w:trPr>
        <w:tc>
          <w:tcPr>
            <w:tcW w:w="39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4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指标2：缴纳协助执法人员五险</w:t>
            </w:r>
          </w:p>
        </w:tc>
        <w:tc>
          <w:tcPr>
            <w:tcW w:w="1053"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缴纳协助执法人员五险</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缴纳协助执法人员五险</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836" w:hRule="atLeast"/>
          <w:jc w:val="center"/>
        </w:trPr>
        <w:tc>
          <w:tcPr>
            <w:tcW w:w="39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4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指标1：常年聘用协助执法人员，全年支付各种人员经费、工作经费</w:t>
            </w:r>
          </w:p>
        </w:tc>
        <w:tc>
          <w:tcPr>
            <w:tcW w:w="1053"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常年聘用协助执法人员，全年支付各种人员经费、工作经费</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常年聘用协助执法人员，全年支付各种人员经费、工作经费</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23" w:hRule="atLeast"/>
          <w:jc w:val="center"/>
        </w:trPr>
        <w:tc>
          <w:tcPr>
            <w:tcW w:w="39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4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指标</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指标1：维护职工合法权益</w:t>
            </w:r>
          </w:p>
        </w:tc>
        <w:tc>
          <w:tcPr>
            <w:tcW w:w="1053"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维护职工合法权益</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维护职工合法权益</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19" w:hRule="atLeast"/>
          <w:jc w:val="center"/>
        </w:trPr>
        <w:tc>
          <w:tcPr>
            <w:tcW w:w="39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4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7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指标2：维护社会稳定</w:t>
            </w:r>
          </w:p>
        </w:tc>
        <w:tc>
          <w:tcPr>
            <w:tcW w:w="1053"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维护社会稳定</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维护社会稳定</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542" w:hRule="atLeast"/>
          <w:jc w:val="center"/>
        </w:trPr>
        <w:tc>
          <w:tcPr>
            <w:tcW w:w="39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指标</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1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指标1：维护聘用人员合法权益</w:t>
            </w:r>
          </w:p>
        </w:tc>
        <w:tc>
          <w:tcPr>
            <w:tcW w:w="1053"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维护聘用人员合法权益</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维护聘用人员合法权益</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bl>
    <w:p>
      <w:pPr>
        <w:spacing w:line="600" w:lineRule="exact"/>
        <w:jc w:val="center"/>
        <w:rPr>
          <w:rFonts w:ascii="黑体" w:hAnsi="黑体" w:eastAsia="黑体"/>
          <w:sz w:val="44"/>
          <w:szCs w:val="44"/>
        </w:rPr>
      </w:pPr>
    </w:p>
    <w:p>
      <w:pPr>
        <w:pStyle w:val="2"/>
        <w:spacing w:before="93"/>
        <w:rPr>
          <w:lang w:val="zh-CN"/>
        </w:rPr>
      </w:pPr>
      <w:r>
        <w:rPr>
          <w:rFonts w:hint="eastAsia" w:hAnsi="宋体" w:cs="宋体"/>
          <w:sz w:val="32"/>
          <w:szCs w:val="32"/>
          <w:shd w:val="clear" w:color="auto" w:fill="FFFFFF"/>
          <w:lang w:val="zh-CN"/>
        </w:rPr>
        <w:t>附件</w:t>
      </w:r>
    </w:p>
    <w:p>
      <w:pPr>
        <w:spacing w:line="600" w:lineRule="exact"/>
        <w:jc w:val="center"/>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t>广元市交通运输综合行政执法支队</w:t>
      </w:r>
    </w:p>
    <w:p>
      <w:pPr>
        <w:spacing w:line="600" w:lineRule="exact"/>
        <w:jc w:val="center"/>
        <w:rPr>
          <w:rFonts w:ascii="方正小标宋简体" w:hAnsi="方正小标宋简体" w:eastAsia="方正小标宋简体" w:cs="方正小标宋简体"/>
          <w:sz w:val="40"/>
          <w:szCs w:val="40"/>
          <w:lang w:val="zh-CN"/>
        </w:rPr>
      </w:pPr>
      <w:r>
        <w:rPr>
          <w:rFonts w:ascii="方正小标宋简体" w:hAnsi="方正小标宋简体" w:eastAsia="方正小标宋简体" w:cs="方正小标宋简体"/>
          <w:sz w:val="40"/>
          <w:szCs w:val="40"/>
        </w:rPr>
        <w:t>关于</w:t>
      </w:r>
      <w:r>
        <w:rPr>
          <w:rFonts w:hint="eastAsia" w:ascii="方正小标宋简体" w:hAnsi="方正小标宋简体" w:eastAsia="方正小标宋简体" w:cs="方正小标宋简体"/>
          <w:sz w:val="40"/>
          <w:szCs w:val="40"/>
        </w:rPr>
        <w:t>2022年</w:t>
      </w:r>
      <w:r>
        <w:rPr>
          <w:rFonts w:ascii="方正小标宋简体" w:hAnsi="方正小标宋简体" w:eastAsia="方正小标宋简体" w:cs="方正小标宋简体"/>
          <w:sz w:val="40"/>
          <w:szCs w:val="40"/>
        </w:rPr>
        <w:t>监督检测经费</w:t>
      </w:r>
      <w:r>
        <w:rPr>
          <w:rFonts w:hint="eastAsia" w:ascii="方正小标宋简体" w:hAnsi="方正小标宋简体" w:eastAsia="方正小标宋简体" w:cs="方正小标宋简体"/>
          <w:sz w:val="40"/>
          <w:szCs w:val="40"/>
          <w:lang w:val="zh-CN"/>
        </w:rPr>
        <w:t>专项预算项目支出</w:t>
      </w: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lang w:val="zh-CN"/>
        </w:rPr>
        <w:t>绩效自评报告</w:t>
      </w:r>
    </w:p>
    <w:p>
      <w:pPr>
        <w:spacing w:line="600" w:lineRule="exact"/>
        <w:ind w:firstLine="640"/>
        <w:jc w:val="center"/>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Cs/>
          <w:sz w:val="32"/>
          <w:szCs w:val="32"/>
          <w:lang w:val="zh-CN"/>
        </w:rPr>
      </w:pPr>
      <w:r>
        <w:rPr>
          <w:rFonts w:hint="eastAsia" w:ascii="楷体_GB2312" w:hAnsi="宋体" w:eastAsia="楷体_GB2312"/>
          <w:bCs/>
          <w:sz w:val="32"/>
          <w:szCs w:val="32"/>
          <w:lang w:val="zh-CN"/>
        </w:rPr>
        <w:t>（一）项目基本情况。</w:t>
      </w:r>
    </w:p>
    <w:p>
      <w:pPr>
        <w:widowControl/>
        <w:ind w:firstLine="640" w:firstLineChars="200"/>
        <w:jc w:val="left"/>
        <w:rPr>
          <w:rFonts w:ascii="仿宋_GB2312" w:hAnsi="宋体" w:eastAsia="仿宋_GB2312"/>
          <w:sz w:val="32"/>
          <w:szCs w:val="32"/>
          <w:lang w:val="zh-CN"/>
        </w:rPr>
      </w:pPr>
      <w:r>
        <w:rPr>
          <w:rFonts w:ascii="仿宋_GB2312" w:hAnsi="宋体" w:eastAsia="仿宋_GB2312"/>
          <w:bCs/>
          <w:sz w:val="32"/>
          <w:szCs w:val="32"/>
        </w:rPr>
        <w:t>1</w:t>
      </w:r>
      <w:r>
        <w:rPr>
          <w:rFonts w:hint="eastAsia" w:ascii="仿宋_GB2312" w:hAnsi="宋体" w:eastAsia="仿宋_GB2312"/>
          <w:bCs/>
          <w:sz w:val="32"/>
          <w:szCs w:val="32"/>
          <w:lang w:val="zh-CN"/>
        </w:rPr>
        <w:t>．</w:t>
      </w:r>
      <w:r>
        <w:rPr>
          <w:rFonts w:hint="eastAsia" w:ascii="仿宋_GB2312" w:hAnsi="宋体" w:eastAsia="仿宋_GB2312"/>
          <w:bCs/>
          <w:sz w:val="32"/>
          <w:szCs w:val="32"/>
        </w:rPr>
        <w:t>承担全市职责范围内重点公</w:t>
      </w:r>
      <w:r>
        <w:rPr>
          <w:rFonts w:hint="eastAsia" w:ascii="仿宋_GB2312" w:hAnsi="宋体" w:eastAsia="仿宋_GB2312"/>
          <w:sz w:val="32"/>
          <w:szCs w:val="32"/>
        </w:rPr>
        <w:t>路（含国省干线公路大中修及预防性养护工程）、水运建设项目安全生产和质量监督及项目竣（交）工验收工程质量鉴定（检测）工作。负责对职责范围内重点公路、水运工程质量和安全违法违规行为实施行政处罚、行政检查、行政强制。指导县区交通工程项目质量安全监督工作。</w:t>
      </w:r>
    </w:p>
    <w:p>
      <w:pPr>
        <w:adjustRightInd w:val="0"/>
        <w:snapToGrid w:val="0"/>
        <w:spacing w:line="600" w:lineRule="exact"/>
        <w:ind w:firstLine="640" w:firstLineChars="200"/>
      </w:pPr>
      <w:r>
        <w:rPr>
          <w:rFonts w:ascii="仿宋_GB2312" w:hAnsi="宋体" w:eastAsia="仿宋_GB2312"/>
          <w:sz w:val="32"/>
          <w:szCs w:val="32"/>
        </w:rPr>
        <w:t>2</w:t>
      </w:r>
      <w:r>
        <w:rPr>
          <w:rFonts w:hint="eastAsia" w:ascii="仿宋_GB2312" w:hAnsi="宋体" w:eastAsia="仿宋_GB2312"/>
          <w:sz w:val="32"/>
          <w:szCs w:val="32"/>
          <w:lang w:val="zh-CN"/>
        </w:rPr>
        <w:t>．项目立项、资金申报的依据</w:t>
      </w:r>
      <w:r>
        <w:rPr>
          <w:rFonts w:ascii="仿宋_GB2312" w:hAnsi="宋体" w:eastAsia="仿宋_GB2312"/>
          <w:sz w:val="32"/>
          <w:szCs w:val="32"/>
        </w:rPr>
        <w:t>。交通行政</w:t>
      </w:r>
      <w:r>
        <w:rPr>
          <w:rFonts w:hint="eastAsia" w:ascii="仿宋_GB2312" w:hAnsi="宋体" w:eastAsia="仿宋_GB2312"/>
          <w:sz w:val="32"/>
          <w:szCs w:val="32"/>
        </w:rPr>
        <w:t>执法工作</w:t>
      </w:r>
      <w:r>
        <w:rPr>
          <w:rFonts w:hint="eastAsia" w:ascii="仿宋_GB2312" w:hAnsi="宋体" w:eastAsia="仿宋_GB2312"/>
          <w:sz w:val="32"/>
          <w:szCs w:val="32"/>
          <w:lang w:val="zh-CN"/>
        </w:rPr>
        <w:t>经费用于</w:t>
      </w:r>
      <w:r>
        <w:rPr>
          <w:rFonts w:hint="eastAsia" w:ascii="仿宋_GB2312" w:hAnsi="宋体" w:eastAsia="仿宋_GB2312"/>
          <w:sz w:val="32"/>
          <w:szCs w:val="32"/>
        </w:rPr>
        <w:t>防止一般质量事故的发生，杜绝重、特大质量事故，确保工程项目验收合格率达到100%，分项工程验收合格率达到100%，确保施工过程指标合格率达到100%。</w:t>
      </w:r>
      <w:r>
        <w:rPr>
          <w:rFonts w:ascii="仿宋_GB2312" w:hAnsi="宋体" w:eastAsia="仿宋_GB2312"/>
          <w:sz w:val="32"/>
          <w:szCs w:val="32"/>
        </w:rPr>
        <w:t>交通行政</w:t>
      </w:r>
      <w:r>
        <w:rPr>
          <w:rFonts w:hint="eastAsia" w:ascii="仿宋_GB2312" w:hAnsi="宋体" w:eastAsia="仿宋_GB2312"/>
          <w:sz w:val="32"/>
          <w:szCs w:val="32"/>
        </w:rPr>
        <w:t>执法</w:t>
      </w:r>
      <w:r>
        <w:rPr>
          <w:rFonts w:hint="eastAsia" w:ascii="仿宋_GB2312" w:hAnsi="宋体" w:eastAsia="仿宋_GB2312"/>
          <w:sz w:val="32"/>
          <w:szCs w:val="32"/>
          <w:lang w:val="zh-CN"/>
        </w:rPr>
        <w:t>工作</w:t>
      </w:r>
      <w:r>
        <w:rPr>
          <w:rFonts w:ascii="仿宋_GB2312" w:hAnsi="宋体" w:eastAsia="仿宋_GB2312"/>
          <w:sz w:val="32"/>
          <w:szCs w:val="32"/>
        </w:rPr>
        <w:t>经费</w:t>
      </w:r>
      <w:r>
        <w:rPr>
          <w:rFonts w:hint="eastAsia" w:ascii="仿宋_GB2312" w:hAnsi="宋体" w:eastAsia="仿宋_GB2312"/>
          <w:sz w:val="32"/>
          <w:szCs w:val="32"/>
          <w:lang w:val="zh-CN"/>
        </w:rPr>
        <w:t>年初预算数依据工作任务预算。</w:t>
      </w:r>
    </w:p>
    <w:p>
      <w:pPr>
        <w:adjustRightInd w:val="0"/>
        <w:snapToGrid w:val="0"/>
        <w:spacing w:line="600" w:lineRule="exact"/>
        <w:ind w:firstLine="640" w:firstLineChars="200"/>
        <w:rPr>
          <w:rFonts w:ascii="仿宋_GB2312" w:hAnsi="宋体" w:eastAsia="仿宋_GB2312"/>
          <w:sz w:val="32"/>
          <w:szCs w:val="32"/>
          <w:lang w:val="zh-CN"/>
        </w:rPr>
      </w:pPr>
      <w:r>
        <w:rPr>
          <w:rFonts w:ascii="仿宋_GB2312" w:hAnsi="宋体" w:eastAsia="仿宋_GB2312"/>
          <w:sz w:val="32"/>
          <w:szCs w:val="32"/>
        </w:rPr>
        <w:t>3</w:t>
      </w:r>
      <w:r>
        <w:rPr>
          <w:rFonts w:hint="eastAsia" w:ascii="仿宋_GB2312" w:hAnsi="宋体" w:eastAsia="仿宋_GB2312"/>
          <w:sz w:val="32"/>
          <w:szCs w:val="32"/>
          <w:lang w:val="zh-CN"/>
        </w:rPr>
        <w:t>．资金管理办法制定情况，资金支持具体项目的条件、范围与支持方式概况</w:t>
      </w:r>
      <w:r>
        <w:rPr>
          <w:rFonts w:ascii="仿宋_GB2312" w:hAnsi="宋体" w:eastAsia="仿宋_GB2312"/>
          <w:sz w:val="32"/>
          <w:szCs w:val="32"/>
        </w:rPr>
        <w:t>。支队</w:t>
      </w:r>
      <w:r>
        <w:rPr>
          <w:rFonts w:hint="eastAsia" w:ascii="仿宋_GB2312" w:hAnsi="宋体" w:eastAsia="仿宋_GB2312"/>
          <w:sz w:val="32"/>
          <w:szCs w:val="32"/>
        </w:rPr>
        <w:t>建立了财务管理制度及单位内部控制制度，</w:t>
      </w:r>
      <w:r>
        <w:rPr>
          <w:rFonts w:ascii="仿宋_GB2312" w:hAnsi="宋体" w:eastAsia="仿宋_GB2312"/>
          <w:sz w:val="32"/>
          <w:szCs w:val="32"/>
        </w:rPr>
        <w:t>交通行政执法工作</w:t>
      </w:r>
      <w:r>
        <w:rPr>
          <w:rFonts w:hint="eastAsia" w:ascii="仿宋_GB2312" w:hAnsi="宋体" w:eastAsia="仿宋_GB2312"/>
          <w:sz w:val="32"/>
          <w:szCs w:val="32"/>
        </w:rPr>
        <w:t>经费严格按照专项资金管理办法进行管理，在项目实施上严格按照预算进行项目实施，在资金支付上严格执行财务相关制度，切实做到项目资金专款专用，无挪用、占用、套取等违规现象。</w:t>
      </w:r>
    </w:p>
    <w:p>
      <w:pPr>
        <w:adjustRightInd w:val="0"/>
        <w:snapToGrid w:val="0"/>
        <w:spacing w:line="600" w:lineRule="exact"/>
        <w:ind w:firstLine="640" w:firstLineChars="200"/>
      </w:pPr>
      <w:r>
        <w:rPr>
          <w:rFonts w:ascii="仿宋_GB2312" w:hAnsi="宋体" w:eastAsia="仿宋_GB2312"/>
          <w:sz w:val="32"/>
          <w:szCs w:val="32"/>
        </w:rPr>
        <w:t>4</w:t>
      </w:r>
      <w:r>
        <w:rPr>
          <w:rFonts w:hint="eastAsia" w:ascii="仿宋_GB2312" w:hAnsi="宋体" w:eastAsia="仿宋_GB2312"/>
          <w:sz w:val="32"/>
          <w:szCs w:val="32"/>
          <w:lang w:val="zh-CN"/>
        </w:rPr>
        <w:t>．资金分配的原则及考虑因素</w:t>
      </w:r>
      <w:r>
        <w:rPr>
          <w:rFonts w:ascii="仿宋_GB2312" w:hAnsi="宋体" w:eastAsia="仿宋_GB2312"/>
          <w:sz w:val="32"/>
          <w:szCs w:val="32"/>
        </w:rPr>
        <w:t>：</w:t>
      </w:r>
      <w:r>
        <w:rPr>
          <w:rFonts w:ascii="仿宋_GB2312" w:hAnsi="仿宋_GB2312" w:eastAsia="仿宋_GB2312" w:cs="仿宋_GB2312"/>
          <w:color w:val="333333"/>
          <w:kern w:val="0"/>
          <w:sz w:val="32"/>
          <w:szCs w:val="32"/>
        </w:rPr>
        <w:t>资金分配坚持</w:t>
      </w:r>
      <w:r>
        <w:rPr>
          <w:rFonts w:hint="eastAsia" w:ascii="仿宋_GB2312" w:hAnsi="仿宋_GB2312" w:eastAsia="仿宋_GB2312" w:cs="仿宋_GB2312"/>
          <w:color w:val="333333"/>
          <w:kern w:val="0"/>
          <w:sz w:val="32"/>
          <w:szCs w:val="32"/>
        </w:rPr>
        <w:t>“量力而行、量入为出”的原则，结合实际，</w:t>
      </w:r>
      <w:r>
        <w:rPr>
          <w:rFonts w:hint="eastAsia" w:ascii="仿宋_GB2312" w:hAnsi="宋体" w:eastAsia="仿宋_GB2312"/>
          <w:sz w:val="32"/>
          <w:szCs w:val="32"/>
          <w:lang w:val="zh-CN"/>
        </w:rPr>
        <w:t>未进行资金再分配</w:t>
      </w:r>
      <w:r>
        <w:rPr>
          <w:rFonts w:ascii="仿宋_GB2312" w:hAnsi="宋体" w:eastAsia="仿宋_GB2312"/>
          <w:sz w:val="32"/>
          <w:szCs w:val="32"/>
        </w:rPr>
        <w:t>。</w:t>
      </w:r>
    </w:p>
    <w:p>
      <w:pPr>
        <w:adjustRightInd w:val="0"/>
        <w:snapToGrid w:val="0"/>
        <w:spacing w:line="600" w:lineRule="exact"/>
        <w:ind w:firstLine="720"/>
        <w:rPr>
          <w:rFonts w:ascii="楷体_GB2312" w:hAnsi="宋体" w:eastAsia="楷体_GB2312"/>
          <w:bCs/>
          <w:sz w:val="32"/>
          <w:szCs w:val="32"/>
          <w:lang w:val="zh-CN"/>
        </w:rPr>
      </w:pPr>
      <w:r>
        <w:rPr>
          <w:rFonts w:hint="eastAsia" w:ascii="楷体_GB2312" w:hAnsi="宋体" w:eastAsia="楷体_GB2312"/>
          <w:bCs/>
          <w:sz w:val="32"/>
          <w:szCs w:val="32"/>
          <w:lang w:val="zh-CN"/>
        </w:rPr>
        <w:t>（二）项目绩效目标。</w:t>
      </w:r>
    </w:p>
    <w:p>
      <w:pPr>
        <w:adjustRightInd w:val="0"/>
        <w:snapToGrid w:val="0"/>
        <w:spacing w:line="600" w:lineRule="exact"/>
        <w:ind w:firstLine="640" w:firstLineChars="200"/>
        <w:rPr>
          <w:rFonts w:ascii="仿宋_GB2312" w:hAnsi="宋体" w:eastAsia="仿宋_GB2312"/>
          <w:bCs/>
          <w:sz w:val="32"/>
          <w:szCs w:val="32"/>
          <w:lang w:val="zh-CN"/>
        </w:rPr>
      </w:pPr>
      <w:r>
        <w:rPr>
          <w:rFonts w:hint="eastAsia" w:ascii="仿宋_GB2312" w:hAnsi="宋体" w:eastAsia="仿宋_GB2312"/>
          <w:bCs/>
          <w:sz w:val="32"/>
          <w:szCs w:val="32"/>
          <w:lang w:val="zh-CN"/>
        </w:rPr>
        <w:t>1．项目主要内容</w:t>
      </w:r>
      <w:r>
        <w:rPr>
          <w:rFonts w:ascii="仿宋_GB2312" w:hAnsi="宋体" w:eastAsia="仿宋_GB2312"/>
          <w:bCs/>
          <w:sz w:val="32"/>
          <w:szCs w:val="32"/>
          <w:lang w:val="zh-CN"/>
        </w:rPr>
        <w:t>：</w:t>
      </w:r>
      <w:r>
        <w:rPr>
          <w:rFonts w:hint="eastAsia" w:ascii="仿宋_GB2312" w:hAnsi="宋体" w:eastAsia="仿宋_GB2312"/>
          <w:bCs/>
          <w:sz w:val="32"/>
          <w:szCs w:val="32"/>
        </w:rPr>
        <w:t>防止一般质量事故的发生，杜绝重、特大质量事故，确保工程项目验收合格率达到100%，分项工程验收合格率达到100%，确保施工过程指标合格率达到100%。</w:t>
      </w:r>
    </w:p>
    <w:p>
      <w:pPr>
        <w:adjustRightInd w:val="0"/>
        <w:snapToGrid w:val="0"/>
        <w:spacing w:line="600" w:lineRule="exact"/>
        <w:ind w:firstLine="640" w:firstLineChars="200"/>
        <w:rPr>
          <w:rFonts w:ascii="仿宋_GB2312" w:hAnsi="宋体" w:eastAsia="仿宋_GB2312"/>
          <w:bCs/>
          <w:sz w:val="32"/>
          <w:szCs w:val="32"/>
        </w:rPr>
      </w:pPr>
      <w:r>
        <w:rPr>
          <w:rFonts w:hint="eastAsia" w:ascii="仿宋_GB2312" w:hAnsi="宋体" w:eastAsia="仿宋_GB2312"/>
          <w:bCs/>
          <w:sz w:val="32"/>
          <w:szCs w:val="32"/>
          <w:lang w:val="zh-CN"/>
        </w:rPr>
        <w:t>2．项目应实现的具体绩效目标</w:t>
      </w:r>
      <w:r>
        <w:rPr>
          <w:rFonts w:ascii="仿宋_GB2312" w:hAnsi="宋体" w:eastAsia="仿宋_GB2312"/>
          <w:bCs/>
          <w:sz w:val="32"/>
          <w:szCs w:val="32"/>
          <w:lang w:val="zh-CN"/>
        </w:rPr>
        <w:t>：</w:t>
      </w:r>
      <w:r>
        <w:rPr>
          <w:rFonts w:hint="eastAsia" w:ascii="仿宋_GB2312" w:hAnsi="宋体" w:eastAsia="仿宋_GB2312"/>
          <w:bCs/>
          <w:sz w:val="32"/>
          <w:szCs w:val="32"/>
        </w:rPr>
        <w:t>完成2021年受监项目质量监督检测</w:t>
      </w:r>
      <w:r>
        <w:rPr>
          <w:rFonts w:ascii="仿宋_GB2312" w:hAnsi="宋体" w:eastAsia="仿宋_GB2312"/>
          <w:bCs/>
          <w:sz w:val="32"/>
          <w:szCs w:val="32"/>
        </w:rPr>
        <w:t>，</w:t>
      </w:r>
      <w:r>
        <w:rPr>
          <w:rFonts w:hint="eastAsia" w:ascii="仿宋_GB2312" w:hAnsi="宋体" w:eastAsia="仿宋_GB2312"/>
          <w:bCs/>
          <w:sz w:val="32"/>
          <w:szCs w:val="32"/>
        </w:rPr>
        <w:t>防止一般质量事故的发生，杜绝重、特大质量事故，确保工程项目验收合格率达到100%，分项工程验收合格率达到100%，确保施工过程指标合格率达到100%。保证道路营运安全</w:t>
      </w:r>
      <w:r>
        <w:rPr>
          <w:rFonts w:ascii="仿宋_GB2312" w:hAnsi="宋体" w:eastAsia="仿宋_GB2312"/>
          <w:bCs/>
          <w:sz w:val="32"/>
          <w:szCs w:val="32"/>
        </w:rPr>
        <w:t>，</w:t>
      </w:r>
      <w:r>
        <w:rPr>
          <w:rFonts w:hint="eastAsia" w:ascii="仿宋_GB2312" w:hAnsi="宋体" w:eastAsia="仿宋_GB2312"/>
          <w:bCs/>
          <w:sz w:val="32"/>
          <w:szCs w:val="32"/>
        </w:rPr>
        <w:t>促进产业发展，增加群众收入，提高群众生活质量。</w:t>
      </w:r>
    </w:p>
    <w:p>
      <w:pPr>
        <w:adjustRightInd w:val="0"/>
        <w:snapToGrid w:val="0"/>
        <w:spacing w:line="600" w:lineRule="exact"/>
        <w:ind w:firstLine="720"/>
        <w:rPr>
          <w:rFonts w:ascii="仿宋_GB2312" w:hAnsi="宋体" w:eastAsia="仿宋_GB2312"/>
          <w:bCs/>
          <w:sz w:val="32"/>
          <w:szCs w:val="32"/>
        </w:rPr>
      </w:pPr>
      <w:r>
        <w:rPr>
          <w:rFonts w:hint="eastAsia" w:ascii="仿宋_GB2312" w:hAnsi="宋体" w:eastAsia="仿宋_GB2312"/>
          <w:bCs/>
          <w:sz w:val="32"/>
          <w:szCs w:val="32"/>
          <w:lang w:val="zh-CN"/>
        </w:rPr>
        <w:t>3．</w:t>
      </w:r>
      <w:r>
        <w:rPr>
          <w:rFonts w:hint="eastAsia" w:ascii="仿宋_GB2312" w:hAnsi="宋体" w:eastAsia="仿宋_GB2312"/>
          <w:bCs/>
          <w:sz w:val="32"/>
          <w:szCs w:val="32"/>
        </w:rPr>
        <w:t>项目申报内容与具体实施内容相符，绩效目标设定符合实际需求，合理可行。</w:t>
      </w:r>
    </w:p>
    <w:p>
      <w:pPr>
        <w:adjustRightInd w:val="0"/>
        <w:snapToGrid w:val="0"/>
        <w:spacing w:line="600" w:lineRule="exact"/>
        <w:ind w:firstLine="720"/>
        <w:rPr>
          <w:rFonts w:ascii="楷体_GB2312" w:hAnsi="宋体" w:eastAsia="楷体_GB2312"/>
          <w:bCs/>
          <w:sz w:val="32"/>
          <w:szCs w:val="32"/>
          <w:lang w:val="zh-CN"/>
        </w:rPr>
      </w:pPr>
      <w:r>
        <w:rPr>
          <w:rFonts w:hint="eastAsia" w:ascii="楷体_GB2312" w:hAnsi="宋体" w:eastAsia="楷体_GB2312"/>
          <w:bCs/>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bCs/>
          <w:sz w:val="32"/>
          <w:szCs w:val="32"/>
        </w:rPr>
        <w:t>支队</w:t>
      </w:r>
      <w:r>
        <w:rPr>
          <w:rFonts w:hint="eastAsia" w:ascii="仿宋_GB2312" w:hAnsi="宋体" w:eastAsia="仿宋_GB2312"/>
          <w:bCs/>
          <w:sz w:val="32"/>
          <w:szCs w:val="32"/>
          <w:lang w:val="zh-CN"/>
        </w:rPr>
        <w:t>按照</w:t>
      </w:r>
      <w:r>
        <w:rPr>
          <w:rFonts w:hint="eastAsia" w:ascii="仿宋_GB2312" w:hAnsi="宋体" w:eastAsia="仿宋_GB2312"/>
          <w:bCs/>
          <w:sz w:val="32"/>
          <w:szCs w:val="32"/>
        </w:rPr>
        <w:t>广元市</w:t>
      </w:r>
      <w:r>
        <w:rPr>
          <w:rFonts w:hint="eastAsia" w:ascii="仿宋_GB2312" w:hAnsi="宋体" w:eastAsia="仿宋_GB2312"/>
          <w:bCs/>
          <w:sz w:val="32"/>
          <w:szCs w:val="32"/>
          <w:lang w:val="zh-CN"/>
        </w:rPr>
        <w:t>财政局《关于开展202</w:t>
      </w:r>
      <w:r>
        <w:rPr>
          <w:rFonts w:hint="eastAsia" w:ascii="仿宋_GB2312" w:hAnsi="宋体" w:eastAsia="仿宋_GB2312"/>
          <w:bCs/>
          <w:sz w:val="32"/>
          <w:szCs w:val="32"/>
        </w:rPr>
        <w:t>2</w:t>
      </w:r>
      <w:r>
        <w:rPr>
          <w:rFonts w:hint="eastAsia" w:ascii="仿宋_GB2312" w:hAnsi="宋体" w:eastAsia="仿宋_GB2312"/>
          <w:bCs/>
          <w:sz w:val="32"/>
          <w:szCs w:val="32"/>
          <w:lang w:val="zh-CN"/>
        </w:rPr>
        <w:t>年</w:t>
      </w:r>
      <w:r>
        <w:rPr>
          <w:rFonts w:hint="eastAsia" w:ascii="仿宋_GB2312" w:hAnsi="宋体" w:eastAsia="仿宋_GB2312"/>
          <w:bCs/>
          <w:sz w:val="32"/>
          <w:szCs w:val="32"/>
        </w:rPr>
        <w:t>部门、政策和项目</w:t>
      </w:r>
      <w:r>
        <w:rPr>
          <w:rFonts w:hint="eastAsia" w:ascii="仿宋_GB2312" w:hAnsi="宋体" w:eastAsia="仿宋_GB2312"/>
          <w:bCs/>
          <w:sz w:val="32"/>
          <w:szCs w:val="32"/>
          <w:lang w:val="zh-CN"/>
        </w:rPr>
        <w:t>支出</w:t>
      </w:r>
      <w:r>
        <w:rPr>
          <w:rFonts w:hint="eastAsia" w:ascii="仿宋_GB2312" w:hAnsi="宋体" w:eastAsia="仿宋_GB2312"/>
          <w:bCs/>
          <w:sz w:val="32"/>
          <w:szCs w:val="32"/>
        </w:rPr>
        <w:t>自评</w:t>
      </w:r>
      <w:r>
        <w:rPr>
          <w:rFonts w:hint="eastAsia" w:ascii="仿宋_GB2312" w:hAnsi="宋体" w:eastAsia="仿宋_GB2312"/>
          <w:bCs/>
          <w:sz w:val="32"/>
          <w:szCs w:val="32"/>
          <w:lang w:val="zh-CN"/>
        </w:rPr>
        <w:t>工作的通知</w:t>
      </w:r>
      <w:r>
        <w:rPr>
          <w:rFonts w:ascii="仿宋_GB2312" w:hAnsi="宋体" w:eastAsia="仿宋_GB2312"/>
          <w:bCs/>
          <w:sz w:val="32"/>
          <w:szCs w:val="32"/>
          <w:lang w:val="zh-CN"/>
        </w:rPr>
        <w:t>》（</w:t>
      </w:r>
      <w:r>
        <w:rPr>
          <w:rFonts w:hint="eastAsia" w:ascii="仿宋_GB2312" w:hAnsi="宋体" w:eastAsia="仿宋_GB2312"/>
          <w:bCs/>
          <w:sz w:val="32"/>
          <w:szCs w:val="32"/>
        </w:rPr>
        <w:t>广财绩</w:t>
      </w:r>
      <w:r>
        <w:rPr>
          <w:rFonts w:hint="eastAsia" w:ascii="仿宋_GB2312" w:hAnsi="宋体" w:eastAsia="仿宋_GB2312"/>
          <w:bCs/>
          <w:sz w:val="32"/>
          <w:szCs w:val="32"/>
          <w:lang w:val="zh-CN"/>
        </w:rPr>
        <w:t>〔202</w:t>
      </w:r>
      <w:r>
        <w:rPr>
          <w:rFonts w:hint="eastAsia" w:ascii="仿宋_GB2312" w:hAnsi="宋体" w:eastAsia="仿宋_GB2312"/>
          <w:bCs/>
          <w:sz w:val="32"/>
          <w:szCs w:val="32"/>
        </w:rPr>
        <w:t>2</w:t>
      </w:r>
      <w:r>
        <w:rPr>
          <w:rFonts w:hint="eastAsia" w:ascii="仿宋_GB2312" w:hAnsi="宋体" w:eastAsia="仿宋_GB2312"/>
          <w:bCs/>
          <w:sz w:val="32"/>
          <w:szCs w:val="32"/>
          <w:lang w:val="zh-CN"/>
        </w:rPr>
        <w:t>〕</w:t>
      </w:r>
      <w:r>
        <w:rPr>
          <w:rFonts w:hint="eastAsia" w:ascii="仿宋_GB2312" w:hAnsi="宋体" w:eastAsia="仿宋_GB2312"/>
          <w:bCs/>
          <w:sz w:val="32"/>
          <w:szCs w:val="32"/>
        </w:rPr>
        <w:t>8</w:t>
      </w:r>
      <w:r>
        <w:rPr>
          <w:rFonts w:hint="eastAsia" w:ascii="仿宋_GB2312" w:hAnsi="宋体" w:eastAsia="仿宋_GB2312"/>
          <w:bCs/>
          <w:sz w:val="32"/>
          <w:szCs w:val="32"/>
          <w:lang w:val="zh-CN"/>
        </w:rPr>
        <w:t>号</w:t>
      </w:r>
      <w:r>
        <w:rPr>
          <w:rFonts w:ascii="仿宋_GB2312" w:hAnsi="宋体" w:eastAsia="仿宋_GB2312"/>
          <w:bCs/>
          <w:sz w:val="32"/>
          <w:szCs w:val="32"/>
          <w:lang w:val="zh-CN"/>
        </w:rPr>
        <w:t>）文件要求，认真开展项目自评工作，按照评价指标体系的要求，对照实施项目的内容逐条逐项自评。</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Cs/>
          <w:sz w:val="32"/>
          <w:szCs w:val="32"/>
          <w:lang w:val="zh-CN"/>
        </w:rPr>
      </w:pPr>
      <w:r>
        <w:rPr>
          <w:rFonts w:hint="eastAsia" w:ascii="楷体_GB2312" w:hAnsi="宋体" w:eastAsia="楷体_GB2312"/>
          <w:bCs/>
          <w:sz w:val="32"/>
          <w:szCs w:val="32"/>
          <w:lang w:val="zh-CN"/>
        </w:rPr>
        <w:t>（一）项目资金申报及批复情况。</w:t>
      </w:r>
    </w:p>
    <w:p>
      <w:pPr>
        <w:adjustRightInd w:val="0"/>
        <w:snapToGrid w:val="0"/>
        <w:spacing w:line="600" w:lineRule="exact"/>
        <w:ind w:firstLine="720"/>
        <w:rPr>
          <w:rFonts w:ascii="仿宋_GB2312" w:hAnsi="宋体" w:eastAsia="仿宋_GB2312"/>
          <w:bCs/>
          <w:sz w:val="32"/>
          <w:szCs w:val="32"/>
          <w:lang w:val="zh-CN"/>
        </w:rPr>
      </w:pPr>
      <w:r>
        <w:rPr>
          <w:rFonts w:hint="eastAsia" w:ascii="仿宋_GB2312" w:hAnsi="宋体" w:eastAsia="仿宋_GB2312"/>
          <w:bCs/>
          <w:sz w:val="32"/>
          <w:szCs w:val="28"/>
        </w:rPr>
        <w:t>202</w:t>
      </w:r>
      <w:r>
        <w:rPr>
          <w:rFonts w:ascii="仿宋_GB2312" w:hAnsi="宋体" w:eastAsia="仿宋_GB2312"/>
          <w:bCs/>
          <w:sz w:val="32"/>
          <w:szCs w:val="28"/>
        </w:rPr>
        <w:t>1</w:t>
      </w:r>
      <w:r>
        <w:rPr>
          <w:rFonts w:hint="eastAsia" w:ascii="仿宋_GB2312" w:hAnsi="宋体" w:eastAsia="仿宋_GB2312"/>
          <w:bCs/>
          <w:sz w:val="32"/>
          <w:szCs w:val="28"/>
        </w:rPr>
        <w:t>年</w:t>
      </w:r>
      <w:r>
        <w:rPr>
          <w:rFonts w:ascii="仿宋_GB2312" w:hAnsi="宋体" w:eastAsia="仿宋_GB2312"/>
          <w:bCs/>
          <w:sz w:val="32"/>
          <w:szCs w:val="28"/>
        </w:rPr>
        <w:t>监督检测</w:t>
      </w:r>
      <w:r>
        <w:rPr>
          <w:rFonts w:hint="eastAsia" w:ascii="仿宋_GB2312" w:hAnsi="宋体" w:eastAsia="仿宋_GB2312"/>
          <w:bCs/>
          <w:sz w:val="32"/>
          <w:szCs w:val="28"/>
        </w:rPr>
        <w:t>经费预算</w:t>
      </w:r>
      <w:r>
        <w:rPr>
          <w:rFonts w:ascii="仿宋_GB2312" w:hAnsi="宋体" w:eastAsia="仿宋_GB2312"/>
          <w:bCs/>
          <w:sz w:val="32"/>
          <w:szCs w:val="28"/>
        </w:rPr>
        <w:t>3</w:t>
      </w:r>
      <w:r>
        <w:rPr>
          <w:rFonts w:hint="eastAsia" w:ascii="仿宋_GB2312" w:hAnsi="宋体" w:eastAsia="仿宋_GB2312"/>
          <w:bCs/>
          <w:sz w:val="32"/>
          <w:szCs w:val="28"/>
        </w:rPr>
        <w:t>万元，经市财政局批复同意设立。</w:t>
      </w:r>
      <w:r>
        <w:rPr>
          <w:rFonts w:hint="eastAsia" w:ascii="仿宋_GB2312" w:hAnsi="仿宋_GB2312" w:eastAsia="仿宋_GB2312" w:cs="仿宋_GB2312"/>
          <w:bCs/>
          <w:sz w:val="32"/>
          <w:szCs w:val="32"/>
          <w:lang w:val="zh-CN"/>
        </w:rPr>
        <w:t>项目资金</w:t>
      </w:r>
      <w:r>
        <w:rPr>
          <w:rFonts w:ascii="仿宋_GB2312" w:hAnsi="仿宋_GB2312" w:eastAsia="仿宋_GB2312" w:cs="仿宋_GB2312"/>
          <w:bCs/>
          <w:sz w:val="32"/>
          <w:szCs w:val="32"/>
        </w:rPr>
        <w:t>为原广元市工程质量监督站</w:t>
      </w:r>
      <w:r>
        <w:rPr>
          <w:rFonts w:hint="eastAsia" w:ascii="仿宋_GB2312" w:hAnsi="仿宋_GB2312" w:eastAsia="仿宋_GB2312" w:cs="仿宋_GB2312"/>
          <w:bCs/>
          <w:sz w:val="32"/>
          <w:szCs w:val="32"/>
          <w:lang w:val="zh-CN"/>
        </w:rPr>
        <w:t>2021年初预算，</w:t>
      </w:r>
      <w:r>
        <w:rPr>
          <w:rFonts w:ascii="仿宋_GB2312" w:hAnsi="仿宋_GB2312" w:eastAsia="仿宋_GB2312" w:cs="仿宋_GB2312"/>
          <w:bCs/>
          <w:sz w:val="32"/>
          <w:szCs w:val="32"/>
        </w:rPr>
        <w:t>支队于2021年3月成立，项目资金划拨给支队。</w:t>
      </w:r>
    </w:p>
    <w:p>
      <w:pPr>
        <w:adjustRightInd w:val="0"/>
        <w:snapToGrid w:val="0"/>
        <w:spacing w:line="600" w:lineRule="exact"/>
        <w:ind w:firstLine="720"/>
        <w:rPr>
          <w:rFonts w:ascii="仿宋_GB2312" w:hAnsi="宋体" w:eastAsia="仿宋_GB2312"/>
          <w:bCs/>
          <w:sz w:val="32"/>
          <w:szCs w:val="32"/>
          <w:lang w:val="zh-CN"/>
        </w:rPr>
      </w:pPr>
      <w:r>
        <w:rPr>
          <w:rFonts w:hint="eastAsia" w:ascii="楷体_GB2312" w:hAnsi="宋体" w:eastAsia="楷体_GB2312"/>
          <w:bCs/>
          <w:sz w:val="32"/>
          <w:szCs w:val="32"/>
          <w:lang w:val="zh-CN"/>
        </w:rPr>
        <w:t>（二）资金计划、到位及使用情况。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w:t>
      </w:r>
      <w:r>
        <w:rPr>
          <w:rFonts w:ascii="仿宋_GB2312" w:hAnsi="宋体" w:eastAsia="仿宋_GB2312"/>
          <w:sz w:val="32"/>
          <w:szCs w:val="32"/>
        </w:rPr>
        <w:t>.</w:t>
      </w:r>
      <w:r>
        <w:rPr>
          <w:rFonts w:hint="eastAsia" w:ascii="楷体_GB2312" w:hAnsi="宋体" w:eastAsia="楷体_GB2312"/>
          <w:sz w:val="32"/>
          <w:szCs w:val="32"/>
          <w:lang w:val="zh-CN"/>
        </w:rPr>
        <w:t>资金计划</w:t>
      </w:r>
      <w:r>
        <w:rPr>
          <w:rFonts w:ascii="楷体_GB2312" w:hAnsi="宋体" w:eastAsia="楷体_GB2312"/>
          <w:sz w:val="32"/>
          <w:szCs w:val="32"/>
        </w:rPr>
        <w:t>。</w:t>
      </w:r>
      <w:r>
        <w:rPr>
          <w:rFonts w:ascii="仿宋_GB2312" w:hAnsi="宋体" w:eastAsia="仿宋_GB2312"/>
          <w:sz w:val="32"/>
          <w:szCs w:val="32"/>
        </w:rPr>
        <w:t>监督检测</w:t>
      </w:r>
      <w:r>
        <w:rPr>
          <w:rFonts w:hint="eastAsia" w:ascii="仿宋_GB2312" w:hAnsi="宋体" w:eastAsia="仿宋_GB2312"/>
          <w:sz w:val="32"/>
          <w:szCs w:val="32"/>
          <w:lang w:val="zh-CN"/>
        </w:rPr>
        <w:t>经费项目资金预算金额为3万元，资金来源为市财政资金。</w:t>
      </w:r>
    </w:p>
    <w:p>
      <w:pPr>
        <w:adjustRightInd w:val="0"/>
        <w:snapToGrid w:val="0"/>
        <w:spacing w:line="576" w:lineRule="exact"/>
        <w:ind w:firstLine="720"/>
        <w:rPr>
          <w:rFonts w:ascii="仿宋_GB2312" w:hAnsi="宋体" w:eastAsia="仿宋_GB2312"/>
          <w:sz w:val="32"/>
          <w:szCs w:val="32"/>
          <w:lang w:val="zh-CN"/>
        </w:rPr>
      </w:pPr>
      <w:r>
        <w:rPr>
          <w:rFonts w:ascii="仿宋_GB2312" w:hAnsi="宋体" w:eastAsia="仿宋_GB2312"/>
          <w:sz w:val="32"/>
          <w:szCs w:val="32"/>
        </w:rPr>
        <w:t>2.</w:t>
      </w:r>
      <w:r>
        <w:rPr>
          <w:rFonts w:hint="eastAsia" w:ascii="仿宋_GB2312" w:hAnsi="宋体" w:eastAsia="仿宋_GB2312"/>
          <w:sz w:val="32"/>
          <w:szCs w:val="32"/>
          <w:lang w:val="zh-CN"/>
        </w:rPr>
        <w:t>资金到位。资金到位及时，到位率为100%。</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3．资金使用。</w:t>
      </w:r>
      <w:r>
        <w:rPr>
          <w:rFonts w:ascii="仿宋_GB2312" w:hAnsi="宋体" w:eastAsia="仿宋_GB2312"/>
          <w:sz w:val="32"/>
          <w:szCs w:val="32"/>
        </w:rPr>
        <w:t>监督检测</w:t>
      </w:r>
      <w:r>
        <w:rPr>
          <w:rFonts w:hint="eastAsia" w:ascii="仿宋_GB2312" w:hAnsi="宋体" w:eastAsia="仿宋_GB2312"/>
          <w:sz w:val="32"/>
          <w:szCs w:val="32"/>
          <w:lang w:val="zh-CN"/>
        </w:rPr>
        <w:t>经费项目资金截至2021年12月使用金额为3万元，剩余资金0万元，支付进度100%。资金用于</w:t>
      </w:r>
      <w:r>
        <w:rPr>
          <w:rFonts w:hint="eastAsia" w:ascii="仿宋_GB2312" w:hAnsi="宋体" w:eastAsia="仿宋_GB2312"/>
          <w:sz w:val="32"/>
          <w:szCs w:val="32"/>
        </w:rPr>
        <w:t>完成2021年受监项目质量监督检测</w:t>
      </w:r>
      <w:r>
        <w:rPr>
          <w:rFonts w:ascii="仿宋_GB2312" w:hAnsi="宋体" w:eastAsia="仿宋_GB2312"/>
          <w:sz w:val="32"/>
          <w:szCs w:val="32"/>
        </w:rPr>
        <w:t>，</w:t>
      </w:r>
      <w:r>
        <w:rPr>
          <w:rFonts w:hint="eastAsia" w:ascii="仿宋_GB2312" w:hAnsi="宋体" w:eastAsia="仿宋_GB2312"/>
          <w:sz w:val="32"/>
          <w:szCs w:val="32"/>
        </w:rPr>
        <w:t>防止一般质量事故的发生，杜绝重、特大质量事故，确保工程项目验收合格率达到100%，分项工程验收合格率达到100%，确保施工过程指标合格率达到100%。保证道路营运安全</w:t>
      </w:r>
      <w:r>
        <w:rPr>
          <w:rFonts w:ascii="仿宋_GB2312" w:hAnsi="宋体" w:eastAsia="仿宋_GB2312"/>
          <w:sz w:val="32"/>
          <w:szCs w:val="32"/>
        </w:rPr>
        <w:t>，</w:t>
      </w:r>
      <w:r>
        <w:rPr>
          <w:rFonts w:hint="eastAsia" w:ascii="仿宋_GB2312" w:hAnsi="宋体" w:eastAsia="仿宋_GB2312"/>
          <w:sz w:val="32"/>
          <w:szCs w:val="32"/>
        </w:rPr>
        <w:t>促进产业发展，增加群众收入，提高群众生活质量。</w:t>
      </w:r>
      <w:r>
        <w:rPr>
          <w:rFonts w:hint="eastAsia" w:ascii="仿宋_GB2312" w:hAnsi="宋体" w:eastAsia="仿宋_GB2312"/>
          <w:sz w:val="32"/>
          <w:szCs w:val="32"/>
          <w:lang w:val="zh-CN"/>
        </w:rPr>
        <w:t>资金支付严格遵循财政资金支付规定，支付依据合规合法，资金支付与预算相符。</w:t>
      </w:r>
    </w:p>
    <w:p>
      <w:pPr>
        <w:adjustRightInd w:val="0"/>
        <w:snapToGrid w:val="0"/>
        <w:spacing w:line="600" w:lineRule="exact"/>
        <w:ind w:firstLine="720"/>
        <w:rPr>
          <w:rFonts w:ascii="楷体_GB2312" w:hAnsi="宋体" w:eastAsia="楷体_GB2312"/>
          <w:bCs/>
          <w:sz w:val="32"/>
          <w:szCs w:val="32"/>
          <w:lang w:val="zh-CN"/>
        </w:rPr>
      </w:pPr>
      <w:r>
        <w:rPr>
          <w:rFonts w:hint="eastAsia" w:ascii="楷体_GB2312" w:hAnsi="宋体" w:eastAsia="楷体_GB2312"/>
          <w:bCs/>
          <w:sz w:val="32"/>
          <w:szCs w:val="32"/>
          <w:lang w:val="zh-CN"/>
        </w:rPr>
        <w:t>（三）项目财务管理情况。</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支队财务管理制度健全，严格执行了财务管理制度，账务处理及时，会计核算规范。支队严格执行各项财务管理制度，保证项目经费专款专用，进一步完善财务管理各项规章制度建设，加强内部机构设置。财务科全面负责项目资金的会计核算和账务处理工作，对照项目资金管理办法进行支出。</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widowControl/>
        <w:ind w:firstLine="640" w:firstLineChars="200"/>
        <w:jc w:val="left"/>
        <w:rPr>
          <w:rFonts w:ascii="仿宋_GB2312" w:hAnsi="宋体" w:eastAsia="仿宋_GB2312"/>
          <w:sz w:val="32"/>
          <w:szCs w:val="32"/>
        </w:rPr>
      </w:pPr>
      <w:r>
        <w:rPr>
          <w:rFonts w:hint="eastAsia" w:ascii="楷体_GB2312" w:hAnsi="宋体" w:eastAsia="楷体_GB2312"/>
          <w:bCs/>
          <w:sz w:val="32"/>
          <w:szCs w:val="32"/>
          <w:lang w:val="zh-CN"/>
        </w:rPr>
        <w:t>（一）项目组织架构及实施流程。</w:t>
      </w:r>
      <w:r>
        <w:rPr>
          <w:rFonts w:ascii="仿宋_GB2312" w:hAnsi="宋体" w:eastAsia="仿宋_GB2312"/>
          <w:sz w:val="32"/>
          <w:szCs w:val="32"/>
        </w:rPr>
        <w:t>监督检测工作经费由交通建设工程质量执法大队</w:t>
      </w:r>
      <w:r>
        <w:rPr>
          <w:rFonts w:hint="eastAsia" w:ascii="仿宋_GB2312" w:hAnsi="宋体" w:eastAsia="仿宋_GB2312"/>
          <w:sz w:val="32"/>
          <w:szCs w:val="32"/>
        </w:rPr>
        <w:t>负责，资金使用由</w:t>
      </w:r>
      <w:r>
        <w:rPr>
          <w:rFonts w:ascii="仿宋_GB2312" w:hAnsi="宋体" w:eastAsia="仿宋_GB2312"/>
          <w:sz w:val="32"/>
          <w:szCs w:val="32"/>
        </w:rPr>
        <w:t>财务装备</w:t>
      </w:r>
      <w:r>
        <w:rPr>
          <w:rFonts w:hint="eastAsia" w:ascii="仿宋_GB2312" w:hAnsi="宋体" w:eastAsia="仿宋_GB2312"/>
          <w:sz w:val="32"/>
          <w:szCs w:val="32"/>
        </w:rPr>
        <w:t>科组织实施。</w:t>
      </w:r>
      <w:r>
        <w:rPr>
          <w:rFonts w:ascii="仿宋_GB2312" w:hAnsi="宋体" w:eastAsia="仿宋_GB2312"/>
          <w:sz w:val="32"/>
          <w:szCs w:val="32"/>
        </w:rPr>
        <w:t>截至2021年12月底，完成对</w:t>
      </w:r>
      <w:r>
        <w:rPr>
          <w:rFonts w:hint="eastAsia" w:ascii="仿宋_GB2312" w:hAnsi="宋体" w:eastAsia="仿宋_GB2312"/>
          <w:sz w:val="32"/>
          <w:szCs w:val="32"/>
        </w:rPr>
        <w:t>2021年受监项目</w:t>
      </w:r>
      <w:r>
        <w:rPr>
          <w:rFonts w:ascii="仿宋_GB2312" w:hAnsi="宋体" w:eastAsia="仿宋_GB2312"/>
          <w:sz w:val="32"/>
          <w:szCs w:val="32"/>
        </w:rPr>
        <w:t>的</w:t>
      </w:r>
      <w:r>
        <w:rPr>
          <w:rFonts w:hint="eastAsia" w:ascii="仿宋_GB2312" w:hAnsi="宋体" w:eastAsia="仿宋_GB2312"/>
          <w:sz w:val="32"/>
          <w:szCs w:val="32"/>
        </w:rPr>
        <w:t>质量监督检测</w:t>
      </w:r>
      <w:r>
        <w:rPr>
          <w:rFonts w:ascii="仿宋_GB2312" w:hAnsi="宋体" w:eastAsia="仿宋_GB2312"/>
          <w:sz w:val="32"/>
          <w:szCs w:val="32"/>
        </w:rPr>
        <w:t>。</w:t>
      </w:r>
      <w:r>
        <w:rPr>
          <w:rFonts w:hint="eastAsia" w:ascii="仿宋_GB2312" w:hAnsi="宋体" w:eastAsia="仿宋_GB2312"/>
          <w:sz w:val="32"/>
          <w:szCs w:val="32"/>
        </w:rPr>
        <w:t>防止一般质量事故的发生，杜绝重、特大质量事故，确保工程项目验收合格率达到100%，分项工程验收合格率达到100%，确保施工过程指标合格率达到100%。保证道路营运安全</w:t>
      </w:r>
      <w:r>
        <w:rPr>
          <w:rFonts w:ascii="仿宋_GB2312" w:hAnsi="宋体" w:eastAsia="仿宋_GB2312"/>
          <w:sz w:val="32"/>
          <w:szCs w:val="32"/>
        </w:rPr>
        <w:t>，</w:t>
      </w:r>
      <w:r>
        <w:rPr>
          <w:rFonts w:hint="eastAsia" w:ascii="仿宋_GB2312" w:hAnsi="宋体" w:eastAsia="仿宋_GB2312"/>
          <w:sz w:val="32"/>
          <w:szCs w:val="32"/>
        </w:rPr>
        <w:t>促进产业发展，增加群众收入，提高群众生活质量</w:t>
      </w:r>
      <w:r>
        <w:rPr>
          <w:rFonts w:ascii="仿宋_GB2312" w:hAnsi="宋体" w:eastAsia="仿宋_GB2312"/>
          <w:sz w:val="32"/>
          <w:szCs w:val="32"/>
        </w:rPr>
        <w:t>。</w:t>
      </w:r>
    </w:p>
    <w:p>
      <w:pPr>
        <w:adjustRightInd w:val="0"/>
        <w:snapToGrid w:val="0"/>
        <w:spacing w:line="600" w:lineRule="exact"/>
        <w:ind w:firstLine="720"/>
        <w:rPr>
          <w:rFonts w:ascii="仿宋_GB2312" w:hAnsi="宋体" w:eastAsia="仿宋_GB2312"/>
          <w:bCs/>
          <w:sz w:val="32"/>
          <w:szCs w:val="32"/>
          <w:lang w:val="zh-CN"/>
        </w:rPr>
      </w:pPr>
      <w:r>
        <w:rPr>
          <w:rFonts w:hint="eastAsia" w:ascii="楷体_GB2312" w:hAnsi="宋体" w:eastAsia="楷体_GB2312"/>
          <w:bCs/>
          <w:sz w:val="32"/>
          <w:szCs w:val="32"/>
          <w:lang w:val="zh-CN"/>
        </w:rPr>
        <w:t>（二）项目管理情况。</w:t>
      </w:r>
      <w:r>
        <w:rPr>
          <w:rFonts w:hint="eastAsia" w:ascii="仿宋_GB2312" w:hAnsi="宋体" w:eastAsia="仿宋_GB2312"/>
          <w:bCs/>
          <w:sz w:val="32"/>
          <w:szCs w:val="28"/>
        </w:rPr>
        <w:t>在项目资金使用中，</w:t>
      </w:r>
      <w:r>
        <w:rPr>
          <w:rFonts w:ascii="仿宋_GB2312" w:hAnsi="宋体" w:eastAsia="仿宋_GB2312"/>
          <w:bCs/>
          <w:sz w:val="32"/>
          <w:szCs w:val="28"/>
        </w:rPr>
        <w:t>支队</w:t>
      </w:r>
      <w:r>
        <w:rPr>
          <w:rFonts w:hint="eastAsia" w:ascii="仿宋_GB2312" w:hAnsi="宋体" w:eastAsia="仿宋_GB2312"/>
          <w:bCs/>
          <w:sz w:val="32"/>
          <w:szCs w:val="28"/>
        </w:rPr>
        <w:t>严格执行相关法律法规，项目从立项、公开、组织实施均严格按相关规定执行，符合国家及财政相关政策规定，项目申报符合国家政策，符合地方经济社会的发展需要，具有明确的项目实施主体及实施决策程序。同时，</w:t>
      </w:r>
      <w:r>
        <w:rPr>
          <w:rFonts w:ascii="仿宋_GB2312" w:hAnsi="宋体" w:eastAsia="仿宋_GB2312"/>
          <w:bCs/>
          <w:sz w:val="32"/>
          <w:szCs w:val="28"/>
        </w:rPr>
        <w:t>支队</w:t>
      </w:r>
      <w:r>
        <w:rPr>
          <w:rFonts w:hint="eastAsia" w:ascii="仿宋_GB2312" w:hAnsi="宋体" w:eastAsia="仿宋_GB2312"/>
          <w:bCs/>
          <w:sz w:val="32"/>
          <w:szCs w:val="28"/>
        </w:rPr>
        <w:t>制定了较完整的内部建设管理制度，并严格遵守执行，项目管理较规范。</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Cs/>
          <w:sz w:val="32"/>
          <w:szCs w:val="32"/>
          <w:lang w:val="zh-CN"/>
        </w:rPr>
        <w:t>（三）项目监管情况。</w:t>
      </w:r>
      <w:r>
        <w:rPr>
          <w:rFonts w:hint="eastAsia" w:ascii="仿宋_GB2312" w:hAnsi="宋体" w:eastAsia="仿宋_GB2312"/>
          <w:bCs/>
          <w:sz w:val="32"/>
          <w:szCs w:val="32"/>
          <w:lang w:val="zh-CN"/>
        </w:rPr>
        <w:t>支队严格按照相关法律法规和程序，对质量、安全和项目进度</w:t>
      </w:r>
      <w:r>
        <w:rPr>
          <w:rFonts w:hint="eastAsia" w:ascii="仿宋_GB2312" w:hAnsi="宋体" w:eastAsia="仿宋_GB2312"/>
          <w:sz w:val="32"/>
          <w:szCs w:val="32"/>
          <w:lang w:val="zh-CN"/>
        </w:rPr>
        <w:t>进行全过程、全方位的监督管理，努力化解风险，提高工作效率，明确规范管理，强化责任，确保安全，保证质量的指导思想，思想观念不放松，严格把好绩效项目实施过程关口。</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Cs/>
          <w:sz w:val="32"/>
          <w:szCs w:val="32"/>
          <w:lang w:val="zh-CN"/>
        </w:rPr>
      </w:pPr>
      <w:r>
        <w:rPr>
          <w:rFonts w:hint="eastAsia" w:ascii="楷体_GB2312" w:hAnsi="宋体" w:eastAsia="楷体_GB2312"/>
          <w:bCs/>
          <w:sz w:val="32"/>
          <w:szCs w:val="32"/>
          <w:lang w:val="zh-CN"/>
        </w:rPr>
        <w:t>（一）项目完成情况。</w:t>
      </w:r>
    </w:p>
    <w:p>
      <w:pPr>
        <w:adjustRightInd w:val="0"/>
        <w:snapToGrid w:val="0"/>
        <w:spacing w:line="576" w:lineRule="exact"/>
        <w:ind w:firstLine="720"/>
        <w:rPr>
          <w:rFonts w:ascii="仿宋_GB2312" w:hAnsi="宋体" w:eastAsia="仿宋_GB2312"/>
          <w:bCs/>
          <w:sz w:val="32"/>
          <w:szCs w:val="32"/>
          <w:lang w:val="zh-CN"/>
        </w:rPr>
      </w:pPr>
      <w:r>
        <w:rPr>
          <w:rFonts w:ascii="仿宋_GB2312" w:hAnsi="宋体" w:eastAsia="仿宋_GB2312"/>
          <w:bCs/>
          <w:sz w:val="32"/>
          <w:szCs w:val="32"/>
          <w:lang w:val="zh-CN"/>
        </w:rPr>
        <w:t>支队</w:t>
      </w:r>
      <w:r>
        <w:rPr>
          <w:rFonts w:hint="eastAsia" w:ascii="仿宋_GB2312" w:hAnsi="宋体" w:eastAsia="仿宋_GB2312"/>
          <w:bCs/>
          <w:sz w:val="32"/>
          <w:szCs w:val="32"/>
          <w:lang w:val="zh-CN"/>
        </w:rPr>
        <w:t>交通建设工程质量执法大队</w:t>
      </w:r>
      <w:r>
        <w:rPr>
          <w:rFonts w:hint="eastAsia" w:ascii="仿宋_GB2312" w:hAnsi="宋体" w:eastAsia="仿宋_GB2312"/>
          <w:bCs/>
          <w:sz w:val="32"/>
          <w:szCs w:val="32"/>
        </w:rPr>
        <w:t>受监项目共计27个，总投资607.35亿元，路线总长716.19公里。其中高速公路3个，总投资401.75亿元，路线全长282.76公里；地方重点建设项目23个，总投资204.6亿元，路线全长433.42公里；地方重点水运建设项目1个，总投资1亿元。</w:t>
      </w:r>
      <w:r>
        <w:rPr>
          <w:rFonts w:ascii="仿宋_GB2312" w:hAnsi="宋体" w:eastAsia="仿宋_GB2312"/>
          <w:bCs/>
          <w:sz w:val="32"/>
          <w:szCs w:val="32"/>
        </w:rPr>
        <w:t>截至2021年年底，</w:t>
      </w:r>
      <w:r>
        <w:rPr>
          <w:rFonts w:hint="eastAsia" w:ascii="仿宋_GB2312" w:hAnsi="宋体" w:eastAsia="仿宋_GB2312"/>
          <w:bCs/>
          <w:sz w:val="32"/>
          <w:szCs w:val="32"/>
        </w:rPr>
        <w:t>完成2021年受监项目质量监督检测</w:t>
      </w:r>
      <w:r>
        <w:rPr>
          <w:rFonts w:ascii="仿宋_GB2312" w:hAnsi="宋体" w:eastAsia="仿宋_GB2312"/>
          <w:bCs/>
          <w:sz w:val="32"/>
          <w:szCs w:val="32"/>
          <w:lang w:val="zh-CN"/>
        </w:rPr>
        <w:t>，</w:t>
      </w:r>
      <w:r>
        <w:rPr>
          <w:rFonts w:hint="eastAsia" w:ascii="仿宋_GB2312" w:hAnsi="宋体" w:eastAsia="仿宋_GB2312"/>
          <w:bCs/>
          <w:sz w:val="32"/>
          <w:szCs w:val="32"/>
        </w:rPr>
        <w:t>工程项目验收合格率</w:t>
      </w:r>
      <w:r>
        <w:rPr>
          <w:rFonts w:ascii="仿宋_GB2312" w:hAnsi="宋体" w:eastAsia="仿宋_GB2312"/>
          <w:bCs/>
          <w:sz w:val="32"/>
          <w:szCs w:val="32"/>
          <w:lang w:val="zh-CN"/>
        </w:rPr>
        <w:t>、</w:t>
      </w:r>
      <w:r>
        <w:rPr>
          <w:rFonts w:hint="eastAsia" w:ascii="仿宋_GB2312" w:hAnsi="宋体" w:eastAsia="仿宋_GB2312"/>
          <w:bCs/>
          <w:sz w:val="32"/>
          <w:szCs w:val="32"/>
        </w:rPr>
        <w:t>分项工程验收合格率</w:t>
      </w:r>
      <w:r>
        <w:rPr>
          <w:rFonts w:ascii="仿宋_GB2312" w:hAnsi="宋体" w:eastAsia="仿宋_GB2312"/>
          <w:bCs/>
          <w:sz w:val="32"/>
          <w:szCs w:val="32"/>
          <w:lang w:val="zh-CN"/>
        </w:rPr>
        <w:t>、</w:t>
      </w:r>
      <w:r>
        <w:rPr>
          <w:rFonts w:hint="eastAsia" w:ascii="仿宋_GB2312" w:hAnsi="宋体" w:eastAsia="仿宋_GB2312"/>
          <w:bCs/>
          <w:sz w:val="32"/>
          <w:szCs w:val="32"/>
        </w:rPr>
        <w:t>施工过程指标合格率</w:t>
      </w:r>
      <w:r>
        <w:rPr>
          <w:rFonts w:ascii="仿宋_GB2312" w:hAnsi="宋体" w:eastAsia="仿宋_GB2312"/>
          <w:bCs/>
          <w:sz w:val="32"/>
          <w:szCs w:val="32"/>
          <w:lang w:val="zh-CN"/>
        </w:rPr>
        <w:t>均达到100%。</w:t>
      </w:r>
      <w:r>
        <w:rPr>
          <w:rFonts w:ascii="仿宋_GB2312" w:hAnsi="宋体" w:eastAsia="仿宋_GB2312"/>
          <w:bCs/>
          <w:sz w:val="32"/>
          <w:szCs w:val="32"/>
        </w:rPr>
        <w:t>绩效目标全部完成，完成率达100%，项目成本控制在预算资金范围内</w:t>
      </w:r>
      <w:r>
        <w:rPr>
          <w:rFonts w:ascii="仿宋_GB2312" w:hAnsi="宋体" w:eastAsia="仿宋_GB2312"/>
          <w:bCs/>
          <w:sz w:val="32"/>
          <w:szCs w:val="32"/>
          <w:lang w:val="zh-CN"/>
        </w:rPr>
        <w:t>，无结余资金</w:t>
      </w:r>
      <w:r>
        <w:rPr>
          <w:rFonts w:hint="eastAsia" w:ascii="仿宋_GB2312" w:hAnsi="宋体" w:eastAsia="仿宋_GB2312"/>
          <w:bCs/>
          <w:sz w:val="32"/>
          <w:szCs w:val="32"/>
          <w:lang w:val="zh-CN"/>
        </w:rPr>
        <w:t>。</w:t>
      </w:r>
    </w:p>
    <w:p>
      <w:pPr>
        <w:adjustRightInd w:val="0"/>
        <w:snapToGrid w:val="0"/>
        <w:spacing w:line="600" w:lineRule="exact"/>
        <w:ind w:firstLine="720"/>
        <w:rPr>
          <w:rFonts w:ascii="楷体_GB2312" w:hAnsi="宋体" w:eastAsia="楷体_GB2312"/>
          <w:bCs/>
          <w:sz w:val="32"/>
          <w:szCs w:val="32"/>
          <w:lang w:val="zh-CN"/>
        </w:rPr>
      </w:pPr>
      <w:r>
        <w:rPr>
          <w:rFonts w:hint="eastAsia" w:ascii="楷体_GB2312" w:hAnsi="宋体" w:eastAsia="楷体_GB2312"/>
          <w:bCs/>
          <w:sz w:val="32"/>
          <w:szCs w:val="32"/>
          <w:lang w:val="zh-CN"/>
        </w:rPr>
        <w:t>（二）项目效益情况。</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bCs/>
          <w:sz w:val="32"/>
          <w:szCs w:val="32"/>
        </w:rPr>
        <w:t>各建设项目在施工过程</w:t>
      </w:r>
      <w:r>
        <w:rPr>
          <w:rFonts w:hint="eastAsia" w:ascii="仿宋_GB2312" w:hAnsi="宋体" w:eastAsia="仿宋_GB2312"/>
          <w:sz w:val="32"/>
          <w:szCs w:val="32"/>
        </w:rPr>
        <w:t>中的质量控制是工程完工后的合格保障，质量过硬是减少后期养护成本的保障</w:t>
      </w:r>
      <w:r>
        <w:rPr>
          <w:rFonts w:ascii="仿宋_GB2312" w:hAnsi="宋体" w:eastAsia="仿宋_GB2312"/>
          <w:sz w:val="32"/>
          <w:szCs w:val="32"/>
          <w:lang w:val="zh-CN"/>
        </w:rPr>
        <w:t>，</w:t>
      </w:r>
      <w:r>
        <w:rPr>
          <w:rFonts w:hint="eastAsia" w:ascii="仿宋_GB2312" w:hAnsi="宋体" w:eastAsia="仿宋_GB2312"/>
          <w:sz w:val="32"/>
          <w:szCs w:val="32"/>
        </w:rPr>
        <w:t>保证道路营运安全</w:t>
      </w:r>
      <w:r>
        <w:rPr>
          <w:rFonts w:ascii="仿宋_GB2312" w:hAnsi="宋体" w:eastAsia="仿宋_GB2312"/>
          <w:sz w:val="32"/>
          <w:szCs w:val="32"/>
          <w:lang w:val="zh-CN"/>
        </w:rPr>
        <w:t>；</w:t>
      </w:r>
      <w:r>
        <w:rPr>
          <w:rFonts w:hint="eastAsia" w:ascii="仿宋_GB2312" w:hAnsi="宋体" w:eastAsia="仿宋_GB2312"/>
          <w:sz w:val="32"/>
          <w:szCs w:val="32"/>
        </w:rPr>
        <w:t>促进道路沿线产业发展，增加道路沿线群众收入，提高道路沿线群众出行舒适度</w:t>
      </w:r>
      <w:r>
        <w:rPr>
          <w:rFonts w:hint="eastAsia" w:ascii="仿宋_GB2312" w:hAnsi="宋体" w:eastAsia="仿宋_GB2312"/>
          <w:sz w:val="32"/>
          <w:szCs w:val="32"/>
          <w:lang w:val="zh-CN"/>
        </w:rPr>
        <w:t>。</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Cs/>
          <w:sz w:val="32"/>
          <w:szCs w:val="32"/>
          <w:lang w:val="zh-CN"/>
        </w:rPr>
      </w:pPr>
      <w:r>
        <w:rPr>
          <w:rFonts w:hint="eastAsia" w:ascii="楷体_GB2312" w:hAnsi="宋体" w:eastAsia="楷体_GB2312"/>
          <w:bCs/>
          <w:sz w:val="32"/>
          <w:szCs w:val="32"/>
          <w:lang w:val="zh-CN"/>
        </w:rPr>
        <w:t>（一）评价结论。</w:t>
      </w:r>
    </w:p>
    <w:p>
      <w:pPr>
        <w:adjustRightInd w:val="0"/>
        <w:snapToGrid w:val="0"/>
        <w:spacing w:line="576" w:lineRule="exact"/>
        <w:ind w:firstLine="720"/>
        <w:rPr>
          <w:rFonts w:ascii="仿宋_GB2312" w:hAnsi="宋体" w:eastAsia="仿宋_GB2312"/>
          <w:sz w:val="32"/>
          <w:szCs w:val="32"/>
          <w:bdr w:val="single" w:color="auto" w:sz="4" w:space="0"/>
          <w:lang w:val="zh-CN"/>
        </w:rPr>
      </w:pPr>
      <w:r>
        <w:rPr>
          <w:rFonts w:hint="eastAsia" w:ascii="仿宋_GB2312" w:hAnsi="宋体" w:eastAsia="仿宋_GB2312"/>
          <w:bCs/>
          <w:sz w:val="32"/>
          <w:szCs w:val="32"/>
          <w:lang w:val="zh-CN"/>
        </w:rPr>
        <w:t>根据绩效指标评价，</w:t>
      </w:r>
      <w:r>
        <w:rPr>
          <w:rFonts w:ascii="仿宋_GB2312" w:hAnsi="宋体" w:eastAsia="仿宋_GB2312"/>
          <w:sz w:val="32"/>
          <w:szCs w:val="32"/>
        </w:rPr>
        <w:t>支队年初既定绩效目标基本完成</w:t>
      </w:r>
      <w:r>
        <w:rPr>
          <w:rFonts w:hint="eastAsia" w:ascii="仿宋_GB2312" w:hAnsi="宋体" w:eastAsia="仿宋_GB2312"/>
          <w:sz w:val="32"/>
          <w:szCs w:val="32"/>
          <w:lang w:val="zh-CN"/>
        </w:rPr>
        <w:t>。通过自评，从整体情况来看，</w:t>
      </w:r>
      <w:r>
        <w:rPr>
          <w:rFonts w:ascii="仿宋_GB2312" w:hAnsi="宋体" w:eastAsia="仿宋_GB2312"/>
          <w:sz w:val="32"/>
          <w:szCs w:val="32"/>
        </w:rPr>
        <w:t>支队</w:t>
      </w:r>
      <w:r>
        <w:rPr>
          <w:rFonts w:hint="eastAsia" w:ascii="仿宋_GB2312" w:hAnsi="宋体" w:eastAsia="仿宋_GB2312"/>
          <w:sz w:val="32"/>
          <w:szCs w:val="32"/>
          <w:lang w:val="zh-CN"/>
        </w:rPr>
        <w:t>高度重视财政资金的支出绩效，在资金预算、审批、执行、支付等方面都做到了层层把关，严格按照单位预算进行整体支出，严格执行资金管理相关规定及单位财务制度，所有项目资金严格按照项目申报的实施方案组织实施，并加强对项目实施全过程的日常监督，切实做到项目资金专款专用，无挪用、占用、套取等违规现象。项目支出产生的效益显著，达到了预期的资金使用效果。</w:t>
      </w:r>
      <w:r>
        <w:rPr>
          <w:rFonts w:hint="eastAsia" w:ascii="仿宋_GB2312" w:hAnsi="宋体" w:eastAsia="仿宋_GB2312"/>
          <w:sz w:val="32"/>
          <w:szCs w:val="32"/>
        </w:rPr>
        <w:t>保证道路营运安全</w:t>
      </w:r>
      <w:r>
        <w:rPr>
          <w:rFonts w:ascii="仿宋_GB2312" w:hAnsi="宋体" w:eastAsia="仿宋_GB2312"/>
          <w:sz w:val="32"/>
          <w:szCs w:val="32"/>
          <w:lang w:val="zh-CN"/>
        </w:rPr>
        <w:t>；</w:t>
      </w:r>
      <w:r>
        <w:rPr>
          <w:rFonts w:hint="eastAsia" w:ascii="仿宋_GB2312" w:hAnsi="宋体" w:eastAsia="仿宋_GB2312"/>
          <w:sz w:val="32"/>
          <w:szCs w:val="32"/>
        </w:rPr>
        <w:t>促进道路沿线产业发展，增加道路沿线群众收入，提高道路沿线群众出行舒适度</w:t>
      </w:r>
      <w:r>
        <w:rPr>
          <w:rFonts w:hint="eastAsia" w:ascii="仿宋_GB2312" w:hAnsi="宋体" w:eastAsia="仿宋_GB2312"/>
          <w:sz w:val="32"/>
          <w:szCs w:val="32"/>
          <w:lang w:val="zh-CN"/>
        </w:rPr>
        <w:t>，</w:t>
      </w:r>
      <w:r>
        <w:rPr>
          <w:rFonts w:ascii="仿宋_GB2312" w:hAnsi="宋体" w:eastAsia="仿宋_GB2312"/>
          <w:sz w:val="32"/>
          <w:szCs w:val="32"/>
        </w:rPr>
        <w:t>社会满意度达到良好</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Cs/>
          <w:sz w:val="32"/>
          <w:szCs w:val="32"/>
          <w:lang w:val="zh-CN"/>
        </w:rPr>
      </w:pPr>
      <w:r>
        <w:rPr>
          <w:rFonts w:hint="eastAsia" w:ascii="楷体_GB2312" w:hAnsi="宋体" w:eastAsia="楷体_GB2312"/>
          <w:bCs/>
          <w:sz w:val="32"/>
          <w:szCs w:val="32"/>
          <w:lang w:val="zh-CN"/>
        </w:rPr>
        <w:t>（二）存在的问题。</w:t>
      </w:r>
    </w:p>
    <w:p>
      <w:pPr>
        <w:adjustRightInd w:val="0"/>
        <w:snapToGrid w:val="0"/>
        <w:spacing w:line="576" w:lineRule="exact"/>
        <w:ind w:firstLine="720"/>
        <w:rPr>
          <w:rFonts w:ascii="仿宋_GB2312" w:hAnsi="宋体" w:eastAsia="仿宋_GB2312"/>
          <w:bCs/>
          <w:sz w:val="32"/>
          <w:szCs w:val="32"/>
          <w:lang w:val="zh-CN"/>
        </w:rPr>
      </w:pPr>
      <w:r>
        <w:rPr>
          <w:rFonts w:hint="eastAsia" w:ascii="仿宋_GB2312" w:hAnsi="宋体" w:eastAsia="仿宋_GB2312"/>
          <w:bCs/>
          <w:sz w:val="32"/>
          <w:szCs w:val="32"/>
          <w:lang w:val="zh-CN"/>
        </w:rPr>
        <w:t>项目资金使用不够科学。</w:t>
      </w:r>
      <w:r>
        <w:rPr>
          <w:rFonts w:hint="eastAsia" w:ascii="仿宋_GB2312" w:hAnsi="宋体" w:eastAsia="仿宋_GB2312"/>
          <w:bCs/>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Cs/>
          <w:sz w:val="32"/>
          <w:szCs w:val="32"/>
          <w:lang w:val="zh-CN"/>
        </w:rPr>
        <w:t>（三）相关建议。</w:t>
      </w:r>
    </w:p>
    <w:p>
      <w:pPr>
        <w:pStyle w:val="2"/>
        <w:spacing w:before="93"/>
        <w:ind w:firstLine="640" w:firstLineChars="200"/>
        <w:rPr>
          <w:lang w:val="zh-CN"/>
        </w:rPr>
      </w:pPr>
      <w:r>
        <w:rPr>
          <w:rFonts w:hint="eastAsia" w:hAnsi="宋体"/>
          <w:sz w:val="32"/>
          <w:szCs w:val="32"/>
          <w:lang w:val="zh-CN"/>
        </w:rPr>
        <w:t>对项目计划进度跟踪，合理支出预算资金，使其最大效益化。</w:t>
      </w:r>
    </w:p>
    <w:p/>
    <w:p>
      <w:pPr>
        <w:pStyle w:val="2"/>
        <w:spacing w:before="93"/>
      </w:pPr>
      <w:r>
        <w:rPr>
          <w:rFonts w:hint="eastAsia" w:ascii="黑体" w:hAnsi="黑体" w:eastAsia="黑体" w:cs="黑体"/>
          <w:sz w:val="32"/>
          <w:szCs w:val="32"/>
        </w:rPr>
        <w:t>附表</w:t>
      </w:r>
    </w:p>
    <w:tbl>
      <w:tblPr>
        <w:tblStyle w:val="18"/>
        <w:tblpPr w:leftFromText="180" w:rightFromText="180" w:vertAnchor="text" w:horzAnchor="page" w:tblpXSpec="center" w:tblpY="181"/>
        <w:tblOverlap w:val="never"/>
        <w:tblW w:w="9976" w:type="dxa"/>
        <w:jc w:val="center"/>
        <w:tblLayout w:type="fixed"/>
        <w:tblCellMar>
          <w:top w:w="0" w:type="dxa"/>
          <w:left w:w="108" w:type="dxa"/>
          <w:bottom w:w="0" w:type="dxa"/>
          <w:right w:w="108" w:type="dxa"/>
        </w:tblCellMar>
      </w:tblPr>
      <w:tblGrid>
        <w:gridCol w:w="2552"/>
        <w:gridCol w:w="603"/>
        <w:gridCol w:w="994"/>
        <w:gridCol w:w="1420"/>
        <w:gridCol w:w="1571"/>
        <w:gridCol w:w="1820"/>
        <w:gridCol w:w="1016"/>
      </w:tblGrid>
      <w:tr>
        <w:tblPrEx>
          <w:tblCellMar>
            <w:top w:w="0" w:type="dxa"/>
            <w:left w:w="108" w:type="dxa"/>
            <w:bottom w:w="0" w:type="dxa"/>
            <w:right w:w="108" w:type="dxa"/>
          </w:tblCellMar>
        </w:tblPrEx>
        <w:trPr>
          <w:trHeight w:val="303" w:hRule="atLeast"/>
          <w:jc w:val="center"/>
        </w:trPr>
        <w:tc>
          <w:tcPr>
            <w:tcW w:w="9976" w:type="dxa"/>
            <w:gridSpan w:val="7"/>
            <w:tcBorders>
              <w:top w:val="nil"/>
              <w:left w:val="nil"/>
              <w:bottom w:val="nil"/>
              <w:right w:val="nil"/>
            </w:tcBorders>
            <w:shd w:val="clear" w:color="auto" w:fill="auto"/>
            <w:vAlign w:val="center"/>
          </w:tcPr>
          <w:p>
            <w:pPr>
              <w:widowControl/>
              <w:jc w:val="center"/>
              <w:textAlignment w:val="center"/>
              <w:rPr>
                <w:rFonts w:ascii="方正小标宋简体" w:hAnsi="方正小标宋简体" w:eastAsia="方正小标宋简体" w:cs="方正小标宋简体"/>
                <w:color w:val="000000"/>
                <w:sz w:val="18"/>
                <w:szCs w:val="18"/>
              </w:rPr>
            </w:pPr>
            <w:r>
              <w:rPr>
                <w:rFonts w:ascii="方正小标宋简体" w:hAnsi="方正小标宋简体" w:eastAsia="方正小标宋简体" w:cs="方正小标宋简体"/>
                <w:color w:val="000000"/>
                <w:kern w:val="0"/>
                <w:sz w:val="18"/>
                <w:szCs w:val="18"/>
              </w:rPr>
              <w:t>项目支出绩效目标自评表</w:t>
            </w:r>
          </w:p>
        </w:tc>
      </w:tr>
      <w:tr>
        <w:tblPrEx>
          <w:tblCellMar>
            <w:top w:w="0" w:type="dxa"/>
            <w:left w:w="108" w:type="dxa"/>
            <w:bottom w:w="0" w:type="dxa"/>
            <w:right w:w="108" w:type="dxa"/>
          </w:tblCellMar>
        </w:tblPrEx>
        <w:trPr>
          <w:trHeight w:val="303" w:hRule="atLeast"/>
          <w:jc w:val="center"/>
        </w:trPr>
        <w:tc>
          <w:tcPr>
            <w:tcW w:w="9976" w:type="dxa"/>
            <w:gridSpan w:val="7"/>
            <w:tcBorders>
              <w:top w:val="nil"/>
              <w:left w:val="nil"/>
              <w:bottom w:val="nil"/>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r>
              <w:rPr>
                <w:color w:val="000000"/>
                <w:kern w:val="0"/>
                <w:sz w:val="18"/>
                <w:szCs w:val="18"/>
              </w:rPr>
              <w:t xml:space="preserve">          2021</w:t>
            </w:r>
            <w:r>
              <w:rPr>
                <w:rFonts w:hint="eastAsia" w:ascii="宋体" w:hAnsi="宋体" w:cs="宋体"/>
                <w:color w:val="000000"/>
                <w:kern w:val="0"/>
                <w:sz w:val="18"/>
                <w:szCs w:val="18"/>
              </w:rPr>
              <w:t>年度）</w:t>
            </w:r>
          </w:p>
        </w:tc>
      </w:tr>
      <w:tr>
        <w:tblPrEx>
          <w:tblCellMar>
            <w:top w:w="0" w:type="dxa"/>
            <w:left w:w="108" w:type="dxa"/>
            <w:bottom w:w="0" w:type="dxa"/>
            <w:right w:w="108" w:type="dxa"/>
          </w:tblCellMar>
        </w:tblPrEx>
        <w:trPr>
          <w:trHeight w:val="313" w:hRule="atLeast"/>
          <w:jc w:val="center"/>
        </w:trPr>
        <w:tc>
          <w:tcPr>
            <w:tcW w:w="41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项目名称</w:t>
            </w:r>
          </w:p>
        </w:tc>
        <w:tc>
          <w:tcPr>
            <w:tcW w:w="58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监督检测经费</w:t>
            </w:r>
          </w:p>
        </w:tc>
      </w:tr>
      <w:tr>
        <w:tblPrEx>
          <w:tblCellMar>
            <w:top w:w="0" w:type="dxa"/>
            <w:left w:w="108" w:type="dxa"/>
            <w:bottom w:w="0" w:type="dxa"/>
            <w:right w:w="108" w:type="dxa"/>
          </w:tblCellMar>
        </w:tblPrEx>
        <w:trPr>
          <w:trHeight w:val="615" w:hRule="atLeast"/>
          <w:jc w:val="center"/>
        </w:trPr>
        <w:tc>
          <w:tcPr>
            <w:tcW w:w="41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主管单位</w:t>
            </w:r>
          </w:p>
        </w:tc>
        <w:tc>
          <w:tcPr>
            <w:tcW w:w="1420"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广元市交通运输局</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实施单位</w:t>
            </w:r>
          </w:p>
        </w:tc>
        <w:tc>
          <w:tcPr>
            <w:tcW w:w="283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广元市交通运输综合行政执法支队</w:t>
            </w:r>
          </w:p>
        </w:tc>
      </w:tr>
      <w:tr>
        <w:tblPrEx>
          <w:tblCellMar>
            <w:top w:w="0" w:type="dxa"/>
            <w:left w:w="108" w:type="dxa"/>
            <w:bottom w:w="0" w:type="dxa"/>
            <w:right w:w="108" w:type="dxa"/>
          </w:tblCellMar>
        </w:tblPrEx>
        <w:trPr>
          <w:trHeight w:val="313" w:hRule="atLeast"/>
          <w:jc w:val="center"/>
        </w:trPr>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执行</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情况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（万元）</w:t>
            </w: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预算数：</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执行数：</w:t>
            </w: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w:t>
            </w:r>
          </w:p>
        </w:tc>
      </w:tr>
      <w:tr>
        <w:tblPrEx>
          <w:tblCellMar>
            <w:top w:w="0" w:type="dxa"/>
            <w:left w:w="108" w:type="dxa"/>
            <w:bottom w:w="0" w:type="dxa"/>
            <w:right w:w="108" w:type="dxa"/>
          </w:tblCellMar>
        </w:tblPrEx>
        <w:trPr>
          <w:trHeight w:val="313" w:hRule="atLeast"/>
          <w:jc w:val="center"/>
        </w:trPr>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571" w:type="dxa"/>
            <w:tcBorders>
              <w:top w:val="single" w:color="000000" w:sz="4" w:space="0"/>
              <w:left w:val="nil"/>
              <w:bottom w:val="nil"/>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w:t>
            </w:r>
          </w:p>
        </w:tc>
      </w:tr>
      <w:tr>
        <w:tblPrEx>
          <w:tblCellMar>
            <w:top w:w="0" w:type="dxa"/>
            <w:left w:w="108" w:type="dxa"/>
            <w:bottom w:w="0" w:type="dxa"/>
            <w:right w:w="108" w:type="dxa"/>
          </w:tblCellMar>
        </w:tblPrEx>
        <w:trPr>
          <w:trHeight w:val="596" w:hRule="atLeast"/>
          <w:jc w:val="center"/>
        </w:trPr>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w:t>
            </w:r>
          </w:p>
        </w:tc>
        <w:tc>
          <w:tcPr>
            <w:tcW w:w="1571" w:type="dxa"/>
            <w:tcBorders>
              <w:top w:val="single" w:color="000000" w:sz="4" w:space="0"/>
              <w:left w:val="nil"/>
              <w:bottom w:val="nil"/>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2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w:t>
            </w:r>
          </w:p>
        </w:tc>
      </w:tr>
      <w:tr>
        <w:tblPrEx>
          <w:tblCellMar>
            <w:top w:w="0" w:type="dxa"/>
            <w:left w:w="108" w:type="dxa"/>
            <w:bottom w:w="0" w:type="dxa"/>
            <w:right w:w="108" w:type="dxa"/>
          </w:tblCellMar>
        </w:tblPrEx>
        <w:trPr>
          <w:trHeight w:val="313" w:hRule="atLeast"/>
          <w:jc w:val="center"/>
        </w:trPr>
        <w:tc>
          <w:tcPr>
            <w:tcW w:w="2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目标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完成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情况</w:t>
            </w:r>
          </w:p>
        </w:tc>
        <w:tc>
          <w:tcPr>
            <w:tcW w:w="30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预期目标</w:t>
            </w:r>
          </w:p>
        </w:tc>
        <w:tc>
          <w:tcPr>
            <w:tcW w:w="44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实际完成目标</w:t>
            </w:r>
          </w:p>
        </w:tc>
      </w:tr>
      <w:tr>
        <w:tblPrEx>
          <w:tblCellMar>
            <w:top w:w="0" w:type="dxa"/>
            <w:left w:w="108" w:type="dxa"/>
            <w:bottom w:w="0" w:type="dxa"/>
            <w:right w:w="108" w:type="dxa"/>
          </w:tblCellMar>
        </w:tblPrEx>
        <w:trPr>
          <w:trHeight w:val="1523" w:hRule="atLeast"/>
          <w:jc w:val="center"/>
        </w:trPr>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017"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工程质量监督检测目标：防止一般质量事故的发生，杜绝重、特大质量事故，确保工程项目验收合格率达到100%，分项工程验收合格率达到100%，确保施工过程指标合格率达到100%。</w:t>
            </w:r>
          </w:p>
        </w:tc>
        <w:tc>
          <w:tcPr>
            <w:tcW w:w="4407"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工程质量监督检测目标：防止一般质量事故的发生，杜绝重、特大质量事故，确保工程项目验收合格率达到100%，分项工程验收合格率达到100%，确保施工过程指标合格率达到100%。</w:t>
            </w:r>
          </w:p>
        </w:tc>
      </w:tr>
      <w:tr>
        <w:tblPrEx>
          <w:tblCellMar>
            <w:top w:w="0" w:type="dxa"/>
            <w:left w:w="108" w:type="dxa"/>
            <w:bottom w:w="0" w:type="dxa"/>
            <w:right w:w="108" w:type="dxa"/>
          </w:tblCellMar>
        </w:tblPrEx>
        <w:trPr>
          <w:trHeight w:val="918" w:hRule="atLeast"/>
          <w:jc w:val="center"/>
        </w:trPr>
        <w:tc>
          <w:tcPr>
            <w:tcW w:w="25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绩效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指标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完成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情况</w:t>
            </w: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一级指标</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二级指标</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三级指标</w:t>
            </w:r>
          </w:p>
        </w:tc>
        <w:tc>
          <w:tcPr>
            <w:tcW w:w="15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指标值（包含数字及文字描述）</w:t>
            </w:r>
          </w:p>
        </w:tc>
        <w:tc>
          <w:tcPr>
            <w:tcW w:w="182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实际完成指标值（包含数字及文字描述）</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未完成原因及改进措施</w:t>
            </w:r>
          </w:p>
        </w:tc>
      </w:tr>
      <w:tr>
        <w:tblPrEx>
          <w:tblCellMar>
            <w:top w:w="0" w:type="dxa"/>
            <w:left w:w="108" w:type="dxa"/>
            <w:bottom w:w="0" w:type="dxa"/>
            <w:right w:w="108" w:type="dxa"/>
          </w:tblCellMar>
        </w:tblPrEx>
        <w:trPr>
          <w:trHeight w:val="4851" w:hRule="atLeast"/>
          <w:jc w:val="center"/>
        </w:trPr>
        <w:tc>
          <w:tcPr>
            <w:tcW w:w="25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6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项目完成指标</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完成2021年受监项目质量监督检测</w:t>
            </w:r>
          </w:p>
        </w:tc>
        <w:tc>
          <w:tcPr>
            <w:tcW w:w="15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2021年广元市交通工程质量监督站受监项目共计27个，总投资607.35亿元，路线总长716.19公里。其中高速公路3个，总投资401.75亿元，路线全长282.76公里；地方重点建设项目23个，总投资204.6亿元，路线全长433.42公里；地方重点水运建设项目1个，总投资1亿元。</w:t>
            </w:r>
          </w:p>
        </w:tc>
        <w:tc>
          <w:tcPr>
            <w:tcW w:w="182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2021年广元市交通工程质量监督站受监项目共计27个，总投资607.35亿元，路线总长716.19公里。其中高速公路3个，总投资401.75亿元，路线全长282.76公里；地方重点建设项目23个，总投资204.6亿元，路线全长433.42公里；地方重点水运建设项目1个，总投资1亿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15" w:hRule="atLeast"/>
          <w:jc w:val="center"/>
        </w:trPr>
        <w:tc>
          <w:tcPr>
            <w:tcW w:w="25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9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指标1：工程项目验收合格率</w:t>
            </w:r>
          </w:p>
        </w:tc>
        <w:tc>
          <w:tcPr>
            <w:tcW w:w="15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82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15" w:hRule="atLeast"/>
          <w:jc w:val="center"/>
        </w:trPr>
        <w:tc>
          <w:tcPr>
            <w:tcW w:w="25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9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指标2：分项工程验收合格率</w:t>
            </w:r>
          </w:p>
        </w:tc>
        <w:tc>
          <w:tcPr>
            <w:tcW w:w="15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82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15" w:hRule="atLeast"/>
          <w:jc w:val="center"/>
        </w:trPr>
        <w:tc>
          <w:tcPr>
            <w:tcW w:w="25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9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指标3：施工过程指标合格率</w:t>
            </w:r>
          </w:p>
        </w:tc>
        <w:tc>
          <w:tcPr>
            <w:tcW w:w="15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82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10" w:hRule="atLeast"/>
          <w:jc w:val="center"/>
        </w:trPr>
        <w:tc>
          <w:tcPr>
            <w:tcW w:w="25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完成时间</w:t>
            </w:r>
          </w:p>
        </w:tc>
        <w:tc>
          <w:tcPr>
            <w:tcW w:w="15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2021年12月前</w:t>
            </w:r>
          </w:p>
        </w:tc>
        <w:tc>
          <w:tcPr>
            <w:tcW w:w="182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2021年12月前</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18" w:hRule="atLeast"/>
          <w:jc w:val="center"/>
        </w:trPr>
        <w:tc>
          <w:tcPr>
            <w:tcW w:w="25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受监项目质量监督检测经费</w:t>
            </w:r>
          </w:p>
        </w:tc>
        <w:tc>
          <w:tcPr>
            <w:tcW w:w="15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预计2021年全年共需监督检测经费5万元。</w:t>
            </w:r>
          </w:p>
        </w:tc>
        <w:tc>
          <w:tcPr>
            <w:tcW w:w="182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预计2021年全年共需监督检测经费5万元。</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826" w:hRule="atLeast"/>
          <w:jc w:val="center"/>
        </w:trPr>
        <w:tc>
          <w:tcPr>
            <w:tcW w:w="25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6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指标</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保证道路营运安全</w:t>
            </w:r>
          </w:p>
        </w:tc>
        <w:tc>
          <w:tcPr>
            <w:tcW w:w="15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各建设项目在施工过程中的质量控制是工程完工后的合格保障，质量过硬是减少后期养护成本的保障。</w:t>
            </w:r>
          </w:p>
        </w:tc>
        <w:tc>
          <w:tcPr>
            <w:tcW w:w="182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各建设项目在施工过程中的质量控制是工程完工后的合格保障，质量过硬是减少后期养护成本的保障。</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523" w:hRule="atLeast"/>
          <w:jc w:val="center"/>
        </w:trPr>
        <w:tc>
          <w:tcPr>
            <w:tcW w:w="25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6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指标</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促进产业发展，增加群众收入，提高群众生活质量。</w:t>
            </w:r>
          </w:p>
        </w:tc>
        <w:tc>
          <w:tcPr>
            <w:tcW w:w="15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促进道路沿线产业发展，增加道路沿线群众收入，提高道路沿线群众出行舒适度。</w:t>
            </w:r>
          </w:p>
        </w:tc>
        <w:tc>
          <w:tcPr>
            <w:tcW w:w="182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促进道路沿线产业发展，增加道路沿线群众收入，提高道路沿线群众出行舒适度。</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28" w:hRule="atLeast"/>
          <w:jc w:val="center"/>
        </w:trPr>
        <w:tc>
          <w:tcPr>
            <w:tcW w:w="25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指标</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公众满意度</w:t>
            </w:r>
          </w:p>
        </w:tc>
        <w:tc>
          <w:tcPr>
            <w:tcW w:w="15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82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bl>
    <w:p>
      <w:pPr>
        <w:spacing w:line="600" w:lineRule="exact"/>
        <w:jc w:val="center"/>
        <w:rPr>
          <w:rFonts w:ascii="黑体" w:hAnsi="黑体" w:eastAsia="黑体"/>
          <w:sz w:val="44"/>
          <w:szCs w:val="44"/>
        </w:rPr>
      </w:pPr>
    </w:p>
    <w:p>
      <w:pPr>
        <w:pStyle w:val="2"/>
        <w:spacing w:before="93"/>
        <w:rPr>
          <w:rFonts w:ascii="黑体" w:hAnsi="黑体" w:eastAsia="黑体"/>
          <w:sz w:val="44"/>
          <w:szCs w:val="44"/>
        </w:rPr>
      </w:pPr>
    </w:p>
    <w:p>
      <w:pPr>
        <w:pStyle w:val="3"/>
        <w:spacing w:before="93"/>
        <w:ind w:firstLine="440"/>
        <w:rPr>
          <w:rFonts w:ascii="黑体" w:hAnsi="黑体" w:eastAsia="黑体"/>
          <w:sz w:val="44"/>
          <w:szCs w:val="44"/>
        </w:rPr>
      </w:pPr>
    </w:p>
    <w:p>
      <w:pPr>
        <w:pStyle w:val="3"/>
        <w:spacing w:before="93"/>
        <w:ind w:firstLine="440"/>
        <w:rPr>
          <w:rFonts w:ascii="黑体" w:hAnsi="黑体" w:eastAsia="黑体"/>
          <w:sz w:val="44"/>
          <w:szCs w:val="44"/>
        </w:rPr>
      </w:pPr>
    </w:p>
    <w:p>
      <w:pPr>
        <w:pStyle w:val="3"/>
        <w:spacing w:before="93"/>
        <w:ind w:firstLine="440"/>
        <w:rPr>
          <w:rFonts w:ascii="黑体" w:hAnsi="黑体" w:eastAsia="黑体"/>
          <w:sz w:val="44"/>
          <w:szCs w:val="44"/>
        </w:rPr>
      </w:pPr>
    </w:p>
    <w:p>
      <w:pPr>
        <w:pStyle w:val="3"/>
        <w:spacing w:before="93"/>
        <w:ind w:firstLine="440"/>
        <w:rPr>
          <w:rFonts w:ascii="黑体" w:hAnsi="黑体" w:eastAsia="黑体"/>
          <w:sz w:val="44"/>
          <w:szCs w:val="44"/>
        </w:rPr>
      </w:pPr>
    </w:p>
    <w:p>
      <w:pPr>
        <w:pStyle w:val="3"/>
        <w:spacing w:before="93"/>
        <w:ind w:firstLine="440"/>
        <w:rPr>
          <w:rFonts w:ascii="黑体" w:hAnsi="黑体" w:eastAsia="黑体"/>
          <w:sz w:val="44"/>
          <w:szCs w:val="44"/>
        </w:rPr>
      </w:pPr>
    </w:p>
    <w:p>
      <w:pPr>
        <w:pStyle w:val="3"/>
        <w:spacing w:before="93"/>
        <w:ind w:firstLine="440"/>
        <w:rPr>
          <w:rFonts w:ascii="黑体" w:hAnsi="黑体" w:eastAsia="黑体"/>
          <w:sz w:val="44"/>
          <w:szCs w:val="44"/>
        </w:rPr>
      </w:pPr>
    </w:p>
    <w:p>
      <w:pPr>
        <w:pStyle w:val="3"/>
        <w:spacing w:before="93"/>
        <w:ind w:firstLine="440"/>
        <w:rPr>
          <w:rFonts w:ascii="黑体" w:hAnsi="黑体" w:eastAsia="黑体"/>
          <w:sz w:val="44"/>
          <w:szCs w:val="44"/>
        </w:rPr>
      </w:pPr>
    </w:p>
    <w:p>
      <w:pPr>
        <w:pStyle w:val="3"/>
        <w:spacing w:before="93"/>
        <w:ind w:firstLine="440"/>
        <w:rPr>
          <w:rFonts w:ascii="黑体" w:hAnsi="黑体" w:eastAsia="黑体"/>
          <w:sz w:val="44"/>
          <w:szCs w:val="44"/>
        </w:rPr>
      </w:pPr>
    </w:p>
    <w:p>
      <w:pPr>
        <w:pStyle w:val="3"/>
        <w:spacing w:before="93"/>
        <w:ind w:firstLine="440"/>
        <w:rPr>
          <w:rFonts w:ascii="黑体" w:hAnsi="黑体" w:eastAsia="黑体"/>
          <w:sz w:val="44"/>
          <w:szCs w:val="44"/>
        </w:rPr>
      </w:pPr>
    </w:p>
    <w:p>
      <w:pPr>
        <w:pStyle w:val="3"/>
        <w:spacing w:before="93"/>
        <w:ind w:firstLine="440"/>
        <w:rPr>
          <w:rFonts w:ascii="黑体" w:hAnsi="黑体" w:eastAsia="黑体"/>
          <w:sz w:val="44"/>
          <w:szCs w:val="44"/>
        </w:rPr>
      </w:pPr>
    </w:p>
    <w:p>
      <w:pPr>
        <w:pStyle w:val="3"/>
        <w:spacing w:before="93"/>
        <w:ind w:firstLine="440"/>
        <w:rPr>
          <w:rFonts w:ascii="黑体" w:hAnsi="黑体" w:eastAsia="黑体"/>
          <w:sz w:val="44"/>
          <w:szCs w:val="44"/>
        </w:rPr>
      </w:pPr>
    </w:p>
    <w:p>
      <w:pPr>
        <w:pStyle w:val="3"/>
        <w:spacing w:before="93"/>
        <w:ind w:firstLine="440"/>
        <w:rPr>
          <w:rFonts w:ascii="黑体" w:hAnsi="黑体" w:eastAsia="黑体"/>
          <w:sz w:val="44"/>
          <w:szCs w:val="44"/>
        </w:rPr>
      </w:pPr>
    </w:p>
    <w:p>
      <w:pPr>
        <w:pStyle w:val="3"/>
        <w:spacing w:before="93"/>
        <w:ind w:firstLine="440"/>
        <w:rPr>
          <w:rFonts w:ascii="黑体" w:hAnsi="黑体" w:eastAsia="黑体"/>
          <w:sz w:val="44"/>
          <w:szCs w:val="44"/>
        </w:rPr>
      </w:pPr>
    </w:p>
    <w:p>
      <w:pPr>
        <w:pStyle w:val="3"/>
        <w:spacing w:before="93"/>
        <w:ind w:firstLine="440"/>
        <w:rPr>
          <w:rFonts w:ascii="黑体" w:hAnsi="黑体" w:eastAsia="黑体"/>
          <w:sz w:val="44"/>
          <w:szCs w:val="44"/>
        </w:rPr>
      </w:pPr>
    </w:p>
    <w:p>
      <w:pPr>
        <w:pStyle w:val="3"/>
        <w:spacing w:before="93"/>
        <w:ind w:firstLine="440"/>
        <w:rPr>
          <w:rFonts w:ascii="黑体" w:hAnsi="黑体" w:eastAsia="黑体"/>
          <w:sz w:val="44"/>
          <w:szCs w:val="44"/>
        </w:rPr>
      </w:pPr>
    </w:p>
    <w:p>
      <w:pPr>
        <w:pStyle w:val="3"/>
        <w:spacing w:before="93"/>
        <w:ind w:firstLine="440"/>
        <w:rPr>
          <w:rFonts w:ascii="黑体" w:hAnsi="黑体" w:eastAsia="黑体"/>
          <w:sz w:val="44"/>
          <w:szCs w:val="44"/>
        </w:rPr>
      </w:pPr>
    </w:p>
    <w:p>
      <w:pPr>
        <w:pStyle w:val="3"/>
        <w:spacing w:before="93"/>
        <w:ind w:firstLine="440"/>
        <w:rPr>
          <w:rFonts w:ascii="黑体" w:hAnsi="黑体" w:eastAsia="黑体"/>
          <w:sz w:val="44"/>
          <w:szCs w:val="44"/>
        </w:rPr>
      </w:pPr>
    </w:p>
    <w:p>
      <w:pPr>
        <w:pStyle w:val="3"/>
        <w:spacing w:before="93"/>
        <w:ind w:firstLine="440"/>
        <w:rPr>
          <w:rFonts w:ascii="黑体" w:hAnsi="黑体" w:eastAsia="黑体"/>
          <w:sz w:val="44"/>
          <w:szCs w:val="44"/>
        </w:rPr>
      </w:pPr>
    </w:p>
    <w:p>
      <w:pPr>
        <w:pStyle w:val="2"/>
        <w:spacing w:before="93"/>
        <w:rPr>
          <w:lang w:val="zh-CN"/>
        </w:rPr>
      </w:pPr>
      <w:r>
        <w:rPr>
          <w:rFonts w:hint="eastAsia" w:hAnsi="宋体" w:cs="宋体"/>
          <w:sz w:val="32"/>
          <w:szCs w:val="32"/>
          <w:shd w:val="clear" w:color="auto" w:fill="FFFFFF"/>
          <w:lang w:val="zh-CN"/>
        </w:rPr>
        <w:t>附件</w:t>
      </w:r>
    </w:p>
    <w:p>
      <w:pPr>
        <w:spacing w:line="600" w:lineRule="exact"/>
        <w:jc w:val="center"/>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t>广元市交通运输综合行政执法支队</w:t>
      </w:r>
    </w:p>
    <w:p>
      <w:pPr>
        <w:spacing w:line="600" w:lineRule="exact"/>
        <w:jc w:val="center"/>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t>关于</w:t>
      </w:r>
      <w:r>
        <w:rPr>
          <w:rFonts w:hint="eastAsia" w:ascii="方正小标宋简体" w:hAnsi="方正小标宋简体" w:eastAsia="方正小标宋简体" w:cs="方正小标宋简体"/>
          <w:sz w:val="40"/>
          <w:szCs w:val="40"/>
        </w:rPr>
        <w:t>2021年广元界“广元市人民欢迎你”</w:t>
      </w: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广告牌维护</w:t>
      </w:r>
      <w:r>
        <w:rPr>
          <w:rFonts w:hint="eastAsia" w:ascii="方正小标宋简体" w:hAnsi="方正小标宋简体" w:eastAsia="方正小标宋简体" w:cs="方正小标宋简体"/>
          <w:sz w:val="40"/>
          <w:szCs w:val="40"/>
          <w:lang w:val="zh-CN"/>
        </w:rPr>
        <w:t>专项预算项目支出绩效自评报告</w:t>
      </w:r>
    </w:p>
    <w:p>
      <w:pPr>
        <w:spacing w:line="600" w:lineRule="exact"/>
        <w:ind w:firstLine="640"/>
        <w:jc w:val="center"/>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Cs/>
          <w:sz w:val="32"/>
          <w:szCs w:val="32"/>
          <w:lang w:val="zh-CN"/>
        </w:rPr>
      </w:pPr>
      <w:r>
        <w:rPr>
          <w:rFonts w:hint="eastAsia" w:ascii="楷体_GB2312" w:hAnsi="宋体" w:eastAsia="楷体_GB2312"/>
          <w:bCs/>
          <w:sz w:val="32"/>
          <w:szCs w:val="32"/>
          <w:lang w:val="zh-CN"/>
        </w:rPr>
        <w:t>（一）项目基本情况。</w:t>
      </w:r>
    </w:p>
    <w:p>
      <w:pPr>
        <w:adjustRightInd w:val="0"/>
        <w:snapToGrid w:val="0"/>
        <w:spacing w:line="600" w:lineRule="exact"/>
        <w:ind w:firstLine="720"/>
      </w:pPr>
      <w:r>
        <w:rPr>
          <w:rFonts w:hint="eastAsia" w:ascii="仿宋_GB2312" w:hAnsi="宋体" w:eastAsia="仿宋_GB2312"/>
          <w:bCs/>
          <w:sz w:val="32"/>
          <w:szCs w:val="32"/>
          <w:lang w:val="zh-CN"/>
        </w:rPr>
        <w:t>1．说明项目主管部门</w:t>
      </w:r>
      <w:r>
        <w:rPr>
          <w:rFonts w:hint="eastAsia" w:ascii="仿宋_GB2312" w:hAnsi="宋体" w:eastAsia="仿宋_GB2312"/>
          <w:sz w:val="32"/>
          <w:szCs w:val="32"/>
          <w:lang w:val="zh-CN"/>
        </w:rPr>
        <w:t>（单位）在该项目管理中的职能</w:t>
      </w:r>
      <w:r>
        <w:rPr>
          <w:rFonts w:ascii="仿宋_GB2312" w:hAnsi="宋体" w:eastAsia="仿宋_GB2312"/>
          <w:sz w:val="32"/>
          <w:szCs w:val="32"/>
        </w:rPr>
        <w:t>。负责广元界“广元市人民欢迎你”广告牌的日常维护</w:t>
      </w:r>
      <w:r>
        <w:rPr>
          <w:rFonts w:hint="eastAsia" w:ascii="仿宋_GB2312" w:hAnsi="宋体" w:eastAsia="仿宋_GB2312"/>
          <w:sz w:val="32"/>
          <w:szCs w:val="32"/>
        </w:rPr>
        <w:t>。</w:t>
      </w:r>
    </w:p>
    <w:p>
      <w:pPr>
        <w:adjustRightInd w:val="0"/>
        <w:snapToGrid w:val="0"/>
        <w:spacing w:line="600" w:lineRule="exact"/>
        <w:ind w:firstLine="640" w:firstLineChars="200"/>
      </w:pPr>
      <w:r>
        <w:rPr>
          <w:rFonts w:ascii="仿宋_GB2312" w:hAnsi="宋体" w:eastAsia="仿宋_GB2312"/>
          <w:sz w:val="32"/>
          <w:szCs w:val="32"/>
        </w:rPr>
        <w:t>2</w:t>
      </w:r>
      <w:r>
        <w:rPr>
          <w:rFonts w:hint="eastAsia" w:ascii="仿宋_GB2312" w:hAnsi="宋体" w:eastAsia="仿宋_GB2312"/>
          <w:sz w:val="32"/>
          <w:szCs w:val="32"/>
          <w:lang w:val="zh-CN"/>
        </w:rPr>
        <w:t>．项目立项、资金申报的依据</w:t>
      </w:r>
      <w:r>
        <w:rPr>
          <w:rFonts w:ascii="仿宋_GB2312" w:hAnsi="宋体" w:eastAsia="仿宋_GB2312"/>
          <w:sz w:val="32"/>
          <w:szCs w:val="32"/>
        </w:rPr>
        <w:t>。广元界“广元市人民欢迎你”广告牌</w:t>
      </w:r>
      <w:r>
        <w:rPr>
          <w:rFonts w:hint="eastAsia" w:ascii="仿宋_GB2312" w:hAnsi="宋体" w:eastAsia="仿宋_GB2312"/>
          <w:sz w:val="32"/>
          <w:szCs w:val="32"/>
          <w:lang w:val="zh-CN"/>
        </w:rPr>
        <w:t>经费用于</w:t>
      </w:r>
      <w:ins w:id="5" w:author="user" w:date="2023-06-27T11:39:17Z">
        <w:r>
          <w:rPr>
            <w:rFonts w:hint="default" w:ascii="仿宋_GB2312" w:hAnsi="宋体" w:eastAsia="仿宋_GB2312"/>
            <w:sz w:val="32"/>
            <w:szCs w:val="32"/>
          </w:rPr>
          <w:t>完成</w:t>
        </w:r>
      </w:ins>
      <w:r>
        <w:rPr>
          <w:rFonts w:hint="eastAsia" w:ascii="仿宋_GB2312" w:hAnsi="宋体" w:eastAsia="仿宋_GB2312"/>
          <w:sz w:val="32"/>
          <w:szCs w:val="32"/>
        </w:rPr>
        <w:t>对公益广告牌的日常维护，保证正常使用。</w:t>
      </w:r>
      <w:r>
        <w:rPr>
          <w:rFonts w:ascii="仿宋_GB2312" w:hAnsi="宋体" w:eastAsia="仿宋_GB2312"/>
          <w:sz w:val="32"/>
          <w:szCs w:val="32"/>
        </w:rPr>
        <w:t>交通行政</w:t>
      </w:r>
      <w:r>
        <w:rPr>
          <w:rFonts w:hint="eastAsia" w:ascii="仿宋_GB2312" w:hAnsi="宋体" w:eastAsia="仿宋_GB2312"/>
          <w:sz w:val="32"/>
          <w:szCs w:val="32"/>
        </w:rPr>
        <w:t>执法</w:t>
      </w:r>
      <w:r>
        <w:rPr>
          <w:rFonts w:hint="eastAsia" w:ascii="仿宋_GB2312" w:hAnsi="宋体" w:eastAsia="仿宋_GB2312"/>
          <w:sz w:val="32"/>
          <w:szCs w:val="32"/>
          <w:lang w:val="zh-CN"/>
        </w:rPr>
        <w:t>工作</w:t>
      </w:r>
      <w:r>
        <w:rPr>
          <w:rFonts w:ascii="仿宋_GB2312" w:hAnsi="宋体" w:eastAsia="仿宋_GB2312"/>
          <w:sz w:val="32"/>
          <w:szCs w:val="32"/>
        </w:rPr>
        <w:t>经费</w:t>
      </w:r>
      <w:r>
        <w:rPr>
          <w:rFonts w:hint="eastAsia" w:ascii="仿宋_GB2312" w:hAnsi="宋体" w:eastAsia="仿宋_GB2312"/>
          <w:sz w:val="32"/>
          <w:szCs w:val="32"/>
          <w:lang w:val="zh-CN"/>
        </w:rPr>
        <w:t>年初预算数依据工作任务预算。</w:t>
      </w:r>
    </w:p>
    <w:p>
      <w:pPr>
        <w:adjustRightInd w:val="0"/>
        <w:snapToGrid w:val="0"/>
        <w:spacing w:line="600" w:lineRule="exact"/>
        <w:ind w:firstLine="640" w:firstLineChars="200"/>
        <w:rPr>
          <w:rFonts w:ascii="仿宋_GB2312" w:hAnsi="宋体" w:eastAsia="仿宋_GB2312"/>
          <w:sz w:val="32"/>
          <w:szCs w:val="32"/>
          <w:lang w:val="zh-CN"/>
        </w:rPr>
      </w:pPr>
      <w:r>
        <w:rPr>
          <w:rFonts w:ascii="仿宋_GB2312" w:hAnsi="宋体" w:eastAsia="仿宋_GB2312"/>
          <w:sz w:val="32"/>
          <w:szCs w:val="32"/>
        </w:rPr>
        <w:t>3</w:t>
      </w:r>
      <w:r>
        <w:rPr>
          <w:rFonts w:hint="eastAsia" w:ascii="仿宋_GB2312" w:hAnsi="宋体" w:eastAsia="仿宋_GB2312"/>
          <w:sz w:val="32"/>
          <w:szCs w:val="32"/>
          <w:lang w:val="zh-CN"/>
        </w:rPr>
        <w:t>．资金管理办法制定情况，资金支持具体项目的条件、范围与支持方式概况</w:t>
      </w:r>
      <w:r>
        <w:rPr>
          <w:rFonts w:ascii="仿宋_GB2312" w:hAnsi="宋体" w:eastAsia="仿宋_GB2312"/>
          <w:sz w:val="32"/>
          <w:szCs w:val="32"/>
        </w:rPr>
        <w:t>。支队</w:t>
      </w:r>
      <w:r>
        <w:rPr>
          <w:rFonts w:hint="eastAsia" w:ascii="仿宋_GB2312" w:hAnsi="宋体" w:eastAsia="仿宋_GB2312"/>
          <w:sz w:val="32"/>
          <w:szCs w:val="32"/>
        </w:rPr>
        <w:t>建立了财务管理制度及单位内部控制制度，</w:t>
      </w:r>
      <w:r>
        <w:rPr>
          <w:rFonts w:ascii="仿宋_GB2312" w:hAnsi="宋体" w:eastAsia="仿宋_GB2312"/>
          <w:sz w:val="32"/>
          <w:szCs w:val="32"/>
        </w:rPr>
        <w:t>交通行政执法工作</w:t>
      </w:r>
      <w:r>
        <w:rPr>
          <w:rFonts w:hint="eastAsia" w:ascii="仿宋_GB2312" w:hAnsi="宋体" w:eastAsia="仿宋_GB2312"/>
          <w:sz w:val="32"/>
          <w:szCs w:val="32"/>
        </w:rPr>
        <w:t>经费严格按照专项资金管理办法进行管理，在项目实施上严格按照预算进行项目实施，在资金支付上严格执行财务相关制度，切实做到项目资金专款专用，无挪用、占用、套取等违规现象。</w:t>
      </w:r>
    </w:p>
    <w:p>
      <w:pPr>
        <w:adjustRightInd w:val="0"/>
        <w:snapToGrid w:val="0"/>
        <w:spacing w:line="600" w:lineRule="exact"/>
        <w:ind w:firstLine="640" w:firstLineChars="200"/>
      </w:pPr>
      <w:r>
        <w:rPr>
          <w:rFonts w:ascii="仿宋_GB2312" w:hAnsi="宋体" w:eastAsia="仿宋_GB2312"/>
          <w:sz w:val="32"/>
          <w:szCs w:val="32"/>
        </w:rPr>
        <w:t>4</w:t>
      </w:r>
      <w:r>
        <w:rPr>
          <w:rFonts w:hint="eastAsia" w:ascii="仿宋_GB2312" w:hAnsi="宋体" w:eastAsia="仿宋_GB2312"/>
          <w:sz w:val="32"/>
          <w:szCs w:val="32"/>
          <w:lang w:val="zh-CN"/>
        </w:rPr>
        <w:t>．资金分配的原则及考虑因素</w:t>
      </w:r>
      <w:r>
        <w:rPr>
          <w:rFonts w:ascii="仿宋_GB2312" w:hAnsi="宋体" w:eastAsia="仿宋_GB2312"/>
          <w:sz w:val="32"/>
          <w:szCs w:val="32"/>
        </w:rPr>
        <w:t>：</w:t>
      </w:r>
      <w:r>
        <w:rPr>
          <w:rFonts w:ascii="仿宋_GB2312" w:hAnsi="仿宋_GB2312" w:eastAsia="仿宋_GB2312" w:cs="仿宋_GB2312"/>
          <w:color w:val="333333"/>
          <w:kern w:val="0"/>
          <w:sz w:val="32"/>
          <w:szCs w:val="32"/>
        </w:rPr>
        <w:t>资金分配坚持</w:t>
      </w:r>
      <w:r>
        <w:rPr>
          <w:rFonts w:hint="eastAsia" w:ascii="仿宋_GB2312" w:hAnsi="仿宋_GB2312" w:eastAsia="仿宋_GB2312" w:cs="仿宋_GB2312"/>
          <w:color w:val="333333"/>
          <w:kern w:val="0"/>
          <w:sz w:val="32"/>
          <w:szCs w:val="32"/>
        </w:rPr>
        <w:t>“量力而行、量入为出”的原则，结合实际，</w:t>
      </w:r>
      <w:r>
        <w:rPr>
          <w:rFonts w:hint="eastAsia" w:ascii="仿宋_GB2312" w:hAnsi="宋体" w:eastAsia="仿宋_GB2312"/>
          <w:sz w:val="32"/>
          <w:szCs w:val="32"/>
          <w:lang w:val="zh-CN"/>
        </w:rPr>
        <w:t>未进行资金再分配</w:t>
      </w:r>
      <w:r>
        <w:rPr>
          <w:rFonts w:ascii="仿宋_GB2312" w:hAnsi="宋体" w:eastAsia="仿宋_GB2312"/>
          <w:sz w:val="32"/>
          <w:szCs w:val="32"/>
        </w:rPr>
        <w:t>。</w:t>
      </w:r>
    </w:p>
    <w:p>
      <w:pPr>
        <w:adjustRightInd w:val="0"/>
        <w:snapToGrid w:val="0"/>
        <w:spacing w:line="60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w:t>
      </w:r>
      <w:r>
        <w:rPr>
          <w:rFonts w:ascii="仿宋_GB2312" w:hAnsi="宋体" w:eastAsia="仿宋_GB2312"/>
          <w:sz w:val="32"/>
          <w:szCs w:val="32"/>
          <w:lang w:val="zh-CN"/>
        </w:rPr>
        <w:t>：</w:t>
      </w:r>
      <w:r>
        <w:rPr>
          <w:rFonts w:hint="eastAsia" w:ascii="仿宋_GB2312" w:hAnsi="宋体" w:eastAsia="仿宋_GB2312"/>
          <w:sz w:val="32"/>
          <w:szCs w:val="32"/>
        </w:rPr>
        <w:t>完成对公益广告牌的日常维护，保证正常使用。</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w:t>
      </w:r>
      <w:r>
        <w:rPr>
          <w:rFonts w:ascii="仿宋_GB2312" w:hAnsi="宋体" w:eastAsia="仿宋_GB2312"/>
          <w:sz w:val="32"/>
          <w:szCs w:val="32"/>
        </w:rPr>
        <w:t>：完成2021年全年</w:t>
      </w:r>
      <w:r>
        <w:rPr>
          <w:rFonts w:ascii="仿宋_GB2312" w:hAnsi="宋体" w:eastAsia="仿宋_GB2312"/>
          <w:sz w:val="32"/>
          <w:szCs w:val="32"/>
          <w:lang w:val="zh-CN"/>
        </w:rPr>
        <w:t>12</w:t>
      </w:r>
      <w:r>
        <w:rPr>
          <w:rFonts w:hint="eastAsia" w:ascii="仿宋_GB2312" w:hAnsi="宋体" w:eastAsia="仿宋_GB2312"/>
          <w:sz w:val="32"/>
          <w:szCs w:val="32"/>
        </w:rPr>
        <w:t>完成对公益广告牌的日常维护，保证正常使用</w:t>
      </w:r>
      <w:r>
        <w:rPr>
          <w:rFonts w:ascii="仿宋_GB2312" w:hAnsi="宋体" w:eastAsia="仿宋_GB2312"/>
          <w:sz w:val="32"/>
          <w:szCs w:val="32"/>
        </w:rPr>
        <w:t>，达到宣传广元的目的</w:t>
      </w:r>
      <w:r>
        <w:rPr>
          <w:rFonts w:hint="eastAsia" w:ascii="仿宋_GB2312" w:hAnsi="宋体" w:eastAsia="仿宋_GB2312"/>
          <w:sz w:val="32"/>
          <w:szCs w:val="32"/>
        </w:rPr>
        <w:t>。</w:t>
      </w:r>
    </w:p>
    <w:p>
      <w:pPr>
        <w:adjustRightInd w:val="0"/>
        <w:snapToGrid w:val="0"/>
        <w:spacing w:line="600" w:lineRule="exact"/>
        <w:ind w:firstLine="720"/>
        <w:rPr>
          <w:rFonts w:ascii="仿宋_GB2312" w:hAnsi="宋体" w:eastAsia="仿宋_GB2312"/>
          <w:sz w:val="32"/>
          <w:szCs w:val="32"/>
        </w:rPr>
      </w:pPr>
      <w:r>
        <w:rPr>
          <w:rFonts w:hint="eastAsia" w:ascii="仿宋_GB2312" w:hAnsi="宋体" w:eastAsia="仿宋_GB2312"/>
          <w:sz w:val="32"/>
          <w:szCs w:val="32"/>
          <w:lang w:val="zh-CN"/>
        </w:rPr>
        <w:t>3．</w:t>
      </w:r>
      <w:r>
        <w:rPr>
          <w:rFonts w:hint="eastAsia" w:ascii="仿宋_GB2312" w:hAnsi="宋体" w:eastAsia="仿宋_GB2312"/>
          <w:sz w:val="32"/>
          <w:szCs w:val="32"/>
        </w:rPr>
        <w:t>项目申报内容与具体实施内容相符，绩效目标设定符合实际需求，合理可行。</w:t>
      </w:r>
    </w:p>
    <w:p>
      <w:pPr>
        <w:adjustRightInd w:val="0"/>
        <w:snapToGrid w:val="0"/>
        <w:spacing w:line="600" w:lineRule="exact"/>
        <w:ind w:firstLine="720"/>
        <w:rPr>
          <w:rFonts w:ascii="楷体_GB2312" w:hAnsi="宋体" w:eastAsia="楷体_GB2312"/>
          <w:bCs/>
          <w:sz w:val="32"/>
          <w:szCs w:val="32"/>
          <w:lang w:val="zh-CN"/>
        </w:rPr>
      </w:pPr>
      <w:r>
        <w:rPr>
          <w:rFonts w:hint="eastAsia" w:ascii="楷体_GB2312" w:hAnsi="宋体" w:eastAsia="楷体_GB2312"/>
          <w:bCs/>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bCs/>
          <w:sz w:val="32"/>
          <w:szCs w:val="32"/>
        </w:rPr>
        <w:t>支队</w:t>
      </w:r>
      <w:r>
        <w:rPr>
          <w:rFonts w:hint="eastAsia" w:ascii="仿宋_GB2312" w:hAnsi="宋体" w:eastAsia="仿宋_GB2312"/>
          <w:bCs/>
          <w:sz w:val="32"/>
          <w:szCs w:val="32"/>
          <w:lang w:val="zh-CN"/>
        </w:rPr>
        <w:t>按照</w:t>
      </w:r>
      <w:r>
        <w:rPr>
          <w:rFonts w:hint="eastAsia" w:ascii="仿宋_GB2312" w:hAnsi="宋体" w:eastAsia="仿宋_GB2312"/>
          <w:bCs/>
          <w:sz w:val="32"/>
          <w:szCs w:val="32"/>
        </w:rPr>
        <w:t>广元市</w:t>
      </w:r>
      <w:r>
        <w:rPr>
          <w:rFonts w:hint="eastAsia" w:ascii="仿宋_GB2312" w:hAnsi="宋体" w:eastAsia="仿宋_GB2312"/>
          <w:bCs/>
          <w:sz w:val="32"/>
          <w:szCs w:val="32"/>
          <w:lang w:val="zh-CN"/>
        </w:rPr>
        <w:t>财政局《关于开展202</w:t>
      </w:r>
      <w:r>
        <w:rPr>
          <w:rFonts w:hint="eastAsia" w:ascii="仿宋_GB2312" w:hAnsi="宋体" w:eastAsia="仿宋_GB2312"/>
          <w:bCs/>
          <w:sz w:val="32"/>
          <w:szCs w:val="32"/>
        </w:rPr>
        <w:t>2</w:t>
      </w:r>
      <w:r>
        <w:rPr>
          <w:rFonts w:hint="eastAsia" w:ascii="仿宋_GB2312" w:hAnsi="宋体" w:eastAsia="仿宋_GB2312"/>
          <w:bCs/>
          <w:sz w:val="32"/>
          <w:szCs w:val="32"/>
          <w:lang w:val="zh-CN"/>
        </w:rPr>
        <w:t>年</w:t>
      </w:r>
      <w:r>
        <w:rPr>
          <w:rFonts w:hint="eastAsia" w:ascii="仿宋_GB2312" w:hAnsi="宋体" w:eastAsia="仿宋_GB2312"/>
          <w:bCs/>
          <w:sz w:val="32"/>
          <w:szCs w:val="32"/>
        </w:rPr>
        <w:t>部门、政策和项目</w:t>
      </w:r>
      <w:r>
        <w:rPr>
          <w:rFonts w:hint="eastAsia" w:ascii="仿宋_GB2312" w:hAnsi="宋体" w:eastAsia="仿宋_GB2312"/>
          <w:bCs/>
          <w:sz w:val="32"/>
          <w:szCs w:val="32"/>
          <w:lang w:val="zh-CN"/>
        </w:rPr>
        <w:t>支出</w:t>
      </w:r>
      <w:r>
        <w:rPr>
          <w:rFonts w:hint="eastAsia" w:ascii="仿宋_GB2312" w:hAnsi="宋体" w:eastAsia="仿宋_GB2312"/>
          <w:bCs/>
          <w:sz w:val="32"/>
          <w:szCs w:val="32"/>
        </w:rPr>
        <w:t>自评</w:t>
      </w:r>
      <w:r>
        <w:rPr>
          <w:rFonts w:hint="eastAsia" w:ascii="仿宋_GB2312" w:hAnsi="宋体" w:eastAsia="仿宋_GB2312"/>
          <w:bCs/>
          <w:sz w:val="32"/>
          <w:szCs w:val="32"/>
          <w:lang w:val="zh-CN"/>
        </w:rPr>
        <w:t>工作的通知</w:t>
      </w:r>
      <w:r>
        <w:rPr>
          <w:rFonts w:ascii="仿宋_GB2312" w:hAnsi="宋体" w:eastAsia="仿宋_GB2312"/>
          <w:bCs/>
          <w:sz w:val="32"/>
          <w:szCs w:val="32"/>
          <w:lang w:val="zh-CN"/>
        </w:rPr>
        <w:t>》（</w:t>
      </w:r>
      <w:r>
        <w:rPr>
          <w:rFonts w:hint="eastAsia" w:ascii="仿宋_GB2312" w:hAnsi="宋体" w:eastAsia="仿宋_GB2312"/>
          <w:bCs/>
          <w:sz w:val="32"/>
          <w:szCs w:val="32"/>
        </w:rPr>
        <w:t>广财绩</w:t>
      </w:r>
      <w:r>
        <w:rPr>
          <w:rFonts w:hint="eastAsia" w:ascii="仿宋_GB2312" w:hAnsi="宋体" w:eastAsia="仿宋_GB2312"/>
          <w:bCs/>
          <w:sz w:val="32"/>
          <w:szCs w:val="32"/>
          <w:lang w:val="zh-CN"/>
        </w:rPr>
        <w:t>〔202</w:t>
      </w:r>
      <w:r>
        <w:rPr>
          <w:rFonts w:hint="eastAsia" w:ascii="仿宋_GB2312" w:hAnsi="宋体" w:eastAsia="仿宋_GB2312"/>
          <w:bCs/>
          <w:sz w:val="32"/>
          <w:szCs w:val="32"/>
        </w:rPr>
        <w:t>2</w:t>
      </w:r>
      <w:r>
        <w:rPr>
          <w:rFonts w:hint="eastAsia" w:ascii="仿宋_GB2312" w:hAnsi="宋体" w:eastAsia="仿宋_GB2312"/>
          <w:bCs/>
          <w:sz w:val="32"/>
          <w:szCs w:val="32"/>
          <w:lang w:val="zh-CN"/>
        </w:rPr>
        <w:t>〕</w:t>
      </w:r>
      <w:r>
        <w:rPr>
          <w:rFonts w:hint="eastAsia" w:ascii="仿宋_GB2312" w:hAnsi="宋体" w:eastAsia="仿宋_GB2312"/>
          <w:bCs/>
          <w:sz w:val="32"/>
          <w:szCs w:val="32"/>
        </w:rPr>
        <w:t>8</w:t>
      </w:r>
      <w:r>
        <w:rPr>
          <w:rFonts w:hint="eastAsia" w:ascii="仿宋_GB2312" w:hAnsi="宋体" w:eastAsia="仿宋_GB2312"/>
          <w:bCs/>
          <w:sz w:val="32"/>
          <w:szCs w:val="32"/>
          <w:lang w:val="zh-CN"/>
        </w:rPr>
        <w:t>号</w:t>
      </w:r>
      <w:r>
        <w:rPr>
          <w:rFonts w:ascii="仿宋_GB2312" w:hAnsi="宋体" w:eastAsia="仿宋_GB2312"/>
          <w:bCs/>
          <w:sz w:val="32"/>
          <w:szCs w:val="32"/>
          <w:lang w:val="zh-CN"/>
        </w:rPr>
        <w:t>）文件要求，认真开展项目自评工作，按照评价指标体系的要求，对照实施项目的内容逐条逐项</w:t>
      </w:r>
      <w:r>
        <w:rPr>
          <w:rFonts w:ascii="仿宋_GB2312" w:hAnsi="宋体" w:eastAsia="仿宋_GB2312"/>
          <w:sz w:val="32"/>
          <w:szCs w:val="32"/>
          <w:lang w:val="zh-CN"/>
        </w:rPr>
        <w:t>自评。</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Cs/>
          <w:sz w:val="32"/>
          <w:szCs w:val="32"/>
          <w:lang w:val="zh-CN"/>
        </w:rPr>
      </w:pPr>
      <w:r>
        <w:rPr>
          <w:rFonts w:hint="eastAsia" w:ascii="楷体_GB2312" w:hAnsi="宋体" w:eastAsia="楷体_GB2312"/>
          <w:bCs/>
          <w:sz w:val="32"/>
          <w:szCs w:val="32"/>
          <w:lang w:val="zh-CN"/>
        </w:rPr>
        <w:t>（一）项目资金申报及批复情况。</w:t>
      </w:r>
    </w:p>
    <w:p>
      <w:pPr>
        <w:adjustRightInd w:val="0"/>
        <w:snapToGrid w:val="0"/>
        <w:spacing w:line="600" w:lineRule="exact"/>
        <w:ind w:firstLine="720"/>
        <w:rPr>
          <w:rFonts w:ascii="仿宋_GB2312" w:hAnsi="宋体" w:eastAsia="仿宋_GB2312"/>
          <w:bCs/>
          <w:sz w:val="32"/>
          <w:szCs w:val="32"/>
          <w:lang w:val="zh-CN"/>
        </w:rPr>
      </w:pPr>
      <w:r>
        <w:rPr>
          <w:rFonts w:hint="eastAsia" w:ascii="仿宋_GB2312" w:hAnsi="宋体" w:eastAsia="仿宋_GB2312"/>
          <w:bCs/>
          <w:sz w:val="32"/>
          <w:szCs w:val="28"/>
        </w:rPr>
        <w:t>202</w:t>
      </w:r>
      <w:r>
        <w:rPr>
          <w:rFonts w:ascii="仿宋_GB2312" w:hAnsi="宋体" w:eastAsia="仿宋_GB2312"/>
          <w:bCs/>
          <w:sz w:val="32"/>
          <w:szCs w:val="28"/>
        </w:rPr>
        <w:t>1</w:t>
      </w:r>
      <w:r>
        <w:rPr>
          <w:rFonts w:hint="eastAsia" w:ascii="仿宋_GB2312" w:hAnsi="宋体" w:eastAsia="仿宋_GB2312"/>
          <w:bCs/>
          <w:sz w:val="32"/>
          <w:szCs w:val="28"/>
        </w:rPr>
        <w:t>年</w:t>
      </w:r>
      <w:r>
        <w:rPr>
          <w:rFonts w:ascii="仿宋_GB2312" w:hAnsi="宋体" w:eastAsia="仿宋_GB2312"/>
          <w:bCs/>
          <w:sz w:val="32"/>
          <w:szCs w:val="32"/>
        </w:rPr>
        <w:t>广元界“广元市人民欢迎你”广告牌项目</w:t>
      </w:r>
      <w:r>
        <w:rPr>
          <w:rFonts w:hint="eastAsia" w:ascii="仿宋_GB2312" w:hAnsi="宋体" w:eastAsia="仿宋_GB2312"/>
          <w:bCs/>
          <w:sz w:val="32"/>
          <w:szCs w:val="28"/>
        </w:rPr>
        <w:t>预算</w:t>
      </w:r>
      <w:r>
        <w:rPr>
          <w:rFonts w:ascii="仿宋_GB2312" w:hAnsi="宋体" w:eastAsia="仿宋_GB2312"/>
          <w:bCs/>
          <w:sz w:val="32"/>
          <w:szCs w:val="28"/>
        </w:rPr>
        <w:t>4</w:t>
      </w:r>
      <w:r>
        <w:rPr>
          <w:rFonts w:hint="eastAsia" w:ascii="仿宋_GB2312" w:hAnsi="宋体" w:eastAsia="仿宋_GB2312"/>
          <w:bCs/>
          <w:sz w:val="32"/>
          <w:szCs w:val="28"/>
        </w:rPr>
        <w:t>万元，经市财政局批复同意设立。</w:t>
      </w:r>
      <w:r>
        <w:rPr>
          <w:rFonts w:hint="eastAsia" w:ascii="仿宋_GB2312" w:hAnsi="仿宋_GB2312" w:eastAsia="仿宋_GB2312" w:cs="仿宋_GB2312"/>
          <w:bCs/>
          <w:sz w:val="32"/>
          <w:szCs w:val="32"/>
          <w:lang w:val="zh-CN"/>
        </w:rPr>
        <w:t>项目资金</w:t>
      </w:r>
      <w:r>
        <w:rPr>
          <w:rFonts w:ascii="仿宋_GB2312" w:hAnsi="仿宋_GB2312" w:eastAsia="仿宋_GB2312" w:cs="仿宋_GB2312"/>
          <w:bCs/>
          <w:sz w:val="32"/>
          <w:szCs w:val="32"/>
        </w:rPr>
        <w:t>为原广元市公路路政管理处</w:t>
      </w:r>
      <w:r>
        <w:rPr>
          <w:rFonts w:hint="eastAsia" w:ascii="仿宋_GB2312" w:hAnsi="仿宋_GB2312" w:eastAsia="仿宋_GB2312" w:cs="仿宋_GB2312"/>
          <w:bCs/>
          <w:sz w:val="32"/>
          <w:szCs w:val="32"/>
          <w:lang w:val="zh-CN"/>
        </w:rPr>
        <w:t>2021年初预算，</w:t>
      </w:r>
      <w:r>
        <w:rPr>
          <w:rFonts w:ascii="仿宋_GB2312" w:hAnsi="仿宋_GB2312" w:eastAsia="仿宋_GB2312" w:cs="仿宋_GB2312"/>
          <w:bCs/>
          <w:sz w:val="32"/>
          <w:szCs w:val="32"/>
        </w:rPr>
        <w:t>支队于2021年3月成立，项目资金划拨给支队。</w:t>
      </w:r>
    </w:p>
    <w:p>
      <w:pPr>
        <w:adjustRightInd w:val="0"/>
        <w:snapToGrid w:val="0"/>
        <w:spacing w:line="600" w:lineRule="exact"/>
        <w:ind w:firstLine="720"/>
        <w:rPr>
          <w:rFonts w:ascii="仿宋_GB2312" w:hAnsi="宋体" w:eastAsia="仿宋_GB2312"/>
          <w:bCs/>
          <w:sz w:val="32"/>
          <w:szCs w:val="32"/>
          <w:lang w:val="zh-CN"/>
        </w:rPr>
      </w:pPr>
      <w:r>
        <w:rPr>
          <w:rFonts w:hint="eastAsia" w:ascii="楷体_GB2312" w:hAnsi="宋体" w:eastAsia="楷体_GB2312"/>
          <w:bCs/>
          <w:sz w:val="32"/>
          <w:szCs w:val="32"/>
          <w:lang w:val="zh-CN"/>
        </w:rPr>
        <w:t>（二）资金计划、到位及使用情况。</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bCs/>
          <w:sz w:val="32"/>
          <w:szCs w:val="32"/>
        </w:rPr>
        <w:t>1</w:t>
      </w:r>
      <w:r>
        <w:rPr>
          <w:rFonts w:hint="eastAsia" w:ascii="仿宋_GB2312" w:hAnsi="宋体" w:eastAsia="仿宋_GB2312"/>
          <w:bCs/>
          <w:sz w:val="32"/>
          <w:szCs w:val="32"/>
          <w:lang w:val="zh-CN"/>
        </w:rPr>
        <w:t>．</w:t>
      </w:r>
      <w:r>
        <w:rPr>
          <w:rFonts w:hint="eastAsia" w:ascii="楷体_GB2312" w:hAnsi="宋体" w:eastAsia="楷体_GB2312"/>
          <w:bCs/>
          <w:sz w:val="32"/>
          <w:szCs w:val="32"/>
          <w:lang w:val="zh-CN"/>
        </w:rPr>
        <w:t>资金计划</w:t>
      </w:r>
      <w:r>
        <w:rPr>
          <w:rFonts w:ascii="楷体_GB2312" w:hAnsi="宋体" w:eastAsia="楷体_GB2312"/>
          <w:bCs/>
          <w:sz w:val="32"/>
          <w:szCs w:val="32"/>
        </w:rPr>
        <w:t>。</w:t>
      </w:r>
      <w:r>
        <w:rPr>
          <w:rFonts w:ascii="仿宋_GB2312" w:hAnsi="宋体" w:eastAsia="仿宋_GB2312"/>
          <w:bCs/>
          <w:sz w:val="32"/>
          <w:szCs w:val="32"/>
        </w:rPr>
        <w:t>广元界“广元市人民欢迎你”广告牌</w:t>
      </w:r>
      <w:r>
        <w:rPr>
          <w:rFonts w:hint="eastAsia" w:ascii="仿宋_GB2312" w:hAnsi="宋体" w:eastAsia="仿宋_GB2312"/>
          <w:bCs/>
          <w:sz w:val="32"/>
          <w:szCs w:val="32"/>
          <w:lang w:val="zh-CN"/>
        </w:rPr>
        <w:t>项</w:t>
      </w:r>
      <w:r>
        <w:rPr>
          <w:rFonts w:hint="eastAsia" w:ascii="仿宋_GB2312" w:hAnsi="宋体" w:eastAsia="仿宋_GB2312"/>
          <w:sz w:val="32"/>
          <w:szCs w:val="32"/>
          <w:lang w:val="zh-CN"/>
        </w:rPr>
        <w:t>目资金预算金额为4万元，资金来源为市财政资金。</w:t>
      </w:r>
    </w:p>
    <w:p>
      <w:pPr>
        <w:adjustRightInd w:val="0"/>
        <w:snapToGrid w:val="0"/>
        <w:spacing w:line="576" w:lineRule="exact"/>
        <w:ind w:firstLine="720"/>
        <w:rPr>
          <w:rFonts w:ascii="仿宋_GB2312" w:hAnsi="宋体" w:eastAsia="仿宋_GB2312"/>
          <w:sz w:val="32"/>
          <w:szCs w:val="32"/>
          <w:lang w:val="zh-CN"/>
        </w:rPr>
      </w:pPr>
      <w:r>
        <w:rPr>
          <w:rFonts w:ascii="仿宋_GB2312" w:hAnsi="宋体" w:eastAsia="仿宋_GB2312"/>
          <w:sz w:val="32"/>
          <w:szCs w:val="32"/>
        </w:rPr>
        <w:t>2</w:t>
      </w:r>
      <w:r>
        <w:rPr>
          <w:rFonts w:hint="eastAsia" w:ascii="仿宋_GB2312" w:hAnsi="宋体" w:eastAsia="仿宋_GB2312"/>
          <w:sz w:val="32"/>
          <w:szCs w:val="32"/>
          <w:lang w:val="zh-CN"/>
        </w:rPr>
        <w:t>．资金到位。资金到位及时，到位率为100%。</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3．资金使用。</w:t>
      </w:r>
      <w:r>
        <w:rPr>
          <w:rFonts w:ascii="仿宋_GB2312" w:hAnsi="宋体" w:eastAsia="仿宋_GB2312"/>
          <w:sz w:val="32"/>
          <w:szCs w:val="32"/>
          <w:lang w:val="zh-CN"/>
        </w:rPr>
        <w:t>广元界“广元市人民欢迎你”广告牌维护项目资金截至2021年12月使用金额为4万元，剩余资金0元，支付进度100%。资金用于完成对公益广告牌的日常维护，保证正常使用所产生的费用。资金支付严格遵循财政资金支付规定，支付依据合规合法，资金支付与预算相符</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Cs/>
          <w:sz w:val="32"/>
          <w:szCs w:val="32"/>
          <w:lang w:val="zh-CN"/>
        </w:rPr>
      </w:pPr>
      <w:r>
        <w:rPr>
          <w:rFonts w:hint="eastAsia" w:ascii="楷体_GB2312" w:hAnsi="宋体" w:eastAsia="楷体_GB2312"/>
          <w:bCs/>
          <w:sz w:val="32"/>
          <w:szCs w:val="32"/>
          <w:lang w:val="zh-CN"/>
        </w:rPr>
        <w:t>（三）项目财务管理情况。</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bCs/>
          <w:sz w:val="32"/>
          <w:szCs w:val="32"/>
          <w:lang w:val="zh-CN"/>
        </w:rPr>
        <w:t>支队财务管理制度健全，严格执</w:t>
      </w:r>
      <w:r>
        <w:rPr>
          <w:rFonts w:hint="eastAsia" w:ascii="仿宋_GB2312" w:hAnsi="宋体" w:eastAsia="仿宋_GB2312"/>
          <w:sz w:val="32"/>
          <w:szCs w:val="32"/>
          <w:lang w:val="zh-CN"/>
        </w:rPr>
        <w:t>行了财务管理制度，账务处理及时，会计核算规范。支队严格执行各项财务管理制度，保证项目经费专款专用，进一步完善财务管理各项规章制度建设，加强内部机构设置。财务科全面负责项目资金的会计核算和账务处理工作，对照项目资金管理办法进行支出。</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（一）项目组织架构及实施流程。</w:t>
      </w:r>
      <w:r>
        <w:rPr>
          <w:rFonts w:ascii="仿宋_GB2312" w:hAnsi="宋体" w:eastAsia="仿宋_GB2312"/>
          <w:sz w:val="32"/>
          <w:szCs w:val="32"/>
        </w:rPr>
        <w:t>广元界“广元市人民欢迎你”广告牌项目由青川县交通运输局负责开展日常维护工作，支队财务装备科负责组织实施资金支付</w:t>
      </w:r>
      <w:r>
        <w:rPr>
          <w:rFonts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（二）项目管理情况。</w:t>
      </w:r>
      <w:r>
        <w:rPr>
          <w:rFonts w:hint="eastAsia" w:ascii="仿宋_GB2312" w:hAnsi="宋体" w:eastAsia="仿宋_GB2312"/>
          <w:sz w:val="32"/>
          <w:szCs w:val="28"/>
        </w:rPr>
        <w:t>在项目资金使用中，</w:t>
      </w:r>
      <w:r>
        <w:rPr>
          <w:rFonts w:ascii="仿宋_GB2312" w:hAnsi="宋体" w:eastAsia="仿宋_GB2312"/>
          <w:sz w:val="32"/>
          <w:szCs w:val="28"/>
        </w:rPr>
        <w:t>支队</w:t>
      </w:r>
      <w:r>
        <w:rPr>
          <w:rFonts w:hint="eastAsia" w:ascii="仿宋_GB2312" w:hAnsi="宋体" w:eastAsia="仿宋_GB2312"/>
          <w:sz w:val="32"/>
          <w:szCs w:val="28"/>
        </w:rPr>
        <w:t>严格执行相关法律法规，项目从立项、公开、组织实施均严格按相关规定执行，符合国家及财政相关政策规定，项目申报符合国家政策，符合地方经济社会的发展需要，具有明确的项目实施主体及实施决策程序。同时，</w:t>
      </w:r>
      <w:r>
        <w:rPr>
          <w:rFonts w:ascii="仿宋_GB2312" w:hAnsi="宋体" w:eastAsia="仿宋_GB2312"/>
          <w:sz w:val="32"/>
          <w:szCs w:val="28"/>
        </w:rPr>
        <w:t>支队</w:t>
      </w:r>
      <w:r>
        <w:rPr>
          <w:rFonts w:hint="eastAsia" w:ascii="仿宋_GB2312" w:hAnsi="宋体" w:eastAsia="仿宋_GB2312"/>
          <w:sz w:val="32"/>
          <w:szCs w:val="28"/>
        </w:rPr>
        <w:t>制定了较完整的内部建设管理制度，并严格遵守执行，项目管理较规范。</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三）项目监管情况。支队严格按照相关法律法规和程序，对质量、安全和项目进度进行全过程、全方位的监督管理，努力化解风险，提高工作效率，明确规范管理，强化责任，确保安全，保证质量的指导思想，思想观念不放松，严格把好绩效项目实施过程关口。</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Cs/>
          <w:sz w:val="32"/>
          <w:szCs w:val="32"/>
          <w:lang w:val="zh-CN"/>
        </w:rPr>
      </w:pPr>
      <w:r>
        <w:rPr>
          <w:rFonts w:hint="eastAsia" w:ascii="楷体_GB2312" w:hAnsi="宋体" w:eastAsia="楷体_GB2312"/>
          <w:bCs/>
          <w:sz w:val="32"/>
          <w:szCs w:val="32"/>
          <w:lang w:val="zh-CN"/>
        </w:rPr>
        <w:t>（一）项目完成情况。</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截至2021年年底，支队对广告牌进行维护，保证正常使用。绩效目标全部完成，完成率达100%，项目成本控制在预算资金范围内，无结余资金</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Cs/>
          <w:sz w:val="32"/>
          <w:szCs w:val="32"/>
          <w:lang w:val="zh-CN"/>
        </w:rPr>
        <w:t>（二）项目效益情况</w:t>
      </w:r>
      <w:r>
        <w:rPr>
          <w:rFonts w:hint="eastAsia" w:ascii="楷体_GB2312" w:hAnsi="宋体" w:eastAsia="楷体_GB2312"/>
          <w:b/>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rPr>
        <w:t>完成对公益广告牌的日常维护，</w:t>
      </w:r>
      <w:r>
        <w:rPr>
          <w:rFonts w:ascii="仿宋_GB2312" w:hAnsi="宋体" w:eastAsia="仿宋_GB2312"/>
          <w:sz w:val="32"/>
          <w:szCs w:val="32"/>
          <w:lang w:val="zh-CN"/>
        </w:rPr>
        <w:t>对</w:t>
      </w:r>
      <w:r>
        <w:rPr>
          <w:rFonts w:hint="eastAsia" w:ascii="仿宋_GB2312" w:hAnsi="宋体" w:eastAsia="仿宋_GB2312"/>
          <w:sz w:val="32"/>
          <w:szCs w:val="32"/>
        </w:rPr>
        <w:t>广元</w:t>
      </w:r>
      <w:r>
        <w:rPr>
          <w:rFonts w:ascii="仿宋_GB2312" w:hAnsi="宋体" w:eastAsia="仿宋_GB2312"/>
          <w:sz w:val="32"/>
          <w:szCs w:val="32"/>
          <w:lang w:val="zh-CN"/>
        </w:rPr>
        <w:t>起到宣传作用</w:t>
      </w:r>
      <w:r>
        <w:rPr>
          <w:rFonts w:hint="eastAsia" w:ascii="仿宋_GB2312" w:hAnsi="宋体" w:eastAsia="仿宋_GB2312"/>
          <w:sz w:val="32"/>
          <w:szCs w:val="32"/>
          <w:lang w:val="zh-CN"/>
        </w:rPr>
        <w:t>。</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Cs/>
          <w:sz w:val="32"/>
          <w:szCs w:val="32"/>
          <w:lang w:val="zh-CN"/>
        </w:rPr>
        <w:t>（一）评价结论。</w:t>
      </w:r>
    </w:p>
    <w:p>
      <w:pPr>
        <w:pStyle w:val="16"/>
        <w:widowControl/>
        <w:spacing w:beforeAutospacing="0" w:afterAutospacing="0" w:line="600" w:lineRule="atLeast"/>
        <w:ind w:firstLine="640"/>
        <w:jc w:val="both"/>
        <w:rPr>
          <w:rFonts w:ascii="仿宋_GB2312" w:hAnsi="宋体" w:eastAsia="仿宋_GB2312"/>
          <w:sz w:val="32"/>
          <w:szCs w:val="32"/>
          <w:bdr w:val="single" w:color="auto" w:sz="4" w:space="0"/>
          <w:lang w:val="zh-CN"/>
        </w:rPr>
      </w:pPr>
      <w:r>
        <w:rPr>
          <w:rFonts w:hint="eastAsia" w:ascii="仿宋_GB2312" w:hAnsi="宋体" w:eastAsia="仿宋_GB2312"/>
          <w:kern w:val="2"/>
          <w:sz w:val="32"/>
          <w:szCs w:val="32"/>
          <w:lang w:val="zh-CN"/>
        </w:rPr>
        <w:t>根据绩效指标评价，</w:t>
      </w:r>
      <w:r>
        <w:rPr>
          <w:rFonts w:ascii="仿宋_GB2312" w:hAnsi="宋体" w:eastAsia="仿宋_GB2312"/>
          <w:kern w:val="2"/>
          <w:sz w:val="32"/>
          <w:szCs w:val="32"/>
        </w:rPr>
        <w:t>支队年初既定绩效目标基本完成</w:t>
      </w:r>
      <w:r>
        <w:rPr>
          <w:rFonts w:hint="eastAsia" w:ascii="仿宋_GB2312" w:hAnsi="宋体" w:eastAsia="仿宋_GB2312"/>
          <w:kern w:val="2"/>
          <w:sz w:val="32"/>
          <w:szCs w:val="32"/>
          <w:lang w:val="zh-CN"/>
        </w:rPr>
        <w:t>。通过自评，从整体情况来看，</w:t>
      </w:r>
      <w:r>
        <w:rPr>
          <w:rFonts w:ascii="仿宋_GB2312" w:hAnsi="宋体" w:eastAsia="仿宋_GB2312"/>
          <w:kern w:val="2"/>
          <w:sz w:val="32"/>
          <w:szCs w:val="32"/>
        </w:rPr>
        <w:t>支队</w:t>
      </w:r>
      <w:r>
        <w:rPr>
          <w:rFonts w:hint="eastAsia" w:ascii="仿宋_GB2312" w:hAnsi="宋体" w:eastAsia="仿宋_GB2312"/>
          <w:kern w:val="2"/>
          <w:sz w:val="32"/>
          <w:szCs w:val="32"/>
          <w:lang w:val="zh-CN"/>
        </w:rPr>
        <w:t>高度重视财政资金的支出绩效，在资金预算、审批、执行、支付等方面都做到了层层把关，严格按照单位预算进行整体支出，严格执行资金管理相关规定及单位财务制度，所有项目资金严格按照项目申报的实施方案组织实施，并加强对项目实施全过程的日常监督，切实做到项目资金专款专用，无挪用、占用、套取等违规现象。项目支出产生的效益显著，达到了预期的资金使用效果。</w:t>
      </w:r>
      <w:r>
        <w:rPr>
          <w:rFonts w:ascii="仿宋_GB2312" w:hAnsi="宋体" w:eastAsia="仿宋_GB2312"/>
          <w:kern w:val="2"/>
          <w:sz w:val="32"/>
          <w:szCs w:val="32"/>
        </w:rPr>
        <w:t>保障了交通行政执法工作的开展</w:t>
      </w:r>
      <w:r>
        <w:rPr>
          <w:rFonts w:hint="eastAsia" w:ascii="仿宋_GB2312" w:hAnsi="宋体" w:eastAsia="仿宋_GB2312"/>
          <w:kern w:val="2"/>
          <w:sz w:val="32"/>
          <w:szCs w:val="32"/>
          <w:lang w:val="zh-CN"/>
        </w:rPr>
        <w:t>，</w:t>
      </w:r>
      <w:r>
        <w:rPr>
          <w:rFonts w:ascii="仿宋_GB2312" w:hAnsi="宋体" w:eastAsia="仿宋_GB2312"/>
          <w:kern w:val="2"/>
          <w:sz w:val="32"/>
          <w:szCs w:val="32"/>
        </w:rPr>
        <w:t>社会满意度达到良好</w:t>
      </w:r>
      <w:r>
        <w:rPr>
          <w:rFonts w:hint="eastAsia" w:ascii="仿宋_GB2312" w:hAnsi="宋体" w:eastAsia="仿宋_GB2312"/>
          <w:kern w:val="2"/>
          <w:sz w:val="32"/>
          <w:szCs w:val="32"/>
          <w:lang w:val="zh-CN"/>
        </w:rPr>
        <w:t>。</w:t>
      </w:r>
    </w:p>
    <w:p>
      <w:pPr>
        <w:adjustRightInd w:val="0"/>
        <w:snapToGrid w:val="0"/>
        <w:spacing w:line="600" w:lineRule="exact"/>
        <w:ind w:firstLine="720"/>
        <w:rPr>
          <w:rFonts w:ascii="楷体_GB2312" w:hAnsi="宋体" w:eastAsia="楷体_GB2312"/>
          <w:bCs/>
          <w:sz w:val="32"/>
          <w:szCs w:val="32"/>
          <w:lang w:val="zh-CN"/>
        </w:rPr>
      </w:pPr>
      <w:r>
        <w:rPr>
          <w:rFonts w:hint="eastAsia" w:ascii="楷体_GB2312" w:hAnsi="宋体" w:eastAsia="楷体_GB2312"/>
          <w:bCs/>
          <w:sz w:val="32"/>
          <w:szCs w:val="32"/>
          <w:lang w:val="zh-CN"/>
        </w:rPr>
        <w:t>（二）存在的问题。</w:t>
      </w:r>
    </w:p>
    <w:p>
      <w:pPr>
        <w:adjustRightInd w:val="0"/>
        <w:snapToGrid w:val="0"/>
        <w:spacing w:line="576" w:lineRule="exact"/>
        <w:ind w:firstLine="720"/>
        <w:rPr>
          <w:rFonts w:ascii="仿宋_GB2312" w:hAnsi="宋体" w:eastAsia="仿宋_GB2312"/>
          <w:sz w:val="32"/>
          <w:szCs w:val="32"/>
          <w:lang w:val="zh-CN"/>
        </w:rPr>
      </w:pPr>
      <w:r>
        <w:rPr>
          <w:rFonts w:ascii="仿宋_GB2312" w:hAnsi="宋体" w:eastAsia="仿宋_GB2312"/>
          <w:sz w:val="32"/>
          <w:szCs w:val="32"/>
        </w:rPr>
        <w:t>无</w:t>
      </w:r>
      <w:r>
        <w:rPr>
          <w:rFonts w:hint="eastAsia" w:ascii="仿宋_GB2312" w:hAnsi="宋体" w:eastAsia="仿宋_GB2312"/>
          <w:sz w:val="32"/>
          <w:szCs w:val="32"/>
          <w:lang w:val="zh-CN"/>
        </w:rPr>
        <w:t>。</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Cs/>
          <w:sz w:val="32"/>
          <w:szCs w:val="32"/>
          <w:lang w:val="zh-CN"/>
        </w:rPr>
      </w:pPr>
      <w:r>
        <w:rPr>
          <w:rFonts w:hint="eastAsia" w:ascii="楷体_GB2312" w:hAnsi="宋体" w:eastAsia="楷体_GB2312"/>
          <w:bCs/>
          <w:sz w:val="32"/>
          <w:szCs w:val="32"/>
          <w:lang w:val="zh-CN"/>
        </w:rPr>
        <w:t>（三）相关建议。</w:t>
      </w:r>
    </w:p>
    <w:p>
      <w:pPr>
        <w:pStyle w:val="2"/>
        <w:spacing w:before="93"/>
        <w:ind w:firstLine="640" w:firstLineChars="200"/>
        <w:rPr>
          <w:lang w:val="zh-CN"/>
        </w:rPr>
      </w:pPr>
      <w:r>
        <w:rPr>
          <w:rFonts w:hAnsi="宋体"/>
          <w:sz w:val="32"/>
          <w:szCs w:val="32"/>
        </w:rPr>
        <w:t>无</w:t>
      </w:r>
      <w:r>
        <w:rPr>
          <w:rFonts w:hint="eastAsia" w:hAnsi="宋体"/>
          <w:sz w:val="32"/>
          <w:szCs w:val="32"/>
          <w:lang w:val="zh-CN"/>
        </w:rPr>
        <w:t>。</w:t>
      </w:r>
    </w:p>
    <w:p/>
    <w:p>
      <w:pPr>
        <w:pStyle w:val="2"/>
        <w:spacing w:before="93"/>
      </w:pPr>
    </w:p>
    <w:p>
      <w:pPr>
        <w:pStyle w:val="2"/>
        <w:spacing w:before="93"/>
      </w:pPr>
      <w:r>
        <w:rPr>
          <w:rFonts w:hint="eastAsia" w:ascii="黑体" w:hAnsi="黑体" w:eastAsia="黑体" w:cs="黑体"/>
          <w:sz w:val="32"/>
          <w:szCs w:val="32"/>
        </w:rPr>
        <w:t>附表</w:t>
      </w:r>
    </w:p>
    <w:tbl>
      <w:tblPr>
        <w:tblStyle w:val="18"/>
        <w:tblpPr w:leftFromText="180" w:rightFromText="180" w:vertAnchor="text" w:horzAnchor="page" w:tblpXSpec="center" w:tblpY="237"/>
        <w:tblOverlap w:val="never"/>
        <w:tblW w:w="10160" w:type="dxa"/>
        <w:jc w:val="center"/>
        <w:tblLayout w:type="fixed"/>
        <w:tblCellMar>
          <w:top w:w="0" w:type="dxa"/>
          <w:left w:w="108" w:type="dxa"/>
          <w:bottom w:w="0" w:type="dxa"/>
          <w:right w:w="108" w:type="dxa"/>
        </w:tblCellMar>
      </w:tblPr>
      <w:tblGrid>
        <w:gridCol w:w="2568"/>
        <w:gridCol w:w="613"/>
        <w:gridCol w:w="1012"/>
        <w:gridCol w:w="1121"/>
        <w:gridCol w:w="1467"/>
        <w:gridCol w:w="1749"/>
        <w:gridCol w:w="1630"/>
      </w:tblGrid>
      <w:tr>
        <w:tblPrEx>
          <w:tblCellMar>
            <w:top w:w="0" w:type="dxa"/>
            <w:left w:w="108" w:type="dxa"/>
            <w:bottom w:w="0" w:type="dxa"/>
            <w:right w:w="108" w:type="dxa"/>
          </w:tblCellMar>
        </w:tblPrEx>
        <w:trPr>
          <w:trHeight w:val="315" w:hRule="atLeast"/>
          <w:jc w:val="center"/>
        </w:trPr>
        <w:tc>
          <w:tcPr>
            <w:tcW w:w="10160" w:type="dxa"/>
            <w:gridSpan w:val="7"/>
            <w:tcBorders>
              <w:top w:val="nil"/>
              <w:left w:val="nil"/>
              <w:bottom w:val="nil"/>
              <w:right w:val="nil"/>
            </w:tcBorders>
            <w:shd w:val="clear" w:color="auto" w:fill="auto"/>
            <w:vAlign w:val="center"/>
          </w:tcPr>
          <w:p>
            <w:pPr>
              <w:widowControl/>
              <w:jc w:val="center"/>
              <w:textAlignment w:val="center"/>
              <w:rPr>
                <w:rFonts w:ascii="方正小标宋简体" w:hAnsi="方正小标宋简体" w:eastAsia="方正小标宋简体" w:cs="方正小标宋简体"/>
                <w:color w:val="000000"/>
                <w:sz w:val="18"/>
                <w:szCs w:val="18"/>
              </w:rPr>
            </w:pPr>
            <w:r>
              <w:rPr>
                <w:rFonts w:ascii="方正小标宋简体" w:hAnsi="方正小标宋简体" w:eastAsia="方正小标宋简体" w:cs="方正小标宋简体"/>
                <w:color w:val="000000"/>
                <w:kern w:val="0"/>
                <w:sz w:val="18"/>
                <w:szCs w:val="18"/>
              </w:rPr>
              <w:t>项目支出绩效目标自评表</w:t>
            </w:r>
          </w:p>
        </w:tc>
      </w:tr>
      <w:tr>
        <w:tblPrEx>
          <w:tblCellMar>
            <w:top w:w="0" w:type="dxa"/>
            <w:left w:w="108" w:type="dxa"/>
            <w:bottom w:w="0" w:type="dxa"/>
            <w:right w:w="108" w:type="dxa"/>
          </w:tblCellMar>
        </w:tblPrEx>
        <w:trPr>
          <w:trHeight w:val="315" w:hRule="atLeast"/>
          <w:jc w:val="center"/>
        </w:trPr>
        <w:tc>
          <w:tcPr>
            <w:tcW w:w="10160" w:type="dxa"/>
            <w:gridSpan w:val="7"/>
            <w:tcBorders>
              <w:top w:val="nil"/>
              <w:left w:val="nil"/>
              <w:bottom w:val="nil"/>
              <w:right w:val="nil"/>
            </w:tcBorders>
            <w:shd w:val="clear" w:color="auto" w:fill="auto"/>
            <w:vAlign w:val="center"/>
          </w:tcPr>
          <w:p>
            <w:pPr>
              <w:widowControl/>
              <w:jc w:val="center"/>
              <w:textAlignment w:val="center"/>
              <w:rPr>
                <w:rFonts w:ascii="宋体" w:hAnsi="宋体" w:cs="宋体"/>
                <w:color w:val="000000"/>
                <w:sz w:val="18"/>
                <w:szCs w:val="18"/>
              </w:rPr>
            </w:pPr>
            <w:r>
              <w:rPr>
                <w:rStyle w:val="38"/>
                <w:rFonts w:hint="default"/>
              </w:rPr>
              <w:t>（</w:t>
            </w:r>
            <w:r>
              <w:rPr>
                <w:rStyle w:val="39"/>
              </w:rPr>
              <w:t xml:space="preserve">      2021</w:t>
            </w:r>
            <w:r>
              <w:rPr>
                <w:rStyle w:val="38"/>
                <w:rFonts w:hint="default"/>
              </w:rPr>
              <w:t>年度）</w:t>
            </w:r>
          </w:p>
        </w:tc>
      </w:tr>
      <w:tr>
        <w:tblPrEx>
          <w:tblCellMar>
            <w:top w:w="0" w:type="dxa"/>
            <w:left w:w="108" w:type="dxa"/>
            <w:bottom w:w="0" w:type="dxa"/>
            <w:right w:w="108" w:type="dxa"/>
          </w:tblCellMar>
        </w:tblPrEx>
        <w:trPr>
          <w:trHeight w:val="386" w:hRule="atLeast"/>
          <w:jc w:val="center"/>
        </w:trPr>
        <w:tc>
          <w:tcPr>
            <w:tcW w:w="41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项目名称</w:t>
            </w:r>
          </w:p>
        </w:tc>
        <w:tc>
          <w:tcPr>
            <w:tcW w:w="59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广元界“广元市人民欢迎你”广告牌维护</w:t>
            </w:r>
          </w:p>
        </w:tc>
      </w:tr>
      <w:tr>
        <w:tblPrEx>
          <w:tblCellMar>
            <w:top w:w="0" w:type="dxa"/>
            <w:left w:w="108" w:type="dxa"/>
            <w:bottom w:w="0" w:type="dxa"/>
            <w:right w:w="108" w:type="dxa"/>
          </w:tblCellMar>
        </w:tblPrEx>
        <w:trPr>
          <w:trHeight w:val="641" w:hRule="atLeast"/>
          <w:jc w:val="center"/>
        </w:trPr>
        <w:tc>
          <w:tcPr>
            <w:tcW w:w="41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主管单位</w:t>
            </w:r>
          </w:p>
        </w:tc>
        <w:tc>
          <w:tcPr>
            <w:tcW w:w="1121"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广元市交通运输局</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实施单位</w:t>
            </w:r>
          </w:p>
        </w:tc>
        <w:tc>
          <w:tcPr>
            <w:tcW w:w="3379"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广元市交通运输综合行政执法支队</w:t>
            </w:r>
          </w:p>
        </w:tc>
      </w:tr>
      <w:tr>
        <w:tblPrEx>
          <w:tblCellMar>
            <w:top w:w="0" w:type="dxa"/>
            <w:left w:w="108" w:type="dxa"/>
            <w:bottom w:w="0" w:type="dxa"/>
            <w:right w:w="108" w:type="dxa"/>
          </w:tblCellMar>
        </w:tblPrEx>
        <w:trPr>
          <w:trHeight w:val="386" w:hRule="atLeast"/>
          <w:jc w:val="center"/>
        </w:trPr>
        <w:tc>
          <w:tcPr>
            <w:tcW w:w="25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执行情况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（万元）</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预算数：</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执行数：</w:t>
            </w:r>
          </w:p>
        </w:tc>
        <w:tc>
          <w:tcPr>
            <w:tcW w:w="3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4</w:t>
            </w:r>
          </w:p>
        </w:tc>
      </w:tr>
      <w:tr>
        <w:tblPrEx>
          <w:tblCellMar>
            <w:top w:w="0" w:type="dxa"/>
            <w:left w:w="108" w:type="dxa"/>
            <w:bottom w:w="0" w:type="dxa"/>
            <w:right w:w="108" w:type="dxa"/>
          </w:tblCellMar>
        </w:tblPrEx>
        <w:trPr>
          <w:trHeight w:val="341" w:hRule="atLeast"/>
          <w:jc w:val="center"/>
        </w:trPr>
        <w:tc>
          <w:tcPr>
            <w:tcW w:w="2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467" w:type="dxa"/>
            <w:tcBorders>
              <w:top w:val="single" w:color="000000" w:sz="4" w:space="0"/>
              <w:left w:val="nil"/>
              <w:bottom w:val="nil"/>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3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w:t>
            </w:r>
          </w:p>
        </w:tc>
      </w:tr>
      <w:tr>
        <w:tblPrEx>
          <w:tblCellMar>
            <w:top w:w="0" w:type="dxa"/>
            <w:left w:w="108" w:type="dxa"/>
            <w:bottom w:w="0" w:type="dxa"/>
            <w:right w:w="108" w:type="dxa"/>
          </w:tblCellMar>
        </w:tblPrEx>
        <w:trPr>
          <w:trHeight w:val="341" w:hRule="atLeast"/>
          <w:jc w:val="center"/>
        </w:trPr>
        <w:tc>
          <w:tcPr>
            <w:tcW w:w="2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w:t>
            </w:r>
          </w:p>
        </w:tc>
        <w:tc>
          <w:tcPr>
            <w:tcW w:w="1467" w:type="dxa"/>
            <w:tcBorders>
              <w:top w:val="single" w:color="000000" w:sz="4" w:space="0"/>
              <w:left w:val="nil"/>
              <w:bottom w:val="nil"/>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3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w:t>
            </w:r>
          </w:p>
        </w:tc>
      </w:tr>
      <w:tr>
        <w:tblPrEx>
          <w:tblCellMar>
            <w:top w:w="0" w:type="dxa"/>
            <w:left w:w="108" w:type="dxa"/>
            <w:bottom w:w="0" w:type="dxa"/>
            <w:right w:w="108" w:type="dxa"/>
          </w:tblCellMar>
        </w:tblPrEx>
        <w:trPr>
          <w:trHeight w:val="341" w:hRule="atLeast"/>
          <w:jc w:val="center"/>
        </w:trPr>
        <w:tc>
          <w:tcPr>
            <w:tcW w:w="25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目标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完成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情况</w:t>
            </w:r>
          </w:p>
        </w:tc>
        <w:tc>
          <w:tcPr>
            <w:tcW w:w="27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预期目标</w:t>
            </w:r>
          </w:p>
        </w:tc>
        <w:tc>
          <w:tcPr>
            <w:tcW w:w="4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实际完成目标</w:t>
            </w:r>
          </w:p>
        </w:tc>
      </w:tr>
      <w:tr>
        <w:tblPrEx>
          <w:tblCellMar>
            <w:top w:w="0" w:type="dxa"/>
            <w:left w:w="108" w:type="dxa"/>
            <w:bottom w:w="0" w:type="dxa"/>
            <w:right w:w="108" w:type="dxa"/>
          </w:tblCellMar>
        </w:tblPrEx>
        <w:trPr>
          <w:trHeight w:val="1000" w:hRule="atLeast"/>
          <w:jc w:val="center"/>
        </w:trPr>
        <w:tc>
          <w:tcPr>
            <w:tcW w:w="256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18"/>
                <w:szCs w:val="18"/>
              </w:rPr>
            </w:pPr>
          </w:p>
        </w:tc>
        <w:tc>
          <w:tcPr>
            <w:tcW w:w="2746" w:type="dxa"/>
            <w:gridSpan w:val="3"/>
            <w:tcBorders>
              <w:top w:val="single" w:color="000000" w:sz="4" w:space="0"/>
              <w:left w:val="single" w:color="000000" w:sz="4" w:space="0"/>
              <w:bottom w:val="single" w:color="auto" w:sz="4" w:space="0"/>
              <w:right w:val="single" w:color="000000" w:sz="4" w:space="0"/>
            </w:tcBorders>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完成对公益广告牌的日常维护，保证正常使用。</w:t>
            </w:r>
          </w:p>
        </w:tc>
        <w:tc>
          <w:tcPr>
            <w:tcW w:w="484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完成对公益广告牌的日常维护，保证正常使用。</w:t>
            </w:r>
          </w:p>
        </w:tc>
      </w:tr>
      <w:tr>
        <w:tblPrEx>
          <w:tblCellMar>
            <w:top w:w="0" w:type="dxa"/>
            <w:left w:w="108" w:type="dxa"/>
            <w:bottom w:w="0" w:type="dxa"/>
            <w:right w:w="108" w:type="dxa"/>
          </w:tblCellMar>
        </w:tblPrEx>
        <w:trPr>
          <w:trHeight w:val="956" w:hRule="atLeast"/>
          <w:jc w:val="center"/>
        </w:trPr>
        <w:tc>
          <w:tcPr>
            <w:tcW w:w="2568" w:type="dxa"/>
            <w:vMerge w:val="restart"/>
            <w:tcBorders>
              <w:top w:val="single" w:color="auto" w:sz="4" w:space="0"/>
              <w:left w:val="single" w:color="auto"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绩效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指标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完成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情况</w:t>
            </w:r>
          </w:p>
        </w:tc>
        <w:tc>
          <w:tcPr>
            <w:tcW w:w="613" w:type="dxa"/>
            <w:tcBorders>
              <w:top w:val="single" w:color="auto"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一级指标</w:t>
            </w:r>
          </w:p>
        </w:tc>
        <w:tc>
          <w:tcPr>
            <w:tcW w:w="101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二级指标</w:t>
            </w:r>
          </w:p>
        </w:tc>
        <w:tc>
          <w:tcPr>
            <w:tcW w:w="1121"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三级指标</w:t>
            </w:r>
          </w:p>
        </w:tc>
        <w:tc>
          <w:tcPr>
            <w:tcW w:w="1467"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指标值（包含数字及文字描述）</w:t>
            </w:r>
          </w:p>
        </w:tc>
        <w:tc>
          <w:tcPr>
            <w:tcW w:w="1749" w:type="dxa"/>
            <w:tcBorders>
              <w:top w:val="single" w:color="auto"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实际完成指标值（包含数字及文字描述）</w:t>
            </w:r>
          </w:p>
        </w:tc>
        <w:tc>
          <w:tcPr>
            <w:tcW w:w="163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未完成原因及改进措施</w:t>
            </w:r>
          </w:p>
        </w:tc>
      </w:tr>
      <w:tr>
        <w:tblPrEx>
          <w:tblCellMar>
            <w:top w:w="0" w:type="dxa"/>
            <w:left w:w="108" w:type="dxa"/>
            <w:bottom w:w="0" w:type="dxa"/>
            <w:right w:w="108" w:type="dxa"/>
          </w:tblCellMar>
        </w:tblPrEx>
        <w:trPr>
          <w:trHeight w:val="981" w:hRule="atLeast"/>
          <w:jc w:val="center"/>
        </w:trPr>
        <w:tc>
          <w:tcPr>
            <w:tcW w:w="2568" w:type="dxa"/>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ascii="宋体" w:hAnsi="宋体" w:cs="宋体"/>
                <w:color w:val="000000"/>
                <w:sz w:val="18"/>
                <w:szCs w:val="18"/>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项目完成指标</w:t>
            </w:r>
          </w:p>
        </w:tc>
        <w:tc>
          <w:tcPr>
            <w:tcW w:w="101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121"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指标1：广元广告牌的维护</w:t>
            </w:r>
          </w:p>
        </w:tc>
        <w:tc>
          <w:tcPr>
            <w:tcW w:w="1467" w:type="dxa"/>
            <w:tcBorders>
              <w:top w:val="single" w:color="000000" w:sz="4" w:space="0"/>
              <w:left w:val="single" w:color="auto"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广告牌的维护、保证正常使用</w:t>
            </w:r>
          </w:p>
        </w:tc>
        <w:tc>
          <w:tcPr>
            <w:tcW w:w="1749" w:type="dxa"/>
            <w:tcBorders>
              <w:top w:val="single" w:color="000000" w:sz="4" w:space="0"/>
              <w:left w:val="single" w:color="000000" w:sz="4" w:space="0"/>
              <w:bottom w:val="single" w:color="000000" w:sz="4" w:space="0"/>
              <w:right w:val="single" w:color="auto" w:sz="4" w:space="0"/>
            </w:tcBorders>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广告牌的维护、保证正常使用</w:t>
            </w:r>
          </w:p>
        </w:tc>
        <w:tc>
          <w:tcPr>
            <w:tcW w:w="1630"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587" w:hRule="atLeast"/>
          <w:jc w:val="center"/>
        </w:trPr>
        <w:tc>
          <w:tcPr>
            <w:tcW w:w="2568"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color w:val="000000"/>
                <w:sz w:val="18"/>
                <w:szCs w:val="18"/>
              </w:rPr>
            </w:pPr>
          </w:p>
        </w:tc>
        <w:tc>
          <w:tcPr>
            <w:tcW w:w="61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1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指标</w:t>
            </w:r>
          </w:p>
        </w:tc>
        <w:tc>
          <w:tcPr>
            <w:tcW w:w="1121"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指标1：广告牌的日常维护，保证正常使用</w:t>
            </w:r>
          </w:p>
        </w:tc>
        <w:tc>
          <w:tcPr>
            <w:tcW w:w="146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宣传广元</w:t>
            </w:r>
          </w:p>
        </w:tc>
        <w:tc>
          <w:tcPr>
            <w:tcW w:w="1749"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宣传广元</w:t>
            </w:r>
          </w:p>
        </w:tc>
        <w:tc>
          <w:tcPr>
            <w:tcW w:w="1630"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598" w:hRule="atLeast"/>
          <w:jc w:val="center"/>
        </w:trPr>
        <w:tc>
          <w:tcPr>
            <w:tcW w:w="256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color w:val="000000"/>
                <w:sz w:val="18"/>
                <w:szCs w:val="18"/>
              </w:rPr>
            </w:pPr>
          </w:p>
        </w:tc>
        <w:tc>
          <w:tcPr>
            <w:tcW w:w="61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指标</w:t>
            </w:r>
          </w:p>
        </w:tc>
        <w:tc>
          <w:tcPr>
            <w:tcW w:w="1012"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121"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指标1：广告牌的日常维护，保证正常使用</w:t>
            </w:r>
          </w:p>
        </w:tc>
        <w:tc>
          <w:tcPr>
            <w:tcW w:w="146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按项目要求完成，服务对象评价较好</w:t>
            </w:r>
          </w:p>
        </w:tc>
        <w:tc>
          <w:tcPr>
            <w:tcW w:w="1749"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按项目要求完成，服务对象评价较好</w:t>
            </w:r>
          </w:p>
        </w:tc>
        <w:tc>
          <w:tcPr>
            <w:tcW w:w="1630" w:type="dxa"/>
            <w:tcBorders>
              <w:top w:val="single" w:color="000000" w:sz="4" w:space="0"/>
              <w:left w:val="single" w:color="auto"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bl>
    <w:p>
      <w:pPr>
        <w:pStyle w:val="3"/>
        <w:spacing w:before="93"/>
        <w:ind w:firstLine="440"/>
        <w:rPr>
          <w:rFonts w:ascii="黑体" w:hAnsi="黑体" w:eastAsia="黑体"/>
          <w:sz w:val="44"/>
          <w:szCs w:val="44"/>
        </w:rPr>
      </w:pPr>
    </w:p>
    <w:p>
      <w:pPr>
        <w:pStyle w:val="3"/>
        <w:spacing w:before="93"/>
        <w:ind w:firstLine="440"/>
        <w:rPr>
          <w:rFonts w:ascii="黑体" w:hAnsi="黑体" w:eastAsia="黑体"/>
          <w:sz w:val="44"/>
          <w:szCs w:val="44"/>
        </w:rPr>
      </w:pPr>
    </w:p>
    <w:p>
      <w:pPr>
        <w:pStyle w:val="3"/>
        <w:spacing w:before="93"/>
        <w:ind w:firstLine="440"/>
        <w:rPr>
          <w:rFonts w:ascii="黑体" w:hAnsi="黑体" w:eastAsia="黑体"/>
          <w:sz w:val="44"/>
          <w:szCs w:val="44"/>
        </w:rPr>
      </w:pPr>
    </w:p>
    <w:p>
      <w:pPr>
        <w:pStyle w:val="3"/>
        <w:spacing w:before="93"/>
        <w:ind w:firstLine="440"/>
        <w:rPr>
          <w:rFonts w:ascii="黑体" w:hAnsi="黑体" w:eastAsia="黑体"/>
          <w:sz w:val="44"/>
          <w:szCs w:val="44"/>
        </w:rPr>
      </w:pPr>
    </w:p>
    <w:p>
      <w:pPr>
        <w:pStyle w:val="3"/>
        <w:spacing w:before="93"/>
        <w:ind w:firstLine="440"/>
        <w:rPr>
          <w:rFonts w:ascii="黑体" w:hAnsi="黑体" w:eastAsia="黑体"/>
          <w:sz w:val="44"/>
          <w:szCs w:val="44"/>
        </w:rPr>
      </w:pPr>
    </w:p>
    <w:p>
      <w:pPr>
        <w:pStyle w:val="3"/>
        <w:spacing w:before="93"/>
        <w:ind w:firstLine="440"/>
        <w:rPr>
          <w:rFonts w:ascii="黑体" w:hAnsi="黑体" w:eastAsia="黑体"/>
          <w:sz w:val="44"/>
          <w:szCs w:val="44"/>
        </w:rPr>
      </w:pPr>
    </w:p>
    <w:p>
      <w:pPr>
        <w:pStyle w:val="3"/>
        <w:spacing w:before="93"/>
        <w:ind w:firstLine="440"/>
        <w:rPr>
          <w:rFonts w:ascii="黑体" w:hAnsi="黑体" w:eastAsia="黑体"/>
          <w:sz w:val="44"/>
          <w:szCs w:val="44"/>
        </w:rPr>
      </w:pPr>
    </w:p>
    <w:p>
      <w:pPr>
        <w:pStyle w:val="3"/>
        <w:spacing w:before="93"/>
        <w:ind w:firstLine="440"/>
        <w:rPr>
          <w:rFonts w:ascii="黑体" w:hAnsi="黑体" w:eastAsia="黑体"/>
          <w:sz w:val="44"/>
          <w:szCs w:val="44"/>
        </w:rPr>
      </w:pPr>
    </w:p>
    <w:p>
      <w:pPr>
        <w:pStyle w:val="3"/>
        <w:spacing w:before="93"/>
        <w:ind w:firstLine="440"/>
        <w:rPr>
          <w:rFonts w:ascii="黑体" w:hAnsi="黑体" w:eastAsia="黑体"/>
          <w:sz w:val="44"/>
          <w:szCs w:val="44"/>
        </w:rPr>
      </w:pPr>
    </w:p>
    <w:p>
      <w:pPr>
        <w:pStyle w:val="3"/>
        <w:spacing w:before="93"/>
        <w:ind w:firstLine="440"/>
        <w:rPr>
          <w:rFonts w:ascii="黑体" w:hAnsi="黑体" w:eastAsia="黑体"/>
          <w:sz w:val="44"/>
          <w:szCs w:val="44"/>
        </w:rPr>
      </w:pPr>
    </w:p>
    <w:p>
      <w:pPr>
        <w:pStyle w:val="3"/>
        <w:spacing w:before="93"/>
        <w:ind w:firstLine="440"/>
        <w:rPr>
          <w:rFonts w:ascii="黑体" w:hAnsi="黑体" w:eastAsia="黑体"/>
          <w:sz w:val="44"/>
          <w:szCs w:val="44"/>
        </w:rPr>
      </w:pPr>
    </w:p>
    <w:p>
      <w:pPr>
        <w:pStyle w:val="3"/>
        <w:spacing w:before="93"/>
        <w:ind w:firstLine="440"/>
        <w:rPr>
          <w:rFonts w:ascii="黑体" w:hAnsi="黑体" w:eastAsia="黑体"/>
          <w:sz w:val="44"/>
          <w:szCs w:val="44"/>
        </w:rPr>
      </w:pPr>
    </w:p>
    <w:p>
      <w:pPr>
        <w:pStyle w:val="3"/>
        <w:spacing w:before="93"/>
        <w:ind w:firstLine="440"/>
        <w:rPr>
          <w:rFonts w:ascii="黑体" w:hAnsi="黑体" w:eastAsia="黑体"/>
          <w:sz w:val="44"/>
          <w:szCs w:val="44"/>
        </w:rPr>
      </w:pPr>
    </w:p>
    <w:p>
      <w:pPr>
        <w:pStyle w:val="3"/>
        <w:spacing w:before="93"/>
        <w:ind w:firstLine="440"/>
        <w:rPr>
          <w:rFonts w:ascii="黑体" w:hAnsi="黑体" w:eastAsia="黑体"/>
          <w:sz w:val="44"/>
          <w:szCs w:val="44"/>
        </w:rPr>
      </w:pPr>
    </w:p>
    <w:p>
      <w:pPr>
        <w:pStyle w:val="3"/>
        <w:spacing w:before="93"/>
        <w:ind w:firstLine="440"/>
        <w:rPr>
          <w:rFonts w:ascii="黑体" w:hAnsi="黑体" w:eastAsia="黑体"/>
          <w:sz w:val="44"/>
          <w:szCs w:val="44"/>
        </w:rPr>
      </w:pPr>
    </w:p>
    <w:p>
      <w:pPr>
        <w:pStyle w:val="3"/>
        <w:spacing w:before="93"/>
        <w:ind w:firstLine="440"/>
        <w:rPr>
          <w:rFonts w:ascii="黑体" w:hAnsi="黑体" w:eastAsia="黑体"/>
          <w:sz w:val="44"/>
          <w:szCs w:val="44"/>
        </w:rPr>
      </w:pPr>
    </w:p>
    <w:p>
      <w:pPr>
        <w:pStyle w:val="2"/>
        <w:spacing w:before="93"/>
        <w:rPr>
          <w:lang w:val="zh-CN"/>
        </w:rPr>
      </w:pPr>
      <w:r>
        <w:rPr>
          <w:rFonts w:hint="eastAsia" w:hAnsi="宋体" w:cs="宋体"/>
          <w:sz w:val="32"/>
          <w:szCs w:val="32"/>
          <w:shd w:val="clear" w:color="auto" w:fill="FFFFFF"/>
          <w:lang w:val="zh-CN"/>
        </w:rPr>
        <w:t>附件</w:t>
      </w:r>
    </w:p>
    <w:p>
      <w:pPr>
        <w:spacing w:line="600" w:lineRule="exact"/>
        <w:jc w:val="center"/>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t>广元市交通运输综合行政执法支队</w:t>
      </w:r>
    </w:p>
    <w:p>
      <w:pPr>
        <w:spacing w:line="600" w:lineRule="exact"/>
        <w:jc w:val="center"/>
        <w:rPr>
          <w:rFonts w:ascii="方正小标宋简体" w:hAnsi="方正小标宋简体" w:eastAsia="方正小标宋简体" w:cs="方正小标宋简体"/>
          <w:sz w:val="40"/>
          <w:szCs w:val="40"/>
          <w:lang w:val="zh-CN"/>
        </w:rPr>
      </w:pPr>
      <w:r>
        <w:rPr>
          <w:rFonts w:ascii="方正小标宋简体" w:hAnsi="方正小标宋简体" w:eastAsia="方正小标宋简体" w:cs="方正小标宋简体"/>
          <w:sz w:val="40"/>
          <w:szCs w:val="40"/>
        </w:rPr>
        <w:t>关于</w:t>
      </w:r>
      <w:r>
        <w:rPr>
          <w:rFonts w:hint="eastAsia" w:ascii="方正小标宋简体" w:hAnsi="方正小标宋简体" w:eastAsia="方正小标宋简体" w:cs="方正小标宋简体"/>
          <w:sz w:val="40"/>
          <w:szCs w:val="40"/>
        </w:rPr>
        <w:t>2022年</w:t>
      </w:r>
      <w:r>
        <w:rPr>
          <w:rFonts w:ascii="方正小标宋简体" w:hAnsi="方正小标宋简体" w:eastAsia="方正小标宋简体" w:cs="方正小标宋简体"/>
          <w:sz w:val="40"/>
          <w:szCs w:val="40"/>
        </w:rPr>
        <w:t>帮扶经费</w:t>
      </w:r>
      <w:r>
        <w:rPr>
          <w:rFonts w:hint="eastAsia" w:ascii="方正小标宋简体" w:hAnsi="方正小标宋简体" w:eastAsia="方正小标宋简体" w:cs="方正小标宋简体"/>
          <w:sz w:val="40"/>
          <w:szCs w:val="40"/>
          <w:lang w:val="zh-CN"/>
        </w:rPr>
        <w:t>专项预算项目支出</w:t>
      </w: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lang w:val="zh-CN"/>
        </w:rPr>
        <w:t>绩效自评报告</w:t>
      </w:r>
    </w:p>
    <w:p>
      <w:pPr>
        <w:spacing w:line="600" w:lineRule="exact"/>
        <w:ind w:firstLine="640"/>
        <w:jc w:val="center"/>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Cs/>
          <w:sz w:val="32"/>
          <w:szCs w:val="32"/>
          <w:lang w:val="zh-CN"/>
        </w:rPr>
      </w:pPr>
      <w:r>
        <w:rPr>
          <w:rFonts w:hint="eastAsia" w:ascii="楷体_GB2312" w:hAnsi="宋体" w:eastAsia="楷体_GB2312"/>
          <w:bCs/>
          <w:sz w:val="32"/>
          <w:szCs w:val="32"/>
          <w:lang w:val="zh-CN"/>
        </w:rPr>
        <w:t>（一）项目基本情况。</w:t>
      </w:r>
    </w:p>
    <w:p>
      <w:pPr>
        <w:adjustRightInd w:val="0"/>
        <w:snapToGrid w:val="0"/>
        <w:spacing w:line="600" w:lineRule="exact"/>
        <w:ind w:firstLine="640" w:firstLineChars="200"/>
      </w:pPr>
      <w:r>
        <w:rPr>
          <w:rFonts w:hint="eastAsia" w:ascii="仿宋_GB2312" w:hAnsi="宋体" w:eastAsia="仿宋_GB2312"/>
          <w:sz w:val="32"/>
          <w:szCs w:val="32"/>
          <w:lang w:val="zh-CN"/>
        </w:rPr>
        <w:t>1．说明项目主管部门（单位）在该项目管理中的职能</w:t>
      </w:r>
      <w:r>
        <w:rPr>
          <w:rFonts w:ascii="仿宋_GB2312" w:hAnsi="宋体" w:eastAsia="仿宋_GB2312"/>
          <w:sz w:val="32"/>
          <w:szCs w:val="32"/>
        </w:rPr>
        <w:t>。</w:t>
      </w:r>
      <w:r>
        <w:rPr>
          <w:rFonts w:hint="eastAsia" w:ascii="仿宋_GB2312" w:hAnsi="宋体" w:eastAsia="仿宋_GB2312"/>
          <w:sz w:val="32"/>
          <w:szCs w:val="32"/>
        </w:rPr>
        <w:t>承</w:t>
      </w:r>
      <w:r>
        <w:rPr>
          <w:rFonts w:ascii="仿宋_GB2312" w:hAnsi="宋体" w:eastAsia="仿宋_GB2312"/>
          <w:sz w:val="32"/>
          <w:szCs w:val="32"/>
        </w:rPr>
        <w:t>以广元市交通运输局名义统一执法，在履行职责过程中，坚持和加强党对交通运输综合行政执法工作的全面领导。</w:t>
      </w:r>
    </w:p>
    <w:p>
      <w:pPr>
        <w:adjustRightInd w:val="0"/>
        <w:snapToGrid w:val="0"/>
        <w:spacing w:line="600" w:lineRule="exact"/>
        <w:ind w:firstLine="640" w:firstLineChars="200"/>
      </w:pPr>
      <w:r>
        <w:rPr>
          <w:rFonts w:ascii="仿宋_GB2312" w:hAnsi="宋体" w:eastAsia="仿宋_GB2312"/>
          <w:sz w:val="32"/>
          <w:szCs w:val="32"/>
        </w:rPr>
        <w:t>2</w:t>
      </w:r>
      <w:r>
        <w:rPr>
          <w:rFonts w:hint="eastAsia" w:ascii="仿宋_GB2312" w:hAnsi="宋体" w:eastAsia="仿宋_GB2312"/>
          <w:sz w:val="32"/>
          <w:szCs w:val="32"/>
          <w:lang w:val="zh-CN"/>
        </w:rPr>
        <w:t>．项目立项、资金申报的依据</w:t>
      </w:r>
      <w:r>
        <w:rPr>
          <w:rFonts w:ascii="仿宋_GB2312" w:hAnsi="宋体" w:eastAsia="仿宋_GB2312"/>
          <w:sz w:val="32"/>
          <w:szCs w:val="32"/>
        </w:rPr>
        <w:t>。交通行政</w:t>
      </w:r>
      <w:r>
        <w:rPr>
          <w:rFonts w:hint="eastAsia" w:ascii="仿宋_GB2312" w:hAnsi="宋体" w:eastAsia="仿宋_GB2312"/>
          <w:sz w:val="32"/>
          <w:szCs w:val="32"/>
        </w:rPr>
        <w:t>执法工作</w:t>
      </w:r>
      <w:r>
        <w:rPr>
          <w:rFonts w:hint="eastAsia" w:ascii="仿宋_GB2312" w:hAnsi="宋体" w:eastAsia="仿宋_GB2312"/>
          <w:sz w:val="32"/>
          <w:szCs w:val="32"/>
          <w:lang w:val="zh-CN"/>
        </w:rPr>
        <w:t>经费用于</w:t>
      </w:r>
      <w:r>
        <w:rPr>
          <w:rFonts w:hint="eastAsia" w:ascii="仿宋_GB2312" w:hAnsi="宋体" w:eastAsia="仿宋_GB2312"/>
          <w:sz w:val="32"/>
          <w:szCs w:val="32"/>
        </w:rPr>
        <w:t>完成2021年帮扶工作</w:t>
      </w:r>
      <w:r>
        <w:rPr>
          <w:rFonts w:ascii="仿宋_GB2312" w:hAnsi="宋体" w:eastAsia="仿宋_GB2312"/>
          <w:sz w:val="32"/>
          <w:szCs w:val="32"/>
          <w:lang w:val="zh-CN"/>
        </w:rPr>
        <w:t>，</w:t>
      </w:r>
      <w:r>
        <w:rPr>
          <w:rFonts w:hint="eastAsia" w:ascii="仿宋_GB2312" w:hAnsi="宋体" w:eastAsia="仿宋_GB2312"/>
          <w:sz w:val="32"/>
          <w:szCs w:val="32"/>
        </w:rPr>
        <w:t>为全国脱贫奔小康做贡献</w:t>
      </w:r>
      <w:r>
        <w:rPr>
          <w:rFonts w:ascii="仿宋_GB2312" w:hAnsi="宋体" w:eastAsia="仿宋_GB2312"/>
          <w:sz w:val="32"/>
          <w:szCs w:val="32"/>
        </w:rPr>
        <w:t>。帮扶经费</w:t>
      </w:r>
      <w:r>
        <w:rPr>
          <w:rFonts w:hint="eastAsia" w:ascii="仿宋_GB2312" w:hAnsi="宋体" w:eastAsia="仿宋_GB2312"/>
          <w:sz w:val="32"/>
          <w:szCs w:val="32"/>
          <w:lang w:val="zh-CN"/>
        </w:rPr>
        <w:t>年初预算数依据工作任务预算。</w:t>
      </w:r>
    </w:p>
    <w:p>
      <w:pPr>
        <w:adjustRightInd w:val="0"/>
        <w:snapToGrid w:val="0"/>
        <w:spacing w:line="600" w:lineRule="exact"/>
        <w:ind w:firstLine="640" w:firstLineChars="200"/>
        <w:rPr>
          <w:rFonts w:ascii="仿宋_GB2312" w:hAnsi="宋体" w:eastAsia="仿宋_GB2312"/>
          <w:sz w:val="32"/>
          <w:szCs w:val="32"/>
          <w:lang w:val="zh-CN"/>
        </w:rPr>
      </w:pPr>
      <w:r>
        <w:rPr>
          <w:rFonts w:ascii="仿宋_GB2312" w:hAnsi="宋体" w:eastAsia="仿宋_GB2312"/>
          <w:sz w:val="32"/>
          <w:szCs w:val="32"/>
        </w:rPr>
        <w:t>3</w:t>
      </w:r>
      <w:r>
        <w:rPr>
          <w:rFonts w:hint="eastAsia" w:ascii="仿宋_GB2312" w:hAnsi="宋体" w:eastAsia="仿宋_GB2312"/>
          <w:sz w:val="32"/>
          <w:szCs w:val="32"/>
          <w:lang w:val="zh-CN"/>
        </w:rPr>
        <w:t>．资金管理办法制定情况，资金支持具体项目的条件、范围与支持方式概况</w:t>
      </w:r>
      <w:r>
        <w:rPr>
          <w:rFonts w:ascii="仿宋_GB2312" w:hAnsi="宋体" w:eastAsia="仿宋_GB2312"/>
          <w:sz w:val="32"/>
          <w:szCs w:val="32"/>
        </w:rPr>
        <w:t>。支队</w:t>
      </w:r>
      <w:r>
        <w:rPr>
          <w:rFonts w:hint="eastAsia" w:ascii="仿宋_GB2312" w:hAnsi="宋体" w:eastAsia="仿宋_GB2312"/>
          <w:sz w:val="32"/>
          <w:szCs w:val="32"/>
        </w:rPr>
        <w:t>建立了财务管理制度及单位内部控制制度，</w:t>
      </w:r>
      <w:r>
        <w:rPr>
          <w:rFonts w:ascii="仿宋_GB2312" w:hAnsi="宋体" w:eastAsia="仿宋_GB2312"/>
          <w:sz w:val="32"/>
          <w:szCs w:val="32"/>
        </w:rPr>
        <w:t>交通行政执法工作</w:t>
      </w:r>
      <w:r>
        <w:rPr>
          <w:rFonts w:hint="eastAsia" w:ascii="仿宋_GB2312" w:hAnsi="宋体" w:eastAsia="仿宋_GB2312"/>
          <w:sz w:val="32"/>
          <w:szCs w:val="32"/>
        </w:rPr>
        <w:t>经费严格按照专项资金管理办法进行管理，在项目实施上严格按照预算进行项目实施，在资金支付上严格执行财务相关制度，切实做到项目资金专款专用，无挪用、占用、套取等违规现象。</w:t>
      </w:r>
    </w:p>
    <w:p>
      <w:pPr>
        <w:adjustRightInd w:val="0"/>
        <w:snapToGrid w:val="0"/>
        <w:spacing w:line="600" w:lineRule="exact"/>
        <w:ind w:firstLine="640" w:firstLineChars="200"/>
      </w:pPr>
      <w:r>
        <w:rPr>
          <w:rFonts w:ascii="仿宋_GB2312" w:hAnsi="宋体" w:eastAsia="仿宋_GB2312"/>
          <w:sz w:val="32"/>
          <w:szCs w:val="32"/>
        </w:rPr>
        <w:t>4</w:t>
      </w:r>
      <w:r>
        <w:rPr>
          <w:rFonts w:hint="eastAsia" w:ascii="仿宋_GB2312" w:hAnsi="宋体" w:eastAsia="仿宋_GB2312"/>
          <w:sz w:val="32"/>
          <w:szCs w:val="32"/>
          <w:lang w:val="zh-CN"/>
        </w:rPr>
        <w:t>．资金分配的原则及考虑因素</w:t>
      </w:r>
      <w:r>
        <w:rPr>
          <w:rFonts w:ascii="仿宋_GB2312" w:hAnsi="宋体" w:eastAsia="仿宋_GB2312"/>
          <w:sz w:val="32"/>
          <w:szCs w:val="32"/>
          <w:lang w:val="zh-CN"/>
        </w:rPr>
        <w:t>：</w:t>
      </w:r>
      <w:r>
        <w:rPr>
          <w:rFonts w:hint="eastAsia" w:ascii="仿宋_GB2312" w:hAnsi="宋体" w:eastAsia="仿宋_GB2312"/>
          <w:sz w:val="32"/>
          <w:szCs w:val="32"/>
        </w:rPr>
        <w:t>资金分配坚持“量力而行、量入为出”的原则，结合实际，</w:t>
      </w:r>
      <w:r>
        <w:rPr>
          <w:rFonts w:hint="eastAsia" w:ascii="仿宋_GB2312" w:hAnsi="宋体" w:eastAsia="仿宋_GB2312"/>
          <w:sz w:val="32"/>
          <w:szCs w:val="32"/>
          <w:lang w:val="zh-CN"/>
        </w:rPr>
        <w:t>未进行资金再分配</w:t>
      </w:r>
      <w:r>
        <w:rPr>
          <w:rFonts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Cs/>
          <w:sz w:val="32"/>
          <w:szCs w:val="32"/>
          <w:lang w:val="zh-CN"/>
        </w:rPr>
      </w:pPr>
      <w:r>
        <w:rPr>
          <w:rFonts w:hint="eastAsia" w:ascii="楷体_GB2312" w:hAnsi="宋体" w:eastAsia="楷体_GB2312"/>
          <w:bCs/>
          <w:sz w:val="32"/>
          <w:szCs w:val="32"/>
          <w:lang w:val="zh-CN"/>
        </w:rPr>
        <w:t>（二）项目绩效目标。</w:t>
      </w:r>
    </w:p>
    <w:p>
      <w:pPr>
        <w:adjustRightInd w:val="0"/>
        <w:snapToGrid w:val="0"/>
        <w:spacing w:line="600" w:lineRule="exact"/>
        <w:ind w:firstLine="720"/>
        <w:rPr>
          <w:rFonts w:ascii="仿宋_GB2312" w:hAnsi="宋体" w:eastAsia="仿宋_GB2312"/>
          <w:bCs/>
          <w:sz w:val="32"/>
          <w:szCs w:val="32"/>
          <w:lang w:val="zh-CN"/>
        </w:rPr>
      </w:pPr>
      <w:r>
        <w:rPr>
          <w:rFonts w:hint="eastAsia" w:ascii="仿宋_GB2312" w:hAnsi="宋体" w:eastAsia="仿宋_GB2312"/>
          <w:bCs/>
          <w:sz w:val="32"/>
          <w:szCs w:val="32"/>
          <w:lang w:val="zh-CN"/>
        </w:rPr>
        <w:t>1．项目主要内容</w:t>
      </w:r>
      <w:r>
        <w:rPr>
          <w:rFonts w:ascii="仿宋_GB2312" w:hAnsi="宋体" w:eastAsia="仿宋_GB2312"/>
          <w:bCs/>
          <w:sz w:val="32"/>
          <w:szCs w:val="32"/>
        </w:rPr>
        <w:t>：</w:t>
      </w:r>
      <w:r>
        <w:rPr>
          <w:rFonts w:hint="eastAsia" w:ascii="仿宋_GB2312" w:hAnsi="宋体" w:eastAsia="仿宋_GB2312"/>
          <w:bCs/>
          <w:sz w:val="32"/>
          <w:szCs w:val="32"/>
        </w:rPr>
        <w:t>完成</w:t>
      </w:r>
      <w:r>
        <w:rPr>
          <w:rFonts w:ascii="仿宋_GB2312" w:hAnsi="宋体" w:eastAsia="仿宋_GB2312"/>
          <w:bCs/>
          <w:sz w:val="32"/>
          <w:szCs w:val="32"/>
        </w:rPr>
        <w:t>2021年帮扶工作</w:t>
      </w:r>
      <w:r>
        <w:rPr>
          <w:rFonts w:hint="eastAsia" w:ascii="仿宋_GB2312" w:hAnsi="宋体" w:eastAsia="仿宋_GB2312"/>
          <w:bCs/>
          <w:sz w:val="32"/>
          <w:szCs w:val="32"/>
        </w:rPr>
        <w:t>。</w:t>
      </w:r>
    </w:p>
    <w:p>
      <w:pPr>
        <w:adjustRightInd w:val="0"/>
        <w:snapToGrid w:val="0"/>
        <w:spacing w:line="600" w:lineRule="exact"/>
        <w:ind w:firstLine="720"/>
        <w:rPr>
          <w:rFonts w:ascii="仿宋_GB2312" w:hAnsi="宋体" w:eastAsia="仿宋_GB2312"/>
          <w:bCs/>
          <w:sz w:val="32"/>
          <w:szCs w:val="32"/>
        </w:rPr>
      </w:pPr>
      <w:r>
        <w:rPr>
          <w:rFonts w:hint="eastAsia" w:ascii="仿宋_GB2312" w:hAnsi="宋体" w:eastAsia="仿宋_GB2312"/>
          <w:bCs/>
          <w:sz w:val="32"/>
          <w:szCs w:val="32"/>
          <w:lang w:val="zh-CN"/>
        </w:rPr>
        <w:t>2．项目应实现的具体绩效目标</w:t>
      </w:r>
      <w:r>
        <w:rPr>
          <w:rFonts w:ascii="仿宋_GB2312" w:hAnsi="宋体" w:eastAsia="仿宋_GB2312"/>
          <w:bCs/>
          <w:sz w:val="32"/>
          <w:szCs w:val="32"/>
        </w:rPr>
        <w:t>：</w:t>
      </w:r>
      <w:r>
        <w:rPr>
          <w:rFonts w:hint="eastAsia" w:ascii="仿宋_GB2312" w:hAnsi="宋体" w:eastAsia="仿宋_GB2312"/>
          <w:bCs/>
          <w:sz w:val="32"/>
          <w:szCs w:val="32"/>
        </w:rPr>
        <w:t>完成</w:t>
      </w:r>
      <w:r>
        <w:rPr>
          <w:rFonts w:ascii="仿宋_GB2312" w:hAnsi="宋体" w:eastAsia="仿宋_GB2312"/>
          <w:bCs/>
          <w:sz w:val="32"/>
          <w:szCs w:val="32"/>
        </w:rPr>
        <w:t>2021年</w:t>
      </w:r>
      <w:r>
        <w:rPr>
          <w:rFonts w:hint="eastAsia" w:ascii="仿宋_GB2312" w:hAnsi="宋体" w:eastAsia="仿宋_GB2312"/>
          <w:bCs/>
          <w:sz w:val="32"/>
          <w:szCs w:val="32"/>
        </w:rPr>
        <w:t>对苍溪县白桥镇杆柏村、龙门村，岳东镇药柏村、两利村对口</w:t>
      </w:r>
      <w:r>
        <w:rPr>
          <w:rFonts w:ascii="仿宋_GB2312" w:hAnsi="宋体" w:eastAsia="仿宋_GB2312"/>
          <w:bCs/>
          <w:sz w:val="32"/>
          <w:szCs w:val="32"/>
        </w:rPr>
        <w:t>帮扶工作，</w:t>
      </w:r>
      <w:r>
        <w:rPr>
          <w:rFonts w:hint="eastAsia" w:ascii="仿宋_GB2312" w:hAnsi="宋体" w:eastAsia="仿宋_GB2312"/>
          <w:bCs/>
          <w:sz w:val="32"/>
          <w:szCs w:val="32"/>
        </w:rPr>
        <w:t>帮助贫困户致富</w:t>
      </w:r>
      <w:r>
        <w:rPr>
          <w:rFonts w:ascii="仿宋_GB2312" w:hAnsi="宋体" w:eastAsia="仿宋_GB2312"/>
          <w:bCs/>
          <w:sz w:val="32"/>
          <w:szCs w:val="32"/>
        </w:rPr>
        <w:t>，</w:t>
      </w:r>
      <w:r>
        <w:rPr>
          <w:rFonts w:hint="eastAsia" w:ascii="仿宋_GB2312" w:hAnsi="宋体" w:eastAsia="仿宋_GB2312"/>
          <w:sz w:val="32"/>
          <w:szCs w:val="32"/>
        </w:rPr>
        <w:t>为全国脱贫奔小康做贡献</w:t>
      </w:r>
      <w:r>
        <w:rPr>
          <w:rFonts w:ascii="仿宋_GB2312" w:hAnsi="宋体" w:eastAsia="仿宋_GB2312"/>
          <w:bCs/>
          <w:sz w:val="32"/>
          <w:szCs w:val="32"/>
        </w:rPr>
        <w:t>。</w:t>
      </w:r>
    </w:p>
    <w:p>
      <w:pPr>
        <w:adjustRightInd w:val="0"/>
        <w:snapToGrid w:val="0"/>
        <w:spacing w:line="600" w:lineRule="exact"/>
        <w:ind w:firstLine="720"/>
        <w:rPr>
          <w:rFonts w:ascii="仿宋_GB2312" w:hAnsi="宋体" w:eastAsia="仿宋_GB2312"/>
          <w:bCs/>
          <w:sz w:val="32"/>
          <w:szCs w:val="32"/>
        </w:rPr>
      </w:pPr>
      <w:r>
        <w:rPr>
          <w:rFonts w:hint="eastAsia" w:ascii="仿宋_GB2312" w:hAnsi="宋体" w:eastAsia="仿宋_GB2312"/>
          <w:bCs/>
          <w:sz w:val="32"/>
          <w:szCs w:val="32"/>
          <w:lang w:val="zh-CN"/>
        </w:rPr>
        <w:t>3．</w:t>
      </w:r>
      <w:r>
        <w:rPr>
          <w:rFonts w:hint="eastAsia" w:ascii="仿宋_GB2312" w:hAnsi="宋体" w:eastAsia="仿宋_GB2312"/>
          <w:bCs/>
          <w:sz w:val="32"/>
          <w:szCs w:val="32"/>
        </w:rPr>
        <w:t>项目申报内容与具体实施内容相符，绩效目标设定符合实际需求，合理可行。</w:t>
      </w:r>
    </w:p>
    <w:p>
      <w:pPr>
        <w:adjustRightInd w:val="0"/>
        <w:snapToGrid w:val="0"/>
        <w:spacing w:line="600" w:lineRule="exact"/>
        <w:ind w:firstLine="720"/>
        <w:rPr>
          <w:rFonts w:ascii="楷体_GB2312" w:hAnsi="宋体" w:eastAsia="楷体_GB2312"/>
          <w:bCs/>
          <w:sz w:val="32"/>
          <w:szCs w:val="32"/>
          <w:lang w:val="zh-CN"/>
        </w:rPr>
      </w:pPr>
      <w:r>
        <w:rPr>
          <w:rFonts w:hint="eastAsia" w:ascii="楷体_GB2312" w:hAnsi="宋体" w:eastAsia="楷体_GB2312"/>
          <w:bCs/>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rPr>
        <w:t>支队</w:t>
      </w:r>
      <w:r>
        <w:rPr>
          <w:rFonts w:hint="eastAsia" w:ascii="仿宋_GB2312" w:hAnsi="宋体" w:eastAsia="仿宋_GB2312"/>
          <w:sz w:val="32"/>
          <w:szCs w:val="32"/>
          <w:lang w:val="zh-CN"/>
        </w:rPr>
        <w:t>按照</w:t>
      </w:r>
      <w:r>
        <w:rPr>
          <w:rFonts w:hint="eastAsia" w:ascii="仿宋_GB2312" w:hAnsi="宋体" w:eastAsia="仿宋_GB2312"/>
          <w:sz w:val="32"/>
          <w:szCs w:val="32"/>
        </w:rPr>
        <w:t>广元市</w:t>
      </w:r>
      <w:r>
        <w:rPr>
          <w:rFonts w:hint="eastAsia" w:ascii="仿宋_GB2312" w:hAnsi="宋体" w:eastAsia="仿宋_GB2312"/>
          <w:sz w:val="32"/>
          <w:szCs w:val="32"/>
          <w:lang w:val="zh-CN"/>
        </w:rPr>
        <w:t>财政局《关于开展202</w:t>
      </w:r>
      <w:r>
        <w:rPr>
          <w:rFonts w:hint="eastAsia" w:ascii="仿宋_GB2312" w:hAnsi="宋体" w:eastAsia="仿宋_GB2312"/>
          <w:sz w:val="32"/>
          <w:szCs w:val="32"/>
        </w:rPr>
        <w:t>2</w:t>
      </w:r>
      <w:r>
        <w:rPr>
          <w:rFonts w:hint="eastAsia" w:ascii="仿宋_GB2312" w:hAnsi="宋体" w:eastAsia="仿宋_GB2312"/>
          <w:sz w:val="32"/>
          <w:szCs w:val="32"/>
          <w:lang w:val="zh-CN"/>
        </w:rPr>
        <w:t>年</w:t>
      </w:r>
      <w:r>
        <w:rPr>
          <w:rFonts w:hint="eastAsia" w:ascii="仿宋_GB2312" w:hAnsi="宋体" w:eastAsia="仿宋_GB2312"/>
          <w:sz w:val="32"/>
          <w:szCs w:val="32"/>
        </w:rPr>
        <w:t>部门、政策和项目</w:t>
      </w:r>
      <w:r>
        <w:rPr>
          <w:rFonts w:hint="eastAsia" w:ascii="仿宋_GB2312" w:hAnsi="宋体" w:eastAsia="仿宋_GB2312"/>
          <w:sz w:val="32"/>
          <w:szCs w:val="32"/>
          <w:lang w:val="zh-CN"/>
        </w:rPr>
        <w:t>支出</w:t>
      </w:r>
      <w:r>
        <w:rPr>
          <w:rFonts w:hint="eastAsia" w:ascii="仿宋_GB2312" w:hAnsi="宋体" w:eastAsia="仿宋_GB2312"/>
          <w:sz w:val="32"/>
          <w:szCs w:val="32"/>
        </w:rPr>
        <w:t>自评</w:t>
      </w:r>
      <w:r>
        <w:rPr>
          <w:rFonts w:hint="eastAsia" w:ascii="仿宋_GB2312" w:hAnsi="宋体" w:eastAsia="仿宋_GB2312"/>
          <w:sz w:val="32"/>
          <w:szCs w:val="32"/>
          <w:lang w:val="zh-CN"/>
        </w:rPr>
        <w:t>工作的通知</w:t>
      </w:r>
      <w:r>
        <w:rPr>
          <w:rFonts w:ascii="仿宋_GB2312" w:hAnsi="宋体" w:eastAsia="仿宋_GB2312"/>
          <w:sz w:val="32"/>
          <w:szCs w:val="32"/>
          <w:lang w:val="zh-CN"/>
        </w:rPr>
        <w:t>》（</w:t>
      </w:r>
      <w:r>
        <w:rPr>
          <w:rFonts w:hint="eastAsia" w:ascii="仿宋_GB2312" w:hAnsi="宋体" w:eastAsia="仿宋_GB2312"/>
          <w:sz w:val="32"/>
          <w:szCs w:val="32"/>
        </w:rPr>
        <w:t>广财绩</w:t>
      </w:r>
      <w:r>
        <w:rPr>
          <w:rFonts w:hint="eastAsia" w:ascii="仿宋_GB2312" w:hAnsi="宋体" w:eastAsia="仿宋_GB2312"/>
          <w:sz w:val="32"/>
          <w:szCs w:val="32"/>
          <w:lang w:val="zh-CN"/>
        </w:rPr>
        <w:t>〔202</w:t>
      </w:r>
      <w:r>
        <w:rPr>
          <w:rFonts w:hint="eastAsia" w:ascii="仿宋_GB2312" w:hAnsi="宋体" w:eastAsia="仿宋_GB2312"/>
          <w:sz w:val="32"/>
          <w:szCs w:val="32"/>
        </w:rPr>
        <w:t>2</w:t>
      </w:r>
      <w:r>
        <w:rPr>
          <w:rFonts w:hint="eastAsia" w:ascii="仿宋_GB2312" w:hAnsi="宋体" w:eastAsia="仿宋_GB2312"/>
          <w:sz w:val="32"/>
          <w:szCs w:val="32"/>
          <w:lang w:val="zh-CN"/>
        </w:rPr>
        <w:t>〕</w:t>
      </w:r>
      <w:r>
        <w:rPr>
          <w:rFonts w:hint="eastAsia" w:ascii="仿宋_GB2312" w:hAnsi="宋体" w:eastAsia="仿宋_GB2312"/>
          <w:sz w:val="32"/>
          <w:szCs w:val="32"/>
        </w:rPr>
        <w:t>8</w:t>
      </w:r>
      <w:r>
        <w:rPr>
          <w:rFonts w:hint="eastAsia" w:ascii="仿宋_GB2312" w:hAnsi="宋体" w:eastAsia="仿宋_GB2312"/>
          <w:sz w:val="32"/>
          <w:szCs w:val="32"/>
          <w:lang w:val="zh-CN"/>
        </w:rPr>
        <w:t>号</w:t>
      </w:r>
      <w:r>
        <w:rPr>
          <w:rFonts w:ascii="仿宋_GB2312" w:hAnsi="宋体" w:eastAsia="仿宋_GB2312"/>
          <w:sz w:val="32"/>
          <w:szCs w:val="32"/>
          <w:lang w:val="zh-CN"/>
        </w:rPr>
        <w:t>）文件要求，认真开展项目自评工作，按照评价指标体系的要求，对照实施项目的内容逐条逐项自评。</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Cs/>
          <w:sz w:val="32"/>
          <w:szCs w:val="32"/>
          <w:lang w:val="zh-CN"/>
        </w:rPr>
      </w:pPr>
      <w:r>
        <w:rPr>
          <w:rFonts w:hint="eastAsia" w:ascii="楷体_GB2312" w:hAnsi="宋体" w:eastAsia="楷体_GB2312"/>
          <w:bCs/>
          <w:sz w:val="32"/>
          <w:szCs w:val="32"/>
          <w:lang w:val="zh-CN"/>
        </w:rPr>
        <w:t>（一）项目资金申报及批复情况。</w:t>
      </w:r>
    </w:p>
    <w:p>
      <w:pPr>
        <w:adjustRightInd w:val="0"/>
        <w:snapToGrid w:val="0"/>
        <w:spacing w:line="600" w:lineRule="exact"/>
        <w:ind w:firstLine="720"/>
        <w:rPr>
          <w:rFonts w:ascii="仿宋_GB2312" w:hAnsi="宋体" w:eastAsia="仿宋_GB2312"/>
          <w:bCs/>
          <w:sz w:val="32"/>
          <w:szCs w:val="32"/>
          <w:lang w:val="zh-CN"/>
        </w:rPr>
      </w:pPr>
      <w:r>
        <w:rPr>
          <w:rFonts w:hint="eastAsia" w:ascii="仿宋_GB2312" w:hAnsi="宋体" w:eastAsia="仿宋_GB2312"/>
          <w:bCs/>
          <w:sz w:val="32"/>
          <w:szCs w:val="28"/>
        </w:rPr>
        <w:t>202</w:t>
      </w:r>
      <w:r>
        <w:rPr>
          <w:rFonts w:ascii="仿宋_GB2312" w:hAnsi="宋体" w:eastAsia="仿宋_GB2312"/>
          <w:bCs/>
          <w:sz w:val="32"/>
          <w:szCs w:val="28"/>
        </w:rPr>
        <w:t>1</w:t>
      </w:r>
      <w:r>
        <w:rPr>
          <w:rFonts w:hint="eastAsia" w:ascii="仿宋_GB2312" w:hAnsi="宋体" w:eastAsia="仿宋_GB2312"/>
          <w:bCs/>
          <w:sz w:val="32"/>
          <w:szCs w:val="28"/>
        </w:rPr>
        <w:t>年</w:t>
      </w:r>
      <w:r>
        <w:rPr>
          <w:rFonts w:ascii="仿宋_GB2312" w:hAnsi="宋体" w:eastAsia="仿宋_GB2312"/>
          <w:bCs/>
          <w:sz w:val="32"/>
          <w:szCs w:val="28"/>
        </w:rPr>
        <w:t>帮扶</w:t>
      </w:r>
      <w:r>
        <w:rPr>
          <w:rFonts w:hint="eastAsia" w:ascii="仿宋_GB2312" w:hAnsi="宋体" w:eastAsia="仿宋_GB2312"/>
          <w:bCs/>
          <w:sz w:val="32"/>
          <w:szCs w:val="28"/>
        </w:rPr>
        <w:t>经费预算</w:t>
      </w:r>
      <w:r>
        <w:rPr>
          <w:rFonts w:ascii="仿宋_GB2312" w:hAnsi="宋体" w:eastAsia="仿宋_GB2312"/>
          <w:bCs/>
          <w:sz w:val="32"/>
          <w:szCs w:val="28"/>
        </w:rPr>
        <w:t>0.75</w:t>
      </w:r>
      <w:r>
        <w:rPr>
          <w:rFonts w:hint="eastAsia" w:ascii="仿宋_GB2312" w:hAnsi="宋体" w:eastAsia="仿宋_GB2312"/>
          <w:bCs/>
          <w:sz w:val="32"/>
          <w:szCs w:val="28"/>
        </w:rPr>
        <w:t>万元，经市财政局批复同意设立。</w:t>
      </w:r>
    </w:p>
    <w:p>
      <w:pPr>
        <w:adjustRightInd w:val="0"/>
        <w:snapToGrid w:val="0"/>
        <w:spacing w:line="600" w:lineRule="exact"/>
        <w:ind w:firstLine="720"/>
        <w:rPr>
          <w:rFonts w:ascii="仿宋_GB2312" w:hAnsi="宋体" w:eastAsia="仿宋_GB2312"/>
          <w:bCs/>
          <w:sz w:val="32"/>
          <w:szCs w:val="32"/>
          <w:lang w:val="zh-CN"/>
        </w:rPr>
      </w:pPr>
      <w:r>
        <w:rPr>
          <w:rFonts w:hint="eastAsia" w:ascii="楷体_GB2312" w:hAnsi="宋体" w:eastAsia="楷体_GB2312"/>
          <w:bCs/>
          <w:sz w:val="32"/>
          <w:szCs w:val="32"/>
          <w:lang w:val="zh-CN"/>
        </w:rPr>
        <w:t>（二）资金计划、到位及使用情况。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bCs/>
          <w:sz w:val="32"/>
          <w:szCs w:val="32"/>
          <w:lang w:val="zh-CN"/>
        </w:rPr>
        <w:t>1</w:t>
      </w:r>
      <w:r>
        <w:rPr>
          <w:rFonts w:ascii="仿宋_GB2312" w:hAnsi="宋体" w:eastAsia="仿宋_GB2312"/>
          <w:bCs/>
          <w:sz w:val="32"/>
          <w:szCs w:val="32"/>
        </w:rPr>
        <w:t>.</w:t>
      </w:r>
      <w:r>
        <w:rPr>
          <w:rFonts w:hint="eastAsia" w:ascii="楷体_GB2312" w:hAnsi="宋体" w:eastAsia="楷体_GB2312"/>
          <w:bCs/>
          <w:sz w:val="32"/>
          <w:szCs w:val="32"/>
          <w:lang w:val="zh-CN"/>
        </w:rPr>
        <w:t>资金计划</w:t>
      </w:r>
      <w:r>
        <w:rPr>
          <w:rFonts w:ascii="楷体_GB2312" w:hAnsi="宋体" w:eastAsia="楷体_GB2312"/>
          <w:bCs/>
          <w:sz w:val="32"/>
          <w:szCs w:val="32"/>
        </w:rPr>
        <w:t>。</w:t>
      </w:r>
      <w:r>
        <w:rPr>
          <w:rFonts w:ascii="仿宋_GB2312" w:hAnsi="宋体" w:eastAsia="仿宋_GB2312"/>
          <w:bCs/>
          <w:sz w:val="32"/>
          <w:szCs w:val="32"/>
        </w:rPr>
        <w:t>帮扶</w:t>
      </w:r>
      <w:r>
        <w:rPr>
          <w:rFonts w:hint="eastAsia" w:ascii="仿宋_GB2312" w:hAnsi="宋体" w:eastAsia="仿宋_GB2312"/>
          <w:bCs/>
          <w:sz w:val="32"/>
          <w:szCs w:val="32"/>
          <w:lang w:val="zh-CN"/>
        </w:rPr>
        <w:t>经费项目资金预算金额</w:t>
      </w:r>
      <w:r>
        <w:rPr>
          <w:rFonts w:hint="eastAsia" w:ascii="仿宋_GB2312" w:hAnsi="宋体" w:eastAsia="仿宋_GB2312"/>
          <w:sz w:val="32"/>
          <w:szCs w:val="32"/>
          <w:lang w:val="zh-CN"/>
        </w:rPr>
        <w:t>为</w:t>
      </w:r>
      <w:r>
        <w:rPr>
          <w:rFonts w:ascii="仿宋_GB2312" w:hAnsi="宋体" w:eastAsia="仿宋_GB2312"/>
          <w:sz w:val="32"/>
          <w:szCs w:val="32"/>
        </w:rPr>
        <w:t>0.75</w:t>
      </w:r>
      <w:r>
        <w:rPr>
          <w:rFonts w:hint="eastAsia" w:ascii="仿宋_GB2312" w:hAnsi="宋体" w:eastAsia="仿宋_GB2312"/>
          <w:sz w:val="32"/>
          <w:szCs w:val="32"/>
          <w:lang w:val="zh-CN"/>
        </w:rPr>
        <w:t>万元，资金来源为市财政资金。</w:t>
      </w:r>
    </w:p>
    <w:p>
      <w:pPr>
        <w:adjustRightInd w:val="0"/>
        <w:snapToGrid w:val="0"/>
        <w:spacing w:line="576" w:lineRule="exact"/>
        <w:ind w:firstLine="720"/>
        <w:rPr>
          <w:rFonts w:ascii="仿宋_GB2312" w:hAnsi="宋体" w:eastAsia="仿宋_GB2312"/>
          <w:sz w:val="32"/>
          <w:szCs w:val="32"/>
          <w:lang w:val="zh-CN"/>
        </w:rPr>
      </w:pPr>
      <w:r>
        <w:rPr>
          <w:rFonts w:ascii="仿宋_GB2312" w:hAnsi="宋体" w:eastAsia="仿宋_GB2312"/>
          <w:sz w:val="32"/>
          <w:szCs w:val="32"/>
        </w:rPr>
        <w:t>2.</w:t>
      </w:r>
      <w:r>
        <w:rPr>
          <w:rFonts w:hint="eastAsia" w:ascii="仿宋_GB2312" w:hAnsi="宋体" w:eastAsia="仿宋_GB2312"/>
          <w:sz w:val="32"/>
          <w:szCs w:val="32"/>
          <w:lang w:val="zh-CN"/>
        </w:rPr>
        <w:t>资金到位。资金到位及时，到位率为100%。</w:t>
      </w:r>
    </w:p>
    <w:p>
      <w:pPr>
        <w:adjustRightInd w:val="0"/>
        <w:snapToGrid w:val="0"/>
        <w:spacing w:line="576" w:lineRule="exact"/>
        <w:ind w:firstLine="720"/>
        <w:rPr>
          <w:rFonts w:ascii="仿宋_GB2312" w:hAnsi="宋体" w:eastAsia="仿宋_GB2312"/>
          <w:bCs/>
          <w:sz w:val="32"/>
          <w:szCs w:val="32"/>
          <w:lang w:val="zh-CN"/>
        </w:rPr>
      </w:pPr>
      <w:r>
        <w:rPr>
          <w:rFonts w:hint="eastAsia" w:ascii="仿宋_GB2312" w:hAnsi="宋体" w:eastAsia="仿宋_GB2312"/>
          <w:sz w:val="32"/>
          <w:szCs w:val="32"/>
          <w:lang w:val="zh-CN"/>
        </w:rPr>
        <w:t>3．资金使用。</w:t>
      </w:r>
      <w:r>
        <w:rPr>
          <w:rFonts w:ascii="仿宋_GB2312" w:hAnsi="宋体" w:eastAsia="仿宋_GB2312"/>
          <w:bCs/>
          <w:sz w:val="32"/>
          <w:szCs w:val="32"/>
          <w:lang w:val="zh-CN"/>
        </w:rPr>
        <w:t>帮扶经费项目资金截至2021年12月使用金额为0.75万元，剩余资金0万元，支付进度100%。资金用于支付2021年帮扶工作产生的费用及驻村队员补贴。资金支付严格遵循财政资金支付规定，</w:t>
      </w:r>
      <w:r>
        <w:rPr>
          <w:rFonts w:hint="eastAsia" w:ascii="仿宋_GB2312" w:hAnsi="宋体" w:eastAsia="仿宋_GB2312"/>
          <w:bCs/>
          <w:sz w:val="32"/>
          <w:szCs w:val="32"/>
          <w:lang w:val="zh-CN"/>
        </w:rPr>
        <w:t>支付依据合规合法，资金支付与预算相符。</w:t>
      </w:r>
    </w:p>
    <w:p>
      <w:pPr>
        <w:adjustRightInd w:val="0"/>
        <w:snapToGrid w:val="0"/>
        <w:spacing w:line="600" w:lineRule="exact"/>
        <w:ind w:firstLine="720"/>
        <w:rPr>
          <w:rFonts w:ascii="楷体_GB2312" w:hAnsi="宋体" w:eastAsia="楷体_GB2312"/>
          <w:bCs/>
          <w:sz w:val="32"/>
          <w:szCs w:val="32"/>
          <w:lang w:val="zh-CN"/>
        </w:rPr>
      </w:pPr>
      <w:r>
        <w:rPr>
          <w:rFonts w:hint="eastAsia" w:ascii="楷体_GB2312" w:hAnsi="宋体" w:eastAsia="楷体_GB2312"/>
          <w:bCs/>
          <w:sz w:val="32"/>
          <w:szCs w:val="32"/>
          <w:lang w:val="zh-CN"/>
        </w:rPr>
        <w:t>（三）项目财务管理情况。</w:t>
      </w:r>
    </w:p>
    <w:p>
      <w:pPr>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bCs/>
          <w:sz w:val="32"/>
          <w:szCs w:val="32"/>
          <w:lang w:val="zh-CN"/>
        </w:rPr>
        <w:t>支队财务管理制度健全，严格执</w:t>
      </w:r>
      <w:r>
        <w:rPr>
          <w:rFonts w:hint="eastAsia" w:ascii="仿宋_GB2312" w:hAnsi="宋体" w:eastAsia="仿宋_GB2312"/>
          <w:sz w:val="32"/>
          <w:szCs w:val="32"/>
          <w:lang w:val="zh-CN"/>
        </w:rPr>
        <w:t>行了财务管理制度，账务处理及时，会计核算规范。支队严格执行各项财务管理制度，保证项目经费专款专用，进一步完善财务管理各项规章制度建设，加强内部机构设置。财务科全面负责项目资金的会计核算和账务处理工作，对照项目资金管理办法进行支出。</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ascii="仿宋_GB2312" w:hAnsi="宋体" w:eastAsia="仿宋_GB2312"/>
          <w:bCs/>
          <w:sz w:val="32"/>
          <w:szCs w:val="28"/>
        </w:rPr>
      </w:pPr>
      <w:r>
        <w:rPr>
          <w:rFonts w:hint="eastAsia" w:ascii="楷体_GB2312" w:hAnsi="宋体" w:eastAsia="楷体_GB2312"/>
          <w:bCs/>
          <w:sz w:val="32"/>
          <w:szCs w:val="32"/>
          <w:lang w:val="zh-CN"/>
        </w:rPr>
        <w:t>（一）项目组织架构及实施流程。</w:t>
      </w:r>
      <w:r>
        <w:rPr>
          <w:rFonts w:ascii="仿宋_GB2312" w:hAnsi="宋体" w:eastAsia="仿宋_GB2312"/>
          <w:bCs/>
          <w:sz w:val="32"/>
          <w:szCs w:val="28"/>
        </w:rPr>
        <w:t>扶贫工作由支队抽取人员</w:t>
      </w:r>
      <w:ins w:id="6" w:author="优钵罗华86nlss" w:date="2023-06-13T15:50:59Z">
        <w:r>
          <w:rPr>
            <w:rFonts w:hint="eastAsia" w:ascii="仿宋_GB2312" w:hAnsi="宋体" w:eastAsia="仿宋_GB2312"/>
            <w:bCs/>
            <w:sz w:val="32"/>
            <w:szCs w:val="28"/>
            <w:lang w:eastAsia="zh-CN"/>
          </w:rPr>
          <w:t>驻点</w:t>
        </w:r>
      </w:ins>
      <w:r>
        <w:rPr>
          <w:rFonts w:ascii="仿宋_GB2312" w:hAnsi="宋体" w:eastAsia="仿宋_GB2312"/>
          <w:bCs/>
          <w:sz w:val="32"/>
          <w:szCs w:val="28"/>
        </w:rPr>
        <w:t>帮扶村开展帮扶工作，支队财务装备科负责实施项目资金支付。</w:t>
      </w:r>
    </w:p>
    <w:p>
      <w:pPr>
        <w:adjustRightInd w:val="0"/>
        <w:snapToGrid w:val="0"/>
        <w:spacing w:line="600" w:lineRule="exact"/>
        <w:ind w:firstLine="720"/>
        <w:rPr>
          <w:rFonts w:ascii="仿宋_GB2312" w:hAnsi="宋体" w:eastAsia="仿宋_GB2312"/>
          <w:bCs/>
          <w:sz w:val="32"/>
          <w:szCs w:val="32"/>
          <w:lang w:val="zh-CN"/>
        </w:rPr>
      </w:pPr>
      <w:r>
        <w:rPr>
          <w:rFonts w:hint="eastAsia" w:ascii="楷体_GB2312" w:hAnsi="宋体" w:eastAsia="楷体_GB2312"/>
          <w:bCs/>
          <w:sz w:val="32"/>
          <w:szCs w:val="32"/>
          <w:lang w:val="zh-CN"/>
        </w:rPr>
        <w:t>（二）项目管理情况。</w:t>
      </w:r>
      <w:r>
        <w:rPr>
          <w:rFonts w:hint="eastAsia" w:ascii="仿宋_GB2312" w:hAnsi="宋体" w:eastAsia="仿宋_GB2312"/>
          <w:bCs/>
          <w:sz w:val="32"/>
          <w:szCs w:val="28"/>
        </w:rPr>
        <w:t>在项目资金使用中，</w:t>
      </w:r>
      <w:r>
        <w:rPr>
          <w:rFonts w:ascii="仿宋_GB2312" w:hAnsi="宋体" w:eastAsia="仿宋_GB2312"/>
          <w:bCs/>
          <w:sz w:val="32"/>
          <w:szCs w:val="28"/>
        </w:rPr>
        <w:t>支队</w:t>
      </w:r>
      <w:r>
        <w:rPr>
          <w:rFonts w:hint="eastAsia" w:ascii="仿宋_GB2312" w:hAnsi="宋体" w:eastAsia="仿宋_GB2312"/>
          <w:bCs/>
          <w:sz w:val="32"/>
          <w:szCs w:val="28"/>
        </w:rPr>
        <w:t>严格执行相关法律法规，项目从立项、公开、组织实施均严格按相关规定执行，符合国家及财政相关政策规定，项目申报符合国家政策，符合地方经济社会的发展需要，具有明确的项目实施主体及实施决策程序。同时，</w:t>
      </w:r>
      <w:r>
        <w:rPr>
          <w:rFonts w:ascii="仿宋_GB2312" w:hAnsi="宋体" w:eastAsia="仿宋_GB2312"/>
          <w:bCs/>
          <w:sz w:val="32"/>
          <w:szCs w:val="28"/>
        </w:rPr>
        <w:t>支队</w:t>
      </w:r>
      <w:r>
        <w:rPr>
          <w:rFonts w:hint="eastAsia" w:ascii="仿宋_GB2312" w:hAnsi="宋体" w:eastAsia="仿宋_GB2312"/>
          <w:bCs/>
          <w:sz w:val="32"/>
          <w:szCs w:val="28"/>
        </w:rPr>
        <w:t>制定了较完整的内部建设管理制度，并严格遵守执行，项目管理较规范。</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Cs/>
          <w:sz w:val="32"/>
          <w:szCs w:val="32"/>
          <w:lang w:val="zh-CN"/>
        </w:rPr>
        <w:t>（三）项目监管情况。</w:t>
      </w:r>
      <w:r>
        <w:rPr>
          <w:rFonts w:hint="eastAsia" w:ascii="仿宋_GB2312" w:hAnsi="宋体" w:eastAsia="仿宋_GB2312"/>
          <w:bCs/>
          <w:sz w:val="32"/>
          <w:szCs w:val="32"/>
          <w:lang w:val="zh-CN"/>
        </w:rPr>
        <w:t>支</w:t>
      </w:r>
      <w:r>
        <w:rPr>
          <w:rFonts w:hint="eastAsia" w:ascii="仿宋_GB2312" w:hAnsi="宋体" w:eastAsia="仿宋_GB2312"/>
          <w:sz w:val="32"/>
          <w:szCs w:val="32"/>
          <w:lang w:val="zh-CN"/>
        </w:rPr>
        <w:t>队严格按照相关法律法规和程序，对质量、安全和项目进度进行全过程、全方位的监督管理，努力化解风险，提高工作效率，明确规范管理，强化责任，确保安全，保证质量的指导思想，思想观念不放松，严格把好绩效项目实施过程关口。</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Cs/>
          <w:sz w:val="32"/>
          <w:szCs w:val="32"/>
          <w:lang w:val="zh-CN"/>
        </w:rPr>
      </w:pPr>
      <w:r>
        <w:rPr>
          <w:rFonts w:hint="eastAsia" w:ascii="楷体_GB2312" w:hAnsi="宋体" w:eastAsia="楷体_GB2312"/>
          <w:bCs/>
          <w:sz w:val="32"/>
          <w:szCs w:val="32"/>
          <w:lang w:val="zh-CN"/>
        </w:rPr>
        <w:t>（一）项目完成情况。</w:t>
      </w:r>
    </w:p>
    <w:p>
      <w:pPr>
        <w:adjustRightInd w:val="0"/>
        <w:snapToGrid w:val="0"/>
        <w:spacing w:line="576" w:lineRule="exact"/>
        <w:ind w:firstLine="720"/>
        <w:rPr>
          <w:rFonts w:ascii="仿宋_GB2312" w:hAnsi="宋体" w:eastAsia="仿宋_GB2312"/>
          <w:sz w:val="32"/>
          <w:szCs w:val="32"/>
          <w:lang w:val="zh-CN"/>
        </w:rPr>
      </w:pPr>
      <w:r>
        <w:rPr>
          <w:rFonts w:ascii="仿宋_GB2312" w:hAnsi="宋体" w:eastAsia="仿宋_GB2312"/>
          <w:sz w:val="32"/>
          <w:szCs w:val="32"/>
          <w:lang w:val="zh-CN"/>
        </w:rPr>
        <w:t>截至2021年年底，支队</w:t>
      </w:r>
      <w:r>
        <w:rPr>
          <w:rFonts w:hint="eastAsia" w:ascii="仿宋_GB2312" w:hAnsi="宋体" w:eastAsia="仿宋_GB2312"/>
          <w:sz w:val="32"/>
          <w:szCs w:val="32"/>
        </w:rPr>
        <w:t>完成对苍溪县白桥镇杆柏村、龙门村，岳东镇药柏村、两利村对口帮扶</w:t>
      </w:r>
      <w:r>
        <w:rPr>
          <w:rFonts w:ascii="仿宋_GB2312" w:hAnsi="宋体" w:eastAsia="仿宋_GB2312"/>
          <w:sz w:val="32"/>
          <w:szCs w:val="32"/>
          <w:lang w:val="zh-CN"/>
        </w:rPr>
        <w:t>。绩效目标全部完成，完成率达100%，项目成本控制在预算资金范围内，无结余资金</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Cs/>
          <w:sz w:val="32"/>
          <w:szCs w:val="32"/>
          <w:lang w:val="zh-CN"/>
        </w:rPr>
      </w:pPr>
      <w:r>
        <w:rPr>
          <w:rFonts w:hint="eastAsia" w:ascii="楷体_GB2312" w:hAnsi="宋体" w:eastAsia="楷体_GB2312"/>
          <w:bCs/>
          <w:sz w:val="32"/>
          <w:szCs w:val="32"/>
          <w:lang w:val="zh-CN"/>
        </w:rPr>
        <w:t>（二）项目效益情况。</w:t>
      </w:r>
    </w:p>
    <w:p>
      <w:pPr>
        <w:adjustRightInd w:val="0"/>
        <w:snapToGrid w:val="0"/>
        <w:spacing w:line="576" w:lineRule="exact"/>
        <w:ind w:firstLine="720"/>
        <w:rPr>
          <w:rFonts w:ascii="仿宋_GB2312" w:hAnsi="宋体" w:eastAsia="仿宋_GB2312"/>
          <w:bCs/>
          <w:sz w:val="32"/>
          <w:szCs w:val="32"/>
          <w:lang w:val="zh-CN"/>
        </w:rPr>
      </w:pPr>
      <w:r>
        <w:rPr>
          <w:rFonts w:hint="eastAsia" w:ascii="仿宋_GB2312" w:hAnsi="宋体" w:eastAsia="仿宋_GB2312"/>
          <w:bCs/>
          <w:sz w:val="32"/>
          <w:szCs w:val="32"/>
        </w:rPr>
        <w:t>完成脱贫工作，帮助贫困户致富</w:t>
      </w:r>
      <w:r>
        <w:rPr>
          <w:rFonts w:ascii="仿宋_GB2312" w:hAnsi="宋体" w:eastAsia="仿宋_GB2312"/>
          <w:bCs/>
          <w:sz w:val="32"/>
          <w:szCs w:val="32"/>
          <w:lang w:val="zh-CN"/>
        </w:rPr>
        <w:t>提供了资金保障，</w:t>
      </w:r>
      <w:r>
        <w:rPr>
          <w:rFonts w:hint="eastAsia" w:ascii="仿宋_GB2312" w:hAnsi="宋体" w:eastAsia="仿宋_GB2312"/>
          <w:bCs/>
          <w:sz w:val="32"/>
          <w:szCs w:val="32"/>
        </w:rPr>
        <w:t>为全国脱贫奔小康做贡献</w:t>
      </w:r>
      <w:r>
        <w:rPr>
          <w:rFonts w:hint="eastAsia" w:ascii="仿宋_GB2312" w:hAnsi="宋体" w:eastAsia="仿宋_GB2312"/>
          <w:bCs/>
          <w:sz w:val="32"/>
          <w:szCs w:val="32"/>
          <w:lang w:val="zh-CN"/>
        </w:rPr>
        <w:t>。</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Cs/>
          <w:sz w:val="32"/>
          <w:szCs w:val="32"/>
          <w:lang w:val="zh-CN"/>
        </w:rPr>
      </w:pPr>
      <w:r>
        <w:rPr>
          <w:rFonts w:hint="eastAsia" w:ascii="楷体_GB2312" w:hAnsi="宋体" w:eastAsia="楷体_GB2312"/>
          <w:bCs/>
          <w:sz w:val="32"/>
          <w:szCs w:val="32"/>
          <w:lang w:val="zh-CN"/>
        </w:rPr>
        <w:t>（一）评价结论。</w:t>
      </w:r>
    </w:p>
    <w:p>
      <w:pPr>
        <w:pStyle w:val="16"/>
        <w:widowControl/>
        <w:spacing w:beforeAutospacing="0" w:afterAutospacing="0" w:line="600" w:lineRule="atLeast"/>
        <w:ind w:firstLine="640"/>
        <w:jc w:val="both"/>
        <w:rPr>
          <w:rFonts w:ascii="仿宋_GB2312" w:hAnsi="宋体" w:eastAsia="仿宋_GB2312"/>
          <w:bCs/>
          <w:sz w:val="32"/>
          <w:szCs w:val="32"/>
          <w:bdr w:val="single" w:color="auto" w:sz="4" w:space="0"/>
          <w:lang w:val="zh-CN"/>
        </w:rPr>
      </w:pPr>
      <w:r>
        <w:rPr>
          <w:rFonts w:hint="eastAsia" w:ascii="仿宋_GB2312" w:hAnsi="宋体" w:eastAsia="仿宋_GB2312"/>
          <w:bCs/>
          <w:kern w:val="2"/>
          <w:sz w:val="32"/>
          <w:szCs w:val="32"/>
          <w:lang w:val="zh-CN"/>
        </w:rPr>
        <w:t>根据绩效指标评价，</w:t>
      </w:r>
      <w:r>
        <w:rPr>
          <w:rFonts w:ascii="仿宋_GB2312" w:hAnsi="宋体" w:eastAsia="仿宋_GB2312"/>
          <w:bCs/>
          <w:kern w:val="2"/>
          <w:sz w:val="32"/>
          <w:szCs w:val="32"/>
        </w:rPr>
        <w:t>支队年初既定绩效目标基本完成</w:t>
      </w:r>
      <w:r>
        <w:rPr>
          <w:rFonts w:hint="eastAsia" w:ascii="仿宋_GB2312" w:hAnsi="宋体" w:eastAsia="仿宋_GB2312"/>
          <w:bCs/>
          <w:kern w:val="2"/>
          <w:sz w:val="32"/>
          <w:szCs w:val="32"/>
          <w:lang w:val="zh-CN"/>
        </w:rPr>
        <w:t>。通过自评，从整体情况来看，</w:t>
      </w:r>
      <w:r>
        <w:rPr>
          <w:rFonts w:ascii="仿宋_GB2312" w:hAnsi="宋体" w:eastAsia="仿宋_GB2312"/>
          <w:bCs/>
          <w:kern w:val="2"/>
          <w:sz w:val="32"/>
          <w:szCs w:val="32"/>
        </w:rPr>
        <w:t>支队</w:t>
      </w:r>
      <w:r>
        <w:rPr>
          <w:rFonts w:hint="eastAsia" w:ascii="仿宋_GB2312" w:hAnsi="宋体" w:eastAsia="仿宋_GB2312"/>
          <w:bCs/>
          <w:kern w:val="2"/>
          <w:sz w:val="32"/>
          <w:szCs w:val="32"/>
          <w:lang w:val="zh-CN"/>
        </w:rPr>
        <w:t>高度重视财政资金的支出绩效，在资金预算、审批、执行、支付等方面都做到了层层把关，严格按照单位预算进行整体支出，严格执行资金管理相关规定及单位财务制度，所有项目资金严格按照项目申报的实施方案组织实施，并加强对项目实施全过程的日常监督，切实做到项目资金专款专用，无挪用、占用、套取等违规现象。项目支出产生的效益显著，达到了预期的资金使用效果。</w:t>
      </w:r>
      <w:r>
        <w:rPr>
          <w:rFonts w:ascii="仿宋_GB2312" w:hAnsi="宋体" w:eastAsia="仿宋_GB2312"/>
          <w:bCs/>
          <w:kern w:val="2"/>
          <w:sz w:val="32"/>
          <w:szCs w:val="32"/>
        </w:rPr>
        <w:t>保障了交通行政执法工作的开展</w:t>
      </w:r>
      <w:r>
        <w:rPr>
          <w:rFonts w:hint="eastAsia" w:ascii="仿宋_GB2312" w:hAnsi="宋体" w:eastAsia="仿宋_GB2312"/>
          <w:bCs/>
          <w:kern w:val="2"/>
          <w:sz w:val="32"/>
          <w:szCs w:val="32"/>
          <w:lang w:val="zh-CN"/>
        </w:rPr>
        <w:t>，</w:t>
      </w:r>
      <w:r>
        <w:rPr>
          <w:rFonts w:ascii="仿宋_GB2312" w:hAnsi="宋体" w:eastAsia="仿宋_GB2312"/>
          <w:bCs/>
          <w:kern w:val="2"/>
          <w:sz w:val="32"/>
          <w:szCs w:val="32"/>
        </w:rPr>
        <w:t>社会满意度达到良好</w:t>
      </w:r>
      <w:r>
        <w:rPr>
          <w:rFonts w:hint="eastAsia" w:ascii="仿宋_GB2312" w:hAnsi="宋体" w:eastAsia="仿宋_GB2312"/>
          <w:bCs/>
          <w:kern w:val="2"/>
          <w:sz w:val="32"/>
          <w:szCs w:val="32"/>
          <w:lang w:val="zh-CN"/>
        </w:rPr>
        <w:t>。</w:t>
      </w:r>
    </w:p>
    <w:p>
      <w:pPr>
        <w:adjustRightInd w:val="0"/>
        <w:snapToGrid w:val="0"/>
        <w:spacing w:line="600" w:lineRule="exact"/>
        <w:ind w:firstLine="720"/>
        <w:rPr>
          <w:rFonts w:ascii="楷体_GB2312" w:hAnsi="宋体" w:eastAsia="楷体_GB2312"/>
          <w:bCs/>
          <w:sz w:val="32"/>
          <w:szCs w:val="32"/>
          <w:lang w:val="zh-CN"/>
        </w:rPr>
      </w:pPr>
      <w:r>
        <w:rPr>
          <w:rFonts w:hint="eastAsia" w:ascii="楷体_GB2312" w:hAnsi="宋体" w:eastAsia="楷体_GB2312"/>
          <w:bCs/>
          <w:sz w:val="32"/>
          <w:szCs w:val="32"/>
          <w:lang w:val="zh-CN"/>
        </w:rPr>
        <w:t>（二）存在的问题。</w:t>
      </w:r>
    </w:p>
    <w:p>
      <w:pPr>
        <w:adjustRightInd w:val="0"/>
        <w:snapToGrid w:val="0"/>
        <w:spacing w:line="576" w:lineRule="exact"/>
        <w:ind w:firstLine="720"/>
        <w:rPr>
          <w:rFonts w:ascii="仿宋_GB2312" w:hAnsi="宋体" w:eastAsia="仿宋_GB2312"/>
          <w:bCs/>
          <w:sz w:val="32"/>
          <w:szCs w:val="32"/>
          <w:lang w:val="zh-CN"/>
        </w:rPr>
      </w:pPr>
      <w:r>
        <w:rPr>
          <w:rFonts w:hint="eastAsia" w:ascii="仿宋_GB2312" w:hAnsi="宋体" w:eastAsia="仿宋_GB2312"/>
          <w:bCs/>
          <w:sz w:val="32"/>
          <w:szCs w:val="32"/>
          <w:lang w:val="zh-CN"/>
        </w:rPr>
        <w:t>项目资金使用不够科学。</w:t>
      </w:r>
      <w:r>
        <w:rPr>
          <w:rFonts w:hint="eastAsia" w:ascii="仿宋_GB2312" w:hAnsi="宋体" w:eastAsia="仿宋_GB2312"/>
          <w:bCs/>
          <w:sz w:val="32"/>
          <w:szCs w:val="32"/>
          <w:lang w:val="zh-CN"/>
        </w:rPr>
        <w:tab/>
      </w:r>
    </w:p>
    <w:p>
      <w:pPr>
        <w:adjustRightInd w:val="0"/>
        <w:snapToGrid w:val="0"/>
        <w:spacing w:line="600" w:lineRule="exact"/>
        <w:ind w:firstLine="720"/>
        <w:rPr>
          <w:rFonts w:ascii="楷体_GB2312" w:hAnsi="宋体" w:eastAsia="楷体_GB2312"/>
          <w:bCs/>
          <w:sz w:val="32"/>
          <w:szCs w:val="32"/>
          <w:lang w:val="zh-CN"/>
        </w:rPr>
      </w:pPr>
      <w:r>
        <w:rPr>
          <w:rFonts w:hint="eastAsia" w:ascii="楷体_GB2312" w:hAnsi="宋体" w:eastAsia="楷体_GB2312"/>
          <w:bCs/>
          <w:sz w:val="32"/>
          <w:szCs w:val="32"/>
          <w:lang w:val="zh-CN"/>
        </w:rPr>
        <w:t>（三）相关建议。</w:t>
      </w:r>
    </w:p>
    <w:p>
      <w:pPr>
        <w:pStyle w:val="2"/>
        <w:spacing w:before="93"/>
        <w:ind w:firstLine="640" w:firstLineChars="200"/>
        <w:rPr>
          <w:lang w:val="zh-CN"/>
        </w:rPr>
      </w:pPr>
      <w:r>
        <w:rPr>
          <w:rFonts w:hint="eastAsia" w:hAnsi="宋体"/>
          <w:sz w:val="32"/>
          <w:szCs w:val="32"/>
          <w:lang w:val="zh-CN"/>
        </w:rPr>
        <w:t>对项目计划进度跟踪，合理支出预算资金，使其最大效益化。</w:t>
      </w:r>
    </w:p>
    <w:p/>
    <w:p>
      <w:pPr>
        <w:pStyle w:val="2"/>
        <w:spacing w:before="93"/>
      </w:pPr>
    </w:p>
    <w:p>
      <w:pPr>
        <w:pStyle w:val="2"/>
        <w:spacing w:before="93"/>
      </w:pPr>
      <w:r>
        <w:rPr>
          <w:rFonts w:hint="eastAsia" w:ascii="黑体" w:hAnsi="黑体" w:eastAsia="黑体" w:cs="黑体"/>
          <w:sz w:val="32"/>
          <w:szCs w:val="32"/>
        </w:rPr>
        <w:t>附表</w:t>
      </w:r>
    </w:p>
    <w:tbl>
      <w:tblPr>
        <w:tblStyle w:val="18"/>
        <w:tblpPr w:leftFromText="180" w:rightFromText="180" w:vertAnchor="text" w:horzAnchor="page" w:tblpXSpec="center" w:tblpY="303"/>
        <w:tblOverlap w:val="never"/>
        <w:tblW w:w="9516" w:type="dxa"/>
        <w:jc w:val="center"/>
        <w:tblLayout w:type="fixed"/>
        <w:tblCellMar>
          <w:top w:w="0" w:type="dxa"/>
          <w:left w:w="108" w:type="dxa"/>
          <w:bottom w:w="0" w:type="dxa"/>
          <w:right w:w="108" w:type="dxa"/>
        </w:tblCellMar>
      </w:tblPr>
      <w:tblGrid>
        <w:gridCol w:w="2401"/>
        <w:gridCol w:w="572"/>
        <w:gridCol w:w="947"/>
        <w:gridCol w:w="1234"/>
        <w:gridCol w:w="1646"/>
        <w:gridCol w:w="1612"/>
        <w:gridCol w:w="1104"/>
      </w:tblGrid>
      <w:tr>
        <w:tblPrEx>
          <w:tblCellMar>
            <w:top w:w="0" w:type="dxa"/>
            <w:left w:w="108" w:type="dxa"/>
            <w:bottom w:w="0" w:type="dxa"/>
            <w:right w:w="108" w:type="dxa"/>
          </w:tblCellMar>
        </w:tblPrEx>
        <w:trPr>
          <w:trHeight w:val="338" w:hRule="atLeast"/>
          <w:jc w:val="center"/>
        </w:trPr>
        <w:tc>
          <w:tcPr>
            <w:tcW w:w="9516" w:type="dxa"/>
            <w:gridSpan w:val="7"/>
            <w:tcBorders>
              <w:top w:val="nil"/>
              <w:left w:val="nil"/>
              <w:bottom w:val="nil"/>
              <w:right w:val="nil"/>
            </w:tcBorders>
            <w:shd w:val="clear" w:color="auto" w:fill="auto"/>
            <w:vAlign w:val="center"/>
          </w:tcPr>
          <w:p>
            <w:pPr>
              <w:widowControl/>
              <w:jc w:val="center"/>
              <w:textAlignment w:val="center"/>
              <w:rPr>
                <w:rFonts w:ascii="方正小标宋简体" w:hAnsi="方正小标宋简体" w:eastAsia="方正小标宋简体" w:cs="方正小标宋简体"/>
                <w:color w:val="000000"/>
                <w:sz w:val="18"/>
                <w:szCs w:val="18"/>
              </w:rPr>
            </w:pPr>
            <w:r>
              <w:rPr>
                <w:rFonts w:ascii="方正小标宋简体" w:hAnsi="方正小标宋简体" w:eastAsia="方正小标宋简体" w:cs="方正小标宋简体"/>
                <w:color w:val="000000"/>
                <w:kern w:val="0"/>
                <w:sz w:val="18"/>
                <w:szCs w:val="18"/>
              </w:rPr>
              <w:t>项目支出绩效目标自评表</w:t>
            </w:r>
          </w:p>
        </w:tc>
      </w:tr>
      <w:tr>
        <w:tblPrEx>
          <w:tblCellMar>
            <w:top w:w="0" w:type="dxa"/>
            <w:left w:w="108" w:type="dxa"/>
            <w:bottom w:w="0" w:type="dxa"/>
            <w:right w:w="108" w:type="dxa"/>
          </w:tblCellMar>
        </w:tblPrEx>
        <w:trPr>
          <w:trHeight w:val="338" w:hRule="atLeast"/>
          <w:jc w:val="center"/>
        </w:trPr>
        <w:tc>
          <w:tcPr>
            <w:tcW w:w="9516" w:type="dxa"/>
            <w:gridSpan w:val="7"/>
            <w:tcBorders>
              <w:top w:val="nil"/>
              <w:left w:val="nil"/>
              <w:bottom w:val="nil"/>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r>
              <w:rPr>
                <w:color w:val="000000"/>
                <w:kern w:val="0"/>
                <w:sz w:val="18"/>
                <w:szCs w:val="18"/>
              </w:rPr>
              <w:t xml:space="preserve">          2021</w:t>
            </w:r>
            <w:r>
              <w:rPr>
                <w:rFonts w:hint="eastAsia" w:ascii="宋体" w:hAnsi="宋体" w:cs="宋体"/>
                <w:color w:val="000000"/>
                <w:kern w:val="0"/>
                <w:sz w:val="18"/>
                <w:szCs w:val="18"/>
              </w:rPr>
              <w:t>年度）</w:t>
            </w:r>
          </w:p>
        </w:tc>
      </w:tr>
      <w:tr>
        <w:tblPrEx>
          <w:tblCellMar>
            <w:top w:w="0" w:type="dxa"/>
            <w:left w:w="108" w:type="dxa"/>
            <w:bottom w:w="0" w:type="dxa"/>
            <w:right w:w="108" w:type="dxa"/>
          </w:tblCellMar>
        </w:tblPrEx>
        <w:trPr>
          <w:trHeight w:val="408" w:hRule="atLeast"/>
          <w:jc w:val="center"/>
        </w:trPr>
        <w:tc>
          <w:tcPr>
            <w:tcW w:w="3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项目名称</w:t>
            </w:r>
          </w:p>
        </w:tc>
        <w:tc>
          <w:tcPr>
            <w:tcW w:w="55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rPr>
              <w:t>51080021Y000000027740</w:t>
            </w:r>
            <w:r>
              <w:rPr>
                <w:rFonts w:hint="eastAsia" w:ascii="宋体" w:hAnsi="宋体" w:cs="宋体"/>
                <w:color w:val="000000"/>
                <w:kern w:val="0"/>
                <w:sz w:val="18"/>
                <w:szCs w:val="18"/>
              </w:rPr>
              <w:t>帮扶经费</w:t>
            </w:r>
          </w:p>
        </w:tc>
      </w:tr>
      <w:tr>
        <w:tblPrEx>
          <w:tblCellMar>
            <w:top w:w="0" w:type="dxa"/>
            <w:left w:w="108" w:type="dxa"/>
            <w:bottom w:w="0" w:type="dxa"/>
            <w:right w:w="108" w:type="dxa"/>
          </w:tblCellMar>
        </w:tblPrEx>
        <w:trPr>
          <w:trHeight w:val="709" w:hRule="atLeast"/>
          <w:jc w:val="center"/>
        </w:trPr>
        <w:tc>
          <w:tcPr>
            <w:tcW w:w="3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主管单位</w:t>
            </w:r>
          </w:p>
        </w:tc>
        <w:tc>
          <w:tcPr>
            <w:tcW w:w="1234"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广元市交通运输局</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实施单位</w:t>
            </w:r>
          </w:p>
        </w:tc>
        <w:tc>
          <w:tcPr>
            <w:tcW w:w="271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广元市交通运输综合行政执法支队</w:t>
            </w:r>
          </w:p>
        </w:tc>
      </w:tr>
      <w:tr>
        <w:tblPrEx>
          <w:tblCellMar>
            <w:top w:w="0" w:type="dxa"/>
            <w:left w:w="108" w:type="dxa"/>
            <w:bottom w:w="0" w:type="dxa"/>
            <w:right w:w="108" w:type="dxa"/>
          </w:tblCellMar>
        </w:tblPrEx>
        <w:trPr>
          <w:trHeight w:val="408" w:hRule="atLeast"/>
          <w:jc w:val="center"/>
        </w:trPr>
        <w:tc>
          <w:tcPr>
            <w:tcW w:w="2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执行</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情况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（万元）</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预算数：</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0.75</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执行数：</w:t>
            </w:r>
          </w:p>
        </w:tc>
        <w:tc>
          <w:tcPr>
            <w:tcW w:w="2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0.75</w:t>
            </w:r>
          </w:p>
        </w:tc>
      </w:tr>
      <w:tr>
        <w:tblPrEx>
          <w:tblCellMar>
            <w:top w:w="0" w:type="dxa"/>
            <w:left w:w="108" w:type="dxa"/>
            <w:bottom w:w="0" w:type="dxa"/>
            <w:right w:w="108" w:type="dxa"/>
          </w:tblCellMar>
        </w:tblPrEx>
        <w:trPr>
          <w:trHeight w:val="370" w:hRule="atLeast"/>
          <w:jc w:val="center"/>
        </w:trPr>
        <w:tc>
          <w:tcPr>
            <w:tcW w:w="2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0.75</w:t>
            </w:r>
          </w:p>
        </w:tc>
        <w:tc>
          <w:tcPr>
            <w:tcW w:w="1646" w:type="dxa"/>
            <w:tcBorders>
              <w:top w:val="single" w:color="000000" w:sz="4" w:space="0"/>
              <w:left w:val="nil"/>
              <w:bottom w:val="nil"/>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2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0.75</w:t>
            </w:r>
          </w:p>
        </w:tc>
      </w:tr>
      <w:tr>
        <w:tblPrEx>
          <w:tblCellMar>
            <w:top w:w="0" w:type="dxa"/>
            <w:left w:w="108" w:type="dxa"/>
            <w:bottom w:w="0" w:type="dxa"/>
            <w:right w:w="108" w:type="dxa"/>
          </w:tblCellMar>
        </w:tblPrEx>
        <w:trPr>
          <w:trHeight w:val="650" w:hRule="atLeast"/>
          <w:jc w:val="center"/>
        </w:trPr>
        <w:tc>
          <w:tcPr>
            <w:tcW w:w="2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w:t>
            </w:r>
          </w:p>
        </w:tc>
        <w:tc>
          <w:tcPr>
            <w:tcW w:w="1646" w:type="dxa"/>
            <w:tcBorders>
              <w:top w:val="single" w:color="000000" w:sz="4" w:space="0"/>
              <w:left w:val="nil"/>
              <w:bottom w:val="nil"/>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2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w:t>
            </w:r>
          </w:p>
        </w:tc>
      </w:tr>
      <w:tr>
        <w:tblPrEx>
          <w:tblCellMar>
            <w:top w:w="0" w:type="dxa"/>
            <w:left w:w="108" w:type="dxa"/>
            <w:bottom w:w="0" w:type="dxa"/>
            <w:right w:w="108" w:type="dxa"/>
          </w:tblCellMar>
        </w:tblPrEx>
        <w:trPr>
          <w:trHeight w:val="408" w:hRule="atLeast"/>
          <w:jc w:val="center"/>
        </w:trPr>
        <w:tc>
          <w:tcPr>
            <w:tcW w:w="2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目标完成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情况</w:t>
            </w:r>
          </w:p>
        </w:tc>
        <w:tc>
          <w:tcPr>
            <w:tcW w:w="27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预期目标</w:t>
            </w:r>
          </w:p>
        </w:tc>
        <w:tc>
          <w:tcPr>
            <w:tcW w:w="43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实际完成目标</w:t>
            </w:r>
          </w:p>
        </w:tc>
      </w:tr>
      <w:tr>
        <w:tblPrEx>
          <w:tblCellMar>
            <w:top w:w="0" w:type="dxa"/>
            <w:left w:w="108" w:type="dxa"/>
            <w:bottom w:w="0" w:type="dxa"/>
            <w:right w:w="108" w:type="dxa"/>
          </w:tblCellMar>
        </w:tblPrEx>
        <w:trPr>
          <w:trHeight w:val="661" w:hRule="atLeast"/>
          <w:jc w:val="center"/>
        </w:trPr>
        <w:tc>
          <w:tcPr>
            <w:tcW w:w="2401"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cs="宋体"/>
                <w:color w:val="000000"/>
                <w:sz w:val="18"/>
                <w:szCs w:val="18"/>
              </w:rPr>
            </w:pPr>
          </w:p>
        </w:tc>
        <w:tc>
          <w:tcPr>
            <w:tcW w:w="2753" w:type="dxa"/>
            <w:gridSpan w:val="3"/>
            <w:tcBorders>
              <w:top w:val="single" w:color="000000" w:sz="4" w:space="0"/>
              <w:left w:val="single" w:color="000000" w:sz="4" w:space="0"/>
              <w:bottom w:val="single" w:color="auto" w:sz="4" w:space="0"/>
              <w:right w:val="single" w:color="000000" w:sz="4" w:space="0"/>
            </w:tcBorders>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完成2021年帮扶工作</w:t>
            </w:r>
          </w:p>
        </w:tc>
        <w:tc>
          <w:tcPr>
            <w:tcW w:w="4362"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完成2021年帮扶工作</w:t>
            </w:r>
          </w:p>
        </w:tc>
      </w:tr>
      <w:tr>
        <w:tblPrEx>
          <w:tblCellMar>
            <w:top w:w="0" w:type="dxa"/>
            <w:left w:w="108" w:type="dxa"/>
            <w:bottom w:w="0" w:type="dxa"/>
            <w:right w:w="108" w:type="dxa"/>
          </w:tblCellMar>
        </w:tblPrEx>
        <w:trPr>
          <w:trHeight w:val="1389" w:hRule="atLeast"/>
          <w:jc w:val="center"/>
        </w:trPr>
        <w:tc>
          <w:tcPr>
            <w:tcW w:w="24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绩效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指标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完成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情况</w:t>
            </w:r>
          </w:p>
        </w:tc>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一级指标</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二级指标</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三级指标</w:t>
            </w:r>
          </w:p>
        </w:tc>
        <w:tc>
          <w:tcPr>
            <w:tcW w:w="164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指标值（包含数字及文字描述）</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实际完成指标值（包含数字及文字描述）</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未完成原因及改进措施</w:t>
            </w:r>
          </w:p>
        </w:tc>
      </w:tr>
      <w:tr>
        <w:tblPrEx>
          <w:tblCellMar>
            <w:top w:w="0" w:type="dxa"/>
            <w:left w:w="108" w:type="dxa"/>
            <w:bottom w:w="0" w:type="dxa"/>
            <w:right w:w="108" w:type="dxa"/>
          </w:tblCellMar>
        </w:tblPrEx>
        <w:trPr>
          <w:trHeight w:val="709" w:hRule="atLeast"/>
          <w:jc w:val="center"/>
        </w:trPr>
        <w:tc>
          <w:tcPr>
            <w:tcW w:w="24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5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项目完成指标</w:t>
            </w:r>
          </w:p>
        </w:tc>
        <w:tc>
          <w:tcPr>
            <w:tcW w:w="9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指标1：扶贫经费</w:t>
            </w:r>
          </w:p>
        </w:tc>
        <w:tc>
          <w:tcPr>
            <w:tcW w:w="164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完成帮扶工作</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完成帮扶工作</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2068" w:hRule="atLeast"/>
          <w:jc w:val="center"/>
        </w:trPr>
        <w:tc>
          <w:tcPr>
            <w:tcW w:w="24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5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9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指标2：四个村</w:t>
            </w:r>
          </w:p>
        </w:tc>
        <w:tc>
          <w:tcPr>
            <w:tcW w:w="164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根据市上安排，我局负责对苍溪县白桥镇杆柏村、龙门村，岳东镇药柏村、两利村对口帮扶</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根据市上安排，我局负责对苍溪县白桥镇杆柏村、龙门村，岳东镇药柏村、两利村对口帮扶</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709" w:hRule="atLeast"/>
          <w:jc w:val="center"/>
        </w:trPr>
        <w:tc>
          <w:tcPr>
            <w:tcW w:w="24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5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9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指标3：走访贫困户</w:t>
            </w:r>
          </w:p>
        </w:tc>
        <w:tc>
          <w:tcPr>
            <w:tcW w:w="164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走访贫困户</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走访贫困户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049" w:hRule="atLeast"/>
          <w:jc w:val="center"/>
        </w:trPr>
        <w:tc>
          <w:tcPr>
            <w:tcW w:w="24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5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指标1：全面完成帮扶工作</w:t>
            </w:r>
          </w:p>
        </w:tc>
        <w:tc>
          <w:tcPr>
            <w:tcW w:w="164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全面完成帮扶工作</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全面完成帮扶工作</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049" w:hRule="atLeast"/>
          <w:jc w:val="center"/>
        </w:trPr>
        <w:tc>
          <w:tcPr>
            <w:tcW w:w="24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5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指标1：2021年</w:t>
            </w:r>
          </w:p>
        </w:tc>
        <w:tc>
          <w:tcPr>
            <w:tcW w:w="164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根据帮扶工作安排时间节点完成各项工作</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根据帮扶工作安排时间节点完成各项工作</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389" w:hRule="atLeast"/>
          <w:jc w:val="center"/>
        </w:trPr>
        <w:tc>
          <w:tcPr>
            <w:tcW w:w="24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指标</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指标1：完成脱贫工作，帮助贫困户致富</w:t>
            </w:r>
          </w:p>
        </w:tc>
        <w:tc>
          <w:tcPr>
            <w:tcW w:w="164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为全国脱贫奔小康做贡献</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为全国脱贫奔小康做贡献</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760" w:hRule="atLeast"/>
          <w:jc w:val="center"/>
        </w:trPr>
        <w:tc>
          <w:tcPr>
            <w:tcW w:w="24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18"/>
                <w:szCs w:val="18"/>
              </w:rPr>
            </w:pPr>
          </w:p>
        </w:tc>
        <w:tc>
          <w:tcPr>
            <w:tcW w:w="5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指标</w:t>
            </w: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指标1：贫困户对帮扶工作满意</w:t>
            </w:r>
          </w:p>
        </w:tc>
        <w:tc>
          <w:tcPr>
            <w:tcW w:w="164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做好脱贫</w:t>
            </w:r>
            <w:r>
              <w:rPr>
                <w:rFonts w:hint="eastAsia" w:ascii="宋体" w:hAnsi="宋体" w:cs="宋体"/>
                <w:color w:val="000000"/>
                <w:kern w:val="0"/>
                <w:sz w:val="18"/>
                <w:szCs w:val="18"/>
                <w:lang w:eastAsia="zh-CN"/>
              </w:rPr>
              <w:t>攻坚</w:t>
            </w:r>
            <w:r>
              <w:rPr>
                <w:rFonts w:hint="eastAsia" w:ascii="宋体" w:hAnsi="宋体" w:cs="宋体"/>
                <w:color w:val="000000"/>
                <w:kern w:val="0"/>
                <w:sz w:val="18"/>
                <w:szCs w:val="18"/>
              </w:rPr>
              <w:t>工作，让贫困户对我们的帮扶工作满意</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做好脱贫</w:t>
            </w:r>
            <w:r>
              <w:rPr>
                <w:rFonts w:hint="eastAsia" w:ascii="宋体" w:hAnsi="宋体" w:cs="宋体"/>
                <w:color w:val="000000"/>
                <w:kern w:val="0"/>
                <w:sz w:val="18"/>
                <w:szCs w:val="18"/>
                <w:lang w:eastAsia="zh-CN"/>
              </w:rPr>
              <w:t>攻坚</w:t>
            </w:r>
            <w:r>
              <w:rPr>
                <w:rFonts w:hint="eastAsia" w:ascii="宋体" w:hAnsi="宋体" w:cs="宋体"/>
                <w:color w:val="000000"/>
                <w:kern w:val="0"/>
                <w:sz w:val="18"/>
                <w:szCs w:val="18"/>
              </w:rPr>
              <w:t>工作，让贫困户对我们的帮扶工作满意</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bl>
    <w:p>
      <w:pPr>
        <w:pStyle w:val="3"/>
        <w:spacing w:before="93"/>
        <w:ind w:firstLine="440"/>
        <w:rPr>
          <w:rFonts w:ascii="黑体" w:hAnsi="黑体" w:eastAsia="黑体"/>
          <w:sz w:val="44"/>
          <w:szCs w:val="44"/>
        </w:rPr>
      </w:pPr>
    </w:p>
    <w:p>
      <w:pPr>
        <w:pStyle w:val="3"/>
        <w:spacing w:before="93"/>
        <w:ind w:firstLine="440"/>
        <w:rPr>
          <w:rFonts w:ascii="黑体" w:hAnsi="黑体" w:eastAsia="黑体"/>
          <w:sz w:val="44"/>
          <w:szCs w:val="44"/>
        </w:rPr>
      </w:pPr>
    </w:p>
    <w:p>
      <w:pPr>
        <w:pStyle w:val="3"/>
        <w:spacing w:before="93"/>
        <w:ind w:firstLine="440"/>
        <w:rPr>
          <w:rFonts w:ascii="黑体" w:hAnsi="黑体" w:eastAsia="黑体"/>
          <w:sz w:val="44"/>
          <w:szCs w:val="44"/>
        </w:rPr>
      </w:pPr>
    </w:p>
    <w:p>
      <w:pPr>
        <w:pStyle w:val="3"/>
        <w:spacing w:before="93"/>
        <w:ind w:firstLine="440"/>
        <w:rPr>
          <w:rFonts w:ascii="黑体" w:hAnsi="黑体" w:eastAsia="黑体"/>
          <w:sz w:val="44"/>
          <w:szCs w:val="44"/>
        </w:rPr>
      </w:pPr>
    </w:p>
    <w:p>
      <w:pPr>
        <w:pStyle w:val="3"/>
        <w:spacing w:before="93"/>
        <w:ind w:firstLine="440"/>
        <w:rPr>
          <w:rFonts w:ascii="黑体" w:hAnsi="黑体" w:eastAsia="黑体"/>
          <w:sz w:val="44"/>
          <w:szCs w:val="44"/>
        </w:rPr>
      </w:pPr>
    </w:p>
    <w:p>
      <w:pPr>
        <w:pStyle w:val="3"/>
        <w:spacing w:before="93"/>
        <w:ind w:firstLine="440"/>
        <w:rPr>
          <w:rFonts w:ascii="黑体" w:hAnsi="黑体" w:eastAsia="黑体"/>
          <w:sz w:val="44"/>
          <w:szCs w:val="44"/>
        </w:rPr>
      </w:pPr>
    </w:p>
    <w:p>
      <w:pPr>
        <w:pStyle w:val="3"/>
        <w:spacing w:before="93"/>
        <w:ind w:firstLine="440"/>
        <w:rPr>
          <w:rFonts w:ascii="黑体" w:hAnsi="黑体" w:eastAsia="黑体"/>
          <w:sz w:val="44"/>
          <w:szCs w:val="44"/>
        </w:rPr>
      </w:pPr>
    </w:p>
    <w:p>
      <w:pPr>
        <w:pStyle w:val="3"/>
        <w:spacing w:before="93"/>
        <w:ind w:firstLine="440"/>
        <w:rPr>
          <w:rFonts w:ascii="黑体" w:hAnsi="黑体" w:eastAsia="黑体"/>
          <w:sz w:val="44"/>
          <w:szCs w:val="44"/>
        </w:rPr>
      </w:pPr>
    </w:p>
    <w:p>
      <w:pPr>
        <w:pStyle w:val="3"/>
        <w:spacing w:before="93"/>
        <w:ind w:firstLine="440"/>
        <w:rPr>
          <w:rFonts w:ascii="黑体" w:hAnsi="黑体" w:eastAsia="黑体"/>
          <w:sz w:val="44"/>
          <w:szCs w:val="44"/>
        </w:rPr>
      </w:pPr>
    </w:p>
    <w:p>
      <w:pPr>
        <w:pStyle w:val="3"/>
        <w:spacing w:before="93"/>
        <w:ind w:firstLine="0" w:firstLineChars="0"/>
        <w:rPr>
          <w:rFonts w:ascii="黑体" w:hAnsi="黑体" w:eastAsia="黑体"/>
          <w:sz w:val="44"/>
          <w:szCs w:val="44"/>
        </w:rPr>
      </w:pPr>
    </w:p>
    <w:p>
      <w:pPr>
        <w:spacing w:line="600" w:lineRule="exact"/>
        <w:jc w:val="center"/>
        <w:outlineLvl w:val="0"/>
        <w:rPr>
          <w:rFonts w:ascii="仿宋" w:hAnsi="仿宋" w:eastAsia="仿宋"/>
        </w:rPr>
      </w:pPr>
      <w:bookmarkStart w:id="80" w:name="_Toc955580996"/>
      <w:bookmarkStart w:id="81" w:name="_Toc2049932026"/>
      <w:r>
        <w:rPr>
          <w:rFonts w:hint="eastAsia" w:ascii="黑体" w:hAnsi="黑体" w:eastAsia="黑体"/>
          <w:sz w:val="44"/>
          <w:szCs w:val="44"/>
        </w:rPr>
        <w:t>第</w:t>
      </w:r>
      <w:r>
        <w:rPr>
          <w:rStyle w:val="30"/>
          <w:rFonts w:hint="eastAsia" w:ascii="黑体" w:hAnsi="黑体" w:eastAsia="黑体"/>
          <w:b w:val="0"/>
        </w:rPr>
        <w:t>五部分 附表</w:t>
      </w:r>
      <w:bookmarkEnd w:id="75"/>
      <w:bookmarkEnd w:id="79"/>
      <w:bookmarkEnd w:id="80"/>
      <w:bookmarkEnd w:id="81"/>
      <w:bookmarkStart w:id="82" w:name="_Toc15396619"/>
    </w:p>
    <w:p>
      <w:pPr>
        <w:pStyle w:val="5"/>
        <w:rPr>
          <w:rFonts w:ascii="仿宋" w:hAnsi="仿宋" w:eastAsia="仿宋"/>
        </w:rPr>
      </w:pPr>
      <w:bookmarkStart w:id="83" w:name="_Toc122276102"/>
      <w:r>
        <w:rPr>
          <w:rFonts w:hint="eastAsia" w:ascii="仿宋" w:hAnsi="仿宋" w:eastAsia="仿宋"/>
          <w:b w:val="0"/>
        </w:rPr>
        <w:t>一、收</w:t>
      </w:r>
      <w:r>
        <w:rPr>
          <w:rStyle w:val="31"/>
          <w:rFonts w:hint="eastAsia" w:ascii="仿宋" w:hAnsi="仿宋" w:eastAsia="仿宋"/>
          <w:b w:val="0"/>
          <w:bCs w:val="0"/>
        </w:rPr>
        <w:t>入支决算总表</w:t>
      </w:r>
      <w:bookmarkEnd w:id="82"/>
      <w:bookmarkEnd w:id="83"/>
    </w:p>
    <w:p>
      <w:pPr>
        <w:pStyle w:val="5"/>
        <w:rPr>
          <w:rFonts w:ascii="仿宋" w:hAnsi="仿宋" w:eastAsia="仿宋"/>
        </w:rPr>
      </w:pPr>
      <w:bookmarkStart w:id="84" w:name="_Toc15396620"/>
      <w:bookmarkStart w:id="85" w:name="_Toc828115923"/>
      <w:r>
        <w:rPr>
          <w:rFonts w:hint="eastAsia" w:ascii="仿宋" w:hAnsi="仿宋" w:eastAsia="仿宋"/>
          <w:b w:val="0"/>
        </w:rPr>
        <w:t>二、收</w:t>
      </w:r>
      <w:r>
        <w:rPr>
          <w:rStyle w:val="31"/>
          <w:rFonts w:hint="eastAsia" w:ascii="仿宋" w:hAnsi="仿宋" w:eastAsia="仿宋"/>
          <w:b w:val="0"/>
          <w:bCs w:val="0"/>
        </w:rPr>
        <w:t>入决算表</w:t>
      </w:r>
      <w:bookmarkEnd w:id="84"/>
      <w:bookmarkEnd w:id="85"/>
    </w:p>
    <w:p>
      <w:pPr>
        <w:pStyle w:val="5"/>
        <w:rPr>
          <w:rFonts w:ascii="仿宋" w:hAnsi="仿宋" w:eastAsia="仿宋"/>
        </w:rPr>
      </w:pPr>
      <w:bookmarkStart w:id="86" w:name="_Toc535250193"/>
      <w:bookmarkStart w:id="87" w:name="_Toc15396621"/>
      <w:r>
        <w:rPr>
          <w:rStyle w:val="31"/>
          <w:rFonts w:hint="eastAsia" w:ascii="仿宋" w:hAnsi="仿宋" w:eastAsia="仿宋"/>
          <w:b w:val="0"/>
          <w:bCs w:val="0"/>
        </w:rPr>
        <w:t>三、</w:t>
      </w:r>
      <w:r>
        <w:rPr>
          <w:rFonts w:hint="eastAsia" w:ascii="仿宋" w:hAnsi="仿宋" w:eastAsia="仿宋"/>
          <w:b w:val="0"/>
        </w:rPr>
        <w:t>支</w:t>
      </w:r>
      <w:r>
        <w:rPr>
          <w:rStyle w:val="31"/>
          <w:rFonts w:hint="eastAsia" w:ascii="仿宋" w:hAnsi="仿宋" w:eastAsia="仿宋"/>
          <w:b w:val="0"/>
          <w:bCs w:val="0"/>
        </w:rPr>
        <w:t>出决算表</w:t>
      </w:r>
      <w:bookmarkEnd w:id="86"/>
      <w:bookmarkEnd w:id="87"/>
    </w:p>
    <w:p>
      <w:pPr>
        <w:pStyle w:val="5"/>
        <w:rPr>
          <w:rFonts w:ascii="仿宋" w:hAnsi="仿宋" w:eastAsia="仿宋"/>
          <w:b w:val="0"/>
        </w:rPr>
      </w:pPr>
      <w:bookmarkStart w:id="88" w:name="_Toc15396622"/>
      <w:bookmarkStart w:id="89" w:name="_Toc1077229934"/>
      <w:r>
        <w:rPr>
          <w:rStyle w:val="31"/>
          <w:rFonts w:hint="eastAsia" w:ascii="仿宋" w:hAnsi="仿宋" w:eastAsia="仿宋"/>
          <w:b w:val="0"/>
          <w:bCs w:val="0"/>
        </w:rPr>
        <w:t>四、</w:t>
      </w:r>
      <w:r>
        <w:rPr>
          <w:rFonts w:hint="eastAsia" w:ascii="仿宋" w:hAnsi="仿宋" w:eastAsia="仿宋"/>
          <w:b w:val="0"/>
        </w:rPr>
        <w:t>财</w:t>
      </w:r>
      <w:r>
        <w:rPr>
          <w:rStyle w:val="31"/>
          <w:rFonts w:hint="eastAsia" w:ascii="仿宋" w:hAnsi="仿宋" w:eastAsia="仿宋"/>
          <w:b w:val="0"/>
          <w:bCs w:val="0"/>
        </w:rPr>
        <w:t>政拨款收入支出决算总表</w:t>
      </w:r>
      <w:bookmarkEnd w:id="88"/>
      <w:bookmarkEnd w:id="89"/>
    </w:p>
    <w:p>
      <w:pPr>
        <w:pStyle w:val="5"/>
        <w:rPr>
          <w:rStyle w:val="31"/>
          <w:rFonts w:ascii="仿宋" w:hAnsi="仿宋" w:eastAsia="仿宋"/>
          <w:b w:val="0"/>
          <w:bCs w:val="0"/>
        </w:rPr>
      </w:pPr>
      <w:bookmarkStart w:id="90" w:name="_Toc15396623"/>
      <w:bookmarkStart w:id="91" w:name="_Toc892521346"/>
      <w:r>
        <w:rPr>
          <w:rStyle w:val="31"/>
          <w:rFonts w:hint="eastAsia" w:ascii="仿宋" w:hAnsi="仿宋" w:eastAsia="仿宋"/>
          <w:b w:val="0"/>
          <w:bCs w:val="0"/>
        </w:rPr>
        <w:t>五、</w:t>
      </w:r>
      <w:r>
        <w:rPr>
          <w:rFonts w:hint="eastAsia" w:ascii="仿宋" w:hAnsi="仿宋" w:eastAsia="仿宋"/>
          <w:b w:val="0"/>
        </w:rPr>
        <w:t>财</w:t>
      </w:r>
      <w:r>
        <w:rPr>
          <w:rStyle w:val="31"/>
          <w:rFonts w:hint="eastAsia" w:ascii="仿宋" w:hAnsi="仿宋" w:eastAsia="仿宋"/>
          <w:b w:val="0"/>
          <w:bCs w:val="0"/>
        </w:rPr>
        <w:t>政拨款支出决算明细表</w:t>
      </w:r>
      <w:bookmarkEnd w:id="90"/>
      <w:bookmarkEnd w:id="91"/>
      <w:bookmarkStart w:id="92" w:name="_Toc15396624"/>
    </w:p>
    <w:p>
      <w:pPr>
        <w:pStyle w:val="5"/>
        <w:rPr>
          <w:rFonts w:ascii="仿宋" w:hAnsi="仿宋" w:eastAsia="仿宋"/>
        </w:rPr>
      </w:pPr>
      <w:bookmarkStart w:id="93" w:name="_Toc2069066789"/>
      <w:r>
        <w:rPr>
          <w:rStyle w:val="31"/>
          <w:rFonts w:hint="eastAsia" w:ascii="仿宋" w:hAnsi="仿宋" w:eastAsia="仿宋"/>
          <w:b w:val="0"/>
          <w:bCs w:val="0"/>
        </w:rPr>
        <w:t>六、</w:t>
      </w:r>
      <w:r>
        <w:rPr>
          <w:rFonts w:hint="eastAsia" w:ascii="仿宋" w:hAnsi="仿宋" w:eastAsia="仿宋"/>
          <w:b w:val="0"/>
        </w:rPr>
        <w:t>一</w:t>
      </w:r>
      <w:r>
        <w:rPr>
          <w:rStyle w:val="31"/>
          <w:rFonts w:hint="eastAsia" w:ascii="仿宋" w:hAnsi="仿宋" w:eastAsia="仿宋"/>
          <w:b w:val="0"/>
          <w:bCs w:val="0"/>
        </w:rPr>
        <w:t>般公共预算财政拨款支出决算表</w:t>
      </w:r>
      <w:bookmarkEnd w:id="92"/>
      <w:bookmarkEnd w:id="93"/>
    </w:p>
    <w:p>
      <w:pPr>
        <w:pStyle w:val="5"/>
        <w:rPr>
          <w:rFonts w:ascii="仿宋" w:hAnsi="仿宋" w:eastAsia="仿宋"/>
        </w:rPr>
      </w:pPr>
      <w:bookmarkStart w:id="94" w:name="_Toc15396625"/>
      <w:bookmarkStart w:id="95" w:name="_Toc1377020344"/>
      <w:r>
        <w:rPr>
          <w:rStyle w:val="31"/>
          <w:rFonts w:hint="eastAsia" w:ascii="仿宋" w:hAnsi="仿宋" w:eastAsia="仿宋"/>
          <w:b w:val="0"/>
          <w:bCs w:val="0"/>
        </w:rPr>
        <w:t>七、</w:t>
      </w:r>
      <w:r>
        <w:rPr>
          <w:rFonts w:hint="eastAsia" w:ascii="仿宋" w:hAnsi="仿宋" w:eastAsia="仿宋"/>
          <w:b w:val="0"/>
        </w:rPr>
        <w:t>一</w:t>
      </w:r>
      <w:r>
        <w:rPr>
          <w:rStyle w:val="31"/>
          <w:rFonts w:hint="eastAsia" w:ascii="仿宋" w:hAnsi="仿宋" w:eastAsia="仿宋"/>
          <w:b w:val="0"/>
          <w:bCs w:val="0"/>
        </w:rPr>
        <w:t>般公共预算财政拨款支出决算明细表</w:t>
      </w:r>
      <w:bookmarkEnd w:id="94"/>
      <w:bookmarkEnd w:id="95"/>
    </w:p>
    <w:p>
      <w:pPr>
        <w:pStyle w:val="5"/>
        <w:rPr>
          <w:rFonts w:ascii="仿宋" w:hAnsi="仿宋" w:eastAsia="仿宋"/>
        </w:rPr>
      </w:pPr>
      <w:bookmarkStart w:id="96" w:name="_Toc15396626"/>
      <w:bookmarkStart w:id="97" w:name="_Toc1475793706"/>
      <w:r>
        <w:rPr>
          <w:rStyle w:val="31"/>
          <w:rFonts w:hint="eastAsia" w:ascii="仿宋" w:hAnsi="仿宋" w:eastAsia="仿宋"/>
          <w:b w:val="0"/>
          <w:bCs w:val="0"/>
        </w:rPr>
        <w:t>八、</w:t>
      </w:r>
      <w:r>
        <w:rPr>
          <w:rFonts w:hint="eastAsia" w:ascii="仿宋" w:hAnsi="仿宋" w:eastAsia="仿宋"/>
          <w:b w:val="0"/>
        </w:rPr>
        <w:t>一</w:t>
      </w:r>
      <w:r>
        <w:rPr>
          <w:rStyle w:val="31"/>
          <w:rFonts w:hint="eastAsia" w:ascii="仿宋" w:hAnsi="仿宋" w:eastAsia="仿宋"/>
          <w:b w:val="0"/>
          <w:bCs w:val="0"/>
        </w:rPr>
        <w:t>般公共预算财政拨款基本支出决算表</w:t>
      </w:r>
      <w:bookmarkEnd w:id="96"/>
      <w:bookmarkEnd w:id="97"/>
    </w:p>
    <w:p>
      <w:pPr>
        <w:pStyle w:val="5"/>
        <w:rPr>
          <w:rFonts w:ascii="仿宋" w:hAnsi="仿宋" w:eastAsia="仿宋"/>
        </w:rPr>
      </w:pPr>
      <w:bookmarkStart w:id="98" w:name="_Toc15396627"/>
      <w:bookmarkStart w:id="99" w:name="_Toc1523469417"/>
      <w:r>
        <w:rPr>
          <w:rStyle w:val="31"/>
          <w:rFonts w:hint="eastAsia" w:ascii="仿宋" w:hAnsi="仿宋" w:eastAsia="仿宋"/>
          <w:b w:val="0"/>
          <w:bCs w:val="0"/>
        </w:rPr>
        <w:t>九、</w:t>
      </w:r>
      <w:r>
        <w:rPr>
          <w:rFonts w:hint="eastAsia" w:ascii="仿宋" w:hAnsi="仿宋" w:eastAsia="仿宋"/>
          <w:b w:val="0"/>
        </w:rPr>
        <w:t>一</w:t>
      </w:r>
      <w:r>
        <w:rPr>
          <w:rStyle w:val="31"/>
          <w:rFonts w:hint="eastAsia" w:ascii="仿宋" w:hAnsi="仿宋" w:eastAsia="仿宋"/>
          <w:b w:val="0"/>
          <w:bCs w:val="0"/>
        </w:rPr>
        <w:t>般公共预算财政拨款项目支出决算表</w:t>
      </w:r>
      <w:bookmarkEnd w:id="98"/>
      <w:bookmarkEnd w:id="99"/>
    </w:p>
    <w:p>
      <w:pPr>
        <w:pStyle w:val="5"/>
        <w:rPr>
          <w:rFonts w:ascii="仿宋" w:hAnsi="仿宋" w:eastAsia="仿宋"/>
        </w:rPr>
      </w:pPr>
      <w:bookmarkStart w:id="100" w:name="_Toc15396628"/>
      <w:bookmarkStart w:id="101" w:name="_Toc1210821011"/>
      <w:r>
        <w:rPr>
          <w:rStyle w:val="31"/>
          <w:rFonts w:hint="eastAsia" w:ascii="仿宋" w:hAnsi="仿宋" w:eastAsia="仿宋"/>
          <w:b w:val="0"/>
          <w:bCs w:val="0"/>
        </w:rPr>
        <w:t>十、</w:t>
      </w:r>
      <w:r>
        <w:rPr>
          <w:rFonts w:hint="eastAsia" w:ascii="仿宋" w:hAnsi="仿宋" w:eastAsia="仿宋"/>
          <w:b w:val="0"/>
        </w:rPr>
        <w:t>一</w:t>
      </w:r>
      <w:r>
        <w:rPr>
          <w:rStyle w:val="31"/>
          <w:rFonts w:hint="eastAsia" w:ascii="仿宋" w:hAnsi="仿宋" w:eastAsia="仿宋"/>
          <w:b w:val="0"/>
          <w:bCs w:val="0"/>
        </w:rPr>
        <w:t>般公共预算财政拨款“三公”经费支出决算表</w:t>
      </w:r>
      <w:bookmarkEnd w:id="100"/>
      <w:bookmarkEnd w:id="101"/>
    </w:p>
    <w:p>
      <w:pPr>
        <w:pStyle w:val="5"/>
        <w:rPr>
          <w:rFonts w:ascii="仿宋" w:hAnsi="仿宋" w:eastAsia="仿宋"/>
        </w:rPr>
      </w:pPr>
      <w:bookmarkStart w:id="102" w:name="_Toc15396629"/>
      <w:bookmarkStart w:id="103" w:name="_Toc1473829370"/>
      <w:r>
        <w:rPr>
          <w:rStyle w:val="31"/>
          <w:rFonts w:hint="eastAsia" w:ascii="仿宋" w:hAnsi="仿宋" w:eastAsia="仿宋"/>
          <w:b w:val="0"/>
          <w:bCs w:val="0"/>
        </w:rPr>
        <w:t>十一、</w:t>
      </w:r>
      <w:r>
        <w:rPr>
          <w:rFonts w:hint="eastAsia" w:ascii="仿宋" w:hAnsi="仿宋" w:eastAsia="仿宋"/>
          <w:b w:val="0"/>
        </w:rPr>
        <w:t>政</w:t>
      </w:r>
      <w:r>
        <w:rPr>
          <w:rStyle w:val="31"/>
          <w:rFonts w:hint="eastAsia" w:ascii="仿宋" w:hAnsi="仿宋" w:eastAsia="仿宋"/>
          <w:b w:val="0"/>
          <w:bCs w:val="0"/>
        </w:rPr>
        <w:t>府性基金预算财政拨款收入支出决算表</w:t>
      </w:r>
      <w:bookmarkEnd w:id="102"/>
      <w:bookmarkEnd w:id="103"/>
    </w:p>
    <w:p>
      <w:pPr>
        <w:pStyle w:val="5"/>
        <w:rPr>
          <w:rFonts w:ascii="仿宋" w:hAnsi="仿宋" w:eastAsia="仿宋"/>
        </w:rPr>
      </w:pPr>
      <w:bookmarkStart w:id="104" w:name="_Toc1479819582"/>
      <w:bookmarkStart w:id="105" w:name="_Toc15396630"/>
      <w:r>
        <w:rPr>
          <w:rStyle w:val="31"/>
          <w:rFonts w:hint="eastAsia" w:ascii="仿宋" w:hAnsi="仿宋" w:eastAsia="仿宋"/>
          <w:b w:val="0"/>
          <w:bCs w:val="0"/>
        </w:rPr>
        <w:t>十二、</w:t>
      </w:r>
      <w:r>
        <w:rPr>
          <w:rFonts w:hint="eastAsia" w:ascii="仿宋" w:hAnsi="仿宋" w:eastAsia="仿宋"/>
          <w:b w:val="0"/>
        </w:rPr>
        <w:t>政</w:t>
      </w:r>
      <w:r>
        <w:rPr>
          <w:rStyle w:val="31"/>
          <w:rFonts w:hint="eastAsia" w:ascii="仿宋" w:hAnsi="仿宋" w:eastAsia="仿宋"/>
          <w:b w:val="0"/>
          <w:bCs w:val="0"/>
        </w:rPr>
        <w:t>府性基金预算财政拨款“三公”经费支出决算表</w:t>
      </w:r>
      <w:bookmarkEnd w:id="104"/>
      <w:bookmarkEnd w:id="105"/>
    </w:p>
    <w:p>
      <w:pPr>
        <w:pStyle w:val="5"/>
        <w:rPr>
          <w:rStyle w:val="31"/>
          <w:rFonts w:ascii="仿宋" w:hAnsi="仿宋" w:eastAsia="仿宋"/>
          <w:b w:val="0"/>
          <w:bCs w:val="0"/>
        </w:rPr>
      </w:pPr>
      <w:bookmarkStart w:id="106" w:name="_Toc1657336922"/>
      <w:bookmarkStart w:id="107" w:name="_Toc15396631"/>
      <w:r>
        <w:rPr>
          <w:rStyle w:val="31"/>
          <w:rFonts w:hint="eastAsia" w:ascii="仿宋" w:hAnsi="仿宋" w:eastAsia="仿宋"/>
          <w:b w:val="0"/>
          <w:bCs w:val="0"/>
        </w:rPr>
        <w:t>十三、</w:t>
      </w:r>
      <w:r>
        <w:rPr>
          <w:rFonts w:hint="eastAsia" w:ascii="仿宋" w:hAnsi="仿宋" w:eastAsia="仿宋"/>
          <w:b w:val="0"/>
        </w:rPr>
        <w:t>国</w:t>
      </w:r>
      <w:r>
        <w:rPr>
          <w:rStyle w:val="31"/>
          <w:rFonts w:hint="eastAsia" w:ascii="仿宋" w:hAnsi="仿宋" w:eastAsia="仿宋"/>
          <w:b w:val="0"/>
          <w:bCs w:val="0"/>
        </w:rPr>
        <w:t>有资本经营预算财政拨款收入支出决算表</w:t>
      </w:r>
      <w:bookmarkEnd w:id="106"/>
      <w:bookmarkEnd w:id="107"/>
    </w:p>
    <w:p>
      <w:pPr>
        <w:rPr>
          <w:rFonts w:eastAsia="仿宋"/>
        </w:rPr>
      </w:pPr>
      <w:bookmarkStart w:id="108" w:name="_Toc1458959484"/>
      <w:r>
        <w:rPr>
          <w:rStyle w:val="31"/>
          <w:rFonts w:hint="eastAsia" w:ascii="仿宋" w:hAnsi="仿宋" w:eastAsia="仿宋"/>
          <w:b w:val="0"/>
          <w:bCs w:val="0"/>
        </w:rPr>
        <w:t>十四、国有资本经营预算财政拨款支出决算表</w:t>
      </w:r>
      <w:bookmarkEnd w:id="108"/>
    </w:p>
    <w:sectPr>
      <w:footerReference r:id="rId5" w:type="firs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幼圆">
    <w:altName w:val="仿宋_GB2312"/>
    <w:panose1 w:val="02010509060101010101"/>
    <w:charset w:val="86"/>
    <w:family w:val="modern"/>
    <w:pitch w:val="default"/>
    <w:sig w:usb0="00000000" w:usb1="00000000" w:usb2="00000000" w:usb3="00000000" w:csb0="00040000" w:csb1="00000000"/>
  </w:font>
  <w:font w:name="方正小标宋简体">
    <w:altName w:val="方正小标宋_GBK"/>
    <w:panose1 w:val="02010601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roid Sans">
    <w:altName w:val="华文中宋"/>
    <w:panose1 w:val="00000000000000000000"/>
    <w:charset w:val="00"/>
    <w:family w:val="auto"/>
    <w:pitch w:val="default"/>
    <w:sig w:usb0="00000000" w:usb1="00000000" w:usb2="00000000" w:usb3="00000000" w:csb0="00040001" w:csb1="00000000"/>
  </w:font>
  <w:font w:name="方正小标宋_GBK">
    <w:panose1 w:val="02000000000000000000"/>
    <w:charset w:val="86"/>
    <w:family w:val="auto"/>
    <w:pitch w:val="default"/>
    <w:sig w:usb0="A00002BF" w:usb1="38CF7CFA" w:usb2="00082016" w:usb3="00000000" w:csb0="00040001" w:csb1="00000000"/>
  </w:font>
  <w:font w:name="Comic Sans MS">
    <w:panose1 w:val="030F0702030302020204"/>
    <w:charset w:val="00"/>
    <w:family w:val="auto"/>
    <w:pitch w:val="default"/>
    <w:sig w:usb0="00000287" w:usb1="00000000" w:usb2="00000000" w:usb3="00000000" w:csb0="2000009F" w:csb1="00000000"/>
  </w:font>
  <w:font w:name="Lucida Sans">
    <w:panose1 w:val="020B0602030504020204"/>
    <w:charset w:val="00"/>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 w:name="微软雅黑">
    <w:altName w:val="黑体"/>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61007A87" w:usb1="80000000" w:usb2="00000008" w:usb3="00000000" w:csb0="200101FF" w:csb1="20280000"/>
  </w:font>
  <w:font w:name="Noto Sans Syriac Eastern">
    <w:panose1 w:val="02040503050306020203"/>
    <w:charset w:val="86"/>
    <w:family w:val="auto"/>
    <w:pitch w:val="default"/>
    <w:sig w:usb0="00000000" w:usb1="00000000" w:usb2="00000080" w:usb3="00000000" w:csb0="203E0161" w:csb1="D7FF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994781956"/>
                          </w:sdtPr>
                          <w:sdtContent>
                            <w:p>
                              <w:pPr>
                                <w:pStyle w:val="11"/>
                                <w:jc w:val="center"/>
                              </w:pPr>
                              <w:r>
                                <w:fldChar w:fldCharType="begin"/>
                              </w:r>
                              <w:r>
                                <w:instrText xml:space="preserve">PAGE   \* MERGEFORMAT</w:instrText>
                              </w:r>
                              <w:r>
                                <w:fldChar w:fldCharType="separate"/>
                              </w:r>
                              <w:r>
                                <w:rPr>
                                  <w:lang w:val="zh-CN"/>
                                </w:rPr>
                                <w:t>61</w:t>
                              </w:r>
                              <w:r>
                                <w:fldChar w:fldCharType="end"/>
                              </w:r>
                            </w:p>
                          </w:sdtContent>
                        </w:sdt>
                        <w:p>
                          <w:pPr>
                            <w:pStyle w:val="2"/>
                            <w:spacing w:before="7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DniKxQ4AgAAbwQAAA4AAAAAAAAA&#10;AQAgAAAANQEAAGRycy9lMm9Eb2MueG1sUEsFBgAAAAAGAAYAWQEAAN8FAAAAAA==&#10;">
              <v:fill on="f" focussize="0,0"/>
              <v:stroke on="f" weight="0.5pt"/>
              <v:imagedata o:title=""/>
              <o:lock v:ext="edit" aspectratio="f"/>
              <v:textbox inset="0mm,0mm,0mm,0mm" style="mso-fit-shape-to-text:t;">
                <w:txbxContent>
                  <w:sdt>
                    <w:sdtPr>
                      <w:id w:val="-1994781956"/>
                    </w:sdtPr>
                    <w:sdtContent>
                      <w:p>
                        <w:pPr>
                          <w:pStyle w:val="11"/>
                          <w:jc w:val="center"/>
                        </w:pPr>
                        <w:r>
                          <w:fldChar w:fldCharType="begin"/>
                        </w:r>
                        <w:r>
                          <w:instrText xml:space="preserve">PAGE   \* MERGEFORMAT</w:instrText>
                        </w:r>
                        <w:r>
                          <w:fldChar w:fldCharType="separate"/>
                        </w:r>
                        <w:r>
                          <w:rPr>
                            <w:lang w:val="zh-CN"/>
                          </w:rPr>
                          <w:t>61</w:t>
                        </w:r>
                        <w:r>
                          <w:fldChar w:fldCharType="end"/>
                        </w:r>
                      </w:p>
                    </w:sdtContent>
                  </w:sdt>
                  <w:p>
                    <w:pPr>
                      <w:pStyle w:val="2"/>
                      <w:spacing w:before="72"/>
                    </w:pP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2oy/PTcCAABvBAAADgAAAAAAAAAB&#10;ACAAAAA1AQAAZHJzL2Uyb0RvYy54bWxQSwUGAAAAAAYABgBZAQAA3g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FFDB2CBE"/>
    <w:multiLevelType w:val="singleLevel"/>
    <w:tmpl w:val="FFDB2CBE"/>
    <w:lvl w:ilvl="0" w:tentative="0">
      <w:start w:val="1"/>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优钵罗华86nlss">
    <w15:presenceInfo w15:providerId="WPS Office" w15:userId="2559621149"/>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dit="forms"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3NTEzYzljN2M2YzY0ZWQxYzFiZDJkNGZmYWE0MD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4527"/>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75A2F"/>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621D4"/>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1D10"/>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A2032A3"/>
    <w:rsid w:val="0B8A37D8"/>
    <w:rsid w:val="10C055FF"/>
    <w:rsid w:val="118107EC"/>
    <w:rsid w:val="11DD6519"/>
    <w:rsid w:val="16BB723D"/>
    <w:rsid w:val="18015F3F"/>
    <w:rsid w:val="1BE8440E"/>
    <w:rsid w:val="1D155CEE"/>
    <w:rsid w:val="20F57F95"/>
    <w:rsid w:val="240371BF"/>
    <w:rsid w:val="257F0036"/>
    <w:rsid w:val="25C741E6"/>
    <w:rsid w:val="260120E0"/>
    <w:rsid w:val="27842671"/>
    <w:rsid w:val="29FD04D3"/>
    <w:rsid w:val="2ABE7A3E"/>
    <w:rsid w:val="2EF7A299"/>
    <w:rsid w:val="2EFA178C"/>
    <w:rsid w:val="30B46D73"/>
    <w:rsid w:val="319F7F4E"/>
    <w:rsid w:val="39AE70AB"/>
    <w:rsid w:val="3C0C0783"/>
    <w:rsid w:val="3F795B0E"/>
    <w:rsid w:val="3F9F3A96"/>
    <w:rsid w:val="3FCF2ADB"/>
    <w:rsid w:val="40350D30"/>
    <w:rsid w:val="43672A72"/>
    <w:rsid w:val="493C27E9"/>
    <w:rsid w:val="496F39ED"/>
    <w:rsid w:val="49FF41D3"/>
    <w:rsid w:val="4A185DC8"/>
    <w:rsid w:val="4BE068DB"/>
    <w:rsid w:val="4BF6002B"/>
    <w:rsid w:val="4ECE2238"/>
    <w:rsid w:val="51DB4B86"/>
    <w:rsid w:val="53D904F0"/>
    <w:rsid w:val="55333C3E"/>
    <w:rsid w:val="55EFDE9E"/>
    <w:rsid w:val="58FD1754"/>
    <w:rsid w:val="5EDEEA6B"/>
    <w:rsid w:val="5F7ABFBD"/>
    <w:rsid w:val="64CA39A1"/>
    <w:rsid w:val="67EE37B8"/>
    <w:rsid w:val="67FFC158"/>
    <w:rsid w:val="6C4A05C8"/>
    <w:rsid w:val="6D9FD42C"/>
    <w:rsid w:val="6DBF2240"/>
    <w:rsid w:val="6DFB481E"/>
    <w:rsid w:val="6F7F8462"/>
    <w:rsid w:val="72734D90"/>
    <w:rsid w:val="75FD6D55"/>
    <w:rsid w:val="79E7B28D"/>
    <w:rsid w:val="7BDA8148"/>
    <w:rsid w:val="7C775BAB"/>
    <w:rsid w:val="7C9650D7"/>
    <w:rsid w:val="7DDFE4FC"/>
    <w:rsid w:val="7DFB3F61"/>
    <w:rsid w:val="7DFF10CE"/>
    <w:rsid w:val="7EFF7370"/>
    <w:rsid w:val="7F9F20EE"/>
    <w:rsid w:val="7FDFAEDF"/>
    <w:rsid w:val="8D1DF71D"/>
    <w:rsid w:val="9E3A10E2"/>
    <w:rsid w:val="AAEFE69B"/>
    <w:rsid w:val="AF6F1CB6"/>
    <w:rsid w:val="AFBF5F7D"/>
    <w:rsid w:val="B2BF86AF"/>
    <w:rsid w:val="BFF2276F"/>
    <w:rsid w:val="CFDF5580"/>
    <w:rsid w:val="D5F33DAE"/>
    <w:rsid w:val="D9E6CC1F"/>
    <w:rsid w:val="DF6E96B5"/>
    <w:rsid w:val="E7A7137E"/>
    <w:rsid w:val="ED7B8938"/>
    <w:rsid w:val="F2E1F9D4"/>
    <w:rsid w:val="F6FB008D"/>
    <w:rsid w:val="F7880819"/>
    <w:rsid w:val="F7DFAB71"/>
    <w:rsid w:val="F97F5B22"/>
    <w:rsid w:val="FAD73942"/>
    <w:rsid w:val="FBD5AE28"/>
    <w:rsid w:val="FBFB7EEC"/>
    <w:rsid w:val="FCDF8112"/>
    <w:rsid w:val="FD763417"/>
    <w:rsid w:val="FEFABF27"/>
    <w:rsid w:val="FEFECF26"/>
    <w:rsid w:val="FF6AE3C4"/>
    <w:rsid w:val="FFDDAB17"/>
    <w:rsid w:val="FFDFFEF0"/>
    <w:rsid w:val="FFFD586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4"/>
    <w:unhideWhenUsed/>
    <w:qFormat/>
    <w:uiPriority w:val="9"/>
    <w:pPr>
      <w:keepNext/>
      <w:keepLines/>
      <w:spacing w:before="260" w:after="260" w:line="416" w:lineRule="auto"/>
      <w:outlineLvl w:val="2"/>
    </w:pPr>
    <w:rPr>
      <w:b/>
      <w:bCs/>
      <w:sz w:val="32"/>
      <w:szCs w:val="32"/>
    </w:rPr>
  </w:style>
  <w:style w:type="paragraph" w:styleId="7">
    <w:name w:val="heading 4"/>
    <w:basedOn w:val="1"/>
    <w:next w:val="1"/>
    <w:unhideWhenUsed/>
    <w:qFormat/>
    <w:uiPriority w:val="9"/>
    <w:pPr>
      <w:keepNext/>
      <w:keepLines/>
      <w:spacing w:line="372" w:lineRule="auto"/>
      <w:outlineLvl w:val="3"/>
    </w:pPr>
    <w:rPr>
      <w:rFonts w:ascii="Arial" w:hAnsi="Arial" w:eastAsia="黑体"/>
      <w:b/>
      <w:sz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7"/>
    <w:qFormat/>
    <w:uiPriority w:val="99"/>
    <w:pPr>
      <w:spacing w:beforeLines="30"/>
    </w:pPr>
    <w:rPr>
      <w:rFonts w:ascii="仿宋_GB2312" w:eastAsia="仿宋_GB2312"/>
      <w:kern w:val="0"/>
      <w:sz w:val="30"/>
    </w:rPr>
  </w:style>
  <w:style w:type="paragraph" w:styleId="3">
    <w:name w:val="Body Text First Indent"/>
    <w:basedOn w:val="2"/>
    <w:qFormat/>
    <w:uiPriority w:val="0"/>
    <w:pPr>
      <w:spacing w:after="120"/>
      <w:ind w:firstLine="100" w:firstLineChars="100"/>
    </w:pPr>
    <w:rPr>
      <w:rFonts w:ascii="Times New Roman"/>
      <w:sz w:val="32"/>
      <w:szCs w:val="20"/>
    </w:rPr>
  </w:style>
  <w:style w:type="paragraph" w:styleId="8">
    <w:name w:val="Body Text Indent"/>
    <w:basedOn w:val="1"/>
    <w:qFormat/>
    <w:uiPriority w:val="0"/>
    <w:pPr>
      <w:spacing w:after="120"/>
      <w:ind w:left="420" w:left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3"/>
    <w:unhideWhenUsed/>
    <w:qFormat/>
    <w:uiPriority w:val="99"/>
    <w:rPr>
      <w:sz w:val="18"/>
      <w:szCs w:val="18"/>
    </w:rPr>
  </w:style>
  <w:style w:type="paragraph" w:styleId="11">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able of figures"/>
    <w:basedOn w:val="1"/>
    <w:next w:val="1"/>
    <w:qFormat/>
    <w:uiPriority w:val="0"/>
    <w:pPr>
      <w:ind w:left="200" w:leftChars="200" w:hanging="200" w:hangingChars="200"/>
    </w:p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qFormat/>
    <w:uiPriority w:val="0"/>
    <w:pPr>
      <w:spacing w:beforeAutospacing="1" w:afterAutospacing="1"/>
      <w:jc w:val="left"/>
    </w:pPr>
    <w:rPr>
      <w:kern w:val="0"/>
      <w:sz w:val="24"/>
    </w:rPr>
  </w:style>
  <w:style w:type="paragraph" w:styleId="17">
    <w:name w:val="Body Text First Indent 2"/>
    <w:basedOn w:val="8"/>
    <w:qFormat/>
    <w:uiPriority w:val="0"/>
    <w:pPr>
      <w:tabs>
        <w:tab w:val="left" w:pos="0"/>
        <w:tab w:val="left" w:pos="420"/>
      </w:tabs>
      <w:wordWrap w:val="0"/>
      <w:topLinePunct/>
      <w:spacing w:line="360" w:lineRule="auto"/>
      <w:ind w:firstLine="480" w:firstLineChars="200"/>
    </w:pPr>
    <w:rPr>
      <w:rFonts w:ascii="幼圆" w:eastAsia="幼圆"/>
      <w:bCs/>
      <w:color w:val="000000"/>
      <w:spacing w:val="20"/>
      <w:sz w:val="24"/>
    </w:rPr>
  </w:style>
  <w:style w:type="character" w:styleId="20">
    <w:name w:val="Strong"/>
    <w:basedOn w:val="19"/>
    <w:qFormat/>
    <w:uiPriority w:val="99"/>
    <w:rPr>
      <w:b/>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customStyle="1" w:styleId="22">
    <w:name w:val="Header Char"/>
    <w:basedOn w:val="19"/>
    <w:semiHidden/>
    <w:qFormat/>
    <w:uiPriority w:val="99"/>
    <w:rPr>
      <w:rFonts w:ascii="Times New Roman" w:hAnsi="Times New Roman"/>
      <w:sz w:val="18"/>
      <w:szCs w:val="18"/>
    </w:rPr>
  </w:style>
  <w:style w:type="character" w:customStyle="1" w:styleId="23">
    <w:name w:val="页眉 Char"/>
    <w:link w:val="12"/>
    <w:semiHidden/>
    <w:qFormat/>
    <w:locked/>
    <w:uiPriority w:val="99"/>
    <w:rPr>
      <w:sz w:val="18"/>
    </w:rPr>
  </w:style>
  <w:style w:type="character" w:customStyle="1" w:styleId="24">
    <w:name w:val="Footer Char"/>
    <w:basedOn w:val="19"/>
    <w:semiHidden/>
    <w:qFormat/>
    <w:uiPriority w:val="99"/>
    <w:rPr>
      <w:rFonts w:ascii="Times New Roman" w:hAnsi="Times New Roman"/>
      <w:sz w:val="18"/>
      <w:szCs w:val="18"/>
    </w:rPr>
  </w:style>
  <w:style w:type="character" w:customStyle="1" w:styleId="25">
    <w:name w:val="页脚 Char"/>
    <w:link w:val="11"/>
    <w:qFormat/>
    <w:locked/>
    <w:uiPriority w:val="99"/>
    <w:rPr>
      <w:sz w:val="18"/>
    </w:rPr>
  </w:style>
  <w:style w:type="character" w:customStyle="1" w:styleId="26">
    <w:name w:val="Body Text Char"/>
    <w:basedOn w:val="19"/>
    <w:semiHidden/>
    <w:qFormat/>
    <w:uiPriority w:val="99"/>
    <w:rPr>
      <w:rFonts w:ascii="Times New Roman" w:hAnsi="Times New Roman"/>
      <w:szCs w:val="24"/>
    </w:rPr>
  </w:style>
  <w:style w:type="character" w:customStyle="1" w:styleId="27">
    <w:name w:val="正文文本 Char"/>
    <w:link w:val="2"/>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9">
    <w:name w:val="列出段落1"/>
    <w:basedOn w:val="1"/>
    <w:qFormat/>
    <w:uiPriority w:val="34"/>
    <w:pPr>
      <w:ind w:firstLine="420" w:firstLineChars="200"/>
    </w:pPr>
  </w:style>
  <w:style w:type="character" w:customStyle="1" w:styleId="30">
    <w:name w:val="标题 1 Char"/>
    <w:basedOn w:val="19"/>
    <w:link w:val="4"/>
    <w:qFormat/>
    <w:uiPriority w:val="9"/>
    <w:rPr>
      <w:rFonts w:ascii="Times New Roman" w:hAnsi="Times New Roman"/>
      <w:b/>
      <w:bCs/>
      <w:kern w:val="44"/>
      <w:sz w:val="44"/>
      <w:szCs w:val="44"/>
    </w:rPr>
  </w:style>
  <w:style w:type="character" w:customStyle="1" w:styleId="31">
    <w:name w:val="标题 2 Char"/>
    <w:basedOn w:val="19"/>
    <w:link w:val="5"/>
    <w:qFormat/>
    <w:uiPriority w:val="9"/>
    <w:rPr>
      <w:rFonts w:asciiTheme="majorHAnsi" w:hAnsiTheme="majorHAnsi" w:eastAsiaTheme="majorEastAsia" w:cstheme="majorBidi"/>
      <w:b/>
      <w:bCs/>
      <w:kern w:val="2"/>
      <w:sz w:val="32"/>
      <w:szCs w:val="32"/>
    </w:rPr>
  </w:style>
  <w:style w:type="paragraph" w:customStyle="1" w:styleId="32">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9"/>
    <w:link w:val="10"/>
    <w:semiHidden/>
    <w:qFormat/>
    <w:uiPriority w:val="99"/>
    <w:rPr>
      <w:rFonts w:ascii="Times New Roman" w:hAnsi="Times New Roman"/>
      <w:kern w:val="2"/>
      <w:sz w:val="18"/>
      <w:szCs w:val="18"/>
    </w:rPr>
  </w:style>
  <w:style w:type="character" w:customStyle="1" w:styleId="34">
    <w:name w:val="标题 3 Char"/>
    <w:basedOn w:val="19"/>
    <w:link w:val="6"/>
    <w:qFormat/>
    <w:uiPriority w:val="9"/>
    <w:rPr>
      <w:rFonts w:ascii="Times New Roman" w:hAnsi="Times New Roman"/>
      <w:b/>
      <w:bCs/>
      <w:kern w:val="2"/>
      <w:sz w:val="32"/>
      <w:szCs w:val="32"/>
    </w:rPr>
  </w:style>
  <w:style w:type="paragraph" w:customStyle="1" w:styleId="35">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font11"/>
    <w:basedOn w:val="19"/>
    <w:qFormat/>
    <w:uiPriority w:val="0"/>
    <w:rPr>
      <w:rFonts w:hint="eastAsia" w:ascii="宋体" w:hAnsi="宋体" w:eastAsia="宋体" w:cs="宋体"/>
      <w:color w:val="000000"/>
      <w:sz w:val="18"/>
      <w:szCs w:val="18"/>
      <w:u w:val="none"/>
    </w:rPr>
  </w:style>
  <w:style w:type="character" w:customStyle="1" w:styleId="37">
    <w:name w:val="font21"/>
    <w:basedOn w:val="19"/>
    <w:qFormat/>
    <w:uiPriority w:val="0"/>
    <w:rPr>
      <w:rFonts w:hint="default" w:ascii="Times New Roman" w:hAnsi="Times New Roman" w:cs="Times New Roman"/>
      <w:color w:val="000000"/>
      <w:sz w:val="18"/>
      <w:szCs w:val="18"/>
      <w:u w:val="none"/>
    </w:rPr>
  </w:style>
  <w:style w:type="character" w:customStyle="1" w:styleId="38">
    <w:name w:val="font41"/>
    <w:basedOn w:val="19"/>
    <w:qFormat/>
    <w:uiPriority w:val="0"/>
    <w:rPr>
      <w:rFonts w:hint="eastAsia" w:ascii="宋体" w:hAnsi="宋体" w:eastAsia="宋体" w:cs="宋体"/>
      <w:color w:val="000000"/>
      <w:sz w:val="18"/>
      <w:szCs w:val="18"/>
      <w:u w:val="none"/>
    </w:rPr>
  </w:style>
  <w:style w:type="character" w:customStyle="1" w:styleId="39">
    <w:name w:val="font01"/>
    <w:basedOn w:val="19"/>
    <w:qFormat/>
    <w:uiPriority w:val="0"/>
    <w:rPr>
      <w:rFonts w:hint="default" w:ascii="Times New Roman" w:hAnsi="Times New Roman" w:cs="Times New Roman"/>
      <w:color w:val="000000"/>
      <w:sz w:val="18"/>
      <w:szCs w:val="18"/>
      <w:u w:val="none"/>
    </w:rPr>
  </w:style>
  <w:style w:type="paragraph" w:customStyle="1" w:styleId="40">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收、支总计</c:v>
                </c:pt>
              </c:strCache>
            </c:strRef>
          </c:tx>
          <c:invertIfNegative val="0"/>
          <c:dLbls>
            <c:delete val="1"/>
          </c:dLbls>
          <c:cat>
            <c:strRef>
              <c:f>Sheet1!$A$2</c:f>
              <c:strCache>
                <c:ptCount val="1"/>
                <c:pt idx="0">
                  <c:v>2021年</c:v>
                </c:pt>
              </c:strCache>
            </c:strRef>
          </c:cat>
          <c:val>
            <c:numRef>
              <c:f>Sheet1!$B$2</c:f>
              <c:numCache>
                <c:formatCode>General</c:formatCode>
                <c:ptCount val="1"/>
                <c:pt idx="0">
                  <c:v>1772.14</c:v>
                </c:pt>
              </c:numCache>
            </c:numRef>
          </c:val>
        </c:ser>
        <c:dLbls>
          <c:showLegendKey val="0"/>
          <c:showVal val="0"/>
          <c:showCatName val="0"/>
          <c:showSerName val="0"/>
          <c:showPercent val="0"/>
          <c:showBubbleSize val="0"/>
        </c:dLbls>
        <c:gapWidth val="150"/>
        <c:axId val="184136832"/>
        <c:axId val="184138368"/>
      </c:barChart>
      <c:catAx>
        <c:axId val="18413683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4138368"/>
        <c:crosses val="autoZero"/>
        <c:auto val="1"/>
        <c:lblAlgn val="ctr"/>
        <c:lblOffset val="100"/>
        <c:noMultiLvlLbl val="0"/>
      </c:catAx>
      <c:valAx>
        <c:axId val="1841383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413683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c:v>
                </c:pt>
              </c:strCache>
            </c:strRef>
          </c:tx>
          <c:explosion val="0"/>
          <c:dPt>
            <c:idx val="0"/>
            <c:bubble3D val="0"/>
            <c:explosion val="9"/>
          </c:dPt>
          <c:dLbls>
            <c:delete val="1"/>
          </c:dLbls>
          <c:cat>
            <c:strRef>
              <c:f>Sheet1!$A$2</c:f>
              <c:strCache>
                <c:ptCount val="1"/>
                <c:pt idx="0">
                  <c:v>一般公共预算财政拨款收入</c:v>
                </c:pt>
              </c:strCache>
            </c:strRef>
          </c:cat>
          <c:val>
            <c:numRef>
              <c:f>Sheet1!$B$2</c:f>
              <c:numCache>
                <c:formatCode>General</c:formatCode>
                <c:ptCount val="1"/>
                <c:pt idx="0">
                  <c:v>1754.27</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c:v>
                </c:pt>
              </c:strCache>
            </c:strRef>
          </c:tx>
          <c:explosion val="0"/>
          <c:dPt>
            <c:idx val="0"/>
            <c:bubble3D val="0"/>
          </c:dPt>
          <c:dPt>
            <c:idx val="1"/>
            <c:bubble3D val="0"/>
          </c:dPt>
          <c:dLbls>
            <c:delete val="1"/>
          </c:dLbls>
          <c:cat>
            <c:strRef>
              <c:f>Sheet1!$A$2:$A$3</c:f>
              <c:strCache>
                <c:ptCount val="2"/>
                <c:pt idx="0">
                  <c:v>基本支出</c:v>
                </c:pt>
                <c:pt idx="1">
                  <c:v>项目支出</c:v>
                </c:pt>
              </c:strCache>
            </c:strRef>
          </c:cat>
          <c:val>
            <c:numRef>
              <c:f>Sheet1!$B$2:$B$3</c:f>
              <c:numCache>
                <c:formatCode>General</c:formatCode>
                <c:ptCount val="2"/>
                <c:pt idx="0">
                  <c:v>1474.52</c:v>
                </c:pt>
                <c:pt idx="1">
                  <c:v>286.87</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收、支决算总计</c:v>
                </c:pt>
              </c:strCache>
            </c:strRef>
          </c:tx>
          <c:invertIfNegative val="0"/>
          <c:dLbls>
            <c:delete val="1"/>
          </c:dLbls>
          <c:cat>
            <c:strRef>
              <c:f>Sheet1!$A$2</c:f>
              <c:strCache>
                <c:ptCount val="1"/>
                <c:pt idx="0">
                  <c:v>2021年</c:v>
                </c:pt>
              </c:strCache>
            </c:strRef>
          </c:cat>
          <c:val>
            <c:numRef>
              <c:f>Sheet1!$B$2</c:f>
              <c:numCache>
                <c:formatCode>General</c:formatCode>
                <c:ptCount val="1"/>
                <c:pt idx="0">
                  <c:v>1772.14</c:v>
                </c:pt>
              </c:numCache>
            </c:numRef>
          </c:val>
        </c:ser>
        <c:dLbls>
          <c:showLegendKey val="0"/>
          <c:showVal val="0"/>
          <c:showCatName val="0"/>
          <c:showSerName val="0"/>
          <c:showPercent val="0"/>
          <c:showBubbleSize val="0"/>
        </c:dLbls>
        <c:gapWidth val="150"/>
        <c:axId val="184173696"/>
        <c:axId val="184175232"/>
      </c:barChart>
      <c:catAx>
        <c:axId val="18417369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4175232"/>
        <c:crosses val="autoZero"/>
        <c:auto val="1"/>
        <c:lblAlgn val="ctr"/>
        <c:lblOffset val="100"/>
        <c:noMultiLvlLbl val="0"/>
      </c:catAx>
      <c:valAx>
        <c:axId val="18417523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417369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34067584195847"/>
          <c:y val="0.171321030691597"/>
          <c:w val="0.678617108209416"/>
          <c:h val="0.691317455287129"/>
        </c:manualLayout>
      </c:layout>
      <c:barChart>
        <c:barDir val="col"/>
        <c:grouping val="clustered"/>
        <c:varyColors val="0"/>
        <c:ser>
          <c:idx val="0"/>
          <c:order val="0"/>
          <c:tx>
            <c:strRef>
              <c:f>Sheet1!$B$1</c:f>
              <c:strCache>
                <c:ptCount val="1"/>
                <c:pt idx="0">
                  <c:v>一般公共预算财政拨款支出决算</c:v>
                </c:pt>
              </c:strCache>
            </c:strRef>
          </c:tx>
          <c:invertIfNegative val="0"/>
          <c:dLbls>
            <c:delete val="1"/>
          </c:dLbls>
          <c:cat>
            <c:strRef>
              <c:f>Sheet1!$A$2</c:f>
              <c:strCache>
                <c:ptCount val="1"/>
                <c:pt idx="0">
                  <c:v>2021年</c:v>
                </c:pt>
              </c:strCache>
            </c:strRef>
          </c:cat>
          <c:val>
            <c:numRef>
              <c:f>Sheet1!$B$2</c:f>
              <c:numCache>
                <c:formatCode>General</c:formatCode>
                <c:ptCount val="1"/>
                <c:pt idx="0">
                  <c:v>1761.4</c:v>
                </c:pt>
              </c:numCache>
            </c:numRef>
          </c:val>
        </c:ser>
        <c:dLbls>
          <c:showLegendKey val="0"/>
          <c:showVal val="0"/>
          <c:showCatName val="0"/>
          <c:showSerName val="0"/>
          <c:showPercent val="0"/>
          <c:showBubbleSize val="0"/>
        </c:dLbls>
        <c:gapWidth val="150"/>
        <c:axId val="184224000"/>
        <c:axId val="184233984"/>
      </c:barChart>
      <c:catAx>
        <c:axId val="18422400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4233984"/>
        <c:crosses val="autoZero"/>
        <c:auto val="1"/>
        <c:lblAlgn val="ctr"/>
        <c:lblOffset val="100"/>
        <c:noMultiLvlLbl val="0"/>
      </c:catAx>
      <c:valAx>
        <c:axId val="1842339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4224000"/>
        <c:crosses val="autoZero"/>
        <c:crossBetween val="between"/>
      </c:valAx>
    </c:plotArea>
    <c:legend>
      <c:legendPos val="r"/>
      <c:layout>
        <c:manualLayout>
          <c:xMode val="edge"/>
          <c:yMode val="edge"/>
          <c:x val="0.752023866629001"/>
          <c:y val="0.322980587178925"/>
          <c:w val="0.245568235465872"/>
          <c:h val="0.33917781949083"/>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一般公共预算财政拨款支出</c:v>
                </c:pt>
              </c:strCache>
            </c:strRef>
          </c:tx>
          <c:explosion val="0"/>
          <c:dPt>
            <c:idx val="0"/>
            <c:bubble3D val="0"/>
          </c:dPt>
          <c:dPt>
            <c:idx val="1"/>
            <c:bubble3D val="0"/>
          </c:dPt>
          <c:dPt>
            <c:idx val="2"/>
            <c:bubble3D val="0"/>
          </c:dPt>
          <c:dPt>
            <c:idx val="3"/>
            <c:bubble3D val="0"/>
          </c:dPt>
          <c:dLbls>
            <c:delete val="1"/>
          </c:dLbls>
          <c:cat>
            <c:strRef>
              <c:f>Sheet1!$A$2:$A$5</c:f>
              <c:strCache>
                <c:ptCount val="4"/>
                <c:pt idx="0">
                  <c:v>社会保障和就业（类）支出</c:v>
                </c:pt>
                <c:pt idx="1">
                  <c:v>卫生健康（类）支出</c:v>
                </c:pt>
                <c:pt idx="2">
                  <c:v>交通运输（类）支出</c:v>
                </c:pt>
                <c:pt idx="3">
                  <c:v>住房保障（类）支出</c:v>
                </c:pt>
              </c:strCache>
            </c:strRef>
          </c:cat>
          <c:val>
            <c:numRef>
              <c:f>Sheet1!$B$2:$B$5</c:f>
              <c:numCache>
                <c:formatCode>General</c:formatCode>
                <c:ptCount val="4"/>
                <c:pt idx="0">
                  <c:v>155.82</c:v>
                </c:pt>
                <c:pt idx="1">
                  <c:v>25.75</c:v>
                </c:pt>
                <c:pt idx="2">
                  <c:v>1484.52</c:v>
                </c:pt>
                <c:pt idx="3">
                  <c:v>95.31</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408126946463"/>
          <c:y val="0.23651932423050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“三公”经费财政拨款支出结构</c:v>
                </c:pt>
              </c:strCache>
            </c:strRef>
          </c:tx>
          <c:explosion val="0"/>
          <c:dPt>
            <c:idx val="0"/>
            <c:bubble3D val="0"/>
          </c:dPt>
          <c:dPt>
            <c:idx val="1"/>
            <c:bubble3D val="0"/>
          </c:dPt>
          <c:dLbls>
            <c:delete val="1"/>
          </c:dLbls>
          <c:cat>
            <c:strRef>
              <c:f>Sheet1!$A$2:$A$3</c:f>
              <c:strCache>
                <c:ptCount val="2"/>
                <c:pt idx="0">
                  <c:v>公务用车购置及运行维护费支出</c:v>
                </c:pt>
                <c:pt idx="1">
                  <c:v>公务接待费支出</c:v>
                </c:pt>
              </c:strCache>
            </c:strRef>
          </c:cat>
          <c:val>
            <c:numRef>
              <c:f>Sheet1!$B$2:$B$3</c:f>
              <c:numCache>
                <c:formatCode>General</c:formatCode>
                <c:ptCount val="2"/>
                <c:pt idx="0">
                  <c:v>36.7</c:v>
                </c:pt>
                <c:pt idx="1">
                  <c:v>0.57</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64</Pages>
  <Words>26617</Words>
  <Characters>27811</Characters>
  <Lines>219</Lines>
  <Paragraphs>61</Paragraphs>
  <TotalTime>17</TotalTime>
  <ScaleCrop>false</ScaleCrop>
  <LinksUpToDate>false</LinksUpToDate>
  <CharactersWithSpaces>28018</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2022-10-13T09:38:00Z</dcterms:created>
  <dc:creator>曹颖</dc:creator>
  <cp:lastModifiedBy>user</cp:lastModifiedBy>
  <cp:lastPrinted>2022-08-10T02:23:00Z</cp:lastPrinted>
  <dcterms:modified xsi:type="dcterms:W3CDTF">2023-06-27T11:41:15Z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5600FB881DDB41C38CA35F1CFD461F09</vt:lpwstr>
  </property>
</Properties>
</file>