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425"/>
      <w:bookmarkStart w:id="3" w:name="_Toc15378441"/>
      <w:bookmarkStart w:id="4" w:name="_Toc15396475"/>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78442"/>
      <w:bookmarkStart w:id="8" w:name="_Toc15396598"/>
      <w:bookmarkStart w:id="9" w:name="_Toc15377194"/>
      <w:bookmarkStart w:id="10" w:name="_Toc15396476"/>
      <w:r>
        <w:rPr>
          <w:rFonts w:hint="eastAsia" w:ascii="方正小标宋简体" w:hAnsi="方正小标宋简体" w:eastAsia="方正小标宋简体" w:cs="方正小标宋简体"/>
          <w:color w:val="auto"/>
          <w:sz w:val="72"/>
          <w:szCs w:val="72"/>
          <w:highlight w:val="none"/>
          <w:lang w:val="en-US" w:eastAsia="zh-CN"/>
        </w:rPr>
        <w:t>广元市</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航务管理局苍溪航道段</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pStyle w:val="7"/>
        <w:rPr>
          <w:rFonts w:hint="eastAsia" w:ascii="方正小标宋简体" w:hAnsi="方正小标宋简体" w:eastAsia="方正小标宋简体" w:cs="方正小标宋简体"/>
          <w:color w:val="auto"/>
          <w:sz w:val="72"/>
          <w:szCs w:val="72"/>
          <w:highlight w:val="none"/>
        </w:rPr>
      </w:pPr>
    </w:p>
    <w:p>
      <w:pPr>
        <w:pStyle w:val="7"/>
        <w:rPr>
          <w:rFonts w:hint="eastAsia" w:ascii="方正小标宋简体" w:hAnsi="方正小标宋简体" w:eastAsia="方正小标宋简体" w:cs="方正小标宋简体"/>
          <w:color w:val="auto"/>
          <w:sz w:val="72"/>
          <w:szCs w:val="72"/>
          <w:highlight w:val="none"/>
        </w:rPr>
      </w:pPr>
    </w:p>
    <w:p>
      <w:pPr>
        <w:pStyle w:val="7"/>
        <w:rPr>
          <w:rFonts w:hint="eastAsia" w:ascii="方正小标宋简体" w:hAnsi="方正小标宋简体" w:eastAsia="方正小标宋简体" w:cs="方正小标宋简体"/>
          <w:color w:val="auto"/>
          <w:sz w:val="72"/>
          <w:szCs w:val="72"/>
          <w:highlight w:val="none"/>
        </w:rPr>
      </w:pPr>
    </w:p>
    <w:p>
      <w:pPr>
        <w:pStyle w:val="12"/>
        <w:jc w:val="center"/>
        <w:rPr>
          <w:color w:val="auto"/>
          <w:sz w:val="32"/>
          <w:szCs w:val="32"/>
          <w:highlight w:val="none"/>
        </w:rPr>
      </w:pPr>
      <w:r>
        <w:rPr>
          <w:rFonts w:hint="eastAsia"/>
          <w:color w:val="auto"/>
          <w:sz w:val="32"/>
          <w:szCs w:val="32"/>
          <w:highlight w:val="none"/>
        </w:rPr>
        <w:t>公开时间：20</w:t>
      </w:r>
      <w:r>
        <w:rPr>
          <w:rFonts w:hint="eastAsia"/>
          <w:color w:val="auto"/>
          <w:sz w:val="32"/>
          <w:szCs w:val="32"/>
          <w:highlight w:val="none"/>
          <w:lang w:val="en-US" w:eastAsia="zh-CN"/>
        </w:rPr>
        <w:t>22</w:t>
      </w:r>
      <w:r>
        <w:rPr>
          <w:rFonts w:hint="eastAsia"/>
          <w:color w:val="auto"/>
          <w:sz w:val="32"/>
          <w:szCs w:val="32"/>
          <w:highlight w:val="none"/>
        </w:rPr>
        <w:t>年</w:t>
      </w:r>
      <w:r>
        <w:rPr>
          <w:rFonts w:hint="eastAsia"/>
          <w:color w:val="auto"/>
          <w:sz w:val="32"/>
          <w:szCs w:val="32"/>
          <w:highlight w:val="none"/>
          <w:lang w:val="en-US" w:eastAsia="zh-CN"/>
        </w:rPr>
        <w:t>09</w:t>
      </w:r>
      <w:r>
        <w:rPr>
          <w:rFonts w:hint="eastAsia"/>
          <w:color w:val="auto"/>
          <w:sz w:val="32"/>
          <w:szCs w:val="32"/>
          <w:highlight w:val="none"/>
        </w:rPr>
        <w:t>月</w:t>
      </w:r>
      <w:r>
        <w:rPr>
          <w:rFonts w:hint="eastAsia"/>
          <w:color w:val="auto"/>
          <w:sz w:val="32"/>
          <w:szCs w:val="32"/>
          <w:highlight w:val="none"/>
          <w:lang w:val="en-US" w:eastAsia="zh-CN"/>
        </w:rPr>
        <w:t>13</w:t>
      </w:r>
      <w:r>
        <w:rPr>
          <w:rFonts w:hint="eastAsia"/>
          <w:color w:val="auto"/>
          <w:sz w:val="32"/>
          <w:szCs w:val="32"/>
          <w:highlight w:val="none"/>
        </w:rPr>
        <w:t>日</w:t>
      </w:r>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rPr>
          <w:color w:val="auto"/>
          <w:highlight w:val="none"/>
        </w:rPr>
      </w:pPr>
    </w:p>
    <w:p>
      <w:pPr>
        <w:pStyle w:val="12"/>
        <w:adjustRightInd w:val="0"/>
        <w:snapToGrid w:val="0"/>
        <w:spacing w:before="0" w:line="440" w:lineRule="exact"/>
        <w:jc w:val="left"/>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rPr>
        <w:t xml:space="preserve">第一部分 </w:t>
      </w:r>
      <w:r>
        <w:rPr>
          <w:rFonts w:hint="eastAsia" w:ascii="黑体" w:hAnsi="黑体" w:eastAsia="黑体" w:cs="黑体"/>
          <w:color w:val="auto"/>
          <w:sz w:val="28"/>
          <w:szCs w:val="28"/>
          <w:highlight w:val="none"/>
          <w:lang w:eastAsia="zh-CN"/>
        </w:rPr>
        <w:t>单位</w:t>
      </w:r>
      <w:r>
        <w:rPr>
          <w:rFonts w:hint="eastAsia" w:ascii="黑体" w:hAnsi="黑体" w:eastAsia="黑体" w:cs="黑体"/>
          <w:color w:val="auto"/>
          <w:sz w:val="28"/>
          <w:szCs w:val="28"/>
          <w:highlight w:val="none"/>
        </w:rPr>
        <w:t>概况</w:t>
      </w:r>
      <w:r>
        <w:rPr>
          <w:rFonts w:hint="eastAsia" w:ascii="黑体" w:hAnsi="黑体" w:eastAsia="黑体" w:cs="黑体"/>
          <w:color w:val="auto"/>
          <w:sz w:val="28"/>
          <w:szCs w:val="28"/>
          <w:highlight w:val="none"/>
          <w:lang w:val="en-US" w:eastAsia="zh-CN"/>
        </w:rPr>
        <w:t>.........................................3</w:t>
      </w:r>
    </w:p>
    <w:p>
      <w:pPr>
        <w:pStyle w:val="13"/>
        <w:adjustRightInd w:val="0"/>
        <w:snapToGrid w:val="0"/>
        <w:spacing w:line="440" w:lineRule="exact"/>
        <w:jc w:val="left"/>
        <w:rPr>
          <w:rFonts w:hint="eastAsia"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一、职能</w:t>
      </w:r>
      <w:r>
        <w:rPr>
          <w:rFonts w:hint="eastAsia" w:ascii="黑体" w:hAnsi="黑体" w:eastAsia="黑体" w:cs="黑体"/>
          <w:color w:val="auto"/>
          <w:sz w:val="21"/>
          <w:szCs w:val="21"/>
          <w:highlight w:val="none"/>
          <w:lang w:eastAsia="zh-CN"/>
        </w:rPr>
        <w:t>简介</w:t>
      </w:r>
      <w:r>
        <w:tab/>
      </w:r>
      <w:r>
        <w:rPr>
          <w:rFonts w:hint="eastAsia"/>
          <w:lang w:val="en-US" w:eastAsia="zh-CN"/>
        </w:rPr>
        <w:t>3</w:t>
      </w:r>
    </w:p>
    <w:p>
      <w:pPr>
        <w:pStyle w:val="13"/>
        <w:adjustRightInd w:val="0"/>
        <w:snapToGrid w:val="0"/>
        <w:spacing w:line="440" w:lineRule="exact"/>
        <w:jc w:val="left"/>
        <w:rPr>
          <w:rFonts w:hint="eastAsia"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lang w:eastAsia="zh-CN"/>
        </w:rPr>
        <w:t>二、</w:t>
      </w:r>
      <w:r>
        <w:rPr>
          <w:rFonts w:hint="eastAsia" w:ascii="黑体" w:hAnsi="黑体" w:eastAsia="黑体" w:cs="黑体"/>
          <w:color w:val="auto"/>
          <w:sz w:val="21"/>
          <w:szCs w:val="21"/>
          <w:highlight w:val="none"/>
          <w:lang w:val="en-US" w:eastAsia="zh-CN"/>
        </w:rPr>
        <w:t>2021年重点</w:t>
      </w:r>
      <w:r>
        <w:rPr>
          <w:rFonts w:hint="eastAsia" w:ascii="黑体" w:hAnsi="黑体" w:eastAsia="黑体" w:cs="黑体"/>
          <w:color w:val="auto"/>
          <w:sz w:val="21"/>
          <w:szCs w:val="21"/>
          <w:highlight w:val="none"/>
        </w:rPr>
        <w:t>工作</w:t>
      </w:r>
      <w:r>
        <w:rPr>
          <w:rFonts w:hint="eastAsia" w:ascii="黑体" w:hAnsi="黑体" w:eastAsia="黑体" w:cs="黑体"/>
          <w:color w:val="auto"/>
          <w:sz w:val="21"/>
          <w:szCs w:val="21"/>
          <w:highlight w:val="none"/>
          <w:lang w:eastAsia="zh-CN"/>
        </w:rPr>
        <w:t>完成情况</w:t>
      </w:r>
      <w:r>
        <w:tab/>
      </w:r>
      <w:r>
        <w:rPr>
          <w:rFonts w:hint="eastAsia"/>
          <w:lang w:val="en-US" w:eastAsia="zh-CN"/>
        </w:rPr>
        <w:t>3</w:t>
      </w:r>
    </w:p>
    <w:p>
      <w:pPr>
        <w:pStyle w:val="12"/>
        <w:adjustRightInd w:val="0"/>
        <w:snapToGrid w:val="0"/>
        <w:spacing w:before="0" w:line="440" w:lineRule="exact"/>
        <w:jc w:val="left"/>
        <w:rPr>
          <w:rFonts w:hint="default" w:ascii="黑体" w:hAnsi="黑体" w:eastAsia="黑体" w:cs="黑体"/>
          <w:color w:val="auto"/>
          <w:sz w:val="28"/>
          <w:szCs w:val="28"/>
          <w:highlight w:val="none"/>
          <w:lang w:val="en-US"/>
        </w:rPr>
      </w:pPr>
      <w:r>
        <w:rPr>
          <w:rFonts w:hint="eastAsia" w:ascii="黑体" w:hAnsi="黑体" w:eastAsia="黑体" w:cs="黑体"/>
          <w:color w:val="auto"/>
          <w:sz w:val="28"/>
          <w:szCs w:val="28"/>
          <w:highlight w:val="none"/>
        </w:rPr>
        <w:t>第二部分</w:t>
      </w:r>
      <w:r>
        <w:rPr>
          <w:rFonts w:hint="eastAsia" w:ascii="黑体" w:hAnsi="黑体" w:eastAsia="黑体" w:cs="黑体"/>
          <w:color w:val="auto"/>
          <w:sz w:val="28"/>
          <w:szCs w:val="28"/>
          <w:highlight w:val="none"/>
          <w:lang w:val="en-US" w:eastAsia="zh-CN"/>
        </w:rPr>
        <w:t xml:space="preserve"> 2021年度</w:t>
      </w:r>
      <w:r>
        <w:rPr>
          <w:rFonts w:hint="eastAsia" w:ascii="黑体" w:hAnsi="黑体" w:eastAsia="黑体" w:cs="黑体"/>
          <w:color w:val="auto"/>
          <w:sz w:val="28"/>
          <w:szCs w:val="28"/>
          <w:highlight w:val="none"/>
          <w:lang w:eastAsia="zh-CN"/>
        </w:rPr>
        <w:t>单位</w:t>
      </w:r>
      <w:r>
        <w:rPr>
          <w:rFonts w:hint="eastAsia" w:ascii="黑体" w:hAnsi="黑体" w:eastAsia="黑体" w:cs="黑体"/>
          <w:color w:val="auto"/>
          <w:sz w:val="28"/>
          <w:szCs w:val="28"/>
          <w:highlight w:val="none"/>
        </w:rPr>
        <w:t>决算情况说明</w:t>
      </w:r>
      <w:r>
        <w:rPr>
          <w:rFonts w:hint="eastAsia" w:ascii="黑体" w:hAnsi="黑体" w:eastAsia="黑体" w:cs="黑体"/>
          <w:color w:val="auto"/>
          <w:sz w:val="28"/>
          <w:szCs w:val="28"/>
          <w:highlight w:val="none"/>
          <w:lang w:val="en-US" w:eastAsia="zh-CN"/>
        </w:rPr>
        <w:t>.........................5</w:t>
      </w:r>
    </w:p>
    <w:p>
      <w:pPr>
        <w:pStyle w:val="13"/>
        <w:adjustRightInd w:val="0"/>
        <w:snapToGrid w:val="0"/>
        <w:spacing w:line="440" w:lineRule="exact"/>
        <w:jc w:val="left"/>
        <w:rPr>
          <w:rFonts w:hint="eastAsia"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一、收入支出决算总体情况说明</w:t>
      </w:r>
      <w:r>
        <w:tab/>
      </w:r>
      <w:r>
        <w:rPr>
          <w:rFonts w:hint="eastAsia"/>
          <w:lang w:val="en-US" w:eastAsia="zh-CN"/>
        </w:rPr>
        <w:t>5</w:t>
      </w:r>
    </w:p>
    <w:p>
      <w:pPr>
        <w:pStyle w:val="13"/>
        <w:adjustRightInd w:val="0"/>
        <w:snapToGrid w:val="0"/>
        <w:spacing w:line="440" w:lineRule="exact"/>
        <w:jc w:val="left"/>
        <w:rPr>
          <w:rFonts w:hint="eastAsia"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二、收入决算情况说明</w:t>
      </w:r>
      <w:r>
        <w:tab/>
      </w:r>
      <w:r>
        <w:rPr>
          <w:rFonts w:hint="eastAsia"/>
          <w:lang w:val="en-US" w:eastAsia="zh-CN"/>
        </w:rPr>
        <w:t>5</w:t>
      </w:r>
    </w:p>
    <w:p>
      <w:pPr>
        <w:pStyle w:val="13"/>
        <w:adjustRightInd w:val="0"/>
        <w:snapToGrid w:val="0"/>
        <w:spacing w:line="440" w:lineRule="exact"/>
        <w:jc w:val="left"/>
        <w:rPr>
          <w:rFonts w:hint="eastAsia"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三、支出决算情况说明</w:t>
      </w:r>
      <w:r>
        <w:tab/>
      </w:r>
      <w:r>
        <w:rPr>
          <w:rFonts w:hint="eastAsia"/>
          <w:lang w:val="en-US" w:eastAsia="zh-CN"/>
        </w:rPr>
        <w:t>6</w:t>
      </w:r>
    </w:p>
    <w:p>
      <w:pPr>
        <w:pStyle w:val="13"/>
        <w:adjustRightInd w:val="0"/>
        <w:snapToGrid w:val="0"/>
        <w:spacing w:line="440" w:lineRule="exact"/>
        <w:jc w:val="left"/>
        <w:rPr>
          <w:rFonts w:hint="eastAsia"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四、财政拨款收入支出决算总体情况说明</w:t>
      </w:r>
      <w:r>
        <w:tab/>
      </w:r>
      <w:r>
        <w:rPr>
          <w:rFonts w:hint="eastAsia"/>
          <w:lang w:val="en-US" w:eastAsia="zh-CN"/>
        </w:rPr>
        <w:t>7</w:t>
      </w:r>
    </w:p>
    <w:p>
      <w:pPr>
        <w:pStyle w:val="13"/>
        <w:adjustRightInd w:val="0"/>
        <w:snapToGrid w:val="0"/>
        <w:spacing w:line="440" w:lineRule="exact"/>
        <w:jc w:val="left"/>
        <w:rPr>
          <w:rFonts w:hint="eastAsia"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五、一般公共预算财政拨款支出决算情况说明</w:t>
      </w:r>
      <w:r>
        <w:tab/>
      </w:r>
      <w:r>
        <w:rPr>
          <w:rFonts w:hint="eastAsia"/>
          <w:lang w:val="en-US" w:eastAsia="zh-CN"/>
        </w:rPr>
        <w:t>8</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六、一般公共预算财政拨款基本支出决算情况说明</w:t>
      </w:r>
      <w:r>
        <w:tab/>
      </w:r>
      <w:r>
        <w:rPr>
          <w:rFonts w:hint="eastAsia"/>
          <w:lang w:val="en-US" w:eastAsia="zh-CN"/>
        </w:rPr>
        <w:t>11</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七、</w:t>
      </w:r>
      <w:r>
        <w:rPr>
          <w:rFonts w:hint="eastAsia" w:ascii="黑体" w:hAnsi="黑体" w:eastAsia="黑体" w:cs="黑体"/>
          <w:color w:val="auto"/>
          <w:sz w:val="21"/>
          <w:szCs w:val="21"/>
          <w:highlight w:val="none"/>
          <w:lang w:eastAsia="zh-CN"/>
        </w:rPr>
        <w:t>“</w:t>
      </w:r>
      <w:r>
        <w:rPr>
          <w:rFonts w:hint="eastAsia" w:ascii="黑体" w:hAnsi="黑体" w:eastAsia="黑体" w:cs="黑体"/>
          <w:color w:val="auto"/>
          <w:sz w:val="21"/>
          <w:szCs w:val="21"/>
          <w:highlight w:val="none"/>
        </w:rPr>
        <w:t>三公”经费财政拨款支出决算情况说明</w:t>
      </w:r>
      <w:r>
        <w:tab/>
      </w:r>
      <w:r>
        <w:rPr>
          <w:rFonts w:hint="eastAsia"/>
          <w:lang w:val="en-US" w:eastAsia="zh-CN"/>
        </w:rPr>
        <w:t>11</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八、政府性基金预算支出决算情况说明</w:t>
      </w:r>
      <w:r>
        <w:tab/>
      </w:r>
      <w:r>
        <w:rPr>
          <w:rFonts w:hint="eastAsia"/>
          <w:lang w:val="en-US" w:eastAsia="zh-CN"/>
        </w:rPr>
        <w:t>13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九、国有资本经营预算支出决算情况说明</w:t>
      </w:r>
      <w:r>
        <w:tab/>
      </w:r>
      <w:r>
        <w:rPr>
          <w:rFonts w:hint="eastAsia"/>
          <w:lang w:val="en-US" w:eastAsia="zh-CN"/>
        </w:rPr>
        <w:t>13</w:t>
      </w:r>
    </w:p>
    <w:p>
      <w:pPr>
        <w:pStyle w:val="13"/>
        <w:adjustRightInd w:val="0"/>
        <w:snapToGrid w:val="0"/>
        <w:spacing w:line="440" w:lineRule="exact"/>
        <w:jc w:val="left"/>
        <w:rPr>
          <w:rFonts w:hint="default" w:ascii="黑体" w:hAnsi="黑体" w:eastAsia="宋体" w:cs="黑体"/>
          <w:sz w:val="21"/>
          <w:szCs w:val="21"/>
          <w:lang w:val="en-US" w:eastAsia="zh-CN"/>
        </w:rPr>
      </w:pPr>
      <w:r>
        <w:rPr>
          <w:rFonts w:hint="eastAsia" w:ascii="黑体" w:hAnsi="黑体" w:eastAsia="黑体" w:cs="黑体"/>
          <w:color w:val="auto"/>
          <w:sz w:val="21"/>
          <w:szCs w:val="21"/>
          <w:highlight w:val="none"/>
        </w:rPr>
        <w:t>十、</w:t>
      </w:r>
      <w:r>
        <w:rPr>
          <w:rFonts w:hint="eastAsia" w:ascii="黑体" w:hAnsi="黑体" w:eastAsia="黑体" w:cs="黑体"/>
          <w:color w:val="auto"/>
          <w:sz w:val="21"/>
          <w:szCs w:val="21"/>
          <w:highlight w:val="none"/>
          <w:lang w:val="en-US" w:eastAsia="zh-CN"/>
        </w:rPr>
        <w:t>预算绩效管理情况</w:t>
      </w:r>
      <w:r>
        <w:tab/>
      </w:r>
      <w:r>
        <w:rPr>
          <w:rFonts w:hint="eastAsia"/>
          <w:lang w:val="en-US" w:eastAsia="zh-CN"/>
        </w:rPr>
        <w:t>13</w:t>
      </w:r>
    </w:p>
    <w:p>
      <w:pPr>
        <w:pStyle w:val="13"/>
        <w:adjustRightInd w:val="0"/>
        <w:snapToGrid w:val="0"/>
        <w:spacing w:line="440" w:lineRule="exact"/>
        <w:jc w:val="left"/>
        <w:rPr>
          <w:rFonts w:hint="default" w:ascii="黑体" w:hAnsi="黑体" w:eastAsia="宋体" w:cs="黑体"/>
          <w:sz w:val="21"/>
          <w:szCs w:val="21"/>
          <w:lang w:val="en-US" w:eastAsia="zh-CN"/>
        </w:rPr>
      </w:pPr>
      <w:r>
        <w:rPr>
          <w:rFonts w:hint="eastAsia" w:ascii="黑体" w:hAnsi="黑体" w:eastAsia="黑体" w:cs="黑体"/>
          <w:color w:val="auto"/>
          <w:sz w:val="21"/>
          <w:szCs w:val="21"/>
          <w:highlight w:val="none"/>
          <w:lang w:val="en-US" w:eastAsia="zh-CN"/>
        </w:rPr>
        <w:t>十一、</w:t>
      </w:r>
      <w:r>
        <w:rPr>
          <w:rFonts w:hint="eastAsia" w:ascii="黑体" w:hAnsi="黑体" w:eastAsia="黑体" w:cs="黑体"/>
          <w:color w:val="auto"/>
          <w:sz w:val="21"/>
          <w:szCs w:val="21"/>
          <w:highlight w:val="none"/>
        </w:rPr>
        <w:t>其他重要事项的情况说明</w:t>
      </w:r>
      <w:r>
        <w:tab/>
      </w:r>
      <w:r>
        <w:rPr>
          <w:rFonts w:hint="eastAsia"/>
          <w:lang w:val="en-US" w:eastAsia="zh-CN"/>
        </w:rPr>
        <w:t>14</w:t>
      </w:r>
    </w:p>
    <w:p>
      <w:pPr>
        <w:pStyle w:val="12"/>
        <w:adjustRightInd w:val="0"/>
        <w:snapToGrid w:val="0"/>
        <w:spacing w:before="0" w:line="440" w:lineRule="exact"/>
        <w:jc w:val="left"/>
        <w:rPr>
          <w:rFonts w:hint="default" w:ascii="黑体" w:hAnsi="黑体" w:eastAsia="黑体" w:cs="黑体"/>
          <w:color w:val="auto"/>
          <w:sz w:val="28"/>
          <w:szCs w:val="28"/>
          <w:highlight w:val="none"/>
          <w:lang w:val="en-US"/>
        </w:rPr>
      </w:pPr>
      <w:r>
        <w:rPr>
          <w:rFonts w:hint="eastAsia" w:ascii="黑体" w:hAnsi="黑体" w:eastAsia="黑体" w:cs="黑体"/>
          <w:color w:val="auto"/>
          <w:sz w:val="28"/>
          <w:szCs w:val="28"/>
          <w:highlight w:val="none"/>
        </w:rPr>
        <w:t>第三部分 名词解释</w:t>
      </w:r>
      <w:r>
        <w:rPr>
          <w:rFonts w:hint="eastAsia" w:ascii="黑体" w:hAnsi="黑体" w:eastAsia="黑体" w:cs="黑体"/>
          <w:color w:val="auto"/>
          <w:sz w:val="28"/>
          <w:szCs w:val="28"/>
          <w:highlight w:val="none"/>
          <w:lang w:val="en-US" w:eastAsia="zh-CN"/>
        </w:rPr>
        <w:t>........................................16</w:t>
      </w:r>
    </w:p>
    <w:p>
      <w:pPr>
        <w:pStyle w:val="12"/>
        <w:adjustRightInd w:val="0"/>
        <w:snapToGrid w:val="0"/>
        <w:spacing w:before="0" w:line="440" w:lineRule="exact"/>
        <w:jc w:val="left"/>
        <w:rPr>
          <w:rFonts w:hint="default" w:ascii="黑体" w:hAnsi="黑体" w:eastAsia="黑体" w:cs="黑体"/>
          <w:color w:val="auto"/>
          <w:sz w:val="28"/>
          <w:szCs w:val="28"/>
          <w:highlight w:val="none"/>
          <w:lang w:val="en-US"/>
        </w:rPr>
      </w:pPr>
      <w:r>
        <w:rPr>
          <w:rFonts w:hint="eastAsia" w:ascii="黑体" w:hAnsi="黑体" w:eastAsia="黑体" w:cs="黑体"/>
          <w:color w:val="auto"/>
          <w:sz w:val="28"/>
          <w:szCs w:val="28"/>
          <w:highlight w:val="none"/>
        </w:rPr>
        <w:t>第四部分 附件</w:t>
      </w:r>
      <w:r>
        <w:rPr>
          <w:rFonts w:hint="eastAsia" w:ascii="黑体" w:hAnsi="黑体" w:eastAsia="黑体" w:cs="黑体"/>
          <w:color w:val="auto"/>
          <w:sz w:val="28"/>
          <w:szCs w:val="28"/>
          <w:highlight w:val="none"/>
          <w:lang w:val="en-US" w:eastAsia="zh-CN"/>
        </w:rPr>
        <w:t>............................................18</w:t>
      </w:r>
    </w:p>
    <w:p>
      <w:pPr>
        <w:pStyle w:val="12"/>
        <w:adjustRightInd w:val="0"/>
        <w:snapToGrid w:val="0"/>
        <w:spacing w:before="0" w:line="440" w:lineRule="exact"/>
        <w:jc w:val="left"/>
        <w:rPr>
          <w:rFonts w:hint="default" w:ascii="黑体" w:hAnsi="黑体" w:eastAsia="黑体" w:cs="黑体"/>
          <w:color w:val="auto"/>
          <w:sz w:val="28"/>
          <w:szCs w:val="28"/>
          <w:highlight w:val="none"/>
          <w:lang w:val="en-US"/>
        </w:rPr>
      </w:pPr>
      <w:r>
        <w:rPr>
          <w:rFonts w:hint="eastAsia" w:ascii="黑体" w:hAnsi="黑体" w:eastAsia="黑体" w:cs="黑体"/>
          <w:color w:val="auto"/>
          <w:sz w:val="28"/>
          <w:szCs w:val="28"/>
          <w:highlight w:val="none"/>
        </w:rPr>
        <w:t>第五部分 附表</w:t>
      </w:r>
      <w:r>
        <w:rPr>
          <w:rFonts w:hint="eastAsia" w:ascii="黑体" w:hAnsi="黑体" w:eastAsia="黑体" w:cs="黑体"/>
          <w:color w:val="auto"/>
          <w:sz w:val="28"/>
          <w:szCs w:val="28"/>
          <w:highlight w:val="none"/>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一、收入支出决算总表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二、收入决算表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三、支出决算表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四、财政拨款收入支出决算总表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五、财政拨款支出决算明细表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六、一般公共预算财政拨款支出决算表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七、一般公共预算财政拨款支出决算明细表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八、一般公共预算财政拨款基本支出决算表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九、一般公共预算财政拨款项目支出决算表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十、一般公共预算财政拨款“三公”经费支出决算表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十一、政府性基金预算财政拨款收入支出决算表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十二、政府性基金预算财政拨款“三公”经费支出决算表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rPr>
        <w:t>十三、国有资本经营预算</w:t>
      </w:r>
      <w:r>
        <w:rPr>
          <w:rFonts w:hint="eastAsia" w:ascii="黑体" w:hAnsi="黑体" w:eastAsia="黑体" w:cs="黑体"/>
          <w:color w:val="auto"/>
          <w:sz w:val="21"/>
          <w:szCs w:val="21"/>
          <w:highlight w:val="none"/>
          <w:lang w:eastAsia="zh-CN"/>
        </w:rPr>
        <w:t>财政拨款收入</w:t>
      </w:r>
      <w:r>
        <w:rPr>
          <w:rFonts w:hint="eastAsia" w:ascii="黑体" w:hAnsi="黑体" w:eastAsia="黑体" w:cs="黑体"/>
          <w:color w:val="auto"/>
          <w:sz w:val="21"/>
          <w:szCs w:val="21"/>
          <w:highlight w:val="none"/>
        </w:rPr>
        <w:t>支出决算表</w:t>
      </w:r>
      <w:r>
        <w:tab/>
      </w:r>
      <w:r>
        <w:rPr>
          <w:rFonts w:hint="eastAsia"/>
          <w:lang w:val="en-US" w:eastAsia="zh-CN"/>
        </w:rPr>
        <w:t>23</w:t>
      </w:r>
    </w:p>
    <w:p>
      <w:pPr>
        <w:pStyle w:val="13"/>
        <w:adjustRightInd w:val="0"/>
        <w:snapToGrid w:val="0"/>
        <w:spacing w:line="440" w:lineRule="exact"/>
        <w:jc w:val="left"/>
        <w:rPr>
          <w:rFonts w:hint="default" w:ascii="黑体" w:hAnsi="黑体" w:eastAsia="宋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十四、国有资本经营预算财政拨款支出决算表</w:t>
      </w:r>
      <w:r>
        <w:tab/>
      </w:r>
      <w:r>
        <w:rPr>
          <w:rFonts w:hint="eastAsia"/>
          <w:lang w:val="en-US" w:eastAsia="zh-CN"/>
        </w:rPr>
        <w:t>23</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Fonts w:hint="eastAsia"/>
        </w:rPr>
      </w:pPr>
      <w:bookmarkStart w:id="14" w:name="_Toc15377197"/>
      <w:bookmarkStart w:id="15" w:name="_Toc15396600"/>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p>
    <w:p>
      <w:pPr>
        <w:ind w:firstLine="640" w:firstLineChars="200"/>
        <w:rPr>
          <w:rFonts w:hint="eastAsia"/>
        </w:rPr>
      </w:pPr>
      <w:r>
        <w:rPr>
          <w:rFonts w:hint="eastAsia" w:ascii="仿宋" w:hAnsi="仿宋" w:eastAsia="仿宋"/>
          <w:bCs/>
          <w:color w:val="000000"/>
          <w:sz w:val="32"/>
          <w:szCs w:val="32"/>
        </w:rPr>
        <w:t>广元市航务管理局苍溪航道段</w:t>
      </w:r>
      <w:r>
        <w:rPr>
          <w:rFonts w:hint="eastAsia" w:ascii="仿宋" w:hAnsi="仿宋" w:eastAsia="仿宋"/>
          <w:bCs/>
          <w:color w:val="000000"/>
          <w:sz w:val="32"/>
          <w:szCs w:val="32"/>
          <w:lang w:val="en-US" w:eastAsia="zh-CN"/>
        </w:rPr>
        <w:t>属</w:t>
      </w:r>
      <w:r>
        <w:rPr>
          <w:rFonts w:hint="eastAsia" w:ascii="仿宋" w:hAnsi="仿宋" w:eastAsia="仿宋"/>
          <w:bCs/>
          <w:color w:val="000000"/>
          <w:sz w:val="32"/>
          <w:szCs w:val="32"/>
        </w:rPr>
        <w:t>广元市</w:t>
      </w:r>
      <w:r>
        <w:rPr>
          <w:rFonts w:hint="eastAsia" w:ascii="仿宋" w:hAnsi="仿宋" w:eastAsia="仿宋"/>
          <w:bCs/>
          <w:color w:val="000000"/>
          <w:sz w:val="32"/>
          <w:szCs w:val="32"/>
          <w:lang w:eastAsia="zh-CN"/>
        </w:rPr>
        <w:t>港航</w:t>
      </w:r>
      <w:r>
        <w:rPr>
          <w:rFonts w:hint="eastAsia" w:ascii="仿宋" w:hAnsi="仿宋" w:eastAsia="仿宋"/>
          <w:bCs/>
          <w:color w:val="000000"/>
          <w:sz w:val="32"/>
          <w:szCs w:val="32"/>
          <w:lang w:val="en-US" w:eastAsia="zh-CN"/>
        </w:rPr>
        <w:t>发展</w:t>
      </w:r>
      <w:r>
        <w:rPr>
          <w:rFonts w:hint="eastAsia" w:ascii="仿宋" w:hAnsi="仿宋" w:eastAsia="仿宋"/>
          <w:bCs/>
          <w:color w:val="000000"/>
          <w:sz w:val="32"/>
          <w:szCs w:val="32"/>
          <w:lang w:eastAsia="zh-CN"/>
        </w:rPr>
        <w:t>中心直属</w:t>
      </w:r>
      <w:r>
        <w:rPr>
          <w:rFonts w:hint="eastAsia" w:ascii="仿宋" w:hAnsi="仿宋" w:eastAsia="仿宋"/>
          <w:bCs/>
          <w:color w:val="000000"/>
          <w:sz w:val="32"/>
          <w:szCs w:val="32"/>
        </w:rPr>
        <w:t>正科级公益一类事业单位。主要负责嘉陵江昭化区虎跳邢家滩至阆中涧溪口103公里航道、通航建筑物及航道设施的建设、管理、养护、监督工作。其主要职责：贯彻执行航道、通航建筑物及航道设施的建设、管理、养护方面的法律、法规和规章以及国家、省、市有关航道建设、管理、养护的方针政策；编制航道管理养护计划，并组织实施；编制重点航标配布图，保持航标处于正常工作状态；通航建筑物运行监督管理；掌握航道特征、水情变化及碍航物分布情况，发布本辖区航道通告；航道及航道设施的保护，依法制止破坏航道及航道设施的违法行为；配合有关部门开展本辖区航道的综合开发与治理，参与水资源综合利用开发规划编制，负责水资源综合利用中与航道有关的事宜。</w:t>
      </w:r>
    </w:p>
    <w:p>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我单位202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年度财务运转正常，认真执行预、决算，完成</w:t>
      </w:r>
      <w:r>
        <w:rPr>
          <w:rFonts w:hint="eastAsia" w:ascii="仿宋" w:hAnsi="仿宋" w:eastAsia="仿宋"/>
          <w:bCs/>
          <w:color w:val="000000"/>
          <w:sz w:val="32"/>
          <w:szCs w:val="32"/>
          <w:lang w:eastAsia="zh-CN"/>
        </w:rPr>
        <w:t>了</w:t>
      </w:r>
      <w:r>
        <w:rPr>
          <w:rFonts w:hint="eastAsia" w:ascii="仿宋" w:hAnsi="仿宋" w:eastAsia="仿宋"/>
          <w:bCs/>
          <w:color w:val="000000"/>
          <w:sz w:val="32"/>
          <w:szCs w:val="32"/>
        </w:rPr>
        <w:t>本年度绩效目标任务。</w:t>
      </w:r>
    </w:p>
    <w:p>
      <w:pPr>
        <w:pStyle w:val="7"/>
        <w:ind w:firstLine="640" w:firstLineChars="200"/>
        <w:rPr>
          <w:rFonts w:hint="eastAsia" w:ascii="仿宋" w:hAnsi="仿宋" w:eastAsia="仿宋" w:cs="Times New Roman"/>
          <w:bCs/>
          <w:color w:val="000000"/>
          <w:kern w:val="2"/>
          <w:sz w:val="32"/>
          <w:szCs w:val="32"/>
          <w:lang w:val="en-US" w:eastAsia="zh-CN" w:bidi="ar-SA"/>
        </w:rPr>
      </w:pPr>
      <w:r>
        <w:rPr>
          <w:rFonts w:hint="eastAsia" w:ascii="仿宋" w:hAnsi="仿宋" w:eastAsia="仿宋" w:cs="Times New Roman"/>
          <w:bCs/>
          <w:color w:val="000000"/>
          <w:kern w:val="2"/>
          <w:sz w:val="32"/>
          <w:szCs w:val="32"/>
          <w:lang w:val="en-US" w:eastAsia="zh-CN" w:bidi="ar-SA"/>
        </w:rPr>
        <w:t>2021年全年累计巡航116次，巡航里程5762公里，出动人员584人次，车辆23台次，船艇93艘次，共设置维护水面航标58座，完成航标维护20112座天，航标维护正常率95%；维护岸标（桥涵标、鸣笛标、界限标、沿岸标、指路牌）75座，完成维护26828座天，维护正常率98%；维护桥柱灯80盏、航行水尺12处。</w:t>
      </w:r>
    </w:p>
    <w:p>
      <w:pPr>
        <w:pStyle w:val="7"/>
        <w:ind w:firstLine="640" w:firstLineChars="200"/>
        <w:rPr>
          <w:rFonts w:hint="eastAsia" w:ascii="仿宋" w:hAnsi="仿宋" w:eastAsia="仿宋" w:cs="Times New Roman"/>
          <w:bCs/>
          <w:color w:val="000000"/>
          <w:kern w:val="2"/>
          <w:sz w:val="32"/>
          <w:szCs w:val="32"/>
          <w:lang w:val="en-US" w:eastAsia="zh-CN" w:bidi="ar-SA"/>
        </w:rPr>
      </w:pPr>
      <w:r>
        <w:rPr>
          <w:rFonts w:hint="eastAsia" w:ascii="仿宋" w:hAnsi="仿宋" w:eastAsia="仿宋" w:cs="Times New Roman"/>
          <w:bCs/>
          <w:color w:val="000000"/>
          <w:kern w:val="2"/>
          <w:sz w:val="32"/>
          <w:szCs w:val="32"/>
          <w:lang w:val="en-US" w:eastAsia="zh-CN" w:bidi="ar-SA"/>
        </w:rPr>
        <w:t>加强了船艇维护，对川苍交防0001号防洪抢险船上墩大修，对广元航标1号、广元航政1号主辅机、舵、锚、缆、尾轴和车叶等进行了维修保养；落实专人负责，加强了亭子口枢纽，苍溪、沙溪航电以及上下游交通部门信息互通，及时传递水情、汛情和恶劣天气信息；储备了船舶启动电瓶、钢丝、对讲机、雨衣、雨鞋、电筒、手套等应急物资，确保关键时刻用得上；强化了应急值班值守，修改完善了段部、班组值班和船舶守护制度，严格执行了领导带班和值班人员24小时坐班规定；参与大型过境船舶搁浅救援1次，出动救援人员21人次，成功排除险情，防止了油污泄露重大事故发生，最大限度减少了财产损失；参与苍溪县城区水上交通防汛抢险，成功处置险情2起；参与县政府开展的小型船舶专项治理，指导小型船舶清理上岸取缔工作；护送过境船舶6艘，为过境船舶安全航行提供了优质服务；严格执行了汛期防跑船八条措施，完成了虎跳锚地防洪桩建设，保证了全段162艘大小船舶安全度汛。</w:t>
      </w:r>
      <w:r>
        <w:rPr>
          <w:rFonts w:hint="eastAsia" w:ascii="仿宋" w:hAnsi="仿宋" w:eastAsia="仿宋" w:cs="Times New Roman"/>
          <w:bCs/>
          <w:color w:val="000000"/>
          <w:kern w:val="2"/>
          <w:sz w:val="32"/>
          <w:szCs w:val="32"/>
          <w:lang w:val="en-US" w:eastAsia="zh-CN" w:bidi="ar-SA"/>
        </w:rPr>
        <w:br w:type="page"/>
      </w:r>
    </w:p>
    <w:p>
      <w:pPr>
        <w:pStyle w:val="3"/>
        <w:ind w:right="440"/>
        <w:jc w:val="center"/>
        <w:rPr>
          <w:rStyle w:val="26"/>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541.09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年相比，收、支总计增加</w:t>
      </w:r>
      <w:r>
        <w:rPr>
          <w:rFonts w:hint="eastAsia" w:ascii="仿宋" w:hAnsi="仿宋" w:eastAsia="仿宋"/>
          <w:color w:val="auto"/>
          <w:sz w:val="32"/>
          <w:szCs w:val="32"/>
          <w:highlight w:val="none"/>
          <w:lang w:val="en-US" w:eastAsia="zh-CN"/>
        </w:rPr>
        <w:t>54.72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11.25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2021年退休一人，新增两人，人员经费和公用经费随之增加；2020年目标奖和退休人员生活补助于2021年发放。</w:t>
      </w:r>
    </w:p>
    <w:p>
      <w:pPr>
        <w:spacing w:line="600" w:lineRule="exact"/>
        <w:ind w:firstLine="1920" w:firstLineChars="6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7"/>
        <w:jc w:val="center"/>
        <w:rPr>
          <w:rFonts w:ascii="仿宋_GB2312" w:eastAsia="仿宋_GB2312"/>
          <w:color w:val="auto"/>
          <w:sz w:val="32"/>
          <w:szCs w:val="32"/>
          <w:highlight w:val="none"/>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399.25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399.18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99.98</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lang w:val="en-US" w:eastAsia="zh-CN"/>
        </w:rPr>
        <w:t>1</w:t>
      </w:r>
      <w:r>
        <w:rPr>
          <w:rFonts w:ascii="仿宋" w:hAnsi="仿宋" w:eastAsia="仿宋"/>
          <w:b/>
          <w:color w:val="auto"/>
          <w:sz w:val="32"/>
          <w:szCs w:val="32"/>
          <w:highlight w:val="none"/>
        </w:rPr>
        <w:t>表）</w:t>
      </w:r>
    </w:p>
    <w:p>
      <w:pPr>
        <w:spacing w:line="600" w:lineRule="exact"/>
        <w:ind w:firstLine="2560" w:firstLineChars="8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2"/>
        <w:ind w:left="0" w:leftChars="0" w:firstLine="0" w:firstLineChars="0"/>
        <w:jc w:val="cente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469.83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461.34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98.19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lang w:val="en-US" w:eastAsia="zh-CN"/>
        </w:rPr>
        <w:t>4</w:t>
      </w:r>
      <w:r>
        <w:rPr>
          <w:rFonts w:hint="eastAsia" w:ascii="仿宋" w:hAnsi="仿宋" w:eastAsia="仿宋"/>
          <w:b/>
          <w:color w:val="auto"/>
          <w:sz w:val="32"/>
          <w:szCs w:val="32"/>
          <w:highlight w:val="none"/>
        </w:rPr>
        <w:t>表）</w:t>
      </w:r>
    </w:p>
    <w:p>
      <w:pPr>
        <w:spacing w:line="600" w:lineRule="exact"/>
        <w:ind w:firstLine="2240" w:firstLineChars="7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图3：支出决算结构图</w:t>
      </w:r>
    </w:p>
    <w:p>
      <w:pPr>
        <w:pStyle w:val="2"/>
      </w:pPr>
      <w:r>
        <w:drawing>
          <wp:inline distT="0" distB="0" distL="114300" distR="114300">
            <wp:extent cx="4572000" cy="2743200"/>
            <wp:effectExtent l="4445" t="4445" r="1460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456.89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68.07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17.51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2021年退休一人，新增两人，人员经费和公用经费随之增加；2020年目标奖和退休人员生活补助于2021年发放。</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pStyle w:val="2"/>
        <w:rPr>
          <w:rFonts w:hint="eastAsia"/>
        </w:rPr>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407.09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86.65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81.85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25.17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2021年退休一人，新增两人，人员经费和公用经费随之增加；2020年目标奖和退休人员生活补助于2021年发放。</w:t>
      </w:r>
    </w:p>
    <w:p>
      <w:pPr>
        <w:spacing w:line="600" w:lineRule="exact"/>
        <w:ind w:firstLine="960" w:firstLineChars="3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pStyle w:val="2"/>
        <w:ind w:left="0" w:leftChars="0" w:firstLine="0" w:firstLineChars="0"/>
        <w:jc w:val="center"/>
        <w:rPr>
          <w:rFonts w:hint="eastAsia" w:ascii="仿宋" w:hAnsi="仿宋" w:eastAsia="仿宋"/>
          <w:color w:val="auto"/>
          <w:sz w:val="32"/>
          <w:szCs w:val="32"/>
          <w:highlight w:val="none"/>
        </w:rPr>
      </w:pPr>
      <w:r>
        <w:drawing>
          <wp:inline distT="0" distB="0" distL="114300" distR="114300">
            <wp:extent cx="4572000" cy="2743200"/>
            <wp:effectExtent l="4445" t="4445" r="1460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407.09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w:t>
      </w:r>
      <w:r>
        <w:rPr>
          <w:rFonts w:hint="eastAsia" w:ascii="仿宋" w:hAnsi="仿宋" w:eastAsia="仿宋"/>
          <w:b/>
          <w:color w:val="auto"/>
          <w:sz w:val="32"/>
          <w:szCs w:val="32"/>
          <w:highlight w:val="none"/>
        </w:rPr>
        <w:t>出</w:t>
      </w:r>
      <w:r>
        <w:rPr>
          <w:rFonts w:hint="eastAsia" w:ascii="仿宋" w:hAnsi="仿宋" w:eastAsia="仿宋"/>
          <w:color w:val="auto"/>
          <w:sz w:val="32"/>
          <w:szCs w:val="32"/>
          <w:highlight w:val="none"/>
          <w:lang w:val="en-US" w:eastAsia="zh-CN"/>
        </w:rPr>
        <w:t>31.33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17.58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27.33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bCs/>
          <w:color w:val="000000"/>
          <w:sz w:val="32"/>
          <w:szCs w:val="32"/>
          <w:lang w:eastAsia="zh-CN"/>
        </w:rPr>
        <w:t>交通运输支出</w:t>
      </w:r>
      <w:r>
        <w:rPr>
          <w:rFonts w:hint="eastAsia" w:ascii="仿宋" w:hAnsi="仿宋" w:eastAsia="仿宋" w:cs="Times New Roman"/>
          <w:b w:val="0"/>
          <w:bCs w:val="0"/>
          <w:color w:val="000000"/>
          <w:sz w:val="32"/>
          <w:szCs w:val="32"/>
          <w:lang w:val="en-US" w:eastAsia="zh-CN"/>
        </w:rPr>
        <w:t>330.85</w:t>
      </w:r>
      <w:r>
        <w:rPr>
          <w:rFonts w:hint="eastAsia" w:ascii="仿宋" w:hAnsi="仿宋" w:eastAsia="仿宋"/>
          <w:color w:val="000000"/>
          <w:sz w:val="32"/>
          <w:szCs w:val="32"/>
          <w:lang w:val="en-US" w:eastAsia="zh-CN"/>
        </w:rPr>
        <w:t>万元，占81.27%</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w:t>
      </w:r>
      <w:r>
        <w:rPr>
          <w:rFonts w:hint="eastAsia" w:ascii="仿宋" w:hAnsi="仿宋" w:eastAsia="仿宋"/>
          <w:b/>
          <w:color w:val="auto"/>
          <w:sz w:val="32"/>
          <w:szCs w:val="32"/>
          <w:highlight w:val="none"/>
        </w:rPr>
        <w:t>）</w:t>
      </w:r>
    </w:p>
    <w:p>
      <w:pPr>
        <w:spacing w:line="600" w:lineRule="exact"/>
        <w:ind w:firstLine="960" w:firstLineChars="3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pStyle w:val="2"/>
      </w:pPr>
      <w: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67" w:name="_GoBack"/>
      <w:bookmarkEnd w:id="67"/>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407.09万元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89.1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pPr>
        <w:numPr>
          <w:ilvl w:val="0"/>
          <w:numId w:val="0"/>
        </w:num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行政</w:t>
      </w:r>
      <w:r>
        <w:rPr>
          <w:rStyle w:val="16"/>
          <w:rFonts w:hint="eastAsia" w:ascii="仿宋" w:hAnsi="仿宋" w:eastAsia="仿宋"/>
          <w:bCs/>
          <w:color w:val="000000"/>
          <w:sz w:val="32"/>
          <w:szCs w:val="32"/>
        </w:rPr>
        <w:t>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000000"/>
          <w:sz w:val="32"/>
          <w:szCs w:val="32"/>
        </w:rPr>
        <w:t>机关事业单位基本养老保险缴费支出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24.74</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pStyle w:val="2"/>
        <w:numPr>
          <w:ilvl w:val="0"/>
          <w:numId w:val="0"/>
        </w:numPr>
        <w:ind w:leftChars="0" w:firstLine="643" w:firstLineChars="200"/>
      </w:pPr>
      <w:r>
        <w:rPr>
          <w:rStyle w:val="16"/>
          <w:rFonts w:hint="eastAsia" w:ascii="仿宋" w:hAnsi="仿宋" w:eastAsia="仿宋"/>
          <w:bCs/>
          <w:color w:val="000000"/>
          <w:sz w:val="32"/>
          <w:szCs w:val="32"/>
          <w:lang w:val="en-US" w:eastAsia="zh-CN"/>
        </w:rPr>
        <w:t>2.</w:t>
      </w:r>
      <w:r>
        <w:rPr>
          <w:rStyle w:val="16"/>
          <w:rFonts w:hint="eastAsia" w:ascii="仿宋" w:hAnsi="仿宋" w:eastAsia="仿宋"/>
          <w:bCs/>
          <w:color w:val="000000"/>
          <w:sz w:val="32"/>
          <w:szCs w:val="32"/>
        </w:rPr>
        <w:t>社会保障和就业（类）其他社会保障和就业支出（款）其他社会保障和就业支出（项）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w:t>
      </w:r>
      <w:r>
        <w:rPr>
          <w:rStyle w:val="16"/>
          <w:rFonts w:hint="eastAsia" w:ascii="仿宋" w:hAnsi="仿宋" w:eastAsia="仿宋"/>
          <w:b w:val="0"/>
          <w:bCs/>
          <w:color w:val="000000"/>
          <w:sz w:val="32"/>
          <w:szCs w:val="32"/>
          <w:lang w:eastAsia="zh-CN"/>
        </w:rPr>
        <w:t>为</w:t>
      </w:r>
      <w:r>
        <w:rPr>
          <w:rStyle w:val="16"/>
          <w:rFonts w:hint="eastAsia" w:ascii="仿宋" w:hAnsi="仿宋" w:eastAsia="仿宋"/>
          <w:b w:val="0"/>
          <w:bCs/>
          <w:color w:val="000000"/>
          <w:sz w:val="32"/>
          <w:szCs w:val="32"/>
          <w:lang w:val="en-US" w:eastAsia="zh-CN"/>
        </w:rPr>
        <w:t>6.59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6"/>
          <w:rFonts w:hint="eastAsia" w:ascii="仿宋" w:hAnsi="仿宋" w:eastAsia="仿宋"/>
          <w:bCs/>
          <w:color w:val="auto"/>
          <w:sz w:val="32"/>
          <w:szCs w:val="32"/>
          <w:highlight w:val="none"/>
        </w:rPr>
        <w:t>（类）行政事业单位医疗（款）事业单位医疗（项）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17.58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rPr>
          <w:rFonts w:hint="eastAsia" w:ascii="仿宋" w:hAnsi="仿宋" w:eastAsia="仿宋"/>
          <w:color w:val="000000"/>
          <w:sz w:val="32"/>
          <w:szCs w:val="32"/>
          <w:lang w:val="en-US" w:eastAsia="zh-CN"/>
        </w:rPr>
      </w:pPr>
      <w:r>
        <w:rPr>
          <w:rStyle w:val="16"/>
          <w:rFonts w:hint="eastAsia" w:ascii="仿宋" w:hAnsi="仿宋" w:eastAsia="仿宋"/>
          <w:b/>
          <w:bCs/>
          <w:color w:val="000000"/>
          <w:sz w:val="32"/>
          <w:szCs w:val="32"/>
          <w:lang w:val="en-US" w:eastAsia="zh-CN"/>
        </w:rPr>
        <w:t>4.交通运输支出</w:t>
      </w:r>
      <w:r>
        <w:rPr>
          <w:rStyle w:val="16"/>
          <w:rFonts w:hint="eastAsia" w:ascii="仿宋" w:hAnsi="仿宋" w:eastAsia="仿宋"/>
          <w:bCs/>
          <w:color w:val="000000"/>
          <w:sz w:val="32"/>
          <w:szCs w:val="32"/>
        </w:rPr>
        <w:t>（类）公路水路运输（款）航道维护（项）</w:t>
      </w:r>
      <w:r>
        <w:rPr>
          <w:rStyle w:val="16"/>
          <w:rFonts w:hint="eastAsia" w:ascii="仿宋" w:hAnsi="仿宋" w:eastAsia="仿宋"/>
          <w:bCs/>
          <w:color w:val="000000"/>
          <w:sz w:val="32"/>
          <w:szCs w:val="32"/>
          <w:lang w:eastAsia="zh-CN"/>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330.85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86.92</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rPr>
        <w:t>决算数小于预算数的主要原因是</w:t>
      </w:r>
      <w:r>
        <w:rPr>
          <w:rFonts w:hint="eastAsia" w:ascii="仿宋" w:hAnsi="仿宋" w:eastAsia="仿宋"/>
          <w:color w:val="000000"/>
          <w:sz w:val="32"/>
          <w:szCs w:val="32"/>
          <w:lang w:val="en-US" w:eastAsia="zh-CN"/>
        </w:rPr>
        <w:t>49.8万存量资金安排结转到2022年使用。</w:t>
      </w:r>
    </w:p>
    <w:p>
      <w:pPr>
        <w:spacing w:line="600" w:lineRule="exact"/>
        <w:ind w:firstLine="643" w:firstLineChars="200"/>
      </w:pPr>
      <w:r>
        <w:rPr>
          <w:rStyle w:val="16"/>
          <w:rFonts w:hint="eastAsia" w:ascii="仿宋" w:hAnsi="仿宋" w:eastAsia="仿宋"/>
          <w:b/>
          <w:bCs/>
          <w:color w:val="000000"/>
          <w:sz w:val="32"/>
          <w:szCs w:val="32"/>
          <w:lang w:val="en-US" w:eastAsia="zh-CN"/>
        </w:rPr>
        <w:t>5.住房保障支出</w:t>
      </w:r>
      <w:r>
        <w:rPr>
          <w:rStyle w:val="16"/>
          <w:rFonts w:hint="eastAsia" w:ascii="仿宋" w:hAnsi="仿宋" w:eastAsia="仿宋"/>
          <w:bCs/>
          <w:color w:val="000000"/>
          <w:sz w:val="32"/>
          <w:szCs w:val="32"/>
        </w:rPr>
        <w:t>（类）住房改革支出（款）住房公积金（项）</w:t>
      </w:r>
      <w:r>
        <w:rPr>
          <w:rStyle w:val="16"/>
          <w:rFonts w:hint="eastAsia" w:ascii="仿宋" w:hAnsi="仿宋" w:eastAsia="仿宋"/>
          <w:bCs/>
          <w:color w:val="000000"/>
          <w:sz w:val="32"/>
          <w:szCs w:val="32"/>
          <w:lang w:eastAsia="zh-CN"/>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27.33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7"/>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401.40</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369.97</w:t>
      </w:r>
      <w:r>
        <w:rPr>
          <w:rFonts w:hint="eastAsia" w:ascii="仿宋" w:hAnsi="仿宋" w:eastAsia="仿宋"/>
          <w:color w:val="auto"/>
          <w:sz w:val="32"/>
          <w:szCs w:val="32"/>
          <w:highlight w:val="none"/>
        </w:rPr>
        <w:t>万元，主要包括：基本工资、津贴补贴、奖金、绩效工资、机关事业单位基本养老保险缴费、职业年金缴费、职工基本医疗保险缴费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其他社会保障缴费、其他工资福利支出、对个人和家庭的补助</w:t>
      </w:r>
      <w:r>
        <w:rPr>
          <w:rFonts w:hint="eastAsia" w:ascii="仿宋" w:hAnsi="仿宋" w:eastAsia="仿宋"/>
          <w:color w:val="auto"/>
          <w:sz w:val="32"/>
          <w:szCs w:val="32"/>
          <w:highlight w:val="none"/>
          <w:lang w:eastAsia="zh-CN"/>
        </w:rPr>
        <w:t>、生活</w:t>
      </w:r>
      <w:r>
        <w:rPr>
          <w:rFonts w:hint="eastAsia" w:ascii="仿宋" w:hAnsi="仿宋" w:eastAsia="仿宋"/>
          <w:color w:val="auto"/>
          <w:sz w:val="32"/>
          <w:szCs w:val="32"/>
          <w:highlight w:val="none"/>
        </w:rPr>
        <w:t>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31.43</w:t>
      </w:r>
      <w:r>
        <w:rPr>
          <w:rFonts w:hint="eastAsia" w:ascii="仿宋" w:hAnsi="仿宋" w:eastAsia="仿宋"/>
          <w:color w:val="auto"/>
          <w:sz w:val="32"/>
          <w:szCs w:val="32"/>
          <w:highlight w:val="none"/>
        </w:rPr>
        <w:t>万元，主要包括：办公费、印刷费、咨询费、水费、电费、邮电费、差旅费、公务接待费、</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rPr>
        <w:t>工会经费、公务用车运行维护费、其他交通费</w:t>
      </w:r>
      <w:r>
        <w:rPr>
          <w:rFonts w:hint="eastAsia" w:ascii="仿宋" w:hAnsi="仿宋" w:eastAsia="仿宋"/>
          <w:color w:val="auto"/>
          <w:sz w:val="32"/>
          <w:szCs w:val="32"/>
          <w:highlight w:val="none"/>
          <w:lang w:eastAsia="zh-CN"/>
        </w:rPr>
        <w:t>用</w:t>
      </w:r>
      <w:r>
        <w:rPr>
          <w:rFonts w:hint="eastAsia" w:ascii="仿宋" w:hAnsi="仿宋" w:eastAsia="仿宋"/>
          <w:color w:val="auto"/>
          <w:sz w:val="32"/>
          <w:szCs w:val="32"/>
          <w:highlight w:val="none"/>
        </w:rPr>
        <w:t>、其他商品和服务支出等。</w:t>
      </w:r>
    </w:p>
    <w:p>
      <w:pPr>
        <w:spacing w:line="600" w:lineRule="exact"/>
        <w:ind w:firstLine="645"/>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p>
    <w:p>
      <w:pPr>
        <w:spacing w:line="600" w:lineRule="exact"/>
        <w:ind w:firstLine="640"/>
        <w:outlineLvl w:val="1"/>
        <w:rPr>
          <w:rStyle w:val="27"/>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2.84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年“三公”经费财政拨款支出决算中，公务用车购置及运行维护费支出决算</w:t>
      </w:r>
      <w:r>
        <w:rPr>
          <w:rFonts w:hint="eastAsia" w:ascii="仿宋" w:hAnsi="仿宋" w:eastAsia="仿宋"/>
          <w:color w:val="auto"/>
          <w:sz w:val="32"/>
          <w:szCs w:val="32"/>
          <w:highlight w:val="none"/>
          <w:lang w:val="en-US" w:eastAsia="zh-CN"/>
        </w:rPr>
        <w:t>2.64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92.96</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7.04</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1609" w:firstLineChars="503"/>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pStyle w:val="2"/>
        <w:rPr>
          <w:rFonts w:hint="eastAsia" w:ascii="仿宋" w:hAnsi="仿宋" w:eastAsia="仿宋"/>
          <w:color w:val="auto"/>
          <w:sz w:val="32"/>
          <w:szCs w:val="32"/>
          <w:highlight w:val="none"/>
        </w:rPr>
      </w:pPr>
      <w:r>
        <w:drawing>
          <wp:inline distT="0" distB="0" distL="114300" distR="114300">
            <wp:extent cx="4847590" cy="2695575"/>
            <wp:effectExtent l="4445" t="5080" r="5715" b="444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lang w:eastAsia="zh-CN"/>
        </w:rPr>
        <w:t>年初未安排预算</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val="0"/>
          <w:bCs/>
          <w:color w:val="auto"/>
          <w:sz w:val="32"/>
          <w:szCs w:val="32"/>
          <w:highlight w:val="none"/>
          <w:lang w:val="en-US" w:eastAsia="zh-CN"/>
        </w:rPr>
        <w:t>2.64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13.16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val="en-US" w:eastAsia="zh-CN"/>
        </w:rPr>
        <w:t>2021年疫情原因减少了出行次数导致公务用车运行维护费用降低</w:t>
      </w:r>
      <w:r>
        <w:rPr>
          <w:rFonts w:hint="eastAsia" w:ascii="仿宋" w:hAnsi="仿宋" w:eastAsia="仿宋"/>
          <w:color w:val="000000"/>
          <w:sz w:val="32"/>
          <w:szCs w:val="32"/>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val="0"/>
          <w:bCs/>
          <w:color w:val="auto"/>
          <w:sz w:val="32"/>
          <w:szCs w:val="32"/>
          <w:highlight w:val="none"/>
          <w:lang w:val="en-US" w:eastAsia="zh-CN"/>
        </w:rPr>
        <w:t>0.00</w:t>
      </w:r>
      <w:r>
        <w:rPr>
          <w:rFonts w:hint="eastAsia" w:ascii="仿宋_GB2312" w:eastAsia="仿宋_GB2312"/>
          <w:color w:val="auto"/>
          <w:sz w:val="32"/>
          <w:szCs w:val="32"/>
          <w:highlight w:val="none"/>
        </w:rPr>
        <w:t>万元。全年</w:t>
      </w:r>
      <w:r>
        <w:rPr>
          <w:rFonts w:hint="eastAsia" w:ascii="仿宋_GB2312" w:eastAsia="仿宋_GB2312"/>
          <w:color w:val="auto"/>
          <w:sz w:val="32"/>
          <w:szCs w:val="32"/>
          <w:highlight w:val="none"/>
          <w:lang w:eastAsia="zh-CN"/>
        </w:rPr>
        <w:t>未购置公务用车。</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eastAsia="zh-CN"/>
        </w:rPr>
        <w:t>其他用车</w:t>
      </w:r>
      <w:r>
        <w:rPr>
          <w:rFonts w:hint="eastAsia" w:ascii="仿宋_GB2312" w:eastAsia="仿宋_GB2312"/>
          <w:color w:val="auto"/>
          <w:sz w:val="32"/>
          <w:szCs w:val="32"/>
          <w:highlight w:val="none"/>
          <w:lang w:val="en-US" w:eastAsia="zh-CN"/>
        </w:rPr>
        <w:t>1辆</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val="0"/>
          <w:bCs/>
          <w:color w:val="auto"/>
          <w:sz w:val="32"/>
          <w:szCs w:val="32"/>
          <w:highlight w:val="none"/>
          <w:lang w:val="en-US" w:eastAsia="zh-CN"/>
        </w:rPr>
        <w:t>2.64</w:t>
      </w:r>
      <w:r>
        <w:rPr>
          <w:rFonts w:hint="eastAsia" w:ascii="仿宋_GB2312" w:eastAsia="仿宋_GB2312"/>
          <w:color w:val="auto"/>
          <w:sz w:val="32"/>
          <w:szCs w:val="32"/>
          <w:highlight w:val="none"/>
        </w:rPr>
        <w:t>万元。主要用于</w:t>
      </w:r>
      <w:r>
        <w:rPr>
          <w:rFonts w:hint="eastAsia" w:ascii="仿宋" w:hAnsi="仿宋" w:eastAsia="仿宋"/>
          <w:color w:val="000000"/>
          <w:sz w:val="32"/>
          <w:szCs w:val="32"/>
          <w:lang w:eastAsia="zh-CN"/>
        </w:rPr>
        <w:t>日常工作中出差、协调船舶过闸</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0.20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0.29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59.18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lang w:val="en-US" w:eastAsia="zh-CN"/>
        </w:rPr>
        <w:t>2021年疫情原因人员流动较少，减少了公务接待次数</w:t>
      </w:r>
      <w:r>
        <w:rPr>
          <w:rFonts w:hint="eastAsia" w:ascii="仿宋_GB2312" w:eastAsia="仿宋_GB2312"/>
          <w:color w:val="auto"/>
          <w:sz w:val="32"/>
          <w:szCs w:val="32"/>
          <w:highlight w:val="none"/>
        </w:rPr>
        <w:t>。其中：</w:t>
      </w:r>
    </w:p>
    <w:p>
      <w:pPr>
        <w:spacing w:line="600" w:lineRule="exact"/>
        <w:ind w:firstLine="640"/>
        <w:rPr>
          <w:rFonts w:hint="eastAsia" w:ascii="仿宋" w:hAnsi="仿宋" w:eastAsia="仿宋"/>
          <w:color w:val="000000"/>
          <w:sz w:val="32"/>
          <w:szCs w:val="32"/>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b w:val="0"/>
          <w:bCs/>
          <w:color w:val="auto"/>
          <w:sz w:val="32"/>
          <w:szCs w:val="32"/>
          <w:highlight w:val="none"/>
          <w:lang w:val="en-US" w:eastAsia="zh-CN"/>
        </w:rPr>
        <w:t>0.20</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0.20</w:t>
      </w:r>
      <w:r>
        <w:rPr>
          <w:rFonts w:hint="eastAsia" w:ascii="仿宋_GB2312" w:eastAsia="仿宋_GB2312"/>
          <w:color w:val="auto"/>
          <w:sz w:val="32"/>
          <w:szCs w:val="32"/>
          <w:highlight w:val="none"/>
        </w:rPr>
        <w:t>万元，具体内容包括：</w:t>
      </w:r>
      <w:r>
        <w:rPr>
          <w:rFonts w:hint="eastAsia" w:ascii="仿宋" w:hAnsi="仿宋" w:eastAsia="仿宋"/>
          <w:color w:val="000000"/>
          <w:sz w:val="32"/>
          <w:szCs w:val="32"/>
        </w:rPr>
        <w:t>广元市</w:t>
      </w:r>
      <w:r>
        <w:rPr>
          <w:rFonts w:hint="eastAsia" w:ascii="仿宋" w:hAnsi="仿宋" w:eastAsia="仿宋"/>
          <w:color w:val="000000"/>
          <w:sz w:val="32"/>
          <w:szCs w:val="32"/>
          <w:lang w:eastAsia="zh-CN"/>
        </w:rPr>
        <w:t>港航发展中心</w:t>
      </w:r>
      <w:r>
        <w:rPr>
          <w:rFonts w:hint="eastAsia" w:ascii="仿宋" w:hAnsi="仿宋" w:eastAsia="仿宋"/>
          <w:color w:val="000000"/>
          <w:sz w:val="32"/>
          <w:szCs w:val="32"/>
        </w:rPr>
        <w:t>开展汛期水上交通安全检查，发生金额</w:t>
      </w:r>
      <w:r>
        <w:rPr>
          <w:rFonts w:hint="eastAsia" w:ascii="仿宋" w:hAnsi="仿宋" w:eastAsia="仿宋"/>
          <w:color w:val="000000"/>
          <w:sz w:val="32"/>
          <w:szCs w:val="32"/>
          <w:lang w:val="en-US" w:eastAsia="zh-CN"/>
        </w:rPr>
        <w:t>0.09万元；</w:t>
      </w:r>
      <w:r>
        <w:rPr>
          <w:rFonts w:hint="eastAsia" w:ascii="仿宋" w:hAnsi="仿宋" w:eastAsia="仿宋"/>
          <w:color w:val="000000"/>
          <w:sz w:val="32"/>
          <w:szCs w:val="32"/>
        </w:rPr>
        <w:t>广元市</w:t>
      </w:r>
      <w:r>
        <w:rPr>
          <w:rFonts w:hint="eastAsia" w:ascii="仿宋" w:hAnsi="仿宋" w:eastAsia="仿宋"/>
          <w:color w:val="000000"/>
          <w:sz w:val="32"/>
          <w:szCs w:val="32"/>
          <w:lang w:eastAsia="zh-CN"/>
        </w:rPr>
        <w:t>港航发展中心</w:t>
      </w:r>
      <w:r>
        <w:rPr>
          <w:rFonts w:hint="eastAsia" w:ascii="仿宋" w:hAnsi="仿宋" w:eastAsia="仿宋"/>
          <w:color w:val="000000"/>
          <w:sz w:val="32"/>
          <w:szCs w:val="32"/>
        </w:rPr>
        <w:t>开展</w:t>
      </w:r>
      <w:r>
        <w:rPr>
          <w:rFonts w:hint="eastAsia" w:ascii="仿宋" w:hAnsi="仿宋" w:eastAsia="仿宋"/>
          <w:color w:val="000000"/>
          <w:sz w:val="32"/>
          <w:szCs w:val="32"/>
          <w:lang w:eastAsia="zh-CN"/>
        </w:rPr>
        <w:t>“夏季送清凉”慰问活动，发生金额</w:t>
      </w:r>
      <w:r>
        <w:rPr>
          <w:rFonts w:hint="eastAsia" w:ascii="仿宋" w:hAnsi="仿宋" w:eastAsia="仿宋"/>
          <w:color w:val="000000"/>
          <w:sz w:val="32"/>
          <w:szCs w:val="32"/>
          <w:lang w:val="en-US" w:eastAsia="zh-CN"/>
        </w:rPr>
        <w:t>0.05万元；</w:t>
      </w:r>
      <w:r>
        <w:rPr>
          <w:rFonts w:hint="eastAsia" w:ascii="仿宋" w:hAnsi="仿宋" w:eastAsia="仿宋"/>
          <w:color w:val="000000"/>
          <w:sz w:val="32"/>
          <w:szCs w:val="32"/>
        </w:rPr>
        <w:t>广元市</w:t>
      </w:r>
      <w:r>
        <w:rPr>
          <w:rFonts w:hint="eastAsia" w:ascii="仿宋" w:hAnsi="仿宋" w:eastAsia="仿宋"/>
          <w:color w:val="000000"/>
          <w:sz w:val="32"/>
          <w:szCs w:val="32"/>
          <w:lang w:eastAsia="zh-CN"/>
        </w:rPr>
        <w:t>港航发展中心</w:t>
      </w:r>
      <w:r>
        <w:rPr>
          <w:rFonts w:hint="eastAsia" w:ascii="仿宋" w:hAnsi="仿宋" w:eastAsia="仿宋"/>
          <w:color w:val="000000"/>
          <w:sz w:val="32"/>
          <w:szCs w:val="32"/>
        </w:rPr>
        <w:t>开展</w:t>
      </w:r>
      <w:r>
        <w:rPr>
          <w:rFonts w:hint="eastAsia" w:ascii="仿宋" w:hAnsi="仿宋" w:eastAsia="仿宋"/>
          <w:color w:val="000000"/>
          <w:sz w:val="32"/>
          <w:szCs w:val="32"/>
          <w:lang w:eastAsia="zh-CN"/>
        </w:rPr>
        <w:t>船舶防汛检查，发生金额</w:t>
      </w:r>
      <w:r>
        <w:rPr>
          <w:rFonts w:hint="eastAsia" w:ascii="仿宋" w:hAnsi="仿宋" w:eastAsia="仿宋"/>
          <w:color w:val="000000"/>
          <w:sz w:val="32"/>
          <w:szCs w:val="32"/>
          <w:lang w:val="en-US" w:eastAsia="zh-CN"/>
        </w:rPr>
        <w:t>0.06万元。</w:t>
      </w:r>
    </w:p>
    <w:p>
      <w:pPr>
        <w:spacing w:line="600" w:lineRule="exact"/>
        <w:ind w:firstLine="640"/>
        <w:rPr>
          <w:rFonts w:hint="eastAsia"/>
          <w:lang w:val="en-US" w:eastAsia="zh-CN"/>
        </w:rPr>
      </w:pPr>
      <w:r>
        <w:rPr>
          <w:rFonts w:hint="eastAsia" w:ascii="仿宋" w:hAnsi="仿宋" w:eastAsia="仿宋"/>
          <w:b/>
          <w:color w:val="auto"/>
          <w:sz w:val="32"/>
          <w:szCs w:val="32"/>
          <w:highlight w:val="none"/>
        </w:rPr>
        <w:t>外事接待支出</w:t>
      </w:r>
      <w:r>
        <w:rPr>
          <w:rFonts w:hint="eastAsia" w:ascii="仿宋" w:hAnsi="仿宋" w:eastAsia="仿宋"/>
          <w:b w:val="0"/>
          <w:bCs/>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96610"/>
      <w:bookmarkStart w:id="41" w:name="_Toc15377218"/>
      <w:r>
        <w:rPr>
          <w:rFonts w:hint="eastAsia" w:ascii="仿宋_GB2312" w:eastAsia="仿宋_GB2312"/>
          <w:color w:val="auto"/>
          <w:sz w:val="32"/>
          <w:szCs w:val="32"/>
          <w:highlight w:val="none"/>
          <w:lang w:eastAsia="zh-CN"/>
        </w:rPr>
        <w:t>。</w:t>
      </w:r>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44" w:name="_Toc15396612"/>
      <w:bookmarkStart w:id="45" w:name="_Toc15377221"/>
      <w:r>
        <w:rPr>
          <w:rStyle w:val="27"/>
          <w:rFonts w:hint="eastAsia" w:ascii="黑体" w:hAnsi="黑体" w:eastAsia="黑体"/>
          <w:b w:val="0"/>
          <w:color w:val="auto"/>
          <w:highlight w:val="none"/>
          <w:lang w:val="en-US" w:eastAsia="zh-CN"/>
        </w:rPr>
        <w:t>预算绩效管理情况</w:t>
      </w:r>
    </w:p>
    <w:p>
      <w:pPr>
        <w:spacing w:line="580" w:lineRule="exact"/>
        <w:ind w:firstLine="640" w:firstLineChars="200"/>
        <w:rPr>
          <w:rFonts w:hint="eastAsia"/>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 w:hAnsi="仿宋" w:eastAsia="仿宋" w:cs="Times New Roman"/>
          <w:color w:val="000000"/>
          <w:sz w:val="32"/>
          <w:szCs w:val="32"/>
        </w:rPr>
        <w:t>航道巡查维护</w:t>
      </w:r>
      <w:r>
        <w:rPr>
          <w:rFonts w:hint="eastAsia" w:ascii="仿宋" w:hAnsi="仿宋" w:eastAsia="仿宋"/>
          <w:color w:val="000000"/>
          <w:sz w:val="32"/>
          <w:szCs w:val="32"/>
        </w:rPr>
        <w:t>项目</w:t>
      </w:r>
      <w:r>
        <w:rPr>
          <w:rFonts w:hint="eastAsia" w:ascii="仿宋_GB2312" w:hAnsi="仿宋_GB2312" w:eastAsia="仿宋_GB2312" w:cs="仿宋_GB2312"/>
          <w:color w:val="auto"/>
          <w:sz w:val="32"/>
          <w:szCs w:val="32"/>
          <w:highlight w:val="none"/>
        </w:rPr>
        <w:t>开展了预算事前绩效评估，对</w:t>
      </w:r>
      <w:r>
        <w:rPr>
          <w:rFonts w:hint="eastAsia" w:ascii="仿宋" w:hAnsi="仿宋" w:eastAsia="仿宋" w:cs="Times New Roman"/>
          <w:color w:val="000000"/>
          <w:sz w:val="32"/>
          <w:szCs w:val="32"/>
        </w:rPr>
        <w:t>航道巡查维护</w:t>
      </w:r>
      <w:r>
        <w:rPr>
          <w:rFonts w:hint="eastAsia" w:ascii="仿宋" w:hAnsi="仿宋" w:eastAsia="仿宋"/>
          <w:color w:val="000000"/>
          <w:sz w:val="32"/>
          <w:szCs w:val="32"/>
        </w:rPr>
        <w:t>项目</w:t>
      </w:r>
      <w:r>
        <w:rPr>
          <w:rFonts w:hint="eastAsia" w:ascii="仿宋_GB2312" w:hAnsi="仿宋_GB2312" w:eastAsia="仿宋_GB2312" w:cs="仿宋_GB2312"/>
          <w:color w:val="auto"/>
          <w:sz w:val="32"/>
          <w:szCs w:val="32"/>
          <w:highlight w:val="none"/>
        </w:rPr>
        <w:t>编制了绩效目标，预算执行过程中，选取</w:t>
      </w:r>
      <w:r>
        <w:rPr>
          <w:rFonts w:hint="eastAsia" w:ascii="仿宋" w:hAnsi="仿宋" w:eastAsia="仿宋" w:cs="Times New Roman"/>
          <w:color w:val="000000"/>
          <w:sz w:val="32"/>
          <w:szCs w:val="32"/>
        </w:rPr>
        <w:t>航道巡查维护</w:t>
      </w:r>
      <w:r>
        <w:rPr>
          <w:rFonts w:hint="eastAsia" w:ascii="仿宋" w:hAnsi="仿宋" w:eastAsia="仿宋"/>
          <w:color w:val="000000"/>
          <w:sz w:val="32"/>
          <w:szCs w:val="32"/>
        </w:rPr>
        <w:t>项目</w:t>
      </w:r>
      <w:r>
        <w:rPr>
          <w:rFonts w:hint="eastAsia" w:ascii="仿宋_GB2312" w:hAnsi="仿宋_GB2312" w:eastAsia="仿宋_GB2312" w:cs="仿宋_GB2312"/>
          <w:color w:val="auto"/>
          <w:sz w:val="32"/>
          <w:szCs w:val="32"/>
          <w:highlight w:val="none"/>
        </w:rPr>
        <w:t>开展绩效监控，年终执行完毕后，对</w:t>
      </w:r>
      <w:r>
        <w:rPr>
          <w:rFonts w:hint="eastAsia" w:ascii="仿宋" w:hAnsi="仿宋" w:eastAsia="仿宋" w:cs="Times New Roman"/>
          <w:color w:val="000000"/>
          <w:sz w:val="32"/>
          <w:szCs w:val="32"/>
        </w:rPr>
        <w:t>航道巡查维护</w:t>
      </w:r>
      <w:r>
        <w:rPr>
          <w:rFonts w:hint="eastAsia" w:ascii="仿宋_GB2312" w:hAnsi="仿宋_GB2312" w:eastAsia="仿宋_GB2312" w:cs="仿宋_GB2312"/>
          <w:color w:val="auto"/>
          <w:sz w:val="32"/>
          <w:szCs w:val="32"/>
          <w:highlight w:val="none"/>
        </w:rPr>
        <w:t>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3"/>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b w:val="0"/>
          <w:bCs/>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color w:val="000000"/>
          <w:sz w:val="32"/>
          <w:szCs w:val="32"/>
          <w:lang w:eastAsia="zh-CN"/>
        </w:rPr>
        <w:t>广元市航务管理局苍溪航道段</w:t>
      </w:r>
      <w:r>
        <w:rPr>
          <w:rFonts w:hint="eastAsia" w:ascii="仿宋" w:hAnsi="仿宋" w:eastAsia="仿宋" w:cs="仿宋"/>
          <w:b w:val="0"/>
          <w:bCs/>
          <w:i w:val="0"/>
          <w:iCs w:val="0"/>
          <w:caps w:val="0"/>
          <w:color w:val="000000"/>
          <w:spacing w:val="0"/>
          <w:sz w:val="32"/>
          <w:szCs w:val="32"/>
          <w:highlight w:val="none"/>
        </w:rPr>
        <w:t>未发生机关运行经费支出</w:t>
      </w:r>
      <w:r>
        <w:rPr>
          <w:rFonts w:hint="eastAsia" w:ascii="仿宋" w:hAnsi="仿宋" w:eastAsia="仿宋" w:cs="仿宋"/>
          <w:b w:val="0"/>
          <w:bCs/>
          <w:i w:val="0"/>
          <w:iCs w:val="0"/>
          <w:caps w:val="0"/>
          <w:color w:val="000000"/>
          <w:spacing w:val="0"/>
          <w:sz w:val="32"/>
          <w:szCs w:val="32"/>
          <w:highlight w:val="none"/>
          <w:lang w:eastAsia="zh-CN"/>
        </w:rPr>
        <w:t>，</w:t>
      </w:r>
      <w:r>
        <w:rPr>
          <w:rFonts w:hint="eastAsia" w:ascii="仿宋" w:hAnsi="仿宋" w:eastAsia="仿宋" w:cs="仿宋"/>
          <w:b w:val="0"/>
          <w:bCs/>
          <w:i w:val="0"/>
          <w:iCs w:val="0"/>
          <w:caps w:val="0"/>
          <w:color w:val="000000"/>
          <w:spacing w:val="0"/>
          <w:sz w:val="32"/>
          <w:szCs w:val="32"/>
          <w:highlight w:val="none"/>
          <w:lang w:val="en-US" w:eastAsia="zh-CN"/>
        </w:rPr>
        <w:t>与2020年决算数持平。</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color w:val="000000"/>
          <w:sz w:val="32"/>
          <w:szCs w:val="32"/>
          <w:lang w:eastAsia="zh-CN"/>
        </w:rPr>
        <w:t>广元市航务管理局苍溪航道段</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万元，其中：授予小微企业合同金额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olor w:val="000000"/>
          <w:sz w:val="32"/>
          <w:szCs w:val="32"/>
          <w:lang w:eastAsia="zh-CN"/>
        </w:rPr>
        <w:t>广元市航务管理局苍溪航道段</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日常工作中出差、</w:t>
      </w:r>
      <w:r>
        <w:rPr>
          <w:rFonts w:hint="eastAsia" w:ascii="仿宋" w:hAnsi="仿宋" w:eastAsia="仿宋"/>
          <w:color w:val="000000"/>
          <w:sz w:val="32"/>
          <w:szCs w:val="32"/>
          <w:lang w:eastAsia="zh-CN"/>
        </w:rPr>
        <w:t>航道检查巡查等。</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pStyle w:val="7"/>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Fonts w:ascii="宋体"/>
          <w:b/>
          <w:color w:val="auto"/>
          <w:sz w:val="44"/>
          <w:szCs w:val="44"/>
          <w:highlight w:val="none"/>
        </w:rPr>
      </w:pPr>
      <w:bookmarkStart w:id="49" w:name="_Toc15396613"/>
      <w:bookmarkStart w:id="50"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pStyle w:val="2"/>
        <w:ind w:left="0" w:leftChars="0" w:firstLine="0" w:firstLineChars="0"/>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val="en-US" w:eastAsia="zh-CN"/>
        </w:rPr>
        <w:t>利息收入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 w:hAnsi="仿宋" w:eastAsia="仿宋"/>
          <w:b w:val="0"/>
          <w:bCs w:val="0"/>
          <w:color w:val="auto"/>
          <w:sz w:val="32"/>
          <w:szCs w:val="32"/>
          <w:highlight w:val="none"/>
        </w:rPr>
        <w:t>卫生健康</w:t>
      </w:r>
      <w:r>
        <w:rPr>
          <w:rStyle w:val="16"/>
          <w:rFonts w:hint="eastAsia" w:ascii="仿宋" w:hAnsi="仿宋" w:eastAsia="仿宋"/>
          <w:b w:val="0"/>
          <w:bCs w:val="0"/>
          <w:color w:val="auto"/>
          <w:sz w:val="32"/>
          <w:szCs w:val="32"/>
          <w:highlight w:val="none"/>
        </w:rPr>
        <w:t>（类）</w:t>
      </w:r>
      <w:r>
        <w:rPr>
          <w:rFonts w:hint="eastAsia" w:ascii="仿宋_GB2312" w:eastAsia="仿宋_GB2312"/>
          <w:color w:val="auto"/>
          <w:sz w:val="32"/>
          <w:szCs w:val="32"/>
        </w:rPr>
        <w:t>行政事业单位医疗</w:t>
      </w:r>
      <w:r>
        <w:rPr>
          <w:rStyle w:val="16"/>
          <w:rFonts w:hint="eastAsia" w:ascii="仿宋" w:hAnsi="仿宋" w:eastAsia="仿宋"/>
          <w:b w:val="0"/>
          <w:bCs w:val="0"/>
          <w:color w:val="auto"/>
          <w:sz w:val="32"/>
          <w:szCs w:val="32"/>
          <w:highlight w:val="none"/>
        </w:rPr>
        <w:t>（款）</w:t>
      </w:r>
      <w:r>
        <w:rPr>
          <w:rFonts w:hint="eastAsia" w:ascii="仿宋_GB2312" w:eastAsia="仿宋_GB2312"/>
          <w:color w:val="auto"/>
          <w:sz w:val="32"/>
          <w:szCs w:val="32"/>
        </w:rPr>
        <w:t>事业单位医疗</w:t>
      </w:r>
      <w:r>
        <w:rPr>
          <w:rStyle w:val="16"/>
          <w:rFonts w:hint="eastAsia" w:ascii="仿宋" w:hAnsi="仿宋" w:eastAsia="仿宋"/>
          <w:b w:val="0"/>
          <w:bCs w:val="0"/>
          <w:color w:val="auto"/>
          <w:sz w:val="32"/>
          <w:szCs w:val="32"/>
          <w:highlight w:val="none"/>
        </w:rPr>
        <w:t>（项）</w:t>
      </w:r>
      <w:r>
        <w:rPr>
          <w:rFonts w:hint="eastAsia" w:ascii="仿宋_GB2312" w:eastAsia="仿宋_GB2312"/>
          <w:color w:val="auto"/>
          <w:sz w:val="32"/>
          <w:szCs w:val="32"/>
          <w:highlight w:val="none"/>
        </w:rPr>
        <w:t>：指</w:t>
      </w:r>
      <w:r>
        <w:rPr>
          <w:rFonts w:hint="eastAsia" w:ascii="仿宋_GB2312" w:eastAsia="仿宋_GB2312"/>
          <w:color w:val="auto"/>
          <w:sz w:val="32"/>
          <w:szCs w:val="32"/>
        </w:rPr>
        <w:t>反映财政部门集中安排的行政事业单位基本医疗保险经费，未参加医疗保险的事业单位的公费医疗经费，按国家规定享受离休人员待遇人员的医疗经费。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rPr>
        <w:t>行政事业单位离退休</w:t>
      </w:r>
      <w:r>
        <w:rPr>
          <w:rFonts w:hint="eastAsia" w:ascii="仿宋_GB2312" w:eastAsia="仿宋_GB2312"/>
          <w:color w:val="auto"/>
          <w:sz w:val="32"/>
          <w:szCs w:val="32"/>
          <w:highlight w:val="none"/>
        </w:rPr>
        <w:t>（款）</w:t>
      </w:r>
      <w:r>
        <w:rPr>
          <w:rFonts w:hint="eastAsia" w:ascii="仿宋_GB2312" w:eastAsia="仿宋_GB2312"/>
          <w:color w:val="auto"/>
          <w:sz w:val="32"/>
          <w:szCs w:val="32"/>
        </w:rPr>
        <w:t>机关事业单位基本养老保险缴费支出</w:t>
      </w:r>
      <w:r>
        <w:rPr>
          <w:rFonts w:hint="eastAsia" w:ascii="仿宋_GB2312" w:eastAsia="仿宋_GB2312"/>
          <w:color w:val="auto"/>
          <w:sz w:val="32"/>
          <w:szCs w:val="32"/>
          <w:highlight w:val="none"/>
        </w:rPr>
        <w:t>（项）：指</w:t>
      </w:r>
      <w:r>
        <w:rPr>
          <w:rFonts w:hint="eastAsia" w:ascii="仿宋_GB2312" w:eastAsia="仿宋_GB2312"/>
          <w:color w:val="auto"/>
          <w:sz w:val="32"/>
          <w:szCs w:val="32"/>
        </w:rPr>
        <w:t>反映财政部门集中安排的行政事业单位基本养老保险缴费经费。</w:t>
      </w:r>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交通运输（类）</w:t>
      </w:r>
      <w:r>
        <w:rPr>
          <w:rFonts w:hint="eastAsia" w:ascii="仿宋_GB2312" w:hAnsi="仿宋_GB2312" w:eastAsia="仿宋_GB2312" w:cs="仿宋_GB2312"/>
          <w:color w:val="auto"/>
          <w:sz w:val="32"/>
          <w:szCs w:val="32"/>
        </w:rPr>
        <w:t>公路水路运输</w:t>
      </w:r>
      <w:r>
        <w:rPr>
          <w:rFonts w:hint="eastAsia" w:ascii="仿宋_GB2312" w:eastAsia="仿宋_GB2312"/>
          <w:color w:val="auto"/>
          <w:sz w:val="32"/>
          <w:szCs w:val="32"/>
          <w:highlight w:val="none"/>
        </w:rPr>
        <w:t>（款）</w:t>
      </w:r>
      <w:r>
        <w:rPr>
          <w:rFonts w:hint="eastAsia" w:ascii="仿宋_GB2312" w:hAnsi="仿宋_GB2312" w:eastAsia="仿宋_GB2312" w:cs="仿宋_GB2312"/>
          <w:color w:val="auto"/>
          <w:sz w:val="32"/>
          <w:szCs w:val="32"/>
        </w:rPr>
        <w:t>航道维护</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val="en-US" w:eastAsia="zh-CN"/>
        </w:rPr>
        <w:t>内河航道整治、维护方面的支出。</w:t>
      </w:r>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12.交通运输支出（类）公路水路运输（款）其他公路水路运输支出（项）：除上面用于水运建设方面的项目支出。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住房保障（类）</w:t>
      </w:r>
      <w:r>
        <w:rPr>
          <w:rFonts w:hint="eastAsia" w:ascii="仿宋_GB2312" w:eastAsia="仿宋_GB2312"/>
          <w:color w:val="auto"/>
          <w:sz w:val="32"/>
          <w:szCs w:val="32"/>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rPr>
        <w:t>住房公积金</w:t>
      </w:r>
      <w:r>
        <w:rPr>
          <w:rFonts w:hint="eastAsia" w:ascii="仿宋_GB2312" w:eastAsia="仿宋_GB2312"/>
          <w:color w:val="auto"/>
          <w:sz w:val="32"/>
          <w:szCs w:val="32"/>
          <w:highlight w:val="none"/>
        </w:rPr>
        <w:t>（项）：指</w:t>
      </w:r>
      <w:r>
        <w:rPr>
          <w:rFonts w:hint="eastAsia" w:ascii="仿宋_GB2312" w:eastAsia="仿宋_GB2312"/>
          <w:color w:val="auto"/>
          <w:sz w:val="32"/>
          <w:szCs w:val="32"/>
        </w:rPr>
        <w:t>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6"/>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p>
      <w:pPr>
        <w:pStyle w:val="7"/>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宋体" w:eastAsia="方正小标宋简体"/>
          <w:color w:val="000000"/>
          <w:kern w:val="0"/>
          <w:sz w:val="44"/>
          <w:szCs w:val="44"/>
          <w:lang w:val="zh-CN"/>
        </w:rPr>
        <w:t>航道巡查维护</w:t>
      </w:r>
      <w:r>
        <w:rPr>
          <w:rFonts w:hint="eastAsia" w:ascii="方正小标宋简体" w:hAnsi="方正小标宋简体" w:eastAsia="方正小标宋简体" w:cs="方正小标宋简体"/>
          <w:color w:val="auto"/>
          <w:kern w:val="2"/>
          <w:sz w:val="40"/>
          <w:szCs w:val="40"/>
          <w:highlight w:val="none"/>
          <w:lang w:val="zh-CN" w:eastAsia="zh-CN" w:bidi="ar-SA"/>
        </w:rPr>
        <w:t>项目支出绩效自评报告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keepNext w:val="0"/>
        <w:keepLines w:val="0"/>
        <w:pageBreakBefore w:val="0"/>
        <w:numPr>
          <w:ilvl w:val="0"/>
          <w:numId w:val="5"/>
        </w:numPr>
        <w:kinsoku/>
        <w:wordWrap/>
        <w:overflowPunct/>
        <w:topLinePunct w:val="0"/>
        <w:autoSpaceDE/>
        <w:autoSpaceDN/>
        <w:bidi w:val="0"/>
        <w:adjustRightInd w:val="0"/>
        <w:snapToGrid w:val="0"/>
        <w:spacing w:line="600" w:lineRule="exact"/>
        <w:ind w:firstLine="720"/>
        <w:textAlignment w:val="auto"/>
        <w:rPr>
          <w:rFonts w:hint="eastAsia"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lang w:val="zh-CN"/>
        </w:rPr>
        <w:t>项目概况</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13" w:leftChars="0" w:firstLine="643"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项目基本情况。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lang w:val="zh-CN"/>
        </w:rPr>
      </w:pPr>
      <w:r>
        <w:rPr>
          <w:rFonts w:hint="eastAsia" w:ascii="仿宋_GB2312" w:hAnsi="仿宋_GB2312" w:eastAsia="仿宋_GB2312" w:cs="仿宋_GB2312"/>
          <w:sz w:val="32"/>
          <w:szCs w:val="32"/>
        </w:rPr>
        <w:t>我段202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年申报项目预算2.69万元，项目名称是航道巡查维护。项目年度目标是对103公里航道进行巡查、航标维护，锚石、钢丝等设施设备更换。</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（二）项目绩效目标。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该项目主要内容是对103公里航道进行巡查、对航标进行日常维护，对锚石、</w:t>
      </w:r>
      <w:r>
        <w:rPr>
          <w:rFonts w:hint="eastAsia" w:ascii="仿宋_GB2312" w:hAnsi="仿宋_GB2312" w:cs="仿宋_GB2312"/>
          <w:sz w:val="32"/>
          <w:szCs w:val="32"/>
          <w:lang w:eastAsia="zh-CN"/>
        </w:rPr>
        <w:t>电瓶、</w:t>
      </w:r>
      <w:r>
        <w:rPr>
          <w:rFonts w:hint="eastAsia" w:ascii="仿宋_GB2312" w:hAnsi="仿宋_GB2312" w:eastAsia="仿宋_GB2312" w:cs="仿宋_GB2312"/>
          <w:sz w:val="32"/>
          <w:szCs w:val="32"/>
        </w:rPr>
        <w:t>钢丝等易耗材料进行更换。</w:t>
      </w:r>
      <w:r>
        <w:rPr>
          <w:rFonts w:hint="eastAsia" w:ascii="仿宋_GB2312" w:hAnsi="仿宋_GB2312" w:eastAsia="仿宋_GB2312" w:cs="仿宋_GB2312"/>
          <w:sz w:val="32"/>
          <w:szCs w:val="32"/>
          <w:lang w:val="en-US" w:eastAsia="zh-CN"/>
        </w:rPr>
        <w:t>我段</w:t>
      </w:r>
      <w:r>
        <w:rPr>
          <w:rFonts w:hint="eastAsia" w:ascii="仿宋_GB2312" w:hAnsi="仿宋_GB2312" w:eastAsia="仿宋_GB2312" w:cs="仿宋_GB2312"/>
          <w:sz w:val="32"/>
          <w:szCs w:val="32"/>
        </w:rPr>
        <w:t>计划在202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年购买钢丝</w:t>
      </w:r>
      <w:r>
        <w:rPr>
          <w:rFonts w:hint="eastAsia" w:ascii="仿宋_GB2312" w:hAnsi="仿宋_GB2312" w:cs="仿宋_GB2312"/>
          <w:sz w:val="32"/>
          <w:szCs w:val="32"/>
          <w:lang w:val="en-US" w:eastAsia="zh-CN"/>
        </w:rPr>
        <w:t>650</w:t>
      </w:r>
      <w:r>
        <w:rPr>
          <w:rFonts w:hint="eastAsia" w:ascii="仿宋_GB2312" w:hAnsi="仿宋_GB2312" w:eastAsia="仿宋_GB2312" w:cs="仿宋_GB2312"/>
          <w:sz w:val="32"/>
          <w:szCs w:val="32"/>
        </w:rPr>
        <w:t>米，</w:t>
      </w:r>
      <w:r>
        <w:rPr>
          <w:rFonts w:hint="eastAsia" w:ascii="仿宋_GB2312" w:hAnsi="仿宋_GB2312" w:cs="仿宋_GB2312"/>
          <w:sz w:val="32"/>
          <w:szCs w:val="32"/>
          <w:lang w:eastAsia="zh-CN"/>
        </w:rPr>
        <w:t>购电瓶</w:t>
      </w:r>
      <w:r>
        <w:rPr>
          <w:rFonts w:hint="eastAsia" w:ascii="仿宋_GB2312" w:hAnsi="仿宋_GB2312" w:cs="仿宋_GB2312"/>
          <w:sz w:val="32"/>
          <w:szCs w:val="32"/>
          <w:lang w:val="en-US" w:eastAsia="zh-CN"/>
        </w:rPr>
        <w:t>2对，</w:t>
      </w:r>
      <w:r>
        <w:rPr>
          <w:rFonts w:hint="eastAsia" w:ascii="仿宋_GB2312" w:hAnsi="仿宋_GB2312" w:eastAsia="仿宋_GB2312" w:cs="仿宋_GB2312"/>
          <w:sz w:val="32"/>
          <w:szCs w:val="32"/>
        </w:rPr>
        <w:t>做锚石</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0个，完成钢丝</w:t>
      </w:r>
      <w:r>
        <w:rPr>
          <w:rFonts w:hint="eastAsia" w:ascii="仿宋_GB2312" w:hAnsi="仿宋_GB2312" w:cs="仿宋_GB2312"/>
          <w:sz w:val="32"/>
          <w:szCs w:val="32"/>
          <w:lang w:eastAsia="zh-CN"/>
        </w:rPr>
        <w:t>、电瓶和</w:t>
      </w:r>
      <w:r>
        <w:rPr>
          <w:rFonts w:hint="eastAsia" w:ascii="仿宋_GB2312" w:hAnsi="仿宋_GB2312" w:eastAsia="仿宋_GB2312" w:cs="仿宋_GB2312"/>
          <w:sz w:val="32"/>
          <w:szCs w:val="32"/>
        </w:rPr>
        <w:t>锚石的更换，</w:t>
      </w:r>
      <w:r>
        <w:rPr>
          <w:rFonts w:hint="eastAsia" w:ascii="仿宋_GB2312" w:hAnsi="仿宋_GB2312" w:eastAsia="仿宋_GB2312" w:cs="仿宋_GB2312"/>
          <w:sz w:val="32"/>
          <w:szCs w:val="32"/>
          <w:lang w:val="en-US" w:eastAsia="zh-CN"/>
        </w:rPr>
        <w:t>确保航道畅通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ascii="仿宋_GB2312" w:hAnsi="宋体"/>
          <w:b w:val="0"/>
          <w:bCs w:val="0"/>
          <w:lang w:val="zh-CN"/>
        </w:rPr>
      </w:pPr>
      <w:r>
        <w:rPr>
          <w:rFonts w:hint="eastAsia" w:ascii="仿宋_GB2312" w:hAnsi="仿宋_GB2312" w:eastAsia="仿宋_GB2312" w:cs="仿宋_GB2312"/>
          <w:sz w:val="32"/>
          <w:szCs w:val="32"/>
        </w:rPr>
        <w:t>根据市财政局202</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rPr>
        <w:t>预算指标，</w:t>
      </w:r>
      <w:r>
        <w:rPr>
          <w:rFonts w:hint="eastAsia" w:ascii="仿宋_GB2312" w:hAnsi="仿宋_GB2312" w:eastAsia="仿宋_GB2312" w:cs="仿宋_GB2312"/>
          <w:sz w:val="32"/>
          <w:szCs w:val="32"/>
          <w:lang w:val="en-US" w:eastAsia="zh-CN"/>
        </w:rPr>
        <w:t>我段</w:t>
      </w:r>
      <w:r>
        <w:rPr>
          <w:rFonts w:hint="eastAsia" w:ascii="仿宋_GB2312" w:hAnsi="仿宋_GB2312" w:eastAsia="仿宋_GB2312" w:cs="仿宋_GB2312"/>
          <w:sz w:val="32"/>
          <w:szCs w:val="32"/>
        </w:rPr>
        <w:t>对航道巡查维护项目按照规定进行项目资金申报，市财政局对项目申报内容及金额进行批复，申报、批复流程合规合法，符合资金管理办法。</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（二）资金计划、到位及使用情况（可用表格形式反映）。</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lang w:val="zh-CN"/>
        </w:rPr>
      </w:pPr>
      <w:r>
        <w:rPr>
          <w:rFonts w:hint="eastAsia" w:ascii="楷体_GB2312" w:hAnsi="宋体" w:eastAsia="楷体_GB2312" w:cs="Times New Roman"/>
          <w:color w:val="auto"/>
          <w:sz w:val="32"/>
          <w:szCs w:val="32"/>
          <w:highlight w:val="none"/>
          <w:lang w:val="zh-CN"/>
        </w:rPr>
        <w:t>1．资金计划。</w:t>
      </w:r>
      <w:r>
        <w:rPr>
          <w:rFonts w:hint="eastAsia" w:ascii="仿宋_GB2312" w:hAnsi="仿宋_GB2312" w:eastAsia="仿宋_GB2312" w:cs="仿宋_GB2312"/>
          <w:sz w:val="32"/>
          <w:szCs w:val="32"/>
          <w:lang w:val="zh-CN"/>
        </w:rPr>
        <w:t>该项目资金计划申报</w:t>
      </w:r>
      <w:r>
        <w:rPr>
          <w:rFonts w:hint="eastAsia" w:ascii="仿宋_GB2312" w:hAnsi="仿宋_GB2312" w:eastAsia="仿宋_GB2312" w:cs="仿宋_GB2312"/>
          <w:sz w:val="32"/>
          <w:szCs w:val="32"/>
          <w:lang w:val="en-US" w:eastAsia="zh-CN"/>
        </w:rPr>
        <w:t>2.69万元，资金来源于市财政资金。</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2．资金到位。</w:t>
      </w:r>
      <w:r>
        <w:rPr>
          <w:rFonts w:hint="eastAsia" w:ascii="仿宋_GB2312" w:hAnsi="仿宋_GB2312" w:eastAsia="仿宋_GB2312" w:cs="仿宋_GB2312"/>
          <w:sz w:val="32"/>
          <w:szCs w:val="32"/>
        </w:rPr>
        <w:t>该项目资金于202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月通过政府财政管理信息系统全部下达到我单位，资金到位率100%，到位及时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对项目有序开展提供了资金保障。</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ascii="仿宋_GB2312" w:hAnsi="宋体"/>
          <w:b w:val="0"/>
          <w:bCs w:val="0"/>
          <w:lang w:val="zh-CN"/>
        </w:rPr>
      </w:pPr>
      <w:r>
        <w:rPr>
          <w:rFonts w:hint="eastAsia" w:ascii="楷体_GB2312" w:hAnsi="宋体" w:eastAsia="楷体_GB2312" w:cs="Times New Roman"/>
          <w:color w:val="auto"/>
          <w:sz w:val="32"/>
          <w:szCs w:val="32"/>
          <w:highlight w:val="none"/>
          <w:lang w:val="zh-CN"/>
        </w:rPr>
        <w:t>3．资金使用。</w:t>
      </w:r>
      <w:r>
        <w:rPr>
          <w:rFonts w:hint="eastAsia" w:ascii="仿宋_GB2312" w:hAnsi="仿宋_GB2312" w:eastAsia="仿宋_GB2312" w:cs="仿宋_GB2312"/>
          <w:sz w:val="32"/>
          <w:szCs w:val="32"/>
        </w:rPr>
        <w:t>截止评价时点，该项目资金已支付完毕。项目资金开支范围与年初项目预算内容完全相符，资金支付进度根据项目实施进度有序进行，支付依据合规合法，资金支付与预算相符。</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（三）项目财务管理情况。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0"/>
        <w:jc w:val="both"/>
        <w:textAlignment w:val="auto"/>
        <w:outlineLvl w:val="9"/>
        <w:rPr>
          <w:rFonts w:ascii="仿宋_GB2312" w:hAnsi="宋体"/>
          <w:b w:val="0"/>
          <w:bCs w:val="0"/>
          <w:lang w:val="zh-CN"/>
        </w:rPr>
      </w:pPr>
      <w:r>
        <w:rPr>
          <w:rFonts w:hint="eastAsia" w:ascii="仿宋_GB2312" w:hAnsi="仿宋_GB2312" w:eastAsia="仿宋_GB2312" w:cs="仿宋_GB2312"/>
          <w:sz w:val="32"/>
          <w:szCs w:val="32"/>
        </w:rPr>
        <w:t>该项目财务管理制度建设基本完善，机构设置较为合理，会计核售准确，账务处理严格按照会计制度进行；对照项目资金管理办法，该项目严格执行财务管理制度、财务处理及时，会计核算规范。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（一）项目组织架构及实施流程。</w:t>
      </w:r>
    </w:p>
    <w:p>
      <w:pPr>
        <w:pStyle w:val="2"/>
        <w:ind w:left="0" w:leftChars="0" w:firstLine="640" w:firstLineChars="200"/>
        <w:rPr>
          <w:color w:val="FF0000"/>
          <w:lang w:val="zh-CN"/>
        </w:rPr>
      </w:pPr>
      <w:r>
        <w:rPr>
          <w:rFonts w:hint="eastAsia" w:ascii="仿宋_GB2312" w:hAnsi="仿宋_GB2312" w:eastAsia="仿宋_GB2312" w:cs="仿宋_GB2312"/>
          <w:sz w:val="32"/>
          <w:szCs w:val="32"/>
        </w:rPr>
        <w:t>根据预算申报的内容，该项目的实施过程，先经过组织</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实行表决，决定项目实施人员，</w:t>
      </w:r>
      <w:r>
        <w:rPr>
          <w:rFonts w:hint="eastAsia" w:ascii="仿宋_GB2312" w:hAnsi="仿宋_GB2312" w:eastAsia="仿宋_GB2312" w:cs="仿宋_GB2312"/>
          <w:sz w:val="32"/>
          <w:szCs w:val="32"/>
          <w:lang w:eastAsia="zh-CN"/>
        </w:rPr>
        <w:t>再</w:t>
      </w:r>
      <w:r>
        <w:rPr>
          <w:rFonts w:hint="eastAsia" w:ascii="仿宋_GB2312" w:hAnsi="仿宋_GB2312" w:eastAsia="仿宋_GB2312" w:cs="仿宋_GB2312"/>
          <w:sz w:val="32"/>
          <w:szCs w:val="32"/>
        </w:rPr>
        <w:t>根据相关管理制度，严格控制成本，在正规商家购买物资，在规定时间内完成了材料的更换。</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13" w:leftChars="0" w:firstLine="643" w:firstLineChars="0"/>
        <w:textAlignment w:val="auto"/>
        <w:rPr>
          <w:rFonts w:hint="eastAsia" w:ascii="仿宋_GB2312" w:hAnsi="宋体" w:eastAsia="仿宋_GB2312" w:cs="Times New Roman"/>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结合航道巡查维护项目的特点，我段按要求执行相关法律法规及项目管理制度。</w:t>
      </w:r>
    </w:p>
    <w:p>
      <w:pPr>
        <w:keepNext w:val="0"/>
        <w:keepLines w:val="0"/>
        <w:pageBreakBefore w:val="0"/>
        <w:numPr>
          <w:ilvl w:val="0"/>
          <w:numId w:val="6"/>
        </w:numPr>
        <w:kinsoku/>
        <w:wordWrap/>
        <w:overflowPunct/>
        <w:topLinePunct w:val="0"/>
        <w:autoSpaceDE/>
        <w:autoSpaceDN/>
        <w:bidi w:val="0"/>
        <w:adjustRightInd w:val="0"/>
        <w:snapToGrid w:val="0"/>
        <w:spacing w:line="600" w:lineRule="exact"/>
        <w:ind w:left="-13" w:leftChars="0" w:firstLine="643" w:firstLineChars="0"/>
        <w:textAlignment w:val="auto"/>
        <w:rPr>
          <w:rFonts w:hint="eastAsia"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项目监管情况。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b w:val="0"/>
          <w:bCs/>
          <w:color w:val="auto"/>
          <w:sz w:val="32"/>
          <w:szCs w:val="32"/>
          <w:highlight w:val="none"/>
          <w:lang w:val="zh-CN"/>
        </w:rPr>
      </w:pPr>
      <w:r>
        <w:rPr>
          <w:rFonts w:hint="eastAsia" w:ascii="楷体_GB2312" w:hAnsi="宋体" w:eastAsia="楷体_GB2312" w:cs="Times New Roman"/>
          <w:b w:val="0"/>
          <w:bCs/>
          <w:color w:val="auto"/>
          <w:sz w:val="32"/>
          <w:szCs w:val="32"/>
          <w:highlight w:val="none"/>
          <w:lang w:val="zh-CN"/>
        </w:rPr>
        <w:t>广元市</w:t>
      </w:r>
      <w:r>
        <w:rPr>
          <w:rFonts w:hint="eastAsia" w:ascii="仿宋_GB2312" w:hAnsi="宋体" w:eastAsia="仿宋_GB2312" w:cs="Times New Roman"/>
          <w:b w:val="0"/>
          <w:bCs/>
          <w:color w:val="auto"/>
          <w:sz w:val="32"/>
          <w:szCs w:val="32"/>
          <w:highlight w:val="none"/>
          <w:lang w:val="zh-CN"/>
        </w:rPr>
        <w:t>港航发展中心为加强该项目管理采取了相对应的监管手段、监管程序，监管工作开展顺利，效果良好，保障了航运畅通。</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color w:val="auto"/>
          <w:sz w:val="32"/>
          <w:szCs w:val="32"/>
          <w:highlight w:val="none"/>
          <w:lang w:val="zh-CN"/>
        </w:rPr>
      </w:pPr>
      <w:r>
        <w:rPr>
          <w:rFonts w:hint="eastAsia" w:ascii="黑体" w:hAnsi="宋体" w:eastAsia="黑体" w:cs="Times New Roman"/>
          <w:color w:val="auto"/>
          <w:sz w:val="32"/>
          <w:szCs w:val="32"/>
          <w:highlight w:val="none"/>
        </w:rPr>
        <w:t>四、项目绩效情况</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（一）项目完成情况。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该项目计划202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年购钢丝</w:t>
      </w:r>
      <w:r>
        <w:rPr>
          <w:rFonts w:hint="eastAsia" w:ascii="仿宋_GB2312" w:hAnsi="仿宋_GB2312" w:cs="仿宋_GB2312"/>
          <w:sz w:val="32"/>
          <w:szCs w:val="32"/>
          <w:lang w:val="en-US" w:eastAsia="zh-CN"/>
        </w:rPr>
        <w:t>650</w:t>
      </w:r>
      <w:r>
        <w:rPr>
          <w:rFonts w:hint="eastAsia" w:ascii="仿宋_GB2312" w:hAnsi="仿宋_GB2312" w:eastAsia="仿宋_GB2312" w:cs="仿宋_GB2312"/>
          <w:sz w:val="32"/>
          <w:szCs w:val="32"/>
        </w:rPr>
        <w:t>米、</w:t>
      </w:r>
      <w:r>
        <w:rPr>
          <w:rFonts w:hint="eastAsia" w:ascii="仿宋_GB2312" w:hAnsi="仿宋_GB2312" w:cs="仿宋_GB2312"/>
          <w:sz w:val="32"/>
          <w:szCs w:val="32"/>
          <w:lang w:eastAsia="zh-CN"/>
        </w:rPr>
        <w:t>购电瓶</w:t>
      </w:r>
      <w:r>
        <w:rPr>
          <w:rFonts w:hint="eastAsia" w:ascii="仿宋_GB2312" w:hAnsi="仿宋_GB2312" w:cs="仿宋_GB2312"/>
          <w:sz w:val="32"/>
          <w:szCs w:val="32"/>
          <w:lang w:val="en-US" w:eastAsia="zh-CN"/>
        </w:rPr>
        <w:t>2对、</w:t>
      </w:r>
      <w:r>
        <w:rPr>
          <w:rFonts w:hint="eastAsia" w:ascii="仿宋_GB2312" w:hAnsi="仿宋_GB2312" w:eastAsia="仿宋_GB2312" w:cs="仿宋_GB2312"/>
          <w:sz w:val="32"/>
          <w:szCs w:val="32"/>
        </w:rPr>
        <w:t>做锚石</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0个。截止评价时点，已完成钢丝</w:t>
      </w:r>
      <w:r>
        <w:rPr>
          <w:rFonts w:hint="eastAsia" w:ascii="仿宋_GB2312" w:hAnsi="仿宋_GB2312" w:cs="仿宋_GB2312"/>
          <w:sz w:val="32"/>
          <w:szCs w:val="32"/>
          <w:lang w:eastAsia="zh-CN"/>
        </w:rPr>
        <w:t>、电瓶的</w:t>
      </w:r>
      <w:r>
        <w:rPr>
          <w:rFonts w:hint="eastAsia" w:ascii="仿宋_GB2312" w:hAnsi="仿宋_GB2312" w:eastAsia="仿宋_GB2312" w:cs="仿宋_GB2312"/>
          <w:sz w:val="32"/>
          <w:szCs w:val="32"/>
        </w:rPr>
        <w:t>购买及锚石制作，</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严格按照采购的要求控制成本，在正规商家购买合格物资，按时按量完成了该项目的实施。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（二）项目效益情况。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该项目在经济效益方面节约了航道疏浚维护费用，在社会效益方面保障了航道畅通，改善了水运交通</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；在生态效益方面构建了畅通、高效、平安、绿色的航道；在可持续效益方面</w:t>
      </w:r>
      <w:r>
        <w:rPr>
          <w:rFonts w:hint="eastAsia" w:ascii="仿宋_GB2312" w:hAnsi="仿宋_GB2312" w:eastAsia="仿宋_GB2312" w:cs="仿宋_GB2312"/>
          <w:sz w:val="32"/>
          <w:szCs w:val="32"/>
          <w:lang w:val="en-US" w:eastAsia="zh-CN"/>
        </w:rPr>
        <w:t>实现了航道可持续发展</w:t>
      </w:r>
      <w:r>
        <w:rPr>
          <w:rFonts w:hint="eastAsia" w:ascii="仿宋_GB2312" w:hAnsi="仿宋_GB2312" w:eastAsia="仿宋_GB2312" w:cs="仿宋_GB2312"/>
          <w:sz w:val="32"/>
          <w:szCs w:val="32"/>
        </w:rPr>
        <w:t>；在满意度方面</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rPr>
        <w:t>了人民群众满意。</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（一）评价结论。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Times New Roman"/>
          <w:color w:val="FF0000"/>
          <w:sz w:val="32"/>
          <w:szCs w:val="32"/>
          <w:highlight w:val="none"/>
          <w:bdr w:val="single" w:color="auto" w:sz="4" w:space="0"/>
          <w:lang w:val="zh-CN"/>
        </w:rPr>
      </w:pPr>
      <w:r>
        <w:rPr>
          <w:rFonts w:hint="eastAsia" w:ascii="仿宋_GB2312" w:hAnsi="宋体" w:eastAsia="仿宋_GB2312" w:cs="Times New Roman"/>
          <w:color w:val="auto"/>
          <w:sz w:val="32"/>
          <w:szCs w:val="32"/>
          <w:highlight w:val="none"/>
          <w:lang w:val="zh-CN"/>
        </w:rPr>
        <w:t>根据专项项目支出绩效评价指标体系，我段对航道巡查维护项目进行了总体评价。该项目按照要求申报、实施过程顺利，结果良好。</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（二）存在的问题。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ascii="仿宋_GB2312" w:hAnsi="宋体" w:eastAsia="仿宋_GB2312" w:cs="Times New Roman"/>
          <w:color w:val="auto"/>
          <w:sz w:val="32"/>
          <w:szCs w:val="32"/>
          <w:highlight w:val="none"/>
          <w:lang w:val="zh-CN"/>
        </w:rPr>
      </w:pPr>
      <w:r>
        <w:rPr>
          <w:rFonts w:hint="eastAsia" w:ascii="仿宋_GB2312" w:hAnsi="仿宋_GB2312" w:eastAsia="仿宋_GB2312" w:cs="仿宋_GB2312"/>
          <w:sz w:val="32"/>
          <w:szCs w:val="32"/>
        </w:rPr>
        <w:t>该项目在实施过程中由于汛期原因执行进度较为缓慢，项目预算编制</w:t>
      </w:r>
      <w:r>
        <w:rPr>
          <w:rFonts w:hint="eastAsia" w:ascii="仿宋_GB2312" w:hAnsi="仿宋_GB2312" w:eastAsia="仿宋_GB2312" w:cs="仿宋_GB2312"/>
          <w:sz w:val="32"/>
          <w:szCs w:val="32"/>
          <w:lang w:val="en-US" w:eastAsia="zh-CN"/>
        </w:rPr>
        <w:t>水平有待提高</w:t>
      </w:r>
      <w:r>
        <w:rPr>
          <w:rFonts w:hint="eastAsia" w:ascii="仿宋_GB2312" w:hAnsi="仿宋_GB2312" w:eastAsia="仿宋_GB2312" w:cs="仿宋_GB2312"/>
          <w:sz w:val="32"/>
          <w:szCs w:val="32"/>
        </w:rPr>
        <w:t>。</w:t>
      </w:r>
      <w:r>
        <w:rPr>
          <w:rFonts w:hint="eastAsia" w:ascii="仿宋_GB2312" w:hAnsi="宋体" w:eastAsia="仿宋_GB2312" w:cs="Times New Roman"/>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color w:val="auto"/>
          <w:sz w:val="32"/>
          <w:szCs w:val="32"/>
          <w:highlight w:val="none"/>
          <w:lang w:val="zh-CN"/>
        </w:rPr>
      </w:pPr>
      <w:r>
        <w:rPr>
          <w:rFonts w:hint="eastAsia" w:ascii="楷体_GB2312" w:hAnsi="宋体" w:eastAsia="楷体_GB2312" w:cs="Times New Roman"/>
          <w:b/>
          <w:color w:val="auto"/>
          <w:sz w:val="32"/>
          <w:szCs w:val="32"/>
          <w:highlight w:val="none"/>
          <w:lang w:val="zh-CN"/>
        </w:rPr>
        <w:t>（三）相关建议。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下一步我段要严格按照</w:t>
      </w:r>
      <w:r>
        <w:rPr>
          <w:rFonts w:hint="eastAsia" w:ascii="仿宋_GB2312" w:hAnsi="仿宋_GB2312" w:eastAsia="仿宋_GB2312" w:cs="仿宋_GB2312"/>
          <w:sz w:val="32"/>
          <w:szCs w:val="32"/>
        </w:rPr>
        <w:t>《航道法》、《四川省航道条例》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《航道养护管理规定》、《航道养护技术规范》等法律法规和规章，</w:t>
      </w:r>
      <w:r>
        <w:rPr>
          <w:rFonts w:hint="eastAsia" w:ascii="仿宋_GB2312" w:hAnsi="仿宋_GB2312" w:eastAsia="仿宋_GB2312" w:cs="仿宋_GB2312"/>
          <w:sz w:val="32"/>
          <w:szCs w:val="32"/>
        </w:rPr>
        <w:t>科学编制航道项目预算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提高资金</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水平，确保航道安全畅通，</w:t>
      </w:r>
      <w:r>
        <w:rPr>
          <w:rFonts w:hint="eastAsia" w:ascii="仿宋_GB2312" w:hAnsi="仿宋_GB2312" w:eastAsia="仿宋_GB2312" w:cs="仿宋_GB2312"/>
          <w:sz w:val="32"/>
          <w:szCs w:val="32"/>
        </w:rPr>
        <w:t>助推水运事业</w:t>
      </w:r>
      <w:r>
        <w:rPr>
          <w:rFonts w:hint="eastAsia" w:ascii="仿宋_GB2312" w:hAnsi="仿宋_GB2312" w:eastAsia="仿宋_GB2312" w:cs="仿宋_GB2312"/>
          <w:sz w:val="32"/>
          <w:szCs w:val="32"/>
          <w:lang w:val="en-US" w:eastAsia="zh-CN"/>
        </w:rPr>
        <w:t>高效</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w:t>
      </w: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rPr>
      </w:pPr>
    </w:p>
    <w:tbl>
      <w:tblPr>
        <w:tblStyle w:val="14"/>
        <w:tblpPr w:leftFromText="180" w:rightFromText="180" w:vertAnchor="text" w:horzAnchor="page" w:tblpX="370" w:tblpY="994"/>
        <w:tblOverlap w:val="never"/>
        <w:tblW w:w="111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365"/>
        <w:gridCol w:w="1350"/>
        <w:gridCol w:w="2280"/>
        <w:gridCol w:w="2265"/>
        <w:gridCol w:w="2865"/>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950"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highlight w:val="none"/>
                <w:u w:val="none"/>
                <w:lang w:val="en-US" w:eastAsia="zh-CN"/>
              </w:rPr>
              <w:t>2021年部门预算项目绩效目标自评</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54" w:hRule="atLeast"/>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rPr>
              <w:t>广元市港航发展中心</w:t>
            </w:r>
            <w:r>
              <w:rPr>
                <w:rFonts w:hint="eastAsia" w:ascii="宋体" w:hAnsi="宋体" w:cs="宋体"/>
                <w:i w:val="0"/>
                <w:color w:val="auto"/>
                <w:sz w:val="24"/>
                <w:szCs w:val="24"/>
                <w:u w:val="none"/>
                <w:lang w:val="en-US" w:eastAsia="zh-CN"/>
              </w:rPr>
              <w:t>610601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lang w:eastAsia="zh-CN"/>
              </w:rPr>
              <w:t>广元市航务管理局苍溪航道段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1" w:hRule="atLeast"/>
        </w:trPr>
        <w:tc>
          <w:tcPr>
            <w:tcW w:w="21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2.69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55" w:hRule="atLeast"/>
        </w:trPr>
        <w:tc>
          <w:tcPr>
            <w:tcW w:w="21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2.69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41" w:hRule="atLeast"/>
        </w:trPr>
        <w:tc>
          <w:tcPr>
            <w:tcW w:w="21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17"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29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99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对103公里航道进行巡查、航标进行维护，锚石、钢丝等设施设备更换。</w:t>
            </w:r>
          </w:p>
        </w:tc>
        <w:tc>
          <w:tcPr>
            <w:tcW w:w="513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对103公里航道进行巡查、航标进行维护，锚石、钢丝等设施设备更换。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93" w:hRule="atLeast"/>
        </w:trPr>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3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一级指标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二级指标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169" w:hRule="atLeast"/>
        </w:trPr>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auto"/>
                <w:sz w:val="28"/>
                <w:szCs w:val="28"/>
                <w:u w:val="none"/>
                <w:lang w:eastAsia="zh-CN"/>
              </w:rPr>
            </w:pPr>
            <w:r>
              <w:rPr>
                <w:rFonts w:hint="eastAsia" w:ascii="仿宋_GB2312" w:hAnsi="仿宋_GB2312" w:eastAsia="仿宋_GB2312" w:cs="仿宋_GB2312"/>
                <w:i w:val="0"/>
                <w:color w:val="auto"/>
                <w:sz w:val="28"/>
                <w:szCs w:val="28"/>
                <w:u w:val="none"/>
                <w:lang w:eastAsia="zh-CN"/>
              </w:rPr>
              <w:t>数量指标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指标1：购钢丝</w:t>
            </w:r>
            <w:r>
              <w:rPr>
                <w:rFonts w:hint="eastAsia" w:asciiTheme="minorEastAsia" w:hAnsiTheme="minorEastAsia" w:eastAsiaTheme="minorEastAsia" w:cstheme="minorEastAsia"/>
                <w:sz w:val="21"/>
                <w:szCs w:val="21"/>
                <w:lang w:val="en-US" w:eastAsia="zh-CN"/>
              </w:rPr>
              <w:t>650</w:t>
            </w:r>
            <w:r>
              <w:rPr>
                <w:rFonts w:hint="eastAsia" w:asciiTheme="minorEastAsia" w:hAnsiTheme="minorEastAsia" w:eastAsiaTheme="minorEastAsia" w:cstheme="minorEastAsia"/>
                <w:sz w:val="21"/>
                <w:szCs w:val="21"/>
              </w:rPr>
              <w:t xml:space="preserve">米 </w:t>
            </w:r>
          </w:p>
          <w:p>
            <w:pPr>
              <w:widowControl/>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指标2：购沉块（锚石）80个</w:t>
            </w:r>
          </w:p>
          <w:p>
            <w:pPr>
              <w:widowControl/>
              <w:jc w:val="both"/>
              <w:textAlignment w:val="center"/>
              <w:rPr>
                <w:rFonts w:hint="eastAsia" w:ascii="仿宋_GB2312" w:hAnsi="仿宋_GB2312" w:eastAsia="仿宋_GB2312" w:cs="仿宋_GB2312"/>
                <w:sz w:val="21"/>
                <w:szCs w:val="21"/>
                <w:lang w:val="en-US" w:eastAsia="zh-CN"/>
              </w:rPr>
            </w:pPr>
            <w:r>
              <w:rPr>
                <w:rFonts w:hint="eastAsia" w:asciiTheme="minorEastAsia" w:hAnsiTheme="minorEastAsia" w:eastAsiaTheme="minorEastAsia" w:cstheme="minorEastAsia"/>
                <w:sz w:val="21"/>
                <w:szCs w:val="21"/>
                <w:lang w:eastAsia="zh-CN"/>
              </w:rPr>
              <w:t>指标</w:t>
            </w:r>
            <w:r>
              <w:rPr>
                <w:rFonts w:hint="eastAsia" w:asciiTheme="minorEastAsia" w:hAnsiTheme="minorEastAsia" w:eastAsiaTheme="minorEastAsia" w:cstheme="minorEastAsia"/>
                <w:sz w:val="21"/>
                <w:szCs w:val="21"/>
                <w:lang w:val="en-US" w:eastAsia="zh-CN"/>
              </w:rPr>
              <w:t>3：购电瓶2对</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钢丝</w:t>
            </w:r>
            <w:r>
              <w:rPr>
                <w:rFonts w:hint="eastAsia" w:asciiTheme="minorEastAsia" w:hAnsiTheme="minorEastAsia" w:eastAsiaTheme="minorEastAsia" w:cstheme="minorEastAsia"/>
                <w:sz w:val="21"/>
                <w:szCs w:val="21"/>
                <w:lang w:val="en-US" w:eastAsia="zh-CN"/>
              </w:rPr>
              <w:t>0.65万元</w:t>
            </w:r>
          </w:p>
          <w:p>
            <w:pPr>
              <w:widowControl/>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锚石1.6万元</w:t>
            </w:r>
          </w:p>
          <w:p>
            <w:pPr>
              <w:widowControl/>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电瓶0.44万元</w:t>
            </w:r>
          </w:p>
          <w:p>
            <w:pPr>
              <w:widowControl/>
              <w:jc w:val="both"/>
              <w:textAlignment w:val="center"/>
              <w:rPr>
                <w:rFonts w:hint="eastAsia" w:asciiTheme="minorEastAsia" w:hAnsiTheme="minorEastAsia" w:eastAsiaTheme="minorEastAsia" w:cstheme="minorEastAsia"/>
                <w:sz w:val="21"/>
                <w:szCs w:val="21"/>
                <w:lang w:val="en-US" w:eastAsia="zh-CN"/>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钢丝</w:t>
            </w:r>
            <w:r>
              <w:rPr>
                <w:rFonts w:hint="eastAsia" w:asciiTheme="minorEastAsia" w:hAnsiTheme="minorEastAsia" w:eastAsiaTheme="minorEastAsia" w:cstheme="minorEastAsia"/>
                <w:sz w:val="21"/>
                <w:szCs w:val="21"/>
                <w:lang w:val="en-US" w:eastAsia="zh-CN"/>
              </w:rPr>
              <w:t>0.65万元</w:t>
            </w:r>
          </w:p>
          <w:p>
            <w:pPr>
              <w:widowControl/>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锚石1.6万元</w:t>
            </w:r>
          </w:p>
          <w:p>
            <w:pPr>
              <w:widowControl/>
              <w:jc w:val="both"/>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电瓶0.44万元</w:t>
            </w:r>
          </w:p>
          <w:p>
            <w:pPr>
              <w:widowControl/>
              <w:jc w:val="both"/>
              <w:textAlignment w:val="center"/>
              <w:rPr>
                <w:rFonts w:hint="eastAsia" w:asciiTheme="minorEastAsia" w:hAnsiTheme="minorEastAsia" w:eastAsiaTheme="minorEastAsia" w:cstheme="minor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15" w:hRule="atLeast"/>
        </w:trPr>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购买有质量保障的物资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在正规的商家购买合格的物资</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在正规的商家购买合格的物资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15" w:hRule="atLeast"/>
        </w:trPr>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按时完成物资采购</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2021年完成航道维护所需物资</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2021年完成航道维护所需物资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严格控制成本</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tabs>
                <w:tab w:val="left" w:pos="343"/>
              </w:tabs>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严格按照采购程序和要求采购价格合适的商品</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严格按照采购程序和要求采购价格合适的商品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节约航道疏浚维护费用</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节约航道疏浚维护费用</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节约航道疏浚维护费用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80" w:hRule="atLeast"/>
        </w:trPr>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保障航道畅通，改善水运交通</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保障航道畅通，改善水运交通</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保障航道畅通，改善水运交通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77" w:hRule="atLeast"/>
        </w:trPr>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280" w:hanging="280" w:hangingChars="100"/>
              <w:jc w:val="both"/>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构建畅通、高效、平安、绿色航道</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构建畅通、高效、平安、绿色航道</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构建畅通、高效、平安、绿色航道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0" w:hRule="atLeast"/>
        </w:trPr>
        <w:tc>
          <w:tcPr>
            <w:tcW w:w="82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保障航道安全畅通</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保障航道安全畅通</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tabs>
                <w:tab w:val="left" w:pos="469"/>
              </w:tabs>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eastAsia="zh-CN"/>
              </w:rPr>
              <w:t>保障航道安全畅通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30" w:hRule="atLeast"/>
        </w:trPr>
        <w:tc>
          <w:tcPr>
            <w:tcW w:w="8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人民群众满意</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保证人民群众满意</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保证人民群众满意</w:t>
            </w:r>
          </w:p>
        </w:tc>
      </w:tr>
    </w:tbl>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_GB2312" w:hAnsi="仿宋_GB2312"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val="en-US" w:eastAsia="zh-CN"/>
        </w:rPr>
        <w:t>表</w:t>
      </w:r>
    </w:p>
    <w:p>
      <w:pPr>
        <w:rPr>
          <w:rFonts w:hint="eastAsia" w:ascii="黑体" w:hAnsi="黑体" w:eastAsia="黑体"/>
          <w:color w:val="auto"/>
          <w:sz w:val="44"/>
          <w:szCs w:val="44"/>
          <w:highlight w:val="none"/>
        </w:rPr>
      </w:pPr>
      <w:bookmarkStart w:id="53" w:name="_Toc15396618"/>
    </w:p>
    <w:p>
      <w:pPr>
        <w:pStyle w:val="2"/>
        <w:rPr>
          <w:rFonts w:hint="eastAsi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pPr>
        <w:pStyle w:val="4"/>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3"/>
    </w:p>
    <w:p>
      <w:pPr>
        <w:pStyle w:val="4"/>
        <w:rPr>
          <w:rFonts w:hint="default" w:ascii="仿宋" w:hAnsi="仿宋" w:eastAsia="仿宋"/>
          <w:color w:val="auto"/>
          <w:highlight w:val="none"/>
          <w:lang w:val="en-US" w:eastAsia="zh-CN"/>
        </w:rPr>
      </w:pPr>
      <w:bookmarkStart w:id="64"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5"/>
    </w:p>
    <w:p>
      <w:pPr>
        <w:pStyle w:val="4"/>
        <w:rPr>
          <w:rStyle w:val="27"/>
          <w:rFonts w:hint="eastAsia" w:ascii="仿宋" w:hAnsi="仿宋" w:eastAsia="仿宋"/>
          <w:b w:val="0"/>
          <w:bCs w:val="0"/>
          <w:color w:val="auto"/>
          <w:highlight w:val="none"/>
        </w:rPr>
      </w:pPr>
      <w:bookmarkStart w:id="66"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rPr>
            <w:rFonts w:hint="eastAsia"/>
            <w:lang w:val="en-US" w:eastAsia="zh-CN"/>
          </w:rPr>
        </w:pPr>
        <w:r>
          <w:rPr>
            <w:rFonts w:hint="eastAsia"/>
            <w:lang w:val="en-US" w:eastAsia="zh-CN"/>
          </w:rPr>
          <w:t>2</w:t>
        </w:r>
      </w:p>
      <w:p>
        <w:pPr>
          <w:pStyle w:val="10"/>
          <w:jc w:val="center"/>
        </w:pP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sdt>
    <w:sdtPr>
      <w:id w:val="-1994781956"/>
    </w:sdtPr>
    <w:sdtContent>
      <w:p>
        <w:pPr>
          <w:pStyle w:val="10"/>
          <w:jc w:val="center"/>
        </w:pP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62B8B"/>
    <w:multiLevelType w:val="singleLevel"/>
    <w:tmpl w:val="82A62B8B"/>
    <w:lvl w:ilvl="0" w:tentative="0">
      <w:start w:val="1"/>
      <w:numFmt w:val="chineseCounting"/>
      <w:suff w:val="nothing"/>
      <w:lvlText w:val="%1、"/>
      <w:lvlJc w:val="left"/>
      <w:rPr>
        <w:rFonts w:hint="eastAsia"/>
      </w:rPr>
    </w:lvl>
  </w:abstractNum>
  <w:abstractNum w:abstractNumId="1">
    <w:nsid w:val="8BFA3580"/>
    <w:multiLevelType w:val="singleLevel"/>
    <w:tmpl w:val="8BFA3580"/>
    <w:lvl w:ilvl="0" w:tentative="0">
      <w:start w:val="1"/>
      <w:numFmt w:val="chineseCounting"/>
      <w:suff w:val="nothing"/>
      <w:lvlText w:val="（%1）"/>
      <w:lvlJc w:val="left"/>
      <w:pPr>
        <w:ind w:left="-13"/>
      </w:pPr>
      <w:rPr>
        <w:rFonts w:hint="eastAsia"/>
        <w:b/>
        <w:bCs/>
        <w:color w:val="auto"/>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B4F7BB3"/>
    <w:multiLevelType w:val="singleLevel"/>
    <w:tmpl w:val="1B4F7BB3"/>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NzcwY2I2Y2YxZjNjNzVhMzlkMDEwYjZiN2I2M2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A5B5EE9"/>
    <w:rsid w:val="0B8A37D8"/>
    <w:rsid w:val="10C055FF"/>
    <w:rsid w:val="118107EC"/>
    <w:rsid w:val="11DD6519"/>
    <w:rsid w:val="16BB723D"/>
    <w:rsid w:val="18015F3F"/>
    <w:rsid w:val="1BE8440E"/>
    <w:rsid w:val="1CBE604F"/>
    <w:rsid w:val="1D155CEE"/>
    <w:rsid w:val="20F57F95"/>
    <w:rsid w:val="230A682E"/>
    <w:rsid w:val="240371BF"/>
    <w:rsid w:val="25C741E6"/>
    <w:rsid w:val="27842671"/>
    <w:rsid w:val="29FD04D3"/>
    <w:rsid w:val="2ABE7A3E"/>
    <w:rsid w:val="2EFA178C"/>
    <w:rsid w:val="30B46D73"/>
    <w:rsid w:val="319F7F4E"/>
    <w:rsid w:val="33723CB5"/>
    <w:rsid w:val="39AE70AB"/>
    <w:rsid w:val="3B0C4A09"/>
    <w:rsid w:val="3C0C0783"/>
    <w:rsid w:val="3EF436B4"/>
    <w:rsid w:val="3F795B0E"/>
    <w:rsid w:val="3F9F3A96"/>
    <w:rsid w:val="40350D30"/>
    <w:rsid w:val="440F32EC"/>
    <w:rsid w:val="46875EEE"/>
    <w:rsid w:val="493C27E9"/>
    <w:rsid w:val="496F39ED"/>
    <w:rsid w:val="49FF41D3"/>
    <w:rsid w:val="4A185DC8"/>
    <w:rsid w:val="4BE068DB"/>
    <w:rsid w:val="4BF6002B"/>
    <w:rsid w:val="4ECE2238"/>
    <w:rsid w:val="51333CBC"/>
    <w:rsid w:val="51DB4B86"/>
    <w:rsid w:val="54D7667F"/>
    <w:rsid w:val="55333C3E"/>
    <w:rsid w:val="64CA39A1"/>
    <w:rsid w:val="682400D1"/>
    <w:rsid w:val="6C4A05C8"/>
    <w:rsid w:val="72734D90"/>
    <w:rsid w:val="79E7B28D"/>
    <w:rsid w:val="7C775BAB"/>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6">
    <w:name w:val="annotation text"/>
    <w:basedOn w:val="1"/>
    <w:semiHidden/>
    <w:unhideWhenUsed/>
    <w:qFormat/>
    <w:uiPriority w:val="99"/>
    <w:pPr>
      <w:jc w:val="left"/>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7"/>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1&#24180;&#20915;&#31639;&#20844;&#24320;\&#20915;&#31639;&#20844;&#24320;&#25554;&#22270;&#21046;&#20316;&#31034;&#2036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eChat%20Files\wxid_s9tlllba6mpq22\FileStorage\File\2021-09\&#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1&#24180;&#20915;&#31639;&#20844;&#24320;\&#20915;&#31639;&#20844;&#24320;&#25554;&#22270;&#21046;&#20316;&#31034;&#2036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1&#24180;&#20915;&#31639;&#20844;&#24320;\&#20915;&#31639;&#20844;&#24320;&#25554;&#22270;&#21046;&#20316;&#31034;&#2036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1&#24180;&#20915;&#31639;&#20844;&#24320;\&#20915;&#31639;&#20844;&#24320;&#25554;&#22270;&#21046;&#20316;&#31034;&#2036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5991;&#26723;(&#24050;&#35782;&#21035;)(7)\2022\2021&#24180;&#20915;&#31639;&#20844;&#24320;\2021&#20915;&#31639;&#20844;&#24320;&#25554;&#22270;&#21046;&#20316;&#31034;&#2036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1&#24180;&#20915;&#31639;&#20844;&#24320;\&#20915;&#31639;&#20844;&#24320;&#25554;&#22270;&#21046;&#20316;&#31034;&#2036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c:spPr>
          <c:invertIfNegative val="0"/>
          <c:dPt>
            <c:idx val="1"/>
            <c:invertIfNegative val="0"/>
            <c:bubble3D val="0"/>
            <c:spPr>
              <a:solidFill>
                <a:srgbClr val="FFC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[决算公开插图制作示例.xlsx]图一!$A$1:$B$1</c:f>
              <c:strCache>
                <c:ptCount val="2"/>
                <c:pt idx="0">
                  <c:v>2020年</c:v>
                </c:pt>
                <c:pt idx="1">
                  <c:v>2021年</c:v>
                </c:pt>
              </c:strCache>
            </c:strRef>
          </c:cat>
          <c:val>
            <c:numRef>
              <c:f>[决算公开插图制作示例.xlsx]图一!$A$2:$B$2</c:f>
              <c:numCache>
                <c:formatCode>General</c:formatCode>
                <c:ptCount val="2"/>
                <c:pt idx="0">
                  <c:v>486.37</c:v>
                </c:pt>
                <c:pt idx="1">
                  <c:v>541.09</c:v>
                </c:pt>
              </c:numCache>
            </c:numRef>
          </c:val>
        </c:ser>
        <c:dLbls>
          <c:showLegendKey val="0"/>
          <c:showVal val="1"/>
          <c:showCatName val="0"/>
          <c:showSerName val="0"/>
          <c:showPercent val="0"/>
          <c:showBubbleSize val="0"/>
        </c:dLbls>
        <c:gapWidth val="150"/>
        <c:axId val="132649344"/>
        <c:axId val="132650880"/>
      </c:barChart>
      <c:catAx>
        <c:axId val="132649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650880"/>
        <c:crosses val="autoZero"/>
        <c:auto val="1"/>
        <c:lblAlgn val="ctr"/>
        <c:lblOffset val="100"/>
        <c:noMultiLvlLbl val="0"/>
      </c:catAx>
      <c:valAx>
        <c:axId val="1326508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26493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2013888888889"/>
          <c:y val="0.176388888888889"/>
          <c:w val="0.324305555555556"/>
          <c:h val="0.540509259259259"/>
        </c:manualLayout>
      </c:layout>
      <c:pieChart>
        <c:varyColors val="1"/>
        <c:ser>
          <c:idx val="0"/>
          <c:order val="0"/>
          <c:spPr/>
          <c:explosion val="0"/>
          <c:dLbls>
            <c:delete val="1"/>
          </c:dLbls>
          <c:cat>
            <c:strRef>
              <c:f>[图.xlsx]图二!$A$1:$A$2</c:f>
              <c:strCache>
                <c:ptCount val="2"/>
                <c:pt idx="0">
                  <c:v>一、一般公共预算财政拨款收入</c:v>
                </c:pt>
                <c:pt idx="1">
                  <c:v>二、其他收入</c:v>
                </c:pt>
              </c:strCache>
            </c:strRef>
          </c:cat>
          <c:val>
            <c:numRef>
              <c:f>[图.xlsx]图二!$B$1:$B$2</c:f>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1"/>
              <c:layout>
                <c:manualLayout>
                  <c:x val="0.0321654287916653"/>
                  <c:y val="-0.14979027458553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[图.xlsx]图二!$A$1:$A$2</c:f>
              <c:strCache>
                <c:ptCount val="2"/>
                <c:pt idx="0">
                  <c:v>一、一般公共预算财政拨款收入</c:v>
                </c:pt>
                <c:pt idx="1">
                  <c:v>二、其他收入</c:v>
                </c:pt>
              </c:strCache>
            </c:strRef>
          </c:cat>
          <c:val>
            <c:numRef>
              <c:f>[图.xlsx]图二!$C$1:$C$2</c:f>
              <c:numCache>
                <c:formatCode>0.00%</c:formatCode>
                <c:ptCount val="2"/>
                <c:pt idx="0">
                  <c:v>0.9998</c:v>
                </c:pt>
                <c:pt idx="1">
                  <c:v>0.0002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24846894138"/>
          <c:y val="0.150462962962963"/>
          <c:w val="0.566371172353456"/>
          <c:h val="0.689814814814815"/>
        </c:manualLayout>
      </c:layout>
      <c:pieChart>
        <c:varyColors val="1"/>
        <c:ser>
          <c:idx val="0"/>
          <c:order val="0"/>
          <c:explosion val="0"/>
          <c:dPt>
            <c:idx val="0"/>
            <c:bubble3D val="0"/>
          </c:dPt>
          <c:dPt>
            <c:idx val="1"/>
            <c:bubble3D val="0"/>
          </c:dPt>
          <c:dLbls>
            <c:dLbl>
              <c:idx val="0"/>
              <c:layout>
                <c:manualLayout>
                  <c:x val="0.0848707349081365"/>
                  <c:y val="-0.1715733449985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86458880139982"/>
                  <c:y val="0.1401472732575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[决算公开插图制作示例.xlsx]图三!$A$2:$B$2</c:f>
              <c:strCache>
                <c:ptCount val="2"/>
                <c:pt idx="0">
                  <c:v>基本支出</c:v>
                </c:pt>
                <c:pt idx="1">
                  <c:v>项目支出</c:v>
                </c:pt>
              </c:strCache>
            </c:strRef>
          </c:cat>
          <c:val>
            <c:numRef>
              <c:f>[决算公开插图制作示例.xlsx]图三!$A$3:$B$3</c:f>
              <c:numCache>
                <c:formatCode>0.00%</c:formatCode>
                <c:ptCount val="2"/>
                <c:pt idx="0">
                  <c:v>0.9819</c:v>
                </c:pt>
                <c:pt idx="1">
                  <c:v>0.0181</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77043088363955"/>
          <c:y val="0.434801326917469"/>
          <c:w val="0.186845800524934"/>
          <c:h val="0.16743438320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668853893263"/>
          <c:y val="0.0514005540974045"/>
          <c:w val="0.587929790026247"/>
          <c:h val="0.824965368912219"/>
        </c:manualLayout>
      </c:layout>
      <c:barChart>
        <c:barDir val="col"/>
        <c:grouping val="clustered"/>
        <c:varyColors val="0"/>
        <c:ser>
          <c:idx val="0"/>
          <c:order val="0"/>
          <c:invertIfNegative val="0"/>
          <c:dPt>
            <c:idx val="1"/>
            <c:invertIfNegative val="0"/>
            <c:bubble3D val="0"/>
            <c:spPr>
              <a:solidFill>
                <a:srgbClr val="C00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'[决算公开插图制作示例.xlsx]图4 '!$A$1:$B$1</c:f>
              <c:strCache>
                <c:ptCount val="2"/>
                <c:pt idx="0">
                  <c:v>2020年</c:v>
                </c:pt>
                <c:pt idx="1">
                  <c:v>2021年</c:v>
                </c:pt>
              </c:strCache>
            </c:strRef>
          </c:cat>
          <c:val>
            <c:numRef>
              <c:f>'[决算公开插图制作示例.xlsx]图4 '!$A$2:$B$2</c:f>
              <c:numCache>
                <c:formatCode>General</c:formatCode>
                <c:ptCount val="2"/>
                <c:pt idx="0">
                  <c:v>388.82</c:v>
                </c:pt>
                <c:pt idx="1">
                  <c:v>456.89</c:v>
                </c:pt>
              </c:numCache>
            </c:numRef>
          </c:val>
        </c:ser>
        <c:dLbls>
          <c:showLegendKey val="0"/>
          <c:showVal val="1"/>
          <c:showCatName val="0"/>
          <c:showSerName val="0"/>
          <c:showPercent val="0"/>
          <c:showBubbleSize val="0"/>
        </c:dLbls>
        <c:gapWidth val="150"/>
        <c:axId val="133066112"/>
        <c:axId val="133084288"/>
      </c:barChart>
      <c:catAx>
        <c:axId val="133066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33084288"/>
        <c:crosses val="autoZero"/>
        <c:auto val="1"/>
        <c:lblAlgn val="ctr"/>
        <c:lblOffset val="100"/>
        <c:noMultiLvlLbl val="0"/>
      </c:catAx>
      <c:valAx>
        <c:axId val="1330842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066112"/>
        <c:crosses val="autoZero"/>
        <c:crossBetween val="between"/>
      </c:valAx>
    </c:plotArea>
    <c:legend>
      <c:legendPos val="r"/>
      <c:layout>
        <c:manualLayout>
          <c:xMode val="edge"/>
          <c:yMode val="edge"/>
          <c:x val="0.763154199475066"/>
          <c:y val="0.360343394575678"/>
          <c:w val="0.220179133858268"/>
          <c:h val="0.27931321084864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8571741032371"/>
          <c:y val="0.168676727909011"/>
          <c:w val="0.606249125109361"/>
          <c:h val="0.679911417322835"/>
        </c:manualLayout>
      </c:layout>
      <c:barChart>
        <c:barDir val="col"/>
        <c:grouping val="clustered"/>
        <c:varyColors val="0"/>
        <c:ser>
          <c:idx val="0"/>
          <c:order val="0"/>
          <c:invertIfNegative val="0"/>
          <c:dPt>
            <c:idx val="1"/>
            <c:invertIfNegative val="0"/>
            <c:bubble3D val="0"/>
            <c:spPr>
              <a:solidFill>
                <a:srgbClr val="FF0000"/>
              </a:solidFill>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[决算公开插图制作示例.xlsx]图5!$A$1:$B$1</c:f>
              <c:strCache>
                <c:ptCount val="2"/>
                <c:pt idx="0">
                  <c:v>2020年</c:v>
                </c:pt>
                <c:pt idx="1">
                  <c:v>2021年</c:v>
                </c:pt>
              </c:strCache>
            </c:strRef>
          </c:cat>
          <c:val>
            <c:numRef>
              <c:f>[决算公开插图制作示例.xlsx]图5!$A$2:$B$2</c:f>
              <c:numCache>
                <c:formatCode>General</c:formatCode>
                <c:ptCount val="2"/>
                <c:pt idx="0">
                  <c:v>325.24</c:v>
                </c:pt>
                <c:pt idx="1">
                  <c:v>407.09</c:v>
                </c:pt>
              </c:numCache>
            </c:numRef>
          </c:val>
        </c:ser>
        <c:dLbls>
          <c:showLegendKey val="0"/>
          <c:showVal val="1"/>
          <c:showCatName val="0"/>
          <c:showSerName val="0"/>
          <c:showPercent val="0"/>
          <c:showBubbleSize val="0"/>
        </c:dLbls>
        <c:gapWidth val="150"/>
        <c:axId val="133142016"/>
        <c:axId val="133143552"/>
      </c:barChart>
      <c:catAx>
        <c:axId val="133142016"/>
        <c:scaling>
          <c:orientation val="minMax"/>
        </c:scaling>
        <c:delete val="0"/>
        <c:axPos val="b"/>
        <c:majorTickMark val="out"/>
        <c:minorTickMark val="none"/>
        <c:tickLblPos val="nextTo"/>
        <c:txPr>
          <a:bodyPr rot="-60000000" spcFirstLastPara="0" vertOverflow="ellipsis" vert="horz" wrap="square" anchor="ctr" anchorCtr="1"/>
          <a:lstStyle/>
          <a:p>
            <a:pPr>
              <a:defRPr lang="zh-CN" sz="600" b="0" i="0" u="none" strike="noStrike" kern="1200" baseline="0">
                <a:solidFill>
                  <a:schemeClr val="tx1"/>
                </a:solidFill>
                <a:latin typeface="+mn-lt"/>
                <a:ea typeface="+mn-ea"/>
                <a:cs typeface="+mn-cs"/>
              </a:defRPr>
            </a:pPr>
          </a:p>
        </c:txPr>
        <c:crossAx val="133143552"/>
        <c:crosses val="autoZero"/>
        <c:auto val="1"/>
        <c:lblAlgn val="ctr"/>
        <c:lblOffset val="100"/>
        <c:noMultiLvlLbl val="0"/>
      </c:catAx>
      <c:valAx>
        <c:axId val="1331435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142016"/>
        <c:crosses val="autoZero"/>
        <c:crossBetween val="between"/>
      </c:valAx>
    </c:plotArea>
    <c:legend>
      <c:legendPos val="tr"/>
      <c:layout>
        <c:manualLayout>
          <c:xMode val="edge"/>
          <c:yMode val="edge"/>
          <c:x val="0.765931977252843"/>
          <c:y val="0.236111111111111"/>
          <c:w val="0.211845800524934"/>
          <c:h val="0.4552391367745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tx2">
                  <a:lumMod val="40000"/>
                  <a:lumOff val="60000"/>
                </a:schemeClr>
              </a:solidFill>
            </c:spPr>
          </c:dPt>
          <c:dPt>
            <c:idx val="1"/>
            <c:bubble3D val="0"/>
          </c:dPt>
          <c:dPt>
            <c:idx val="2"/>
            <c:bubble3D val="0"/>
          </c:dPt>
          <c:dPt>
            <c:idx val="3"/>
            <c:bubble3D val="0"/>
          </c:dPt>
          <c:dLbls>
            <c:dLbl>
              <c:idx val="0"/>
              <c:layout>
                <c:manualLayout>
                  <c:x val="0.0483216316710411"/>
                  <c:y val="0.09773804316127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46208442694663"/>
                  <c:y val="-0.03596310877806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951443569554"/>
                  <c:y val="-0.1322783610382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6543197725284"/>
                  <c:y val="-0.1086734470691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[2021决算公开插图制作示例.xlsx]图6!$A$2:$A$5</c:f>
              <c:strCache>
                <c:ptCount val="4"/>
                <c:pt idx="0">
                  <c:v>交通运输（类）支出</c:v>
                </c:pt>
                <c:pt idx="1">
                  <c:v>社会保障和就业（类）支出</c:v>
                </c:pt>
                <c:pt idx="2">
                  <c:v>卫生健康(类)支出</c:v>
                </c:pt>
                <c:pt idx="3">
                  <c:v>住房保障（类）支出</c:v>
                </c:pt>
              </c:strCache>
            </c:strRef>
          </c:cat>
          <c:val>
            <c:numRef>
              <c:f>[2021决算公开插图制作示例.xlsx]图6!$B$2:$B$5</c:f>
              <c:numCache>
                <c:formatCode>General</c:formatCode>
                <c:ptCount val="4"/>
                <c:pt idx="0">
                  <c:v>330.85</c:v>
                </c:pt>
                <c:pt idx="1">
                  <c:v>31.33</c:v>
                </c:pt>
                <c:pt idx="2">
                  <c:v>17.58</c:v>
                </c:pt>
                <c:pt idx="3">
                  <c:v>27.33</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Lbl>
              <c:idx val="0"/>
              <c:layout>
                <c:manualLayout>
                  <c:x val="-0.0677309711286089"/>
                  <c:y val="-0.06258967629046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2130139982502"/>
                  <c:y val="-0.04985819480898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[决算公开插图制作示例.xlsx]图7!$A$2:$A$3</c:f>
              <c:strCache>
                <c:ptCount val="2"/>
                <c:pt idx="0">
                  <c:v>公务用车购置及运行维护费支出</c:v>
                </c:pt>
                <c:pt idx="1">
                  <c:v>公务接待费支出</c:v>
                </c:pt>
              </c:strCache>
            </c:strRef>
          </c:cat>
          <c:val>
            <c:numRef>
              <c:f>[决算公开插图制作示例.xlsx]图7!$B$2:$B$3</c:f>
              <c:numCache>
                <c:formatCode>General</c:formatCode>
                <c:ptCount val="2"/>
                <c:pt idx="0">
                  <c:v>2.64</c:v>
                </c:pt>
                <c:pt idx="1">
                  <c:v>0.2</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64920094314907"/>
          <c:y val="0.34151738973956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7091</Words>
  <Characters>7901</Characters>
  <Lines>61</Lines>
  <Paragraphs>17</Paragraphs>
  <TotalTime>31</TotalTime>
  <ScaleCrop>false</ScaleCrop>
  <LinksUpToDate>false</LinksUpToDate>
  <CharactersWithSpaces>7952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枫楹</cp:lastModifiedBy>
  <cp:lastPrinted>2022-08-06T02:23:00Z</cp:lastPrinted>
  <dcterms:modified xsi:type="dcterms:W3CDTF">2023-07-14T01:12:36Z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ABEC0B788D7A4720A16A8403E4000087_13</vt:lpwstr>
  </property>
</Properties>
</file>