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auto"/>
          <w:sz w:val="21"/>
          <w:szCs w:val="21"/>
          <w:highlight w:val="none"/>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5378441"/>
      <w:bookmarkStart w:id="3" w:name="_Toc15377193"/>
      <w:bookmarkStart w:id="4" w:name="_Toc13091"/>
      <w:bookmarkStart w:id="5" w:name="_Toc15377425"/>
      <w:bookmarkStart w:id="6" w:name="_Toc1539647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7" w:name="_Toc23815"/>
      <w:bookmarkStart w:id="8" w:name="_Toc15396598"/>
      <w:bookmarkStart w:id="9" w:name="_Toc15377194"/>
      <w:bookmarkStart w:id="10" w:name="_Toc15306268"/>
      <w:bookmarkStart w:id="11" w:name="_Toc15377426"/>
      <w:bookmarkStart w:id="12" w:name="_Toc15396476"/>
      <w:bookmarkStart w:id="13" w:name="_Toc15378442"/>
      <w:r>
        <w:rPr>
          <w:rFonts w:hint="eastAsia" w:ascii="方正小标宋简体" w:hAnsi="方正小标宋简体" w:eastAsia="方正小标宋简体" w:cs="方正小标宋简体"/>
          <w:color w:val="auto"/>
          <w:sz w:val="72"/>
          <w:szCs w:val="72"/>
          <w:highlight w:val="none"/>
          <w:lang w:val="en-US" w:eastAsia="zh-CN"/>
        </w:rPr>
        <w:t>广元市航务管理局</w:t>
      </w:r>
      <w:bookmarkEnd w:id="7"/>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4" w:name="_Toc27022"/>
      <w:r>
        <w:rPr>
          <w:rFonts w:hint="eastAsia" w:ascii="方正小标宋简体" w:hAnsi="方正小标宋简体" w:eastAsia="方正小标宋简体" w:cs="方正小标宋简体"/>
          <w:color w:val="auto"/>
          <w:sz w:val="72"/>
          <w:szCs w:val="72"/>
          <w:highlight w:val="none"/>
          <w:lang w:val="en-US" w:eastAsia="zh-CN"/>
        </w:rPr>
        <w:t>苍溪航道段</w:t>
      </w:r>
      <w:r>
        <w:rPr>
          <w:rFonts w:hint="eastAsia" w:ascii="方正小标宋简体" w:hAnsi="方正小标宋简体" w:eastAsia="方正小标宋简体" w:cs="方正小标宋简体"/>
          <w:color w:val="auto"/>
          <w:sz w:val="72"/>
          <w:szCs w:val="72"/>
          <w:highlight w:val="none"/>
        </w:rPr>
        <w:t>决算</w:t>
      </w:r>
      <w:bookmarkEnd w:id="8"/>
      <w:bookmarkEnd w:id="9"/>
      <w:bookmarkEnd w:id="10"/>
      <w:bookmarkEnd w:id="11"/>
      <w:bookmarkEnd w:id="12"/>
      <w:bookmarkEnd w:id="13"/>
      <w:bookmarkEnd w:id="14"/>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default" w:asciiTheme="minorAscii" w:hAnsiTheme="minorAscii"/>
          <w:color w:val="auto"/>
          <w:highlight w:val="none"/>
        </w:rPr>
      </w:pPr>
    </w:p>
    <w:p>
      <w:pPr>
        <w:widowControl/>
        <w:jc w:val="center"/>
        <w:rPr>
          <w:rFonts w:hint="eastAsia" w:ascii="仿宋" w:hAnsi="仿宋" w:eastAsia="仿宋" w:cs="仿宋"/>
          <w:color w:val="auto"/>
          <w:sz w:val="28"/>
          <w:szCs w:val="2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s="仿宋"/>
          <w:color w:val="auto"/>
          <w:sz w:val="28"/>
          <w:szCs w:val="28"/>
          <w:highlight w:val="none"/>
        </w:rPr>
        <w:t>公开时间：20</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w:t>
      </w:r>
    </w:p>
    <w:sdt>
      <w:sdtPr>
        <w:rPr>
          <w:rFonts w:ascii="宋体" w:hAnsi="宋体" w:eastAsia="宋体" w:cs="Times New Roman"/>
          <w:kern w:val="2"/>
          <w:sz w:val="44"/>
          <w:szCs w:val="44"/>
          <w:lang w:val="en-US" w:eastAsia="zh-CN" w:bidi="ar-SA"/>
        </w:rPr>
        <w:id w:val="147476858"/>
        <w15:color w:val="DBDBDB"/>
        <w:docPartObj>
          <w:docPartGallery w:val="Table of Contents"/>
          <w:docPartUnique/>
        </w:docPartObj>
      </w:sdtPr>
      <w:sdtEndPr>
        <w:rPr>
          <w:rFonts w:ascii="Times New Roman" w:hAnsi="Times New Roman" w:eastAsia="宋体" w:cs="Times New Roman"/>
          <w:b/>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31"/>
            <w:tabs>
              <w:tab w:val="right" w:leader="dot" w:pos="8306"/>
            </w:tabs>
            <w:rPr>
              <w:b/>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pPr>
            <w:pStyle w:val="31"/>
            <w:tabs>
              <w:tab w:val="right" w:leader="dot" w:pos="8306"/>
            </w:tabs>
            <w:rPr>
              <w:b/>
            </w:rPr>
          </w:pPr>
          <w:r>
            <w:rPr>
              <w:b/>
              <w:color w:val="auto"/>
              <w:highlight w:val="none"/>
            </w:rPr>
            <w:fldChar w:fldCharType="begin"/>
          </w:r>
          <w:r>
            <w:rPr>
              <w:b/>
              <w:highlight w:val="none"/>
            </w:rPr>
            <w:instrText xml:space="preserve"> HYPERLINK \l _Toc15312 </w:instrText>
          </w:r>
          <w:r>
            <w:rPr>
              <w:b/>
              <w:highlight w:val="none"/>
            </w:rPr>
            <w:fldChar w:fldCharType="separate"/>
          </w:r>
          <w:r>
            <w:rPr>
              <w:rFonts w:hint="eastAsia" w:ascii="黑体" w:hAnsi="黑体" w:eastAsia="黑体"/>
              <w:b/>
              <w:highlight w:val="none"/>
            </w:rPr>
            <w:t xml:space="preserve">第一部分 </w:t>
          </w:r>
          <w:r>
            <w:rPr>
              <w:rFonts w:hint="eastAsia" w:ascii="黑体" w:hAnsi="黑体" w:eastAsia="黑体"/>
              <w:b/>
              <w:highlight w:val="none"/>
              <w:lang w:eastAsia="zh-CN"/>
            </w:rPr>
            <w:t>单位</w:t>
          </w:r>
          <w:r>
            <w:rPr>
              <w:rFonts w:hint="eastAsia" w:ascii="黑体" w:hAnsi="黑体" w:eastAsia="黑体"/>
              <w:b/>
              <w:bCs w:val="0"/>
              <w:highlight w:val="none"/>
            </w:rPr>
            <w:t>概况</w:t>
          </w:r>
          <w:r>
            <w:rPr>
              <w:b/>
            </w:rPr>
            <w:tab/>
          </w:r>
          <w:r>
            <w:rPr>
              <w:b/>
            </w:rPr>
            <w:fldChar w:fldCharType="begin"/>
          </w:r>
          <w:r>
            <w:rPr>
              <w:b/>
            </w:rPr>
            <w:instrText xml:space="preserve"> PAGEREF _Toc15312 \h </w:instrText>
          </w:r>
          <w:r>
            <w:rPr>
              <w:b/>
            </w:rPr>
            <w:fldChar w:fldCharType="separate"/>
          </w:r>
          <w:r>
            <w:rPr>
              <w:b/>
            </w:rPr>
            <w:t>1</w:t>
          </w:r>
          <w:r>
            <w:rPr>
              <w:b/>
            </w:rPr>
            <w:fldChar w:fldCharType="end"/>
          </w:r>
          <w:r>
            <w:rPr>
              <w:b/>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_Toc23093 </w:instrText>
          </w:r>
          <w:r>
            <w:rPr>
              <w:highlight w:val="none"/>
            </w:rPr>
            <w:fldChar w:fldCharType="separate"/>
          </w:r>
          <w:r>
            <w:rPr>
              <w:rFonts w:hint="eastAsia" w:ascii="黑体" w:hAnsi="黑体" w:eastAsia="黑体"/>
              <w:bCs w:val="0"/>
              <w:lang w:eastAsia="zh-CN"/>
            </w:rPr>
            <w:t xml:space="preserve">一、 </w:t>
          </w:r>
          <w:r>
            <w:rPr>
              <w:rFonts w:hint="eastAsia" w:ascii="黑体" w:hAnsi="黑体" w:eastAsia="黑体"/>
              <w:bCs w:val="0"/>
              <w:highlight w:val="none"/>
              <w:lang w:eastAsia="zh-CN"/>
            </w:rPr>
            <w:t>主要职责</w:t>
          </w:r>
          <w:r>
            <w:tab/>
          </w:r>
          <w:r>
            <w:fldChar w:fldCharType="begin"/>
          </w:r>
          <w:r>
            <w:instrText xml:space="preserve"> PAGEREF _Toc23093 \h </w:instrText>
          </w:r>
          <w:r>
            <w:fldChar w:fldCharType="separate"/>
          </w:r>
          <w:r>
            <w:t>1</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_Toc2424 </w:instrText>
          </w:r>
          <w:r>
            <w:rPr>
              <w:highlight w:val="none"/>
            </w:rPr>
            <w:fldChar w:fldCharType="separate"/>
          </w:r>
          <w:r>
            <w:rPr>
              <w:rFonts w:hint="eastAsia" w:ascii="黑体" w:hAnsi="黑体" w:eastAsia="黑体"/>
              <w:lang w:val="en-US" w:eastAsia="zh-CN"/>
            </w:rPr>
            <w:t xml:space="preserve">二、 </w:t>
          </w:r>
          <w:r>
            <w:rPr>
              <w:rFonts w:hint="eastAsia" w:ascii="黑体" w:hAnsi="黑体" w:eastAsia="黑体"/>
              <w:highlight w:val="none"/>
              <w:lang w:val="en-US" w:eastAsia="zh-CN"/>
            </w:rPr>
            <w:t>机构设置</w:t>
          </w:r>
          <w:r>
            <w:tab/>
          </w:r>
          <w:r>
            <w:fldChar w:fldCharType="begin"/>
          </w:r>
          <w:r>
            <w:instrText xml:space="preserve"> PAGEREF _Toc2424 \h </w:instrText>
          </w:r>
          <w:r>
            <w:fldChar w:fldCharType="separate"/>
          </w:r>
          <w:r>
            <w:t>1</w:t>
          </w:r>
          <w:r>
            <w:fldChar w:fldCharType="end"/>
          </w:r>
          <w:r>
            <w:rPr>
              <w:color w:val="auto"/>
              <w:highlight w:val="none"/>
            </w:rPr>
            <w:fldChar w:fldCharType="end"/>
          </w:r>
        </w:p>
        <w:p>
          <w:pPr>
            <w:pStyle w:val="31"/>
            <w:tabs>
              <w:tab w:val="right" w:leader="dot" w:pos="8306"/>
            </w:tabs>
            <w:rPr>
              <w:b/>
            </w:rPr>
          </w:pPr>
          <w:r>
            <w:rPr>
              <w:b/>
              <w:color w:val="auto"/>
              <w:highlight w:val="none"/>
            </w:rPr>
            <w:fldChar w:fldCharType="begin"/>
          </w:r>
          <w:r>
            <w:rPr>
              <w:b/>
              <w:highlight w:val="none"/>
            </w:rPr>
            <w:instrText xml:space="preserve"> HYPERLINK \l _Toc28735 </w:instrText>
          </w:r>
          <w:r>
            <w:rPr>
              <w:b/>
              <w:highlight w:val="none"/>
            </w:rPr>
            <w:fldChar w:fldCharType="separate"/>
          </w:r>
          <w:r>
            <w:rPr>
              <w:rFonts w:hint="eastAsia" w:ascii="黑体" w:hAnsi="黑体" w:eastAsia="黑体"/>
              <w:b/>
              <w:bCs/>
              <w:highlight w:val="none"/>
            </w:rPr>
            <w:t xml:space="preserve">第二部分 </w:t>
          </w:r>
          <w:r>
            <w:rPr>
              <w:rFonts w:hint="eastAsia" w:ascii="黑体" w:hAnsi="黑体" w:eastAsia="黑体"/>
              <w:b/>
              <w:bCs/>
              <w:highlight w:val="none"/>
              <w:lang w:val="en-US" w:eastAsia="zh-CN"/>
            </w:rPr>
            <w:t>2022年度</w:t>
          </w:r>
          <w:r>
            <w:rPr>
              <w:rFonts w:hint="eastAsia" w:ascii="黑体" w:hAnsi="黑体" w:eastAsia="黑体"/>
              <w:b/>
              <w:bCs/>
              <w:highlight w:val="none"/>
              <w:lang w:eastAsia="zh-CN"/>
            </w:rPr>
            <w:t>单位</w:t>
          </w:r>
          <w:r>
            <w:rPr>
              <w:rFonts w:hint="eastAsia" w:ascii="黑体" w:hAnsi="黑体" w:eastAsia="黑体"/>
              <w:b/>
              <w:bCs/>
              <w:highlight w:val="none"/>
            </w:rPr>
            <w:t>决算情况说明</w:t>
          </w:r>
          <w:r>
            <w:rPr>
              <w:b/>
            </w:rPr>
            <w:tab/>
          </w:r>
          <w:r>
            <w:rPr>
              <w:b/>
            </w:rPr>
            <w:fldChar w:fldCharType="begin"/>
          </w:r>
          <w:r>
            <w:rPr>
              <w:b/>
            </w:rPr>
            <w:instrText xml:space="preserve"> PAGEREF _Toc28735 \h </w:instrText>
          </w:r>
          <w:r>
            <w:rPr>
              <w:b/>
            </w:rPr>
            <w:fldChar w:fldCharType="separate"/>
          </w:r>
          <w:r>
            <w:rPr>
              <w:b/>
            </w:rPr>
            <w:t>2</w:t>
          </w:r>
          <w:r>
            <w:rPr>
              <w:b/>
            </w:rPr>
            <w:fldChar w:fldCharType="end"/>
          </w:r>
          <w:r>
            <w:rPr>
              <w:b/>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_Toc23568 </w:instrText>
          </w:r>
          <w:r>
            <w:rPr>
              <w:highlight w:val="none"/>
            </w:rP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w:t>
          </w:r>
          <w:r>
            <w:rPr>
              <w:rFonts w:hint="eastAsia" w:ascii="黑体" w:hAnsi="黑体" w:eastAsia="黑体"/>
              <w:highlight w:val="none"/>
              <w:lang w:val="en-US" w:eastAsia="zh-CN"/>
            </w:rPr>
            <w:t>说明</w:t>
          </w:r>
          <w:r>
            <w:tab/>
          </w:r>
          <w:r>
            <w:fldChar w:fldCharType="begin"/>
          </w:r>
          <w:r>
            <w:instrText xml:space="preserve"> PAGEREF _Toc23568 \h </w:instrText>
          </w:r>
          <w:r>
            <w:fldChar w:fldCharType="separate"/>
          </w:r>
          <w:r>
            <w:t>2</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_Toc31407 </w:instrText>
          </w:r>
          <w:r>
            <w:rPr>
              <w:highlight w:val="none"/>
            </w:rPr>
            <w:fldChar w:fldCharType="separate"/>
          </w:r>
          <w:r>
            <w:rPr>
              <w:rFonts w:hint="eastAsia" w:ascii="黑体" w:hAnsi="黑体" w:eastAsia="黑体"/>
              <w:szCs w:val="32"/>
              <w:highlight w:val="none"/>
              <w:lang w:val="en-US" w:eastAsia="zh-CN"/>
            </w:rPr>
            <w:t>二</w:t>
          </w:r>
          <w:r>
            <w:rPr>
              <w:rFonts w:hint="eastAsia" w:ascii="黑体" w:hAnsi="黑体" w:eastAsia="黑体"/>
              <w:szCs w:val="32"/>
              <w:highlight w:val="none"/>
              <w:lang w:eastAsia="zh-CN"/>
            </w:rPr>
            <w:t>、</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_Toc31407 \h </w:instrText>
          </w:r>
          <w:r>
            <w:fldChar w:fldCharType="separate"/>
          </w:r>
          <w:r>
            <w:t>2</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_Toc10235 </w:instrText>
          </w:r>
          <w:r>
            <w:rPr>
              <w:highlight w:val="none"/>
            </w:rPr>
            <w:fldChar w:fldCharType="separate"/>
          </w:r>
          <w:r>
            <w:rPr>
              <w:rFonts w:hint="eastAsia" w:ascii="黑体" w:hAnsi="黑体" w:eastAsia="黑体"/>
              <w:szCs w:val="32"/>
              <w:highlight w:val="none"/>
              <w:lang w:val="en-US" w:eastAsia="zh-CN"/>
            </w:rPr>
            <w:t>三、</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_Toc10235 \h </w:instrText>
          </w:r>
          <w:r>
            <w:fldChar w:fldCharType="separate"/>
          </w:r>
          <w:r>
            <w:t>3</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_Toc16642 </w:instrText>
          </w:r>
          <w:r>
            <w:rPr>
              <w:highlight w:val="none"/>
            </w:rP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_Toc16642 \h </w:instrText>
          </w:r>
          <w:r>
            <w:fldChar w:fldCharType="separate"/>
          </w:r>
          <w:r>
            <w:t>4</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_Toc16088 </w:instrText>
          </w:r>
          <w:r>
            <w:rPr>
              <w:highlight w:val="none"/>
            </w:rP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_Toc16088 \h </w:instrText>
          </w:r>
          <w:r>
            <w:fldChar w:fldCharType="separate"/>
          </w:r>
          <w:r>
            <w:t>4</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_Toc19636 </w:instrText>
          </w:r>
          <w:r>
            <w:rPr>
              <w:highlight w:val="none"/>
            </w:rP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_Toc19636 \h </w:instrText>
          </w:r>
          <w:r>
            <w:fldChar w:fldCharType="separate"/>
          </w:r>
          <w:r>
            <w:t>7</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_Toc30710 </w:instrText>
          </w:r>
          <w:r>
            <w:rPr>
              <w:highlight w:val="none"/>
            </w:rP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_Toc30710 \h </w:instrText>
          </w:r>
          <w:r>
            <w:fldChar w:fldCharType="separate"/>
          </w:r>
          <w:r>
            <w:t>7</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_Toc30432 </w:instrText>
          </w:r>
          <w:r>
            <w:rPr>
              <w:highlight w:val="none"/>
            </w:rP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_Toc30432 \h </w:instrText>
          </w:r>
          <w:r>
            <w:fldChar w:fldCharType="separate"/>
          </w:r>
          <w:r>
            <w:t>9</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_Toc14984 </w:instrText>
          </w:r>
          <w:r>
            <w:rPr>
              <w:highlight w:val="none"/>
            </w:rP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_Toc14984 \h </w:instrText>
          </w:r>
          <w:r>
            <w:fldChar w:fldCharType="separate"/>
          </w:r>
          <w:r>
            <w:t>9</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_Toc9997 </w:instrText>
          </w:r>
          <w:r>
            <w:rPr>
              <w:highlight w:val="none"/>
            </w:rP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_Toc9997 \h </w:instrText>
          </w:r>
          <w:r>
            <w:fldChar w:fldCharType="separate"/>
          </w:r>
          <w:r>
            <w:t>9</w:t>
          </w:r>
          <w:r>
            <w:fldChar w:fldCharType="end"/>
          </w:r>
          <w:r>
            <w:rPr>
              <w:color w:val="auto"/>
              <w:highlight w:val="none"/>
            </w:rPr>
            <w:fldChar w:fldCharType="end"/>
          </w:r>
        </w:p>
        <w:p>
          <w:pPr>
            <w:pStyle w:val="31"/>
            <w:tabs>
              <w:tab w:val="right" w:leader="dot" w:pos="8306"/>
            </w:tabs>
            <w:rPr>
              <w:b/>
            </w:rPr>
          </w:pPr>
          <w:r>
            <w:rPr>
              <w:b/>
              <w:color w:val="auto"/>
              <w:highlight w:val="none"/>
            </w:rPr>
            <w:fldChar w:fldCharType="begin"/>
          </w:r>
          <w:r>
            <w:rPr>
              <w:b/>
              <w:highlight w:val="none"/>
            </w:rPr>
            <w:instrText xml:space="preserve"> HYPERLINK \l _Toc4343 </w:instrText>
          </w:r>
          <w:r>
            <w:rPr>
              <w:b/>
              <w:highlight w:val="none"/>
            </w:rPr>
            <w:fldChar w:fldCharType="separate"/>
          </w:r>
          <w:r>
            <w:rPr>
              <w:rFonts w:hint="eastAsia" w:ascii="黑体" w:hAnsi="黑体" w:eastAsia="黑体" w:cs="黑体"/>
              <w:b/>
              <w:szCs w:val="44"/>
            </w:rPr>
            <w:t xml:space="preserve">第三部分 </w:t>
          </w:r>
          <w:r>
            <w:rPr>
              <w:rFonts w:hint="eastAsia" w:ascii="黑体" w:hAnsi="黑体" w:eastAsia="黑体"/>
              <w:b/>
              <w:szCs w:val="44"/>
              <w:highlight w:val="none"/>
            </w:rPr>
            <w:t>名</w:t>
          </w:r>
          <w:r>
            <w:rPr>
              <w:rFonts w:hint="eastAsia" w:ascii="黑体" w:hAnsi="黑体" w:eastAsia="黑体"/>
              <w:b/>
              <w:highlight w:val="none"/>
            </w:rPr>
            <w:t>词解释</w:t>
          </w:r>
          <w:r>
            <w:rPr>
              <w:b/>
            </w:rPr>
            <w:tab/>
          </w:r>
          <w:r>
            <w:rPr>
              <w:b/>
            </w:rPr>
            <w:fldChar w:fldCharType="begin"/>
          </w:r>
          <w:r>
            <w:rPr>
              <w:b/>
            </w:rPr>
            <w:instrText xml:space="preserve"> PAGEREF _Toc4343 \h </w:instrText>
          </w:r>
          <w:r>
            <w:rPr>
              <w:b/>
            </w:rPr>
            <w:fldChar w:fldCharType="separate"/>
          </w:r>
          <w:r>
            <w:rPr>
              <w:b/>
            </w:rPr>
            <w:t>11</w:t>
          </w:r>
          <w:r>
            <w:rPr>
              <w:b/>
            </w:rPr>
            <w:fldChar w:fldCharType="end"/>
          </w:r>
          <w:r>
            <w:rPr>
              <w:b/>
              <w:color w:val="auto"/>
              <w:highlight w:val="none"/>
            </w:rPr>
            <w:fldChar w:fldCharType="end"/>
          </w:r>
        </w:p>
        <w:p>
          <w:pPr>
            <w:pStyle w:val="31"/>
            <w:tabs>
              <w:tab w:val="right" w:leader="dot" w:pos="8306"/>
            </w:tabs>
            <w:rPr>
              <w:b/>
            </w:rPr>
          </w:pPr>
          <w:r>
            <w:rPr>
              <w:b/>
              <w:color w:val="auto"/>
              <w:highlight w:val="none"/>
            </w:rPr>
            <w:fldChar w:fldCharType="begin"/>
          </w:r>
          <w:r>
            <w:rPr>
              <w:b/>
              <w:highlight w:val="none"/>
            </w:rPr>
            <w:instrText xml:space="preserve"> HYPERLINK \l _Toc762 </w:instrText>
          </w:r>
          <w:r>
            <w:rPr>
              <w:b/>
              <w:highlight w:val="none"/>
            </w:rPr>
            <w:fldChar w:fldCharType="separate"/>
          </w:r>
          <w:r>
            <w:rPr>
              <w:rFonts w:hint="eastAsia" w:ascii="黑体" w:hAnsi="黑体" w:eastAsia="黑体"/>
              <w:b/>
              <w:szCs w:val="44"/>
              <w:highlight w:val="none"/>
            </w:rPr>
            <w:t>第</w:t>
          </w:r>
          <w:r>
            <w:rPr>
              <w:rFonts w:hint="eastAsia" w:ascii="黑体" w:hAnsi="黑体" w:eastAsia="黑体"/>
              <w:b/>
              <w:highlight w:val="none"/>
            </w:rPr>
            <w:t>四部分 附件</w:t>
          </w:r>
          <w:r>
            <w:rPr>
              <w:b/>
            </w:rPr>
            <w:tab/>
          </w:r>
          <w:r>
            <w:rPr>
              <w:b/>
            </w:rPr>
            <w:fldChar w:fldCharType="begin"/>
          </w:r>
          <w:r>
            <w:rPr>
              <w:b/>
            </w:rPr>
            <w:instrText xml:space="preserve"> PAGEREF _Toc762 \h </w:instrText>
          </w:r>
          <w:r>
            <w:rPr>
              <w:b/>
            </w:rPr>
            <w:fldChar w:fldCharType="separate"/>
          </w:r>
          <w:r>
            <w:rPr>
              <w:b/>
            </w:rPr>
            <w:t>13</w:t>
          </w:r>
          <w:r>
            <w:rPr>
              <w:b/>
            </w:rPr>
            <w:fldChar w:fldCharType="end"/>
          </w:r>
          <w:r>
            <w:rPr>
              <w:b/>
              <w:color w:val="auto"/>
              <w:highlight w:val="none"/>
            </w:rPr>
            <w:fldChar w:fldCharType="end"/>
          </w:r>
        </w:p>
        <w:p>
          <w:pPr>
            <w:pStyle w:val="31"/>
            <w:tabs>
              <w:tab w:val="right" w:leader="dot" w:pos="8306"/>
            </w:tabs>
            <w:rPr>
              <w:b/>
            </w:rPr>
          </w:pPr>
          <w:r>
            <w:rPr>
              <w:b/>
              <w:color w:val="auto"/>
              <w:highlight w:val="none"/>
            </w:rPr>
            <w:fldChar w:fldCharType="begin"/>
          </w:r>
          <w:r>
            <w:rPr>
              <w:b/>
              <w:highlight w:val="none"/>
            </w:rPr>
            <w:instrText xml:space="preserve"> HYPERLINK \l _Toc8985 </w:instrText>
          </w:r>
          <w:r>
            <w:rPr>
              <w:b/>
              <w:highlight w:val="none"/>
            </w:rPr>
            <w:fldChar w:fldCharType="separate"/>
          </w:r>
          <w:r>
            <w:rPr>
              <w:rFonts w:hint="eastAsia" w:ascii="黑体" w:hAnsi="黑体" w:eastAsia="黑体"/>
              <w:b/>
              <w:szCs w:val="44"/>
              <w:highlight w:val="none"/>
            </w:rPr>
            <w:t>第</w:t>
          </w:r>
          <w:r>
            <w:rPr>
              <w:rFonts w:hint="eastAsia" w:ascii="黑体" w:hAnsi="黑体" w:eastAsia="黑体"/>
              <w:b/>
              <w:highlight w:val="none"/>
            </w:rPr>
            <w:t>五部分 附表</w:t>
          </w:r>
          <w:r>
            <w:rPr>
              <w:b/>
            </w:rPr>
            <w:tab/>
          </w:r>
          <w:r>
            <w:rPr>
              <w:b/>
            </w:rPr>
            <w:fldChar w:fldCharType="begin"/>
          </w:r>
          <w:r>
            <w:rPr>
              <w:b/>
            </w:rPr>
            <w:instrText xml:space="preserve"> PAGEREF _Toc8985 \h </w:instrText>
          </w:r>
          <w:r>
            <w:rPr>
              <w:b/>
            </w:rPr>
            <w:fldChar w:fldCharType="separate"/>
          </w:r>
          <w:r>
            <w:rPr>
              <w:b/>
            </w:rPr>
            <w:t>14</w:t>
          </w:r>
          <w:r>
            <w:rPr>
              <w:b/>
            </w:rPr>
            <w:fldChar w:fldCharType="end"/>
          </w:r>
          <w:r>
            <w:rPr>
              <w:b/>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_Toc4085 </w:instrText>
          </w:r>
          <w:r>
            <w:rPr>
              <w:highlight w:val="none"/>
            </w:rP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_Toc4085 \h </w:instrText>
          </w:r>
          <w:r>
            <w:fldChar w:fldCharType="separate"/>
          </w:r>
          <w:r>
            <w:t>14</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_Toc4779 </w:instrText>
          </w:r>
          <w:r>
            <w:rPr>
              <w:highlight w:val="none"/>
            </w:rP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_Toc4779 \h </w:instrText>
          </w:r>
          <w:r>
            <w:fldChar w:fldCharType="separate"/>
          </w:r>
          <w:r>
            <w:t>14</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_Toc23516 </w:instrText>
          </w:r>
          <w:r>
            <w:rPr>
              <w:highlight w:val="none"/>
            </w:rP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_Toc23516 \h </w:instrText>
          </w:r>
          <w:r>
            <w:fldChar w:fldCharType="separate"/>
          </w:r>
          <w:r>
            <w:t>14</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_Toc17599 </w:instrText>
          </w:r>
          <w:r>
            <w:rPr>
              <w:highlight w:val="none"/>
            </w:rP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_Toc17599 \h </w:instrText>
          </w:r>
          <w:r>
            <w:fldChar w:fldCharType="separate"/>
          </w:r>
          <w:r>
            <w:t>14</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_Toc21348 </w:instrText>
          </w:r>
          <w:r>
            <w:rPr>
              <w:highlight w:val="none"/>
            </w:rP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_Toc21348 \h </w:instrText>
          </w:r>
          <w:r>
            <w:fldChar w:fldCharType="separate"/>
          </w:r>
          <w:r>
            <w:t>14</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_Toc18299 </w:instrText>
          </w:r>
          <w:r>
            <w:rPr>
              <w:highlight w:val="none"/>
            </w:rP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_Toc18299 \h </w:instrText>
          </w:r>
          <w:r>
            <w:fldChar w:fldCharType="separate"/>
          </w:r>
          <w:r>
            <w:t>14</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_Toc22358 </w:instrText>
          </w:r>
          <w:r>
            <w:rPr>
              <w:highlight w:val="none"/>
            </w:rP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_Toc22358 \h </w:instrText>
          </w:r>
          <w:r>
            <w:fldChar w:fldCharType="separate"/>
          </w:r>
          <w:r>
            <w:t>14</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_Toc16084 </w:instrText>
          </w:r>
          <w:r>
            <w:rPr>
              <w:highlight w:val="none"/>
            </w:rP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_Toc16084 \h </w:instrText>
          </w:r>
          <w:r>
            <w:fldChar w:fldCharType="separate"/>
          </w:r>
          <w:r>
            <w:t>14</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_Toc28891 </w:instrText>
          </w:r>
          <w:r>
            <w:rPr>
              <w:highlight w:val="none"/>
            </w:rP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_Toc28891 \h </w:instrText>
          </w:r>
          <w:r>
            <w:fldChar w:fldCharType="separate"/>
          </w:r>
          <w:r>
            <w:t>14</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_Toc22578 </w:instrText>
          </w:r>
          <w:r>
            <w:rPr>
              <w:highlight w:val="none"/>
            </w:rP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_Toc22578 \h </w:instrText>
          </w:r>
          <w:r>
            <w:fldChar w:fldCharType="separate"/>
          </w:r>
          <w:r>
            <w:t>14</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_Toc17687 </w:instrText>
          </w:r>
          <w:r>
            <w:rPr>
              <w:highlight w:val="none"/>
            </w:rP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_Toc17687 \h </w:instrText>
          </w:r>
          <w:r>
            <w:fldChar w:fldCharType="separate"/>
          </w:r>
          <w:r>
            <w:t>14</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_Toc1053 </w:instrText>
          </w:r>
          <w:r>
            <w:rPr>
              <w:highlight w:val="none"/>
            </w:rP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_Toc1053 \h </w:instrText>
          </w:r>
          <w:r>
            <w:fldChar w:fldCharType="separate"/>
          </w:r>
          <w:r>
            <w:t>14</w:t>
          </w:r>
          <w:r>
            <w:fldChar w:fldCharType="end"/>
          </w:r>
          <w:r>
            <w:rPr>
              <w:color w:val="auto"/>
              <w:highlight w:val="none"/>
            </w:rPr>
            <w:fldChar w:fldCharType="end"/>
          </w:r>
        </w:p>
        <w:p>
          <w:pPr>
            <w:pStyle w:val="32"/>
            <w:tabs>
              <w:tab w:val="right" w:leader="dot" w:pos="8306"/>
            </w:tabs>
          </w:pPr>
          <w:r>
            <w:rPr>
              <w:color w:val="auto"/>
              <w:highlight w:val="none"/>
            </w:rPr>
            <w:fldChar w:fldCharType="begin"/>
          </w:r>
          <w:r>
            <w:rPr>
              <w:highlight w:val="none"/>
            </w:rPr>
            <w:instrText xml:space="preserve"> HYPERLINK \l _Toc10907 </w:instrText>
          </w:r>
          <w:r>
            <w:rPr>
              <w:highlight w:val="none"/>
            </w:rP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_Toc10907 \h </w:instrText>
          </w:r>
          <w:r>
            <w:fldChar w:fldCharType="separate"/>
          </w:r>
          <w:r>
            <w:t>14</w:t>
          </w:r>
          <w:r>
            <w:fldChar w:fldCharType="end"/>
          </w:r>
          <w:r>
            <w:rPr>
              <w:color w:val="auto"/>
              <w:highlight w:val="none"/>
            </w:rPr>
            <w:fldChar w:fldCharType="end"/>
          </w:r>
        </w:p>
        <w:p>
          <w:pPr>
            <w:widowControl/>
            <w:jc w:val="both"/>
            <w:rPr>
              <w:color w:val="auto"/>
              <w:highlight w:val="none"/>
            </w:rPr>
          </w:pPr>
          <w:r>
            <w:rPr>
              <w:b/>
              <w:color w:val="auto"/>
              <w:highlight w:val="none"/>
            </w:rPr>
            <w:fldChar w:fldCharType="end"/>
          </w:r>
        </w:p>
      </w:sdtContent>
    </w:sdt>
    <w:p>
      <w:pPr>
        <w:pStyle w:val="3"/>
        <w:jc w:val="center"/>
        <w:rPr>
          <w:rFonts w:hint="eastAsia" w:ascii="黑体" w:hAnsi="黑体" w:eastAsia="黑体"/>
          <w:b w:val="0"/>
          <w:color w:val="auto"/>
          <w:highlight w:val="none"/>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bookmarkStart w:id="15" w:name="_Toc15396599"/>
      <w:bookmarkStart w:id="16" w:name="_Toc15377196"/>
      <w:bookmarkStart w:id="17" w:name="_Toc15312"/>
    </w:p>
    <w:p>
      <w:pPr>
        <w:pStyle w:val="3"/>
        <w:jc w:val="center"/>
        <w:rPr>
          <w:rStyle w:val="17"/>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17"/>
          <w:rFonts w:hint="eastAsia" w:ascii="黑体" w:hAnsi="黑体" w:eastAsia="黑体"/>
          <w:b w:val="0"/>
          <w:bCs w:val="0"/>
          <w:color w:val="auto"/>
          <w:highlight w:val="none"/>
        </w:rPr>
        <w:t>概况</w:t>
      </w:r>
      <w:bookmarkEnd w:id="15"/>
      <w:bookmarkEnd w:id="16"/>
      <w:bookmarkEnd w:id="17"/>
    </w:p>
    <w:p>
      <w:pPr>
        <w:widowControl/>
        <w:jc w:val="left"/>
        <w:rPr>
          <w:rFonts w:ascii="黑体" w:eastAsia="黑体"/>
          <w:color w:val="auto"/>
          <w:sz w:val="32"/>
          <w:szCs w:val="32"/>
          <w:highlight w:val="none"/>
        </w:rPr>
      </w:pPr>
    </w:p>
    <w:p>
      <w:pPr>
        <w:pStyle w:val="4"/>
        <w:numPr>
          <w:ilvl w:val="0"/>
          <w:numId w:val="1"/>
        </w:numPr>
        <w:rPr>
          <w:rStyle w:val="18"/>
          <w:rFonts w:hint="eastAsia" w:ascii="黑体" w:hAnsi="黑体" w:eastAsia="黑体"/>
          <w:b w:val="0"/>
          <w:bCs w:val="0"/>
          <w:color w:val="auto"/>
          <w:highlight w:val="none"/>
          <w:lang w:eastAsia="zh-CN"/>
        </w:rPr>
      </w:pPr>
      <w:bookmarkStart w:id="18" w:name="_Toc23093"/>
      <w:bookmarkStart w:id="19" w:name="_Toc15377197"/>
      <w:bookmarkStart w:id="20" w:name="_Toc15396600"/>
      <w:r>
        <w:rPr>
          <w:rStyle w:val="18"/>
          <w:rFonts w:hint="eastAsia" w:ascii="黑体" w:hAnsi="黑体" w:eastAsia="黑体"/>
          <w:b w:val="0"/>
          <w:bCs w:val="0"/>
          <w:color w:val="auto"/>
          <w:highlight w:val="none"/>
          <w:lang w:eastAsia="zh-CN"/>
        </w:rPr>
        <w:t>主要职责</w:t>
      </w:r>
      <w:bookmarkEnd w:id="18"/>
    </w:p>
    <w:p>
      <w:pPr>
        <w:ind w:firstLine="640" w:firstLineChars="200"/>
        <w:rPr>
          <w:rFonts w:hint="eastAsia"/>
          <w:lang w:eastAsia="zh-CN"/>
        </w:rPr>
      </w:pPr>
      <w:r>
        <w:rPr>
          <w:rFonts w:hint="eastAsia" w:ascii="仿宋" w:hAnsi="仿宋" w:eastAsia="仿宋"/>
          <w:bCs/>
          <w:color w:val="000000"/>
          <w:sz w:val="32"/>
          <w:szCs w:val="32"/>
        </w:rPr>
        <w:t>广元市航务管理局苍溪航道主要职责</w:t>
      </w:r>
      <w:r>
        <w:rPr>
          <w:rFonts w:hint="eastAsia" w:ascii="仿宋" w:hAnsi="仿宋" w:eastAsia="仿宋"/>
          <w:bCs/>
          <w:color w:val="000000"/>
          <w:sz w:val="32"/>
          <w:szCs w:val="32"/>
          <w:lang w:eastAsia="zh-CN"/>
        </w:rPr>
        <w:t>是</w:t>
      </w:r>
      <w:r>
        <w:rPr>
          <w:rFonts w:hint="eastAsia" w:ascii="仿宋" w:hAnsi="仿宋" w:eastAsia="仿宋"/>
          <w:bCs/>
          <w:color w:val="000000"/>
          <w:sz w:val="32"/>
          <w:szCs w:val="32"/>
        </w:rPr>
        <w:t>：贯彻执行航道、通航建筑物及航道设施的建设、管理、养护方面的法律、法规和规章以及国家、省、市有关航道建设、管理、养护的方针政策；编制航道管理养护计划，并组织实施；编制重点航标配布图，保持航标处于正常工作状态；通航建筑物运行监督管理；掌握航道特征、水情变化及碍航物分布情况，发布本辖区航道</w:t>
      </w:r>
      <w:r>
        <w:rPr>
          <w:rFonts w:hint="eastAsia" w:ascii="仿宋" w:hAnsi="仿宋" w:eastAsia="仿宋"/>
          <w:bCs/>
          <w:color w:val="000000"/>
          <w:sz w:val="32"/>
          <w:szCs w:val="32"/>
          <w:lang w:val="en-US" w:eastAsia="zh-CN"/>
        </w:rPr>
        <w:t>信息</w:t>
      </w:r>
      <w:r>
        <w:rPr>
          <w:rFonts w:hint="eastAsia" w:ascii="仿宋" w:hAnsi="仿宋" w:eastAsia="仿宋"/>
          <w:bCs/>
          <w:color w:val="000000"/>
          <w:sz w:val="32"/>
          <w:szCs w:val="32"/>
        </w:rPr>
        <w:t>；航道及航道设施的保护，依法制止破坏航道及航道设施的违法行为；配合有关部门开展本辖区航道的综合开发与治理，负责水资源综合利用中与航道有关的事宜。</w:t>
      </w:r>
    </w:p>
    <w:p>
      <w:pPr>
        <w:pStyle w:val="4"/>
        <w:numPr>
          <w:ilvl w:val="0"/>
          <w:numId w:val="1"/>
        </w:numPr>
        <w:ind w:left="0" w:leftChars="0" w:firstLine="0" w:firstLineChars="0"/>
        <w:rPr>
          <w:rFonts w:hint="eastAsia" w:ascii="黑体" w:hAnsi="黑体" w:eastAsia="黑体"/>
          <w:b w:val="0"/>
          <w:color w:val="auto"/>
          <w:highlight w:val="none"/>
          <w:lang w:val="en-US" w:eastAsia="zh-CN"/>
        </w:rPr>
      </w:pPr>
      <w:bookmarkStart w:id="21" w:name="_Toc2424"/>
      <w:r>
        <w:rPr>
          <w:rFonts w:hint="eastAsia" w:ascii="黑体" w:hAnsi="黑体" w:eastAsia="黑体"/>
          <w:b w:val="0"/>
          <w:color w:val="auto"/>
          <w:highlight w:val="none"/>
          <w:lang w:val="en-US" w:eastAsia="zh-CN"/>
        </w:rPr>
        <w:t>机构设置</w:t>
      </w:r>
      <w:bookmarkEnd w:id="19"/>
      <w:bookmarkEnd w:id="20"/>
      <w:bookmarkEnd w:id="21"/>
    </w:p>
    <w:p>
      <w:pPr>
        <w:pStyle w:val="4"/>
        <w:numPr>
          <w:ilvl w:val="0"/>
          <w:numId w:val="0"/>
        </w:numPr>
        <w:ind w:leftChars="0" w:firstLine="640" w:firstLineChars="200"/>
        <w:outlineLvl w:val="0"/>
        <w:rPr>
          <w:rFonts w:hint="eastAsia" w:ascii="仿宋" w:hAnsi="仿宋" w:eastAsia="仿宋" w:cs="Times New Roman"/>
          <w:b w:val="0"/>
          <w:bCs/>
          <w:color w:val="000000"/>
          <w:kern w:val="2"/>
          <w:sz w:val="32"/>
          <w:szCs w:val="32"/>
          <w:lang w:val="en-US" w:eastAsia="zh-CN" w:bidi="ar-SA"/>
        </w:rPr>
      </w:pPr>
      <w:bookmarkStart w:id="22" w:name="_Toc16009"/>
      <w:r>
        <w:rPr>
          <w:rFonts w:hint="eastAsia" w:ascii="仿宋" w:hAnsi="仿宋" w:eastAsia="仿宋" w:cs="Times New Roman"/>
          <w:b w:val="0"/>
          <w:bCs/>
          <w:color w:val="000000"/>
          <w:kern w:val="2"/>
          <w:sz w:val="32"/>
          <w:szCs w:val="32"/>
          <w:lang w:val="en-US" w:eastAsia="zh-CN" w:bidi="ar-SA"/>
        </w:rPr>
        <w:t>广元市航务管理局苍溪航道段属广元市交通运输局直属正科级公益一类事业单位。</w:t>
      </w:r>
      <w:bookmarkEnd w:id="22"/>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17"/>
          <w:rFonts w:ascii="黑体" w:hAnsi="黑体" w:eastAsia="黑体"/>
          <w:b w:val="0"/>
          <w:bCs/>
          <w:color w:val="auto"/>
          <w:highlight w:val="none"/>
        </w:rPr>
      </w:pPr>
      <w:bookmarkStart w:id="23" w:name="_Toc15377204"/>
      <w:bookmarkStart w:id="24" w:name="_Toc15396602"/>
      <w:r>
        <w:rPr>
          <w:rFonts w:hint="eastAsia" w:ascii="黑体" w:hAnsi="黑体" w:eastAsia="黑体"/>
          <w:b w:val="0"/>
          <w:bCs/>
          <w:color w:val="auto"/>
          <w:highlight w:val="none"/>
          <w:lang w:val="en-US" w:eastAsia="zh-CN"/>
        </w:rPr>
        <w:t xml:space="preserve"> </w:t>
      </w:r>
      <w:bookmarkStart w:id="25" w:name="_Toc28735"/>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17"/>
          <w:rFonts w:hint="eastAsia" w:ascii="黑体" w:hAnsi="黑体" w:eastAsia="黑体"/>
          <w:b w:val="0"/>
          <w:bCs/>
          <w:color w:val="auto"/>
          <w:highlight w:val="none"/>
          <w:lang w:eastAsia="zh-CN"/>
        </w:rPr>
        <w:t>单位</w:t>
      </w:r>
      <w:r>
        <w:rPr>
          <w:rStyle w:val="17"/>
          <w:rFonts w:hint="eastAsia" w:ascii="黑体" w:hAnsi="黑体" w:eastAsia="黑体"/>
          <w:b w:val="0"/>
          <w:bCs/>
          <w:color w:val="auto"/>
          <w:highlight w:val="none"/>
        </w:rPr>
        <w:t>决算情况说明</w:t>
      </w:r>
      <w:bookmarkEnd w:id="23"/>
      <w:bookmarkEnd w:id="24"/>
      <w:bookmarkEnd w:id="25"/>
    </w:p>
    <w:p>
      <w:pPr>
        <w:rPr>
          <w:color w:val="auto"/>
          <w:highlight w:val="none"/>
        </w:rPr>
      </w:pPr>
    </w:p>
    <w:p>
      <w:pPr>
        <w:pStyle w:val="27"/>
        <w:numPr>
          <w:ilvl w:val="0"/>
          <w:numId w:val="2"/>
        </w:numPr>
        <w:spacing w:line="600" w:lineRule="exact"/>
        <w:ind w:firstLineChars="0"/>
        <w:outlineLvl w:val="1"/>
        <w:rPr>
          <w:rStyle w:val="18"/>
          <w:rFonts w:ascii="黑体" w:hAnsi="黑体" w:eastAsia="黑体"/>
          <w:b w:val="0"/>
          <w:color w:val="auto"/>
          <w:highlight w:val="none"/>
        </w:rPr>
      </w:pPr>
      <w:bookmarkStart w:id="26" w:name="_Toc15396603"/>
      <w:bookmarkStart w:id="27" w:name="_Toc15377205"/>
      <w:bookmarkStart w:id="28" w:name="_Toc23568"/>
      <w:r>
        <w:rPr>
          <w:rFonts w:hint="eastAsia" w:ascii="黑体" w:hAnsi="黑体" w:eastAsia="黑体"/>
          <w:color w:val="auto"/>
          <w:sz w:val="32"/>
          <w:szCs w:val="32"/>
          <w:highlight w:val="none"/>
        </w:rPr>
        <w:t>收</w:t>
      </w:r>
      <w:r>
        <w:rPr>
          <w:rStyle w:val="18"/>
          <w:rFonts w:hint="eastAsia" w:ascii="黑体" w:hAnsi="黑体" w:eastAsia="黑体"/>
          <w:b w:val="0"/>
          <w:color w:val="auto"/>
          <w:highlight w:val="none"/>
        </w:rPr>
        <w:t>入支出决算总体情况</w:t>
      </w:r>
      <w:bookmarkEnd w:id="26"/>
      <w:bookmarkEnd w:id="27"/>
      <w:r>
        <w:rPr>
          <w:rStyle w:val="18"/>
          <w:rFonts w:hint="eastAsia" w:ascii="黑体" w:hAnsi="黑体" w:eastAsia="黑体"/>
          <w:b w:val="0"/>
          <w:color w:val="auto"/>
          <w:highlight w:val="none"/>
          <w:lang w:val="en-US" w:eastAsia="zh-CN"/>
        </w:rPr>
        <w:t>说明</w:t>
      </w:r>
      <w:bookmarkEnd w:id="28"/>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617.46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76.37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14.11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2022年增加了航标及航道测量设备采购项目资金和川交防0001号防洪抢险船运行及日常维护费、沙溪航电枢纽影响区域水情信息传递、嘉陵江广南高速大桥桥柱灯、桥涵标代设代管维护与管理的代管资金</w:t>
      </w:r>
      <w:r>
        <w:rPr>
          <w:rFonts w:hint="eastAsia" w:ascii="仿宋" w:hAnsi="仿宋" w:eastAsia="仿宋"/>
          <w:color w:val="auto"/>
          <w:sz w:val="32"/>
          <w:szCs w:val="32"/>
          <w:highlight w:val="none"/>
          <w:lang w:eastAsia="zh-CN"/>
        </w:rPr>
        <w:t>。</w:t>
      </w:r>
    </w:p>
    <w:p>
      <w:pPr>
        <w:jc w:val="center"/>
      </w:pPr>
    </w:p>
    <w:p>
      <w:pPr>
        <w:jc w:val="cente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cente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
      </w:pPr>
    </w:p>
    <w:p>
      <w:pPr>
        <w:pStyle w:val="27"/>
        <w:numPr>
          <w:ilvl w:val="0"/>
          <w:numId w:val="0"/>
        </w:numPr>
        <w:spacing w:line="600" w:lineRule="exact"/>
        <w:ind w:firstLine="640" w:firstLineChars="200"/>
        <w:outlineLvl w:val="1"/>
        <w:rPr>
          <w:rStyle w:val="18"/>
          <w:rFonts w:ascii="黑体" w:hAnsi="黑体" w:eastAsia="黑体"/>
          <w:b w:val="0"/>
          <w:color w:val="auto"/>
          <w:highlight w:val="none"/>
        </w:rPr>
      </w:pPr>
      <w:bookmarkStart w:id="29" w:name="_Toc31407"/>
      <w:bookmarkStart w:id="30" w:name="_Toc15377206"/>
      <w:bookmarkStart w:id="31" w:name="_Toc15396604"/>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lang w:eastAsia="zh-CN"/>
        </w:rPr>
        <w:t>、</w:t>
      </w:r>
      <w:r>
        <w:rPr>
          <w:rFonts w:hint="eastAsia" w:ascii="黑体" w:hAnsi="黑体" w:eastAsia="黑体"/>
          <w:color w:val="auto"/>
          <w:sz w:val="32"/>
          <w:szCs w:val="32"/>
          <w:highlight w:val="none"/>
        </w:rPr>
        <w:t>收</w:t>
      </w:r>
      <w:r>
        <w:rPr>
          <w:rStyle w:val="18"/>
          <w:rFonts w:hint="eastAsia" w:ascii="黑体" w:hAnsi="黑体" w:eastAsia="黑体"/>
          <w:b w:val="0"/>
          <w:color w:val="auto"/>
          <w:highlight w:val="none"/>
        </w:rPr>
        <w:t>入决算情况说明</w:t>
      </w:r>
      <w:bookmarkEnd w:id="29"/>
      <w:bookmarkEnd w:id="30"/>
      <w:bookmarkEnd w:id="31"/>
    </w:p>
    <w:p>
      <w:pPr>
        <w:spacing w:line="600" w:lineRule="exact"/>
        <w:ind w:firstLine="640" w:firstLineChars="200"/>
        <w:outlineLvl w:val="1"/>
        <w:rPr>
          <w:rFonts w:hint="eastAsia" w:ascii="仿宋" w:hAnsi="仿宋" w:eastAsia="仿宋"/>
          <w:color w:val="auto"/>
          <w:sz w:val="32"/>
          <w:szCs w:val="32"/>
          <w:highlight w:val="none"/>
        </w:rPr>
      </w:pPr>
      <w:bookmarkStart w:id="32" w:name="_Toc2508"/>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571.15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544.68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95.37</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26.47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4.63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2"/>
    </w:p>
    <w:p>
      <w:pPr>
        <w:rPr>
          <w:rFonts w:hint="eastAsia"/>
        </w:rPr>
      </w:pPr>
    </w:p>
    <w:p>
      <w:pPr>
        <w:pStyle w:val="2"/>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pPr>
      <w:r>
        <w:rPr>
          <w:rFonts w:hint="eastAsia" w:ascii="仿宋" w:hAnsi="仿宋" w:eastAsia="仿宋"/>
          <w:color w:val="auto"/>
          <w:sz w:val="32"/>
          <w:szCs w:val="32"/>
          <w:highlight w:val="none"/>
        </w:rPr>
        <w:t>图2：收入决算结构图（饼状图）</w:t>
      </w:r>
    </w:p>
    <w:p/>
    <w:p>
      <w:pPr>
        <w:pStyle w:val="27"/>
        <w:numPr>
          <w:ilvl w:val="0"/>
          <w:numId w:val="0"/>
        </w:numPr>
        <w:spacing w:line="600" w:lineRule="exact"/>
        <w:ind w:firstLine="640" w:firstLineChars="200"/>
        <w:outlineLvl w:val="1"/>
        <w:rPr>
          <w:rStyle w:val="18"/>
          <w:rFonts w:ascii="黑体" w:hAnsi="黑体" w:eastAsia="黑体"/>
          <w:b w:val="0"/>
          <w:color w:val="auto"/>
          <w:highlight w:val="none"/>
        </w:rPr>
      </w:pPr>
      <w:bookmarkStart w:id="33" w:name="_Toc15377207"/>
      <w:bookmarkStart w:id="34" w:name="_Toc10235"/>
      <w:bookmarkStart w:id="35" w:name="_Toc15396605"/>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支</w:t>
      </w:r>
      <w:r>
        <w:rPr>
          <w:rStyle w:val="18"/>
          <w:rFonts w:hint="eastAsia" w:ascii="黑体" w:hAnsi="黑体" w:eastAsia="黑体"/>
          <w:b w:val="0"/>
          <w:color w:val="auto"/>
          <w:highlight w:val="none"/>
        </w:rPr>
        <w:t>出决算情况说明</w:t>
      </w:r>
      <w:bookmarkEnd w:id="33"/>
      <w:bookmarkEnd w:id="34"/>
      <w:bookmarkEnd w:id="35"/>
    </w:p>
    <w:p>
      <w:pPr>
        <w:spacing w:line="600" w:lineRule="exact"/>
        <w:ind w:firstLine="640" w:firstLineChars="200"/>
        <w:outlineLvl w:val="1"/>
        <w:rPr>
          <w:rFonts w:hint="eastAsia" w:ascii="仿宋" w:hAnsi="仿宋" w:eastAsia="仿宋"/>
          <w:color w:val="000000" w:themeColor="text1"/>
          <w:sz w:val="32"/>
          <w:szCs w:val="32"/>
          <w:highlight w:val="none"/>
          <w:lang w:val="en-US" w:eastAsia="zh-CN"/>
          <w14:textFill>
            <w14:solidFill>
              <w14:schemeClr w14:val="tx1"/>
            </w14:solidFill>
          </w14:textFill>
        </w:rPr>
      </w:pPr>
      <w:bookmarkStart w:id="36" w:name="_Toc1418"/>
      <w:r>
        <w:rPr>
          <w:rFonts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eastAsia" w:ascii="仿宋" w:hAnsi="仿宋" w:eastAsia="仿宋"/>
          <w:color w:val="000000" w:themeColor="text1"/>
          <w:sz w:val="32"/>
          <w:szCs w:val="32"/>
          <w:highlight w:val="none"/>
          <w14:textFill>
            <w14:solidFill>
              <w14:schemeClr w14:val="tx1"/>
            </w14:solidFill>
          </w14:textFill>
        </w:rPr>
        <w:t>年本年支出合计</w:t>
      </w:r>
      <w:r>
        <w:rPr>
          <w:rFonts w:hint="eastAsia" w:ascii="仿宋" w:hAnsi="仿宋" w:eastAsia="仿宋"/>
          <w:color w:val="000000" w:themeColor="text1"/>
          <w:sz w:val="32"/>
          <w:szCs w:val="32"/>
          <w:highlight w:val="none"/>
          <w:lang w:val="en-US" w:eastAsia="zh-CN"/>
          <w14:textFill>
            <w14:solidFill>
              <w14:schemeClr w14:val="tx1"/>
            </w14:solidFill>
          </w14:textFill>
        </w:rPr>
        <w:t>617.46</w:t>
      </w:r>
      <w:r>
        <w:rPr>
          <w:rFonts w:hint="eastAsia" w:ascii="仿宋" w:hAnsi="仿宋" w:eastAsia="仿宋"/>
          <w:color w:val="000000" w:themeColor="text1"/>
          <w:sz w:val="32"/>
          <w:szCs w:val="32"/>
          <w:highlight w:val="none"/>
          <w14:textFill>
            <w14:solidFill>
              <w14:schemeClr w14:val="tx1"/>
            </w14:solidFill>
          </w14:textFill>
        </w:rPr>
        <w:t>万元，其中：基本支出</w:t>
      </w:r>
      <w:r>
        <w:rPr>
          <w:rFonts w:hint="eastAsia" w:ascii="仿宋" w:hAnsi="仿宋" w:eastAsia="仿宋"/>
          <w:color w:val="000000" w:themeColor="text1"/>
          <w:sz w:val="32"/>
          <w:szCs w:val="32"/>
          <w:highlight w:val="none"/>
          <w:lang w:val="en-US" w:eastAsia="zh-CN"/>
          <w14:textFill>
            <w14:solidFill>
              <w14:schemeClr w14:val="tx1"/>
            </w14:solidFill>
          </w14:textFill>
        </w:rPr>
        <w:t>513.09</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83.10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；项目支出</w:t>
      </w:r>
      <w:r>
        <w:rPr>
          <w:rFonts w:hint="eastAsia" w:ascii="仿宋" w:hAnsi="仿宋" w:eastAsia="仿宋"/>
          <w:color w:val="000000" w:themeColor="text1"/>
          <w:sz w:val="32"/>
          <w:szCs w:val="32"/>
          <w:highlight w:val="none"/>
          <w:lang w:val="en-US" w:eastAsia="zh-CN"/>
          <w14:textFill>
            <w14:solidFill>
              <w14:schemeClr w14:val="tx1"/>
            </w14:solidFill>
          </w14:textFill>
        </w:rPr>
        <w:t>104.37</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16.90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w:t>
      </w:r>
      <w:bookmarkEnd w:id="36"/>
    </w:p>
    <w:p>
      <w:pPr>
        <w:pStyle w:val="2"/>
        <w:rPr>
          <w:rFonts w:hint="eastAsia"/>
        </w:rPr>
      </w:pPr>
    </w:p>
    <w:p>
      <w:pPr>
        <w:pStyle w:val="2"/>
      </w:pPr>
      <w:r>
        <w:drawing>
          <wp:inline distT="0" distB="0" distL="114300" distR="114300">
            <wp:extent cx="4572000" cy="2743200"/>
            <wp:effectExtent l="4445" t="4445" r="1460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jc w:val="center"/>
        <w:outlineLvl w:val="1"/>
        <w:rPr>
          <w:rFonts w:hint="eastAsia" w:ascii="仿宋" w:hAnsi="仿宋" w:eastAsia="仿宋"/>
          <w:color w:val="auto"/>
          <w:sz w:val="32"/>
          <w:szCs w:val="32"/>
          <w:highlight w:val="none"/>
        </w:rPr>
      </w:pPr>
      <w:bookmarkStart w:id="37" w:name="_Toc13433"/>
      <w:r>
        <w:rPr>
          <w:rFonts w:hint="eastAsia" w:ascii="仿宋" w:hAnsi="仿宋" w:eastAsia="仿宋"/>
          <w:color w:val="auto"/>
          <w:sz w:val="32"/>
          <w:szCs w:val="32"/>
          <w:highlight w:val="none"/>
        </w:rPr>
        <w:t>图3：支出决算结构图（饼状图）</w:t>
      </w:r>
      <w:bookmarkEnd w:id="37"/>
    </w:p>
    <w:p>
      <w:pPr>
        <w:pStyle w:val="2"/>
      </w:pPr>
    </w:p>
    <w:p>
      <w:pPr>
        <w:spacing w:line="600" w:lineRule="exact"/>
        <w:ind w:firstLine="640" w:firstLineChars="200"/>
        <w:outlineLvl w:val="1"/>
        <w:rPr>
          <w:rStyle w:val="18"/>
          <w:rFonts w:ascii="黑体" w:hAnsi="黑体" w:eastAsia="黑体"/>
          <w:b w:val="0"/>
          <w:color w:val="auto"/>
          <w:highlight w:val="none"/>
        </w:rPr>
      </w:pPr>
      <w:bookmarkStart w:id="38" w:name="_Toc15396606"/>
      <w:bookmarkStart w:id="39" w:name="_Toc15377208"/>
      <w:bookmarkStart w:id="40" w:name="_Toc16642"/>
      <w:r>
        <w:rPr>
          <w:rFonts w:hint="eastAsia" w:ascii="黑体" w:hAnsi="黑体" w:eastAsia="黑体"/>
          <w:color w:val="auto"/>
          <w:sz w:val="32"/>
          <w:szCs w:val="32"/>
          <w:highlight w:val="none"/>
        </w:rPr>
        <w:t>四、财</w:t>
      </w:r>
      <w:r>
        <w:rPr>
          <w:rStyle w:val="18"/>
          <w:rFonts w:hint="eastAsia" w:ascii="黑体" w:hAnsi="黑体" w:eastAsia="黑体"/>
          <w:b w:val="0"/>
          <w:color w:val="auto"/>
          <w:highlight w:val="none"/>
        </w:rPr>
        <w:t>政拨款收入支出决算总体情况说明</w:t>
      </w:r>
      <w:bookmarkEnd w:id="38"/>
      <w:bookmarkEnd w:id="39"/>
      <w:bookmarkEnd w:id="40"/>
    </w:p>
    <w:p>
      <w:pPr>
        <w:spacing w:line="600" w:lineRule="exact"/>
        <w:ind w:firstLine="64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590.18</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133.29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29.17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代管资金计入了财政拨款收入。</w:t>
      </w:r>
    </w:p>
    <w:p>
      <w:pPr>
        <w:pStyle w:val="2"/>
      </w:pPr>
    </w:p>
    <w:p>
      <w:pPr>
        <w:jc w:val="center"/>
      </w:pPr>
      <w:r>
        <w:drawing>
          <wp:inline distT="0" distB="0" distL="114300" distR="114300">
            <wp:extent cx="4572000" cy="2743200"/>
            <wp:effectExtent l="4445" t="4445" r="14605" b="14605"/>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2"/>
      </w:pPr>
    </w:p>
    <w:p>
      <w:pPr>
        <w:spacing w:line="600" w:lineRule="exact"/>
        <w:ind w:firstLine="640" w:firstLineChars="200"/>
        <w:outlineLvl w:val="1"/>
        <w:rPr>
          <w:rStyle w:val="18"/>
          <w:rFonts w:ascii="黑体" w:hAnsi="黑体" w:eastAsia="黑体"/>
          <w:b w:val="0"/>
          <w:color w:val="auto"/>
          <w:highlight w:val="none"/>
        </w:rPr>
      </w:pPr>
      <w:bookmarkStart w:id="41" w:name="_Toc15377209"/>
      <w:bookmarkStart w:id="42" w:name="_Toc15396607"/>
      <w:bookmarkStart w:id="43" w:name="_Toc16088"/>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8"/>
          <w:rFonts w:hint="eastAsia" w:ascii="黑体" w:hAnsi="黑体" w:eastAsia="黑体"/>
          <w:b w:val="0"/>
          <w:color w:val="auto"/>
          <w:highlight w:val="none"/>
        </w:rPr>
        <w:t>般公共预算财政拨款支出决算情况说明</w:t>
      </w:r>
      <w:bookmarkEnd w:id="41"/>
      <w:bookmarkEnd w:id="42"/>
      <w:bookmarkEnd w:id="43"/>
    </w:p>
    <w:p>
      <w:pPr>
        <w:spacing w:line="600" w:lineRule="exact"/>
        <w:ind w:firstLine="643" w:firstLineChars="200"/>
        <w:outlineLvl w:val="2"/>
        <w:rPr>
          <w:rFonts w:ascii="仿宋" w:hAnsi="仿宋" w:eastAsia="仿宋"/>
          <w:b/>
          <w:color w:val="auto"/>
          <w:sz w:val="32"/>
          <w:szCs w:val="32"/>
          <w:highlight w:val="none"/>
        </w:rPr>
      </w:pPr>
      <w:bookmarkStart w:id="44" w:name="_Toc15377210"/>
      <w:r>
        <w:rPr>
          <w:rFonts w:hint="eastAsia" w:ascii="仿宋" w:hAnsi="仿宋" w:eastAsia="仿宋"/>
          <w:b/>
          <w:color w:val="auto"/>
          <w:sz w:val="32"/>
          <w:szCs w:val="32"/>
          <w:highlight w:val="none"/>
        </w:rPr>
        <w:t>（一）一般公共预算财政拨款支出决算总体情况</w:t>
      </w:r>
      <w:bookmarkEnd w:id="44"/>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590.18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95.58</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183.09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44.98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 xml:space="preserve">代管资金计入了财政拨款收入，增加了航标及航道测量设备采购项目资金。  </w:t>
      </w:r>
    </w:p>
    <w:p>
      <w:pPr>
        <w:pStyle w:val="2"/>
        <w:jc w:val="center"/>
      </w:pPr>
      <w:r>
        <w:drawing>
          <wp:inline distT="0" distB="0" distL="114300" distR="114300">
            <wp:extent cx="4572000" cy="2743200"/>
            <wp:effectExtent l="4445" t="4445" r="14605" b="14605"/>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pStyle w:val="2"/>
        <w:ind w:left="0" w:leftChars="0" w:firstLine="0" w:firstLineChars="0"/>
      </w:pPr>
    </w:p>
    <w:p>
      <w:pPr>
        <w:spacing w:line="600" w:lineRule="exact"/>
        <w:ind w:firstLine="643" w:firstLineChars="200"/>
        <w:outlineLvl w:val="2"/>
        <w:rPr>
          <w:rFonts w:ascii="仿宋" w:hAnsi="仿宋" w:eastAsia="仿宋"/>
          <w:b/>
          <w:color w:val="auto"/>
          <w:sz w:val="32"/>
          <w:szCs w:val="32"/>
          <w:highlight w:val="none"/>
        </w:rPr>
      </w:pPr>
      <w:bookmarkStart w:id="45" w:name="_Toc15377211"/>
      <w:r>
        <w:rPr>
          <w:rFonts w:hint="eastAsia" w:ascii="仿宋" w:hAnsi="仿宋" w:eastAsia="仿宋"/>
          <w:b/>
          <w:color w:val="auto"/>
          <w:sz w:val="32"/>
          <w:szCs w:val="32"/>
          <w:highlight w:val="none"/>
        </w:rPr>
        <w:t>（二）一般公共预算财政拨款支出决算结构情况</w:t>
      </w:r>
      <w:bookmarkEnd w:id="45"/>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590.18</w:t>
      </w:r>
      <w:r>
        <w:rPr>
          <w:rFonts w:hint="eastAsia" w:ascii="仿宋" w:hAnsi="仿宋" w:eastAsia="仿宋"/>
          <w:color w:val="auto"/>
          <w:sz w:val="32"/>
          <w:szCs w:val="32"/>
          <w:highlight w:val="none"/>
        </w:rPr>
        <w:t>万元，主要用于以下方面</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val="en-US" w:eastAsia="zh-CN"/>
        </w:rPr>
        <w:t>43.70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7.40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val="en-US" w:eastAsia="zh-CN"/>
        </w:rPr>
        <w:t>14.15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2.40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val="en-US" w:eastAsia="zh-CN"/>
        </w:rPr>
        <w:t>36.57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6.20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bCs/>
          <w:color w:val="000000"/>
          <w:sz w:val="32"/>
          <w:szCs w:val="32"/>
          <w:lang w:eastAsia="zh-CN"/>
        </w:rPr>
        <w:t>交通运输支出</w:t>
      </w:r>
      <w:r>
        <w:rPr>
          <w:rFonts w:hint="eastAsia" w:ascii="仿宋" w:hAnsi="仿宋" w:eastAsia="仿宋" w:cs="Times New Roman"/>
          <w:b w:val="0"/>
          <w:bCs w:val="0"/>
          <w:color w:val="000000"/>
          <w:sz w:val="32"/>
          <w:szCs w:val="32"/>
          <w:lang w:val="en-US" w:eastAsia="zh-CN"/>
        </w:rPr>
        <w:t>495.76</w:t>
      </w:r>
      <w:r>
        <w:rPr>
          <w:rFonts w:hint="eastAsia" w:ascii="仿宋" w:hAnsi="仿宋" w:eastAsia="仿宋"/>
          <w:color w:val="000000"/>
          <w:sz w:val="32"/>
          <w:szCs w:val="32"/>
          <w:lang w:val="en-US" w:eastAsia="zh-CN"/>
        </w:rPr>
        <w:t>万元，占84.00%</w:t>
      </w:r>
      <w:r>
        <w:rPr>
          <w:rFonts w:hint="eastAsia" w:ascii="仿宋" w:hAnsi="仿宋" w:eastAsia="仿宋"/>
          <w:color w:val="auto"/>
          <w:sz w:val="32"/>
          <w:szCs w:val="32"/>
          <w:highlight w:val="none"/>
        </w:rPr>
        <w:t>。</w:t>
      </w:r>
    </w:p>
    <w:p>
      <w:pPr>
        <w:pStyle w:val="2"/>
        <w:ind w:left="0" w:leftChars="0" w:firstLine="0" w:firstLineChars="0"/>
        <w:jc w:val="center"/>
      </w:pPr>
      <w:r>
        <w:rPr>
          <w:rFonts w:hint="eastAsia"/>
          <w:lang w:val="en-US" w:eastAsia="zh-CN"/>
        </w:rPr>
        <w:t xml:space="preserve"> </w:t>
      </w:r>
      <w:r>
        <w:drawing>
          <wp:inline distT="0" distB="0" distL="114300" distR="114300">
            <wp:extent cx="4572000" cy="2743200"/>
            <wp:effectExtent l="4445" t="4445" r="14605" b="1460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
      <w:pPr>
        <w:pStyle w:val="2"/>
      </w:pPr>
    </w:p>
    <w:p>
      <w:pPr>
        <w:spacing w:line="600" w:lineRule="exact"/>
        <w:ind w:firstLine="643" w:firstLineChars="200"/>
        <w:outlineLvl w:val="2"/>
        <w:rPr>
          <w:rFonts w:ascii="仿宋" w:hAnsi="仿宋" w:eastAsia="仿宋"/>
          <w:b/>
          <w:color w:val="auto"/>
          <w:sz w:val="32"/>
          <w:szCs w:val="32"/>
          <w:highlight w:val="none"/>
        </w:rPr>
      </w:pPr>
      <w:bookmarkStart w:id="46" w:name="_Toc15377212"/>
      <w:r>
        <w:rPr>
          <w:rFonts w:hint="eastAsia" w:ascii="仿宋" w:hAnsi="仿宋" w:eastAsia="仿宋"/>
          <w:b/>
          <w:color w:val="auto"/>
          <w:sz w:val="32"/>
          <w:szCs w:val="32"/>
          <w:highlight w:val="none"/>
        </w:rPr>
        <w:t>（三）一般公共预算财政拨款支出决算具体情况</w:t>
      </w:r>
      <w:bookmarkEnd w:id="46"/>
    </w:p>
    <w:p>
      <w:pPr>
        <w:numPr>
          <w:ilvl w:val="0"/>
          <w:numId w:val="0"/>
        </w:numPr>
        <w:spacing w:line="600" w:lineRule="exact"/>
        <w:ind w:firstLine="643" w:firstLineChars="200"/>
        <w:rPr>
          <w:rStyle w:val="15"/>
          <w:rFonts w:hint="eastAsia" w:ascii="仿宋" w:hAnsi="仿宋" w:eastAsia="仿宋"/>
          <w:bCs/>
          <w:color w:val="auto"/>
          <w:sz w:val="32"/>
          <w:szCs w:val="32"/>
          <w:highlight w:val="none"/>
        </w:rPr>
      </w:pPr>
      <w:bookmarkStart w:id="47" w:name="_Toc15377213"/>
      <w:bookmarkStart w:id="48" w:name="_Toc15378460"/>
      <w:bookmarkStart w:id="49"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590.18万元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47"/>
      <w:bookmarkEnd w:id="48"/>
      <w:bookmarkEnd w:id="49"/>
    </w:p>
    <w:p>
      <w:pPr>
        <w:numPr>
          <w:ilvl w:val="0"/>
          <w:numId w:val="3"/>
        </w:numPr>
        <w:spacing w:line="600" w:lineRule="exact"/>
        <w:ind w:left="0" w:leftChars="0" w:firstLine="400" w:firstLineChars="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eastAsia="zh-CN"/>
        </w:rPr>
        <w:t>行政</w:t>
      </w:r>
      <w:r>
        <w:rPr>
          <w:rStyle w:val="15"/>
          <w:rFonts w:hint="eastAsia" w:ascii="仿宋" w:hAnsi="仿宋" w:eastAsia="仿宋"/>
          <w:bCs/>
          <w:color w:val="000000"/>
          <w:sz w:val="32"/>
          <w:szCs w:val="32"/>
        </w:rPr>
        <w:t>事业单位养老支出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rPr>
        <w:t>事业单位离退休</w:t>
      </w:r>
      <w:r>
        <w:rPr>
          <w:rStyle w:val="15"/>
          <w:rFonts w:hint="eastAsia" w:ascii="仿宋" w:hAnsi="仿宋" w:eastAsia="仿宋"/>
          <w:bCs/>
          <w:color w:val="auto"/>
          <w:sz w:val="32"/>
          <w:szCs w:val="32"/>
          <w:highlight w:val="none"/>
        </w:rPr>
        <w:t>（项）</w:t>
      </w:r>
      <w:r>
        <w:rPr>
          <w:rStyle w:val="15"/>
          <w:rFonts w:hint="eastAsia" w:ascii="仿宋" w:hAnsi="仿宋" w:eastAsia="仿宋"/>
          <w:bCs/>
          <w:color w:val="auto"/>
          <w:sz w:val="32"/>
          <w:szCs w:val="32"/>
          <w:highlight w:val="none"/>
          <w:lang w:eastAsia="zh-CN"/>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0.93</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，决算数等于预算数</w:t>
      </w:r>
      <w:r>
        <w:rPr>
          <w:rStyle w:val="15"/>
          <w:rFonts w:hint="eastAsia" w:ascii="仿宋" w:hAnsi="仿宋" w:eastAsia="仿宋"/>
          <w:b w:val="0"/>
          <w:bCs/>
          <w:color w:val="auto"/>
          <w:sz w:val="32"/>
          <w:szCs w:val="32"/>
          <w:highlight w:val="none"/>
          <w:lang w:val="en-US" w:eastAsia="zh-CN"/>
        </w:rPr>
        <w:t>。</w:t>
      </w:r>
    </w:p>
    <w:p>
      <w:pPr>
        <w:numPr>
          <w:ilvl w:val="0"/>
          <w:numId w:val="3"/>
        </w:numPr>
        <w:spacing w:line="600" w:lineRule="exact"/>
        <w:ind w:left="0" w:leftChars="0" w:firstLine="400" w:firstLineChars="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eastAsia="zh-CN"/>
        </w:rPr>
        <w:t>行政</w:t>
      </w:r>
      <w:r>
        <w:rPr>
          <w:rStyle w:val="15"/>
          <w:rFonts w:hint="eastAsia" w:ascii="仿宋" w:hAnsi="仿宋" w:eastAsia="仿宋"/>
          <w:bCs/>
          <w:color w:val="000000"/>
          <w:sz w:val="32"/>
          <w:szCs w:val="32"/>
        </w:rPr>
        <w:t>事业单位养老支出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000000"/>
          <w:sz w:val="32"/>
          <w:szCs w:val="32"/>
        </w:rPr>
        <w:t>机关事业单位基本养老保险缴费支出</w:t>
      </w:r>
      <w:r>
        <w:rPr>
          <w:rStyle w:val="15"/>
          <w:rFonts w:hint="eastAsia" w:ascii="仿宋" w:hAnsi="仿宋" w:eastAsia="仿宋"/>
          <w:bCs/>
          <w:color w:val="auto"/>
          <w:sz w:val="32"/>
          <w:szCs w:val="32"/>
          <w:highlight w:val="none"/>
        </w:rPr>
        <w:t>（项）</w:t>
      </w:r>
      <w:r>
        <w:rPr>
          <w:rStyle w:val="15"/>
          <w:rFonts w:hint="eastAsia" w:ascii="仿宋" w:hAnsi="仿宋" w:eastAsia="仿宋"/>
          <w:bCs/>
          <w:color w:val="auto"/>
          <w:sz w:val="32"/>
          <w:szCs w:val="32"/>
          <w:highlight w:val="none"/>
          <w:lang w:eastAsia="zh-CN"/>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34.97</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，决算数等于预算数</w:t>
      </w:r>
      <w:r>
        <w:rPr>
          <w:rStyle w:val="15"/>
          <w:rFonts w:hint="eastAsia" w:ascii="仿宋" w:hAnsi="仿宋" w:eastAsia="仿宋"/>
          <w:b w:val="0"/>
          <w:bCs/>
          <w:color w:val="auto"/>
          <w:sz w:val="32"/>
          <w:szCs w:val="32"/>
          <w:highlight w:val="none"/>
          <w:lang w:val="en-US" w:eastAsia="zh-CN"/>
        </w:rPr>
        <w:t>。</w:t>
      </w:r>
    </w:p>
    <w:p>
      <w:pPr>
        <w:numPr>
          <w:ilvl w:val="0"/>
          <w:numId w:val="3"/>
        </w:numPr>
        <w:spacing w:line="600" w:lineRule="exact"/>
        <w:ind w:left="0" w:leftChars="0" w:firstLine="400" w:firstLineChars="0"/>
        <w:rPr>
          <w:rFonts w:hint="eastAsia"/>
        </w:rPr>
      </w:pP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eastAsia="zh-CN"/>
        </w:rPr>
        <w:t>行政</w:t>
      </w:r>
      <w:r>
        <w:rPr>
          <w:rStyle w:val="15"/>
          <w:rFonts w:hint="eastAsia" w:ascii="仿宋" w:hAnsi="仿宋" w:eastAsia="仿宋"/>
          <w:bCs/>
          <w:color w:val="000000"/>
          <w:sz w:val="32"/>
          <w:szCs w:val="32"/>
        </w:rPr>
        <w:t>事业单位养老支出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rPr>
        <w:t>机关事业单位职业年金缴费支出（</w:t>
      </w:r>
      <w:r>
        <w:rPr>
          <w:rStyle w:val="15"/>
          <w:rFonts w:hint="eastAsia" w:ascii="仿宋" w:hAnsi="仿宋" w:eastAsia="仿宋"/>
          <w:bCs/>
          <w:color w:val="auto"/>
          <w:sz w:val="32"/>
          <w:szCs w:val="32"/>
          <w:highlight w:val="none"/>
        </w:rPr>
        <w:t>项）</w:t>
      </w:r>
      <w:r>
        <w:rPr>
          <w:rStyle w:val="15"/>
          <w:rFonts w:hint="eastAsia" w:ascii="仿宋" w:hAnsi="仿宋" w:eastAsia="仿宋"/>
          <w:bCs/>
          <w:color w:val="auto"/>
          <w:sz w:val="32"/>
          <w:szCs w:val="32"/>
          <w:highlight w:val="none"/>
          <w:lang w:eastAsia="zh-CN"/>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4.63</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，决算数等于预算数</w:t>
      </w:r>
      <w:r>
        <w:rPr>
          <w:rStyle w:val="15"/>
          <w:rFonts w:hint="eastAsia" w:ascii="仿宋" w:hAnsi="仿宋" w:eastAsia="仿宋"/>
          <w:b w:val="0"/>
          <w:bCs/>
          <w:color w:val="auto"/>
          <w:sz w:val="32"/>
          <w:szCs w:val="32"/>
          <w:highlight w:val="none"/>
        </w:rPr>
        <w:t>。</w:t>
      </w:r>
    </w:p>
    <w:p>
      <w:pPr>
        <w:numPr>
          <w:ilvl w:val="0"/>
          <w:numId w:val="3"/>
        </w:numPr>
        <w:spacing w:line="600" w:lineRule="exact"/>
        <w:ind w:left="0" w:leftChars="0" w:firstLine="400" w:firstLineChars="0"/>
        <w:rPr>
          <w:rFonts w:hint="eastAsia" w:eastAsia="仿宋"/>
          <w:lang w:eastAsia="zh-CN"/>
        </w:rPr>
      </w:pPr>
      <w:r>
        <w:rPr>
          <w:rStyle w:val="15"/>
          <w:rFonts w:hint="eastAsia" w:ascii="仿宋" w:hAnsi="仿宋" w:eastAsia="仿宋"/>
          <w:bCs/>
          <w:color w:val="000000"/>
          <w:sz w:val="32"/>
          <w:szCs w:val="32"/>
        </w:rPr>
        <w:t>社会保障和就业（类）其他社会保障和就业支出（款）</w:t>
      </w:r>
      <w:r>
        <w:rPr>
          <w:rStyle w:val="15"/>
          <w:rFonts w:hint="eastAsia" w:ascii="仿宋" w:hAnsi="仿宋" w:eastAsia="仿宋" w:cs="Times New Roman"/>
          <w:bCs/>
          <w:color w:val="auto"/>
          <w:kern w:val="2"/>
          <w:sz w:val="32"/>
          <w:szCs w:val="32"/>
          <w:lang w:val="en-US" w:eastAsia="zh-CN" w:bidi="ar-SA"/>
        </w:rPr>
        <w:t>其他社会保障和就业支出（</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w:t>
      </w:r>
      <w:r>
        <w:rPr>
          <w:rStyle w:val="15"/>
          <w:rFonts w:hint="eastAsia" w:ascii="仿宋" w:hAnsi="仿宋" w:eastAsia="仿宋"/>
          <w:b w:val="0"/>
          <w:bCs/>
          <w:color w:val="000000"/>
          <w:sz w:val="32"/>
          <w:szCs w:val="32"/>
          <w:lang w:eastAsia="zh-CN"/>
        </w:rPr>
        <w:t>为</w:t>
      </w:r>
      <w:r>
        <w:rPr>
          <w:rStyle w:val="15"/>
          <w:rFonts w:hint="eastAsia" w:ascii="仿宋" w:hAnsi="仿宋" w:eastAsia="仿宋"/>
          <w:b w:val="0"/>
          <w:bCs/>
          <w:color w:val="000000"/>
          <w:sz w:val="32"/>
          <w:szCs w:val="32"/>
          <w:lang w:val="en-US" w:eastAsia="zh-CN"/>
        </w:rPr>
        <w:t>3.17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auto"/>
          <w:sz w:val="32"/>
          <w:szCs w:val="32"/>
          <w:highlight w:val="none"/>
          <w:lang w:eastAsia="zh-CN"/>
        </w:rPr>
        <w:t>决算数等于预算数</w:t>
      </w:r>
      <w:r>
        <w:rPr>
          <w:rStyle w:val="15"/>
          <w:rFonts w:hint="eastAsia" w:ascii="仿宋" w:hAnsi="仿宋" w:eastAsia="仿宋"/>
          <w:b w:val="0"/>
          <w:bCs/>
          <w:color w:val="auto"/>
          <w:sz w:val="32"/>
          <w:szCs w:val="32"/>
          <w:highlight w:val="none"/>
          <w:lang w:val="en-US" w:eastAsia="zh-CN"/>
        </w:rPr>
        <w:t>。</w:t>
      </w:r>
    </w:p>
    <w:p>
      <w:pPr>
        <w:numPr>
          <w:ilvl w:val="0"/>
          <w:numId w:val="3"/>
        </w:numPr>
        <w:spacing w:line="600" w:lineRule="exact"/>
        <w:ind w:left="0" w:leftChars="0" w:firstLine="400" w:firstLineChars="0"/>
        <w:rPr>
          <w:rFonts w:hint="eastAsia" w:ascii="仿宋" w:hAnsi="仿宋" w:eastAsia="仿宋"/>
          <w:b/>
          <w:color w:val="auto"/>
          <w:sz w:val="32"/>
          <w:szCs w:val="32"/>
          <w:highlight w:val="none"/>
          <w:lang w:eastAsia="zh-CN"/>
        </w:rPr>
      </w:pP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支出</w:t>
      </w:r>
      <w:r>
        <w:rPr>
          <w:rStyle w:val="15"/>
          <w:rFonts w:hint="eastAsia" w:ascii="仿宋" w:hAnsi="仿宋" w:eastAsia="仿宋"/>
          <w:bCs/>
          <w:color w:val="auto"/>
          <w:sz w:val="32"/>
          <w:szCs w:val="32"/>
          <w:highlight w:val="none"/>
        </w:rPr>
        <w:t>（类）行政事业单位医疗（款）事业单位医疗（项）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14.15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，决算数等于预算数</w:t>
      </w:r>
      <w:r>
        <w:rPr>
          <w:rStyle w:val="15"/>
          <w:rFonts w:hint="eastAsia" w:ascii="仿宋" w:hAnsi="仿宋" w:eastAsia="仿宋"/>
          <w:b w:val="0"/>
          <w:bCs/>
          <w:color w:val="auto"/>
          <w:sz w:val="32"/>
          <w:szCs w:val="32"/>
          <w:highlight w:val="none"/>
          <w:lang w:val="en-US" w:eastAsia="zh-CN"/>
        </w:rPr>
        <w:t>。</w:t>
      </w:r>
    </w:p>
    <w:p>
      <w:pPr>
        <w:numPr>
          <w:ilvl w:val="0"/>
          <w:numId w:val="3"/>
        </w:numPr>
        <w:spacing w:line="600" w:lineRule="exact"/>
        <w:ind w:left="0" w:leftChars="0" w:firstLine="400" w:firstLineChars="0"/>
        <w:rPr>
          <w:rFonts w:hint="eastAsia" w:ascii="仿宋" w:hAnsi="仿宋" w:eastAsia="仿宋"/>
          <w:color w:val="000000"/>
          <w:sz w:val="32"/>
          <w:szCs w:val="32"/>
          <w:lang w:val="en-US" w:eastAsia="zh-CN"/>
        </w:rPr>
      </w:pPr>
      <w:r>
        <w:rPr>
          <w:rStyle w:val="15"/>
          <w:rFonts w:hint="eastAsia" w:ascii="仿宋" w:hAnsi="仿宋" w:eastAsia="仿宋"/>
          <w:b/>
          <w:bCs/>
          <w:color w:val="000000"/>
          <w:sz w:val="32"/>
          <w:szCs w:val="32"/>
          <w:lang w:val="en-US" w:eastAsia="zh-CN"/>
        </w:rPr>
        <w:t>交通运输支出</w:t>
      </w:r>
      <w:r>
        <w:rPr>
          <w:rStyle w:val="15"/>
          <w:rFonts w:hint="eastAsia" w:ascii="仿宋" w:hAnsi="仿宋" w:eastAsia="仿宋"/>
          <w:bCs/>
          <w:color w:val="000000"/>
          <w:sz w:val="32"/>
          <w:szCs w:val="32"/>
        </w:rPr>
        <w:t>（类）公路水路运输（款）航道维护（项）</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465.76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auto"/>
          <w:sz w:val="32"/>
          <w:szCs w:val="32"/>
          <w:highlight w:val="none"/>
          <w:lang w:eastAsia="zh-CN"/>
        </w:rPr>
        <w:t>决算数等于预算数</w:t>
      </w:r>
      <w:r>
        <w:rPr>
          <w:rStyle w:val="15"/>
          <w:rFonts w:hint="eastAsia" w:ascii="仿宋" w:hAnsi="仿宋" w:eastAsia="仿宋"/>
          <w:b w:val="0"/>
          <w:bCs/>
          <w:color w:val="auto"/>
          <w:sz w:val="32"/>
          <w:szCs w:val="32"/>
          <w:highlight w:val="none"/>
          <w:lang w:val="en-US" w:eastAsia="zh-CN"/>
        </w:rPr>
        <w:t>。</w:t>
      </w:r>
    </w:p>
    <w:p>
      <w:pPr>
        <w:numPr>
          <w:ilvl w:val="0"/>
          <w:numId w:val="3"/>
        </w:numPr>
        <w:spacing w:line="600" w:lineRule="exact"/>
        <w:ind w:left="0" w:leftChars="0" w:firstLine="400" w:firstLineChars="0"/>
        <w:rPr>
          <w:rStyle w:val="15"/>
          <w:rFonts w:hint="eastAsia" w:ascii="仿宋" w:hAnsi="仿宋" w:eastAsia="仿宋" w:cstheme="minorBidi"/>
          <w:b/>
          <w:bCs/>
          <w:color w:val="000000"/>
          <w:sz w:val="32"/>
          <w:szCs w:val="32"/>
          <w:lang w:val="en-US" w:eastAsia="zh-CN"/>
        </w:rPr>
      </w:pPr>
      <w:r>
        <w:rPr>
          <w:rStyle w:val="15"/>
          <w:rFonts w:hint="eastAsia" w:ascii="仿宋" w:hAnsi="仿宋" w:eastAsia="仿宋" w:cstheme="minorBidi"/>
          <w:b/>
          <w:bCs/>
          <w:color w:val="000000"/>
          <w:sz w:val="32"/>
          <w:szCs w:val="32"/>
          <w:lang w:val="en-US" w:eastAsia="zh-CN"/>
        </w:rPr>
        <w:t>交通运输支出（类）公路水路运输（款）其他公路水路运输支出（项）：</w:t>
      </w:r>
      <w:r>
        <w:rPr>
          <w:rStyle w:val="15"/>
          <w:rFonts w:hint="eastAsia" w:ascii="仿宋" w:hAnsi="仿宋" w:eastAsia="仿宋" w:cstheme="minorBidi"/>
          <w:b w:val="0"/>
          <w:bCs w:val="0"/>
          <w:color w:val="000000"/>
          <w:sz w:val="32"/>
          <w:szCs w:val="32"/>
          <w:lang w:val="en-US" w:eastAsia="zh-CN"/>
        </w:rPr>
        <w:t>支出决算为30万元，完成预算100%，</w:t>
      </w:r>
      <w:r>
        <w:rPr>
          <w:rStyle w:val="15"/>
          <w:rFonts w:hint="eastAsia" w:ascii="仿宋" w:hAnsi="仿宋" w:eastAsia="仿宋"/>
          <w:b w:val="0"/>
          <w:bCs/>
          <w:color w:val="auto"/>
          <w:sz w:val="32"/>
          <w:szCs w:val="32"/>
          <w:highlight w:val="none"/>
          <w:lang w:eastAsia="zh-CN"/>
        </w:rPr>
        <w:t>决算数等于预算数</w:t>
      </w:r>
      <w:r>
        <w:rPr>
          <w:rStyle w:val="15"/>
          <w:rFonts w:hint="eastAsia" w:ascii="仿宋" w:hAnsi="仿宋" w:eastAsia="仿宋"/>
          <w:b w:val="0"/>
          <w:bCs/>
          <w:color w:val="auto"/>
          <w:sz w:val="32"/>
          <w:szCs w:val="32"/>
          <w:highlight w:val="none"/>
          <w:lang w:val="en-US" w:eastAsia="zh-CN"/>
        </w:rPr>
        <w:t>。</w:t>
      </w:r>
    </w:p>
    <w:p>
      <w:pPr>
        <w:numPr>
          <w:ilvl w:val="0"/>
          <w:numId w:val="3"/>
        </w:numPr>
        <w:spacing w:line="600" w:lineRule="exact"/>
        <w:ind w:left="0" w:leftChars="0" w:firstLine="400" w:firstLineChars="0"/>
        <w:rPr>
          <w:rFonts w:hint="eastAsia"/>
          <w:lang w:eastAsia="zh-CN"/>
        </w:rPr>
      </w:pPr>
      <w:r>
        <w:rPr>
          <w:rStyle w:val="15"/>
          <w:rFonts w:hint="eastAsia" w:ascii="仿宋" w:hAnsi="仿宋" w:eastAsia="仿宋"/>
          <w:b/>
          <w:bCs/>
          <w:color w:val="000000"/>
          <w:sz w:val="32"/>
          <w:szCs w:val="32"/>
          <w:lang w:val="en-US" w:eastAsia="zh-CN"/>
        </w:rPr>
        <w:t>住房保障支出</w:t>
      </w:r>
      <w:r>
        <w:rPr>
          <w:rStyle w:val="15"/>
          <w:rFonts w:hint="eastAsia" w:ascii="仿宋" w:hAnsi="仿宋" w:eastAsia="仿宋"/>
          <w:bCs/>
          <w:color w:val="000000"/>
          <w:sz w:val="32"/>
          <w:szCs w:val="32"/>
        </w:rPr>
        <w:t>（类）住房改革支出（款）住房公积金（项）</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36.57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auto"/>
          <w:sz w:val="32"/>
          <w:szCs w:val="32"/>
          <w:highlight w:val="none"/>
          <w:lang w:eastAsia="zh-CN"/>
        </w:rPr>
        <w:t>决算数等于预算数</w:t>
      </w:r>
      <w:r>
        <w:rPr>
          <w:rStyle w:val="15"/>
          <w:rFonts w:hint="eastAsia" w:ascii="仿宋" w:hAnsi="仿宋" w:eastAsia="仿宋"/>
          <w:b w:val="0"/>
          <w:bCs/>
          <w:color w:val="auto"/>
          <w:sz w:val="32"/>
          <w:szCs w:val="32"/>
          <w:highlight w:val="none"/>
          <w:lang w:val="en-US" w:eastAsia="zh-CN"/>
        </w:rPr>
        <w:t>。</w:t>
      </w:r>
    </w:p>
    <w:p>
      <w:pPr>
        <w:tabs>
          <w:tab w:val="right" w:pos="8306"/>
        </w:tabs>
        <w:spacing w:line="600" w:lineRule="exact"/>
        <w:ind w:firstLine="640"/>
        <w:outlineLvl w:val="1"/>
        <w:rPr>
          <w:rStyle w:val="18"/>
          <w:color w:val="auto"/>
          <w:highlight w:val="none"/>
        </w:rPr>
      </w:pPr>
      <w:bookmarkStart w:id="50" w:name="_Toc15396608"/>
      <w:bookmarkStart w:id="51" w:name="_Toc19636"/>
      <w:bookmarkStart w:id="52"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18"/>
          <w:rFonts w:hint="eastAsia" w:ascii="黑体" w:hAnsi="黑体" w:eastAsia="黑体"/>
          <w:b w:val="0"/>
          <w:color w:val="auto"/>
          <w:highlight w:val="none"/>
        </w:rPr>
        <w:t>般公共预算财政拨款基本支出决算情况说明</w:t>
      </w:r>
      <w:bookmarkEnd w:id="50"/>
      <w:bookmarkEnd w:id="51"/>
      <w:bookmarkEnd w:id="52"/>
      <w:r>
        <w:rPr>
          <w:rStyle w:val="18"/>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512.26</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b/>
          <w:bCs/>
          <w:color w:val="auto"/>
          <w:sz w:val="32"/>
          <w:szCs w:val="32"/>
          <w:highlight w:val="none"/>
        </w:rPr>
        <w:t>人员经费</w:t>
      </w:r>
      <w:r>
        <w:rPr>
          <w:rFonts w:hint="eastAsia" w:ascii="仿宋" w:hAnsi="仿宋" w:eastAsia="仿宋"/>
          <w:color w:val="auto"/>
          <w:sz w:val="32"/>
          <w:szCs w:val="32"/>
          <w:highlight w:val="none"/>
          <w:lang w:val="en-US" w:eastAsia="zh-CN"/>
        </w:rPr>
        <w:t>477.14</w:t>
      </w:r>
      <w:r>
        <w:rPr>
          <w:rFonts w:hint="eastAsia" w:ascii="仿宋" w:hAnsi="仿宋" w:eastAsia="仿宋"/>
          <w:color w:val="auto"/>
          <w:sz w:val="32"/>
          <w:szCs w:val="32"/>
          <w:highlight w:val="none"/>
        </w:rPr>
        <w:t>万元，主要包括：基本工资、津贴补贴、奖金、绩效工资、机关事业单位基本养老保险缴费、职业年金缴费、职工基本医疗保险缴费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其他社会保障缴费、住房公积金、</w:t>
      </w:r>
      <w:r>
        <w:rPr>
          <w:rFonts w:hint="eastAsia" w:ascii="仿宋" w:hAnsi="仿宋" w:eastAsia="仿宋"/>
          <w:color w:val="auto"/>
          <w:sz w:val="32"/>
          <w:szCs w:val="32"/>
          <w:highlight w:val="none"/>
          <w:lang w:eastAsia="zh-CN"/>
        </w:rPr>
        <w:t>生活补助</w:t>
      </w:r>
      <w:r>
        <w:rPr>
          <w:rFonts w:hint="eastAsia" w:ascii="仿宋" w:hAnsi="仿宋" w:eastAsia="仿宋"/>
          <w:color w:val="auto"/>
          <w:sz w:val="32"/>
          <w:szCs w:val="32"/>
          <w:highlight w:val="none"/>
        </w:rPr>
        <w:t>。</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w:t>
      </w:r>
      <w:r>
        <w:rPr>
          <w:rFonts w:hint="eastAsia" w:ascii="仿宋" w:hAnsi="仿宋" w:eastAsia="仿宋"/>
          <w:b/>
          <w:bCs/>
          <w:color w:val="auto"/>
          <w:sz w:val="32"/>
          <w:szCs w:val="32"/>
          <w:highlight w:val="none"/>
        </w:rPr>
        <w:t>公用经费</w:t>
      </w:r>
      <w:r>
        <w:rPr>
          <w:rFonts w:hint="eastAsia" w:ascii="仿宋" w:hAnsi="仿宋" w:eastAsia="仿宋"/>
          <w:color w:val="auto"/>
          <w:sz w:val="32"/>
          <w:szCs w:val="32"/>
          <w:highlight w:val="none"/>
          <w:lang w:val="en-US" w:eastAsia="zh-CN"/>
        </w:rPr>
        <w:t>35.12</w:t>
      </w:r>
      <w:r>
        <w:rPr>
          <w:rFonts w:hint="eastAsia" w:ascii="仿宋" w:hAnsi="仿宋" w:eastAsia="仿宋"/>
          <w:color w:val="auto"/>
          <w:sz w:val="32"/>
          <w:szCs w:val="32"/>
          <w:highlight w:val="none"/>
        </w:rPr>
        <w:t>万元，主要包括：办公费、印刷费、咨询费、手续费、水费、电费、邮电费、差旅费、维修（护）费、培训费、公务接待费、工会经费、福利费、公务用车运行维护费、其他交通费</w:t>
      </w:r>
      <w:r>
        <w:rPr>
          <w:rFonts w:hint="eastAsia" w:ascii="仿宋" w:hAnsi="仿宋" w:eastAsia="仿宋"/>
          <w:color w:val="auto"/>
          <w:sz w:val="32"/>
          <w:szCs w:val="32"/>
          <w:highlight w:val="none"/>
          <w:lang w:val="en-US" w:eastAsia="zh-CN"/>
        </w:rPr>
        <w:t>用</w:t>
      </w:r>
      <w:r>
        <w:rPr>
          <w:rFonts w:hint="eastAsia" w:ascii="仿宋" w:hAnsi="仿宋" w:eastAsia="仿宋"/>
          <w:color w:val="auto"/>
          <w:sz w:val="32"/>
          <w:szCs w:val="32"/>
          <w:highlight w:val="none"/>
        </w:rPr>
        <w:t>、其他商品和服务支出。</w:t>
      </w:r>
    </w:p>
    <w:p>
      <w:pPr>
        <w:spacing w:line="600" w:lineRule="exact"/>
        <w:ind w:firstLine="640"/>
        <w:outlineLvl w:val="1"/>
        <w:rPr>
          <w:rStyle w:val="18"/>
          <w:rFonts w:ascii="黑体" w:hAnsi="黑体" w:eastAsia="黑体"/>
          <w:b w:val="0"/>
          <w:color w:val="auto"/>
          <w:highlight w:val="none"/>
        </w:rPr>
      </w:pPr>
      <w:bookmarkStart w:id="53" w:name="_Toc15377215"/>
      <w:bookmarkStart w:id="54" w:name="_Toc15396609"/>
      <w:bookmarkStart w:id="55" w:name="_Toc30710"/>
      <w:r>
        <w:rPr>
          <w:rFonts w:hint="eastAsia" w:ascii="黑体" w:eastAsia="黑体"/>
          <w:color w:val="auto"/>
          <w:sz w:val="32"/>
          <w:szCs w:val="32"/>
          <w:highlight w:val="none"/>
        </w:rPr>
        <w:t>七、</w:t>
      </w:r>
      <w:r>
        <w:rPr>
          <w:rStyle w:val="18"/>
          <w:rFonts w:hint="eastAsia" w:ascii="黑体" w:hAnsi="黑体" w:eastAsia="黑体"/>
          <w:b w:val="0"/>
          <w:color w:val="auto"/>
          <w:highlight w:val="none"/>
        </w:rPr>
        <w:t>财政拨款</w:t>
      </w:r>
      <w:r>
        <w:rPr>
          <w:rStyle w:val="18"/>
          <w:rFonts w:hint="eastAsia" w:ascii="黑体" w:hAnsi="黑体" w:eastAsia="黑体"/>
          <w:color w:val="auto"/>
          <w:highlight w:val="none"/>
        </w:rPr>
        <w:t>“</w:t>
      </w:r>
      <w:r>
        <w:rPr>
          <w:rStyle w:val="18"/>
          <w:rFonts w:hint="eastAsia" w:ascii="黑体" w:hAnsi="黑体" w:eastAsia="黑体"/>
          <w:b w:val="0"/>
          <w:color w:val="auto"/>
          <w:highlight w:val="none"/>
        </w:rPr>
        <w:t>三公”经费支出决算情况说明</w:t>
      </w:r>
      <w:bookmarkEnd w:id="53"/>
      <w:bookmarkEnd w:id="54"/>
      <w:bookmarkEnd w:id="55"/>
    </w:p>
    <w:p>
      <w:pPr>
        <w:spacing w:line="600" w:lineRule="exact"/>
        <w:ind w:firstLine="640"/>
        <w:outlineLvl w:val="2"/>
        <w:rPr>
          <w:rFonts w:ascii="仿宋" w:hAnsi="仿宋" w:eastAsia="仿宋"/>
          <w:b/>
          <w:color w:val="auto"/>
          <w:sz w:val="32"/>
          <w:szCs w:val="32"/>
          <w:highlight w:val="none"/>
        </w:rPr>
      </w:pPr>
      <w:bookmarkStart w:id="56" w:name="_Toc15377216"/>
      <w:r>
        <w:rPr>
          <w:rFonts w:hint="eastAsia" w:ascii="仿宋" w:hAnsi="仿宋" w:eastAsia="仿宋"/>
          <w:b/>
          <w:color w:val="auto"/>
          <w:sz w:val="32"/>
          <w:szCs w:val="32"/>
          <w:highlight w:val="none"/>
        </w:rPr>
        <w:t>（一）“三公”经费财政拨款支出决算总体情况说明</w:t>
      </w:r>
      <w:bookmarkEnd w:id="56"/>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2.19</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减少0.65万元，下降22.89%。</w:t>
      </w:r>
      <w:r>
        <w:rPr>
          <w:rFonts w:hint="eastAsia" w:ascii="仿宋" w:hAnsi="仿宋" w:eastAsia="仿宋"/>
          <w:color w:val="auto"/>
          <w:sz w:val="32"/>
          <w:szCs w:val="32"/>
          <w:highlight w:val="none"/>
        </w:rPr>
        <w:t>决算数与预算数持平。</w:t>
      </w:r>
    </w:p>
    <w:p>
      <w:pPr>
        <w:spacing w:line="600" w:lineRule="exact"/>
        <w:ind w:firstLine="640"/>
        <w:outlineLvl w:val="2"/>
        <w:rPr>
          <w:rFonts w:ascii="仿宋" w:hAnsi="仿宋" w:eastAsia="仿宋"/>
          <w:b/>
          <w:color w:val="auto"/>
          <w:sz w:val="32"/>
          <w:szCs w:val="32"/>
          <w:highlight w:val="none"/>
        </w:rPr>
      </w:pPr>
      <w:bookmarkStart w:id="57" w:name="_Toc15377217"/>
      <w:r>
        <w:rPr>
          <w:rFonts w:hint="eastAsia" w:ascii="仿宋" w:hAnsi="仿宋" w:eastAsia="仿宋"/>
          <w:b/>
          <w:color w:val="auto"/>
          <w:sz w:val="32"/>
          <w:szCs w:val="32"/>
          <w:highlight w:val="none"/>
        </w:rPr>
        <w:t>（二）“三公”经费财政拨款支出决算具体情况说明</w:t>
      </w:r>
      <w:bookmarkEnd w:id="57"/>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年“三公”经费财政拨款支出决算中，公务用车购置及运行维护费支出决算</w:t>
      </w:r>
      <w:r>
        <w:rPr>
          <w:rFonts w:hint="eastAsia" w:ascii="仿宋" w:hAnsi="仿宋" w:eastAsia="仿宋"/>
          <w:color w:val="auto"/>
          <w:sz w:val="32"/>
          <w:szCs w:val="32"/>
          <w:highlight w:val="none"/>
          <w:lang w:val="en-US" w:eastAsia="zh-CN"/>
        </w:rPr>
        <w:t>2.06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94.06</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0.13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5.94</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jc w:val="center"/>
        <w:rPr>
          <w:rFonts w:hint="eastAsia"/>
        </w:rPr>
      </w:pPr>
    </w:p>
    <w:p>
      <w:pPr>
        <w:jc w:val="center"/>
      </w:pPr>
      <w:r>
        <w:drawing>
          <wp:inline distT="0" distB="0" distL="114300" distR="114300">
            <wp:extent cx="4847590" cy="2695575"/>
            <wp:effectExtent l="4445" t="5080" r="5715" b="444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jc w:val="center"/>
        <w:rPr>
          <w:rFonts w:hint="eastAsia"/>
        </w:rPr>
      </w:pPr>
      <w:r>
        <w:rPr>
          <w:rFonts w:hint="eastAsia" w:ascii="仿宋" w:hAnsi="仿宋" w:eastAsia="仿宋"/>
          <w:color w:val="auto"/>
          <w:sz w:val="32"/>
          <w:szCs w:val="32"/>
          <w:highlight w:val="none"/>
        </w:rPr>
        <w:t>图7：“三公”经费财政拨款支出结构（饼状图）</w:t>
      </w:r>
    </w:p>
    <w:p>
      <w:pPr>
        <w:spacing w:beforeLines="0" w:afterLines="0" w:line="600" w:lineRule="exact"/>
        <w:ind w:firstLine="640"/>
        <w:jc w:val="both"/>
        <w:outlineLvl w:val="9"/>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lang w:eastAsia="zh-CN"/>
        </w:rPr>
        <w:t>年初未安排预算</w:t>
      </w:r>
      <w:r>
        <w:rPr>
          <w:rFonts w:hint="eastAsia" w:ascii="仿宋_GB2312" w:eastAsia="仿宋_GB2312"/>
          <w:color w:val="auto"/>
          <w:sz w:val="32"/>
          <w:szCs w:val="32"/>
          <w:highlight w:val="none"/>
        </w:rPr>
        <w:t>。因公出国（境）支出决算较202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年无变化。</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2.06</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0.58</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21.97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000000"/>
          <w:sz w:val="32"/>
          <w:szCs w:val="32"/>
          <w:lang w:val="en-US" w:eastAsia="zh-CN"/>
        </w:rPr>
        <w:t>2022年疫情原因减少了出行次数导致公务用车运行维护费用降低</w:t>
      </w:r>
      <w:r>
        <w:rPr>
          <w:rFonts w:hint="eastAsia" w:ascii="仿宋" w:hAnsi="仿宋" w:eastAsia="仿宋"/>
          <w:color w:val="000000"/>
          <w:sz w:val="32"/>
          <w:szCs w:val="32"/>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val="0"/>
          <w:bCs/>
          <w:color w:val="auto"/>
          <w:sz w:val="32"/>
          <w:szCs w:val="32"/>
          <w:highlight w:val="none"/>
          <w:lang w:val="en-US" w:eastAsia="zh-CN"/>
        </w:rPr>
        <w:t>0</w:t>
      </w:r>
      <w:r>
        <w:rPr>
          <w:rFonts w:hint="eastAsia" w:ascii="仿宋_GB2312" w:eastAsia="仿宋_GB2312"/>
          <w:color w:val="auto"/>
          <w:sz w:val="32"/>
          <w:szCs w:val="32"/>
          <w:highlight w:val="none"/>
        </w:rPr>
        <w:t>万元。全年</w:t>
      </w:r>
      <w:r>
        <w:rPr>
          <w:rFonts w:hint="eastAsia" w:ascii="仿宋_GB2312" w:eastAsia="仿宋_GB2312"/>
          <w:color w:val="auto"/>
          <w:sz w:val="32"/>
          <w:szCs w:val="32"/>
          <w:highlight w:val="none"/>
          <w:lang w:eastAsia="zh-CN"/>
        </w:rPr>
        <w:t>未购置公务用车。</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w:t>
      </w:r>
      <w:r>
        <w:rPr>
          <w:rFonts w:hint="eastAsia" w:ascii="仿宋_GB2312" w:eastAsia="仿宋_GB2312"/>
          <w:color w:val="auto"/>
          <w:sz w:val="32"/>
          <w:szCs w:val="32"/>
          <w:highlight w:val="none"/>
          <w:lang w:eastAsia="zh-CN"/>
        </w:rPr>
        <w:t>其他用车</w:t>
      </w:r>
      <w:r>
        <w:rPr>
          <w:rFonts w:hint="eastAsia" w:ascii="仿宋_GB2312" w:eastAsia="仿宋_GB2312"/>
          <w:color w:val="auto"/>
          <w:sz w:val="32"/>
          <w:szCs w:val="32"/>
          <w:highlight w:val="none"/>
          <w:lang w:val="en-US" w:eastAsia="zh-CN"/>
        </w:rPr>
        <w:t>0辆</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val="0"/>
          <w:bCs/>
          <w:color w:val="auto"/>
          <w:sz w:val="32"/>
          <w:szCs w:val="32"/>
          <w:highlight w:val="none"/>
          <w:lang w:val="en-US" w:eastAsia="zh-CN"/>
        </w:rPr>
        <w:t>2.06</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本单位没有公务用车编制，2022年</w:t>
      </w:r>
      <w:r>
        <w:rPr>
          <w:rFonts w:hint="eastAsia" w:ascii="仿宋_GB2312" w:eastAsia="仿宋_GB2312"/>
          <w:color w:val="auto"/>
          <w:sz w:val="32"/>
          <w:szCs w:val="32"/>
          <w:highlight w:val="none"/>
        </w:rPr>
        <w:t>借用</w:t>
      </w:r>
      <w:r>
        <w:rPr>
          <w:rFonts w:hint="eastAsia" w:ascii="仿宋_GB2312" w:eastAsia="仿宋_GB2312"/>
          <w:color w:val="auto"/>
          <w:sz w:val="32"/>
          <w:szCs w:val="32"/>
          <w:highlight w:val="none"/>
          <w:lang w:val="en-US" w:eastAsia="zh-CN"/>
        </w:rPr>
        <w:t>市港航发展</w:t>
      </w:r>
      <w:r>
        <w:rPr>
          <w:rFonts w:hint="eastAsia" w:ascii="仿宋_GB2312" w:eastAsia="仿宋_GB2312"/>
          <w:color w:val="auto"/>
          <w:sz w:val="32"/>
          <w:szCs w:val="32"/>
          <w:highlight w:val="none"/>
        </w:rPr>
        <w:t>中心公务用车</w:t>
      </w:r>
      <w:r>
        <w:rPr>
          <w:rFonts w:hint="eastAsia" w:ascii="仿宋_GB2312" w:eastAsia="仿宋_GB2312"/>
          <w:color w:val="auto"/>
          <w:sz w:val="32"/>
          <w:szCs w:val="32"/>
          <w:highlight w:val="none"/>
          <w:lang w:val="en-US" w:eastAsia="zh-CN"/>
        </w:rPr>
        <w:t>一辆</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产生了运行</w:t>
      </w:r>
      <w:r>
        <w:rPr>
          <w:rFonts w:hint="eastAsia" w:ascii="仿宋_GB2312" w:eastAsia="仿宋_GB2312"/>
          <w:color w:val="auto"/>
          <w:sz w:val="32"/>
          <w:szCs w:val="32"/>
          <w:highlight w:val="none"/>
        </w:rPr>
        <w:t>维护费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主要用于</w:t>
      </w:r>
      <w:r>
        <w:rPr>
          <w:rFonts w:hint="eastAsia" w:ascii="仿宋" w:hAnsi="仿宋" w:eastAsia="仿宋"/>
          <w:color w:val="000000"/>
          <w:sz w:val="32"/>
          <w:szCs w:val="32"/>
          <w:lang w:eastAsia="zh-CN"/>
        </w:rPr>
        <w:t>日常工作中出差、协调船舶过闸</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0.13</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0.07</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35.00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000000"/>
          <w:sz w:val="32"/>
          <w:szCs w:val="32"/>
          <w:lang w:val="en-US" w:eastAsia="zh-CN"/>
        </w:rPr>
        <w:t>2022年疫情原因人员流动较少，减少了公务接待次数</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0.13</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0.13</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广元市港航发展中心开展嘉陵江苍溪航道现场勘查，支出0.06万元；阆中航道管理段到苍溪交流学习活动，支出0.07万元。</w:t>
      </w:r>
    </w:p>
    <w:p>
      <w:pPr>
        <w:spacing w:line="600" w:lineRule="exact"/>
        <w:ind w:firstLine="640"/>
        <w:rPr>
          <w:rFonts w:ascii="仿宋" w:hAnsi="仿宋" w:eastAsia="仿宋"/>
          <w:color w:val="auto"/>
          <w:sz w:val="32"/>
          <w:szCs w:val="32"/>
          <w:highlight w:val="none"/>
        </w:rPr>
      </w:pPr>
      <w:r>
        <w:rPr>
          <w:rFonts w:hint="eastAsia" w:ascii="仿宋" w:hAnsi="仿宋" w:eastAsia="仿宋"/>
          <w:b/>
          <w:color w:val="auto"/>
          <w:sz w:val="32"/>
          <w:szCs w:val="32"/>
          <w:highlight w:val="none"/>
          <w:lang w:val="en-US" w:eastAsia="zh-CN"/>
        </w:rPr>
        <w:t>无</w:t>
      </w:r>
      <w:r>
        <w:rPr>
          <w:rFonts w:hint="eastAsia" w:ascii="仿宋" w:hAnsi="仿宋" w:eastAsia="仿宋"/>
          <w:b/>
          <w:color w:val="auto"/>
          <w:sz w:val="32"/>
          <w:szCs w:val="32"/>
          <w:highlight w:val="none"/>
        </w:rPr>
        <w:t>外事接待</w:t>
      </w:r>
      <w:r>
        <w:rPr>
          <w:rFonts w:hint="eastAsia" w:ascii="仿宋" w:hAnsi="仿宋" w:eastAsia="仿宋"/>
          <w:b/>
          <w:color w:val="auto"/>
          <w:sz w:val="32"/>
          <w:szCs w:val="32"/>
          <w:highlight w:val="none"/>
          <w:lang w:eastAsia="zh-CN"/>
        </w:rPr>
        <w:t>。</w:t>
      </w:r>
    </w:p>
    <w:p>
      <w:pPr>
        <w:spacing w:line="600" w:lineRule="exact"/>
        <w:ind w:firstLine="640"/>
        <w:outlineLvl w:val="1"/>
        <w:rPr>
          <w:rStyle w:val="18"/>
          <w:rFonts w:ascii="黑体" w:hAnsi="黑体" w:eastAsia="黑体"/>
          <w:color w:val="auto"/>
          <w:highlight w:val="none"/>
        </w:rPr>
      </w:pPr>
      <w:bookmarkStart w:id="58" w:name="_Toc15377218"/>
      <w:bookmarkStart w:id="59" w:name="_Toc30432"/>
      <w:bookmarkStart w:id="60" w:name="_Toc15396610"/>
      <w:r>
        <w:rPr>
          <w:rFonts w:hint="eastAsia" w:ascii="黑体" w:eastAsia="黑体"/>
          <w:color w:val="auto"/>
          <w:sz w:val="32"/>
          <w:szCs w:val="32"/>
          <w:highlight w:val="none"/>
        </w:rPr>
        <w:t>八、</w:t>
      </w:r>
      <w:r>
        <w:rPr>
          <w:rStyle w:val="18"/>
          <w:rFonts w:hint="eastAsia" w:ascii="黑体" w:hAnsi="黑体" w:eastAsia="黑体"/>
          <w:b w:val="0"/>
          <w:color w:val="auto"/>
          <w:highlight w:val="none"/>
        </w:rPr>
        <w:t>政府性基金预算支出决算情况说明</w:t>
      </w:r>
      <w:bookmarkEnd w:id="58"/>
      <w:bookmarkEnd w:id="59"/>
      <w:bookmarkEnd w:id="60"/>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18"/>
          <w:rFonts w:ascii="黑体" w:hAnsi="黑体" w:eastAsia="黑体"/>
          <w:b w:val="0"/>
          <w:color w:val="auto"/>
          <w:highlight w:val="none"/>
        </w:rPr>
      </w:pPr>
      <w:bookmarkStart w:id="61" w:name="_Toc14984"/>
      <w:bookmarkStart w:id="62" w:name="_Toc15396611"/>
      <w:bookmarkStart w:id="63" w:name="_Toc15377219"/>
      <w:r>
        <w:rPr>
          <w:rStyle w:val="18"/>
          <w:rFonts w:hint="eastAsia" w:ascii="黑体" w:hAnsi="黑体" w:eastAsia="黑体"/>
          <w:b w:val="0"/>
          <w:color w:val="auto"/>
          <w:highlight w:val="none"/>
        </w:rPr>
        <w:t>国有资本经营预算支出决算情况说明</w:t>
      </w:r>
      <w:bookmarkEnd w:id="61"/>
      <w:bookmarkEnd w:id="62"/>
      <w:bookmarkEnd w:id="6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18"/>
          <w:rFonts w:hint="eastAsia" w:ascii="黑体" w:hAnsi="黑体" w:eastAsia="黑体"/>
          <w:b w:val="0"/>
          <w:color w:val="auto"/>
          <w:highlight w:val="none"/>
        </w:rPr>
      </w:pPr>
      <w:bookmarkStart w:id="64" w:name="_Toc15396612"/>
      <w:bookmarkStart w:id="65" w:name="_Toc9997"/>
      <w:bookmarkStart w:id="66" w:name="_Toc15377221"/>
      <w:r>
        <w:rPr>
          <w:rStyle w:val="18"/>
          <w:rFonts w:hint="eastAsia" w:ascii="黑体" w:hAnsi="黑体" w:eastAsia="黑体"/>
          <w:b w:val="0"/>
          <w:color w:val="auto"/>
          <w:highlight w:val="none"/>
        </w:rPr>
        <w:t>其他重要事项的情况说明</w:t>
      </w:r>
      <w:bookmarkEnd w:id="64"/>
      <w:bookmarkEnd w:id="65"/>
      <w:bookmarkEnd w:id="66"/>
    </w:p>
    <w:p>
      <w:pPr>
        <w:spacing w:line="600" w:lineRule="exact"/>
        <w:ind w:firstLine="643" w:firstLineChars="200"/>
        <w:outlineLvl w:val="2"/>
        <w:rPr>
          <w:rFonts w:ascii="仿宋" w:hAnsi="仿宋" w:eastAsia="仿宋"/>
          <w:color w:val="auto"/>
          <w:sz w:val="32"/>
          <w:szCs w:val="32"/>
          <w:highlight w:val="none"/>
        </w:rPr>
      </w:pPr>
      <w:bookmarkStart w:id="67" w:name="_Toc15377222"/>
      <w:r>
        <w:rPr>
          <w:rFonts w:hint="eastAsia" w:ascii="仿宋" w:hAnsi="仿宋" w:eastAsia="仿宋"/>
          <w:b/>
          <w:color w:val="auto"/>
          <w:sz w:val="32"/>
          <w:szCs w:val="32"/>
          <w:highlight w:val="none"/>
        </w:rPr>
        <w:t>（一）机关运行经费支出情况</w:t>
      </w:r>
      <w:bookmarkEnd w:id="67"/>
    </w:p>
    <w:p>
      <w:pPr>
        <w:spacing w:line="600" w:lineRule="exact"/>
        <w:ind w:firstLine="640"/>
        <w:rPr>
          <w:rFonts w:hint="eastAsia" w:ascii="仿宋_GB2312" w:eastAsia="仿宋_GB2312"/>
          <w:color w:val="auto"/>
          <w:sz w:val="32"/>
          <w:szCs w:val="32"/>
          <w:highlight w:val="none"/>
          <w:lang w:eastAsia="zh-CN"/>
        </w:rPr>
      </w:pPr>
      <w:bookmarkStart w:id="68" w:name="_Toc15377223"/>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广元市航务管理局苍溪航道段</w:t>
      </w:r>
      <w:r>
        <w:rPr>
          <w:rFonts w:hint="eastAsia" w:ascii="仿宋_GB2312" w:eastAsia="仿宋_GB2312"/>
          <w:color w:val="auto"/>
          <w:sz w:val="32"/>
          <w:szCs w:val="32"/>
          <w:highlight w:val="none"/>
        </w:rPr>
        <w:t>未发生机关运行经费支出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与2021年决算数持平。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bookmarkEnd w:id="68"/>
    </w:p>
    <w:p>
      <w:pPr>
        <w:spacing w:line="600" w:lineRule="exact"/>
        <w:ind w:firstLine="64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广元市航务管理局苍溪航道段</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45.51</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航标及航道测量设备的采购项目。</w:t>
      </w:r>
      <w:r>
        <w:rPr>
          <w:rFonts w:hint="eastAsia" w:ascii="仿宋_GB2312" w:eastAsia="仿宋_GB2312"/>
          <w:color w:val="auto"/>
          <w:sz w:val="32"/>
          <w:szCs w:val="32"/>
          <w:highlight w:val="none"/>
        </w:rPr>
        <w:t>其中：政府采购货物支出</w:t>
      </w:r>
      <w:r>
        <w:rPr>
          <w:rFonts w:hint="eastAsia" w:ascii="仿宋_GB2312" w:eastAsia="仿宋_GB2312"/>
          <w:color w:val="auto"/>
          <w:sz w:val="32"/>
          <w:szCs w:val="32"/>
          <w:highlight w:val="none"/>
          <w:lang w:val="en-US" w:eastAsia="zh-CN"/>
        </w:rPr>
        <w:t>45.51</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zh-CN"/>
        </w:rPr>
        <w:t>占政府采购支出总额的</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lang w:val="zh-CN"/>
        </w:rPr>
        <w:t>0%。</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lang w:val="en-US" w:eastAsia="zh-CN"/>
        </w:rPr>
        <w:t>占政府采购支出总额的</w:t>
      </w:r>
      <w:r>
        <w:rPr>
          <w:rFonts w:hint="default" w:ascii="仿宋_GB2312" w:eastAsia="仿宋_GB2312"/>
          <w:color w:val="auto"/>
          <w:sz w:val="32"/>
          <w:szCs w:val="32"/>
          <w:highlight w:val="none"/>
          <w:lang w:eastAsia="zh-CN"/>
        </w:rPr>
        <w:t>0</w:t>
      </w:r>
      <w:r>
        <w:rPr>
          <w:rFonts w:hint="default"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val="en-US" w:eastAsia="zh-CN"/>
        </w:rPr>
        <w:t>。</w:t>
      </w:r>
      <w:bookmarkStart w:id="104" w:name="_GoBack"/>
      <w:bookmarkEnd w:id="104"/>
      <w:bookmarkStart w:id="69" w:name="_Toc15377224"/>
    </w:p>
    <w:p>
      <w:pPr>
        <w:keepNext w:val="0"/>
        <w:keepLines w:val="0"/>
        <w:widowControl/>
        <w:suppressLineNumbers w:val="0"/>
        <w:spacing w:before="0" w:beforeAutospacing="1" w:after="0" w:afterAutospacing="1" w:line="600" w:lineRule="exact"/>
        <w:ind w:left="0" w:right="0"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bookmarkEnd w:id="69"/>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年12月31日，</w:t>
      </w:r>
      <w:r>
        <w:rPr>
          <w:rFonts w:hint="eastAsia" w:ascii="仿宋_GB2312" w:eastAsia="仿宋_GB2312"/>
          <w:color w:val="auto"/>
          <w:sz w:val="32"/>
          <w:szCs w:val="32"/>
          <w:highlight w:val="none"/>
          <w:lang w:eastAsia="zh-CN"/>
        </w:rPr>
        <w:t>广元市航务管理局苍溪航道段</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单价100万元以上专用设备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根据预算绩效管理要求，本单位在202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年度预算编制阶段，组织对航道巡查维护项目等</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个项目开展了预算事前绩效评估，对航道巡查维护项目</w:t>
      </w:r>
      <w:r>
        <w:rPr>
          <w:rFonts w:hint="eastAsia" w:ascii="仿宋_GB2312" w:eastAsia="仿宋_GB2312"/>
          <w:color w:val="auto"/>
          <w:sz w:val="32"/>
          <w:szCs w:val="32"/>
          <w:highlight w:val="none"/>
          <w:lang w:val="en-US" w:eastAsia="zh-CN"/>
        </w:rPr>
        <w:t>等20个项目</w:t>
      </w:r>
      <w:r>
        <w:rPr>
          <w:rFonts w:hint="eastAsia" w:ascii="仿宋_GB2312" w:eastAsia="仿宋_GB2312"/>
          <w:color w:val="auto"/>
          <w:sz w:val="32"/>
          <w:szCs w:val="32"/>
          <w:highlight w:val="none"/>
        </w:rPr>
        <w:t>编制了绩效目标，预算执行过程中，选取航道巡查维护项目</w:t>
      </w:r>
      <w:r>
        <w:rPr>
          <w:rFonts w:hint="eastAsia" w:ascii="仿宋_GB2312" w:eastAsia="仿宋_GB2312"/>
          <w:color w:val="auto"/>
          <w:sz w:val="32"/>
          <w:szCs w:val="32"/>
          <w:highlight w:val="none"/>
          <w:lang w:val="en-US" w:eastAsia="zh-CN"/>
        </w:rPr>
        <w:t>等20个项目</w:t>
      </w:r>
      <w:r>
        <w:rPr>
          <w:rFonts w:hint="eastAsia" w:ascii="仿宋_GB2312" w:eastAsia="仿宋_GB2312"/>
          <w:color w:val="auto"/>
          <w:sz w:val="32"/>
          <w:szCs w:val="32"/>
          <w:highlight w:val="none"/>
        </w:rPr>
        <w:t>开展绩效监控，组织对航道巡查维护项目</w:t>
      </w:r>
      <w:r>
        <w:rPr>
          <w:rFonts w:hint="eastAsia" w:ascii="仿宋_GB2312" w:eastAsia="仿宋_GB2312"/>
          <w:color w:val="auto"/>
          <w:sz w:val="32"/>
          <w:szCs w:val="32"/>
          <w:highlight w:val="none"/>
          <w:lang w:val="en-US" w:eastAsia="zh-CN"/>
        </w:rPr>
        <w:t>等20个项目</w:t>
      </w:r>
      <w:r>
        <w:rPr>
          <w:rFonts w:hint="eastAsia" w:ascii="仿宋_GB2312" w:eastAsia="仿宋_GB2312"/>
          <w:color w:val="auto"/>
          <w:sz w:val="32"/>
          <w:szCs w:val="32"/>
          <w:highlight w:val="none"/>
        </w:rPr>
        <w:t>开展绩效自评，绩效自评表详见</w:t>
      </w:r>
      <w:r>
        <w:rPr>
          <w:rFonts w:hint="eastAsia" w:ascii="仿宋_GB2312" w:eastAsia="仿宋_GB2312"/>
          <w:color w:val="auto"/>
          <w:sz w:val="32"/>
          <w:szCs w:val="32"/>
          <w:highlight w:val="none"/>
          <w:lang w:eastAsia="zh-CN"/>
        </w:rPr>
        <w:t>第四部分</w:t>
      </w:r>
      <w:r>
        <w:rPr>
          <w:rFonts w:hint="eastAsia" w:ascii="仿宋_GB2312" w:eastAsia="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17"/>
          <w:rFonts w:ascii="黑体" w:hAnsi="黑体" w:eastAsia="黑体"/>
          <w:b w:val="0"/>
          <w:color w:val="auto"/>
          <w:highlight w:val="none"/>
        </w:rPr>
      </w:pPr>
      <w:bookmarkStart w:id="70" w:name="_Toc4343"/>
      <w:bookmarkStart w:id="71" w:name="_Toc15396613"/>
      <w:bookmarkStart w:id="72" w:name="_Toc15377225"/>
      <w:r>
        <w:rPr>
          <w:rFonts w:hint="eastAsia" w:ascii="黑体" w:hAnsi="黑体" w:eastAsia="黑体"/>
          <w:color w:val="auto"/>
          <w:sz w:val="44"/>
          <w:szCs w:val="44"/>
          <w:highlight w:val="none"/>
        </w:rPr>
        <w:t>名</w:t>
      </w:r>
      <w:r>
        <w:rPr>
          <w:rStyle w:val="17"/>
          <w:rFonts w:hint="eastAsia" w:ascii="黑体" w:hAnsi="黑体" w:eastAsia="黑体"/>
          <w:b w:val="0"/>
          <w:color w:val="auto"/>
          <w:highlight w:val="none"/>
        </w:rPr>
        <w:t>词解释</w:t>
      </w:r>
      <w:bookmarkEnd w:id="70"/>
      <w:bookmarkEnd w:id="71"/>
      <w:bookmarkEnd w:id="72"/>
    </w:p>
    <w:p>
      <w:pPr>
        <w:spacing w:line="600" w:lineRule="exact"/>
        <w:jc w:val="left"/>
        <w:rPr>
          <w:rFonts w:ascii="宋体"/>
          <w:b/>
          <w:color w:val="auto"/>
          <w:sz w:val="44"/>
          <w:szCs w:val="44"/>
          <w:highlight w:val="none"/>
        </w:rPr>
      </w:pPr>
    </w:p>
    <w:p>
      <w:pPr>
        <w:pStyle w:val="26"/>
        <w:numPr>
          <w:ilvl w:val="0"/>
          <w:numId w:val="6"/>
        </w:numPr>
        <w:spacing w:line="560" w:lineRule="exact"/>
        <w:ind w:left="0" w:leftChars="0" w:firstLine="40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财政拨款收入：指单位从同级财政部门取得的财政预算资金。</w:t>
      </w:r>
    </w:p>
    <w:p>
      <w:pPr>
        <w:pStyle w:val="26"/>
        <w:numPr>
          <w:ilvl w:val="0"/>
          <w:numId w:val="6"/>
        </w:numPr>
        <w:spacing w:line="560" w:lineRule="exact"/>
        <w:ind w:left="0" w:leftChars="0" w:firstLine="400" w:firstLineChars="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其他收入：指单位取得的除上述收入以外的各项收入。</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p>
    <w:p>
      <w:pPr>
        <w:pStyle w:val="26"/>
        <w:numPr>
          <w:ilvl w:val="0"/>
          <w:numId w:val="6"/>
        </w:numPr>
        <w:spacing w:line="560" w:lineRule="exact"/>
        <w:ind w:left="0" w:leftChars="0" w:firstLine="40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
        <w:numPr>
          <w:ilvl w:val="0"/>
          <w:numId w:val="6"/>
        </w:numPr>
        <w:ind w:left="0" w:leftChars="0" w:firstLine="400" w:firstLineChars="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社会保障和就业（类）行政事业单位养老支出（款）事业单位离退休（项）：指其他用于事业单位离退休方面的支出。</w:t>
      </w:r>
    </w:p>
    <w:p>
      <w:pPr>
        <w:numPr>
          <w:ilvl w:val="0"/>
          <w:numId w:val="6"/>
        </w:numPr>
        <w:ind w:left="0" w:leftChars="0" w:firstLine="400" w:firstLineChars="0"/>
        <w:rPr>
          <w:rFonts w:hint="eastAsia" w:ascii="仿宋_GB2312" w:eastAsia="仿宋_GB2312"/>
          <w:color w:val="auto"/>
          <w:sz w:val="32"/>
          <w:szCs w:val="32"/>
        </w:rPr>
      </w:pPr>
      <w:r>
        <w:rPr>
          <w:rFonts w:hint="eastAsia" w:ascii="仿宋_GB2312" w:eastAsia="仿宋_GB2312"/>
          <w:color w:val="auto"/>
          <w:sz w:val="32"/>
          <w:szCs w:val="32"/>
          <w:highlight w:val="none"/>
        </w:rPr>
        <w:t>社会保障和就业（类）</w:t>
      </w:r>
      <w:r>
        <w:rPr>
          <w:rFonts w:hint="eastAsia" w:ascii="仿宋_GB2312" w:eastAsia="仿宋_GB2312"/>
          <w:color w:val="auto"/>
          <w:sz w:val="32"/>
          <w:szCs w:val="32"/>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rPr>
        <w:t>机关事业单位基本养老保险缴费支出</w:t>
      </w:r>
      <w:r>
        <w:rPr>
          <w:rFonts w:hint="eastAsia" w:ascii="仿宋_GB2312" w:eastAsia="仿宋_GB2312"/>
          <w:color w:val="auto"/>
          <w:sz w:val="32"/>
          <w:szCs w:val="32"/>
          <w:highlight w:val="none"/>
        </w:rPr>
        <w:t>（项）：指</w:t>
      </w:r>
      <w:r>
        <w:rPr>
          <w:rFonts w:hint="eastAsia" w:ascii="仿宋_GB2312" w:eastAsia="仿宋_GB2312"/>
          <w:color w:val="auto"/>
          <w:sz w:val="32"/>
          <w:szCs w:val="32"/>
        </w:rPr>
        <w:t>反映财政部门集中安排的行政事业单位基本养老保险缴费经费。</w:t>
      </w:r>
    </w:p>
    <w:p>
      <w:pPr>
        <w:numPr>
          <w:ilvl w:val="0"/>
          <w:numId w:val="6"/>
        </w:numPr>
        <w:ind w:left="0" w:leftChars="0" w:firstLine="400" w:firstLineChars="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社会保障和就业（类）</w:t>
      </w:r>
      <w:r>
        <w:rPr>
          <w:rFonts w:hint="eastAsia" w:ascii="仿宋_GB2312" w:eastAsia="仿宋_GB2312"/>
          <w:color w:val="auto"/>
          <w:sz w:val="32"/>
          <w:szCs w:val="32"/>
          <w:highlight w:val="none"/>
          <w:lang w:eastAsia="zh-CN"/>
        </w:rPr>
        <w:t>行政</w:t>
      </w:r>
      <w:r>
        <w:rPr>
          <w:rFonts w:hint="eastAsia" w:ascii="仿宋_GB2312" w:eastAsia="仿宋_GB2312"/>
          <w:color w:val="auto"/>
          <w:sz w:val="32"/>
          <w:szCs w:val="32"/>
          <w:highlight w:val="none"/>
        </w:rPr>
        <w:t>事业单位养老支出（款）机关事业单位职业年金缴费支出（项）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指</w:t>
      </w:r>
      <w:r>
        <w:rPr>
          <w:rFonts w:hint="eastAsia" w:ascii="仿宋_GB2312" w:eastAsia="仿宋_GB2312"/>
          <w:color w:val="auto"/>
          <w:sz w:val="32"/>
          <w:szCs w:val="32"/>
        </w:rPr>
        <w:t>反映财政部门集中安排的行政事业单位</w:t>
      </w:r>
      <w:r>
        <w:rPr>
          <w:rFonts w:hint="eastAsia" w:ascii="仿宋_GB2312" w:eastAsia="仿宋_GB2312"/>
          <w:color w:val="auto"/>
          <w:sz w:val="32"/>
          <w:szCs w:val="32"/>
          <w:highlight w:val="none"/>
        </w:rPr>
        <w:t>职业年金缴费支出</w:t>
      </w:r>
      <w:r>
        <w:rPr>
          <w:rFonts w:hint="eastAsia" w:ascii="仿宋_GB2312" w:eastAsia="仿宋_GB2312"/>
          <w:color w:val="auto"/>
          <w:sz w:val="32"/>
          <w:szCs w:val="32"/>
          <w:highlight w:val="none"/>
          <w:lang w:eastAsia="zh-CN"/>
        </w:rPr>
        <w:t>。</w:t>
      </w:r>
    </w:p>
    <w:p>
      <w:pPr>
        <w:numPr>
          <w:ilvl w:val="0"/>
          <w:numId w:val="6"/>
        </w:numPr>
        <w:ind w:left="0" w:leftChars="0" w:firstLine="400" w:firstLineChars="0"/>
        <w:rPr>
          <w:rFonts w:hint="eastAsia" w:ascii="仿宋_GB2312" w:eastAsia="仿宋_GB2312"/>
          <w:color w:val="auto"/>
          <w:sz w:val="32"/>
          <w:szCs w:val="32"/>
        </w:rPr>
      </w:pPr>
      <w:r>
        <w:rPr>
          <w:rFonts w:hint="eastAsia" w:ascii="仿宋_GB2312" w:eastAsia="仿宋_GB2312"/>
          <w:color w:val="auto"/>
          <w:sz w:val="32"/>
          <w:szCs w:val="32"/>
          <w:highlight w:val="none"/>
          <w:lang w:val="en-US" w:eastAsia="zh-CN"/>
        </w:rPr>
        <w:t>社会保障和就业（类）其他社会保障和就业支出（款）其他社会保障和就业支出（项）：指</w:t>
      </w:r>
      <w:r>
        <w:rPr>
          <w:rFonts w:hint="eastAsia" w:ascii="仿宋_GB2312" w:eastAsia="仿宋_GB2312"/>
          <w:color w:val="auto"/>
          <w:sz w:val="32"/>
          <w:szCs w:val="32"/>
        </w:rPr>
        <w:t>反映财政部门集中安排的行政事业单位</w:t>
      </w:r>
      <w:r>
        <w:rPr>
          <w:rFonts w:hint="eastAsia" w:ascii="仿宋_GB2312" w:eastAsia="仿宋_GB2312"/>
          <w:color w:val="auto"/>
          <w:sz w:val="32"/>
          <w:szCs w:val="32"/>
          <w:highlight w:val="none"/>
          <w:lang w:val="en-US" w:eastAsia="zh-CN"/>
        </w:rPr>
        <w:t>其他社会保障和就业保险</w:t>
      </w:r>
      <w:r>
        <w:rPr>
          <w:rFonts w:hint="eastAsia" w:ascii="仿宋_GB2312" w:eastAsia="仿宋_GB2312"/>
          <w:color w:val="auto"/>
          <w:sz w:val="32"/>
          <w:szCs w:val="32"/>
        </w:rPr>
        <w:t>缴费经费。</w:t>
      </w:r>
    </w:p>
    <w:p>
      <w:pPr>
        <w:numPr>
          <w:ilvl w:val="0"/>
          <w:numId w:val="6"/>
        </w:numPr>
        <w:ind w:left="0" w:leftChars="0" w:firstLine="400" w:firstLineChars="0"/>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卫生健康（类）行政事业单位医疗（款）事业单位医疗（项）：指反映财政部门集中安排的行政事业单位基本医疗保险经费，未参加医疗保险的事业单位的公费医疗经费，按国家规定享受离休人员待遇人员的医疗经费。</w:t>
      </w:r>
    </w:p>
    <w:p>
      <w:pPr>
        <w:numPr>
          <w:ilvl w:val="0"/>
          <w:numId w:val="6"/>
        </w:numPr>
        <w:ind w:left="0" w:leftChars="0" w:firstLine="400" w:firstLineChars="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交通运输（类）</w:t>
      </w:r>
      <w:r>
        <w:rPr>
          <w:rFonts w:hint="eastAsia" w:ascii="仿宋_GB2312" w:hAnsi="仿宋_GB2312" w:eastAsia="仿宋_GB2312" w:cs="仿宋_GB2312"/>
          <w:color w:val="auto"/>
          <w:sz w:val="32"/>
          <w:szCs w:val="32"/>
        </w:rPr>
        <w:t>公路水路运输</w:t>
      </w:r>
      <w:r>
        <w:rPr>
          <w:rFonts w:hint="eastAsia" w:ascii="仿宋_GB2312" w:eastAsia="仿宋_GB2312"/>
          <w:color w:val="auto"/>
          <w:sz w:val="32"/>
          <w:szCs w:val="32"/>
          <w:highlight w:val="none"/>
        </w:rPr>
        <w:t>（款）</w:t>
      </w:r>
      <w:r>
        <w:rPr>
          <w:rFonts w:hint="eastAsia" w:ascii="仿宋_GB2312" w:hAnsi="仿宋_GB2312" w:eastAsia="仿宋_GB2312" w:cs="仿宋_GB2312"/>
          <w:color w:val="auto"/>
          <w:sz w:val="32"/>
          <w:szCs w:val="32"/>
        </w:rPr>
        <w:t>航道维护</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val="en-US" w:eastAsia="zh-CN"/>
        </w:rPr>
        <w:t>内河航道整治、维护方面的支出。</w:t>
      </w:r>
    </w:p>
    <w:p>
      <w:pPr>
        <w:numPr>
          <w:ilvl w:val="0"/>
          <w:numId w:val="6"/>
        </w:numPr>
        <w:ind w:left="0" w:leftChars="0" w:firstLine="400" w:firstLineChars="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交通运输支出（类）公路水路运输（款）其他公路水路运输支出（项）：除上面用于水运建设方面的项目支出。</w:t>
      </w:r>
    </w:p>
    <w:p>
      <w:pPr>
        <w:numPr>
          <w:ilvl w:val="0"/>
          <w:numId w:val="6"/>
        </w:numPr>
        <w:ind w:left="0" w:leftChars="0" w:firstLine="40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住房保障（类）</w:t>
      </w:r>
      <w:r>
        <w:rPr>
          <w:rFonts w:hint="eastAsia" w:ascii="仿宋_GB2312" w:eastAsia="仿宋_GB2312"/>
          <w:color w:val="auto"/>
          <w:sz w:val="32"/>
          <w:szCs w:val="32"/>
        </w:rPr>
        <w:t>住房改革支出</w:t>
      </w:r>
      <w:r>
        <w:rPr>
          <w:rFonts w:hint="eastAsia" w:ascii="仿宋_GB2312" w:eastAsia="仿宋_GB2312"/>
          <w:color w:val="auto"/>
          <w:sz w:val="32"/>
          <w:szCs w:val="32"/>
          <w:highlight w:val="none"/>
        </w:rPr>
        <w:t>（款）</w:t>
      </w:r>
      <w:r>
        <w:rPr>
          <w:rFonts w:hint="eastAsia" w:ascii="仿宋_GB2312" w:eastAsia="仿宋_GB2312"/>
          <w:color w:val="auto"/>
          <w:sz w:val="32"/>
          <w:szCs w:val="32"/>
        </w:rPr>
        <w:t>住房公积金</w:t>
      </w:r>
      <w:r>
        <w:rPr>
          <w:rFonts w:hint="eastAsia" w:ascii="仿宋_GB2312" w:eastAsia="仿宋_GB2312"/>
          <w:color w:val="auto"/>
          <w:sz w:val="32"/>
          <w:szCs w:val="32"/>
          <w:highlight w:val="none"/>
        </w:rPr>
        <w:t>（项）：指</w:t>
      </w:r>
      <w:r>
        <w:rPr>
          <w:rFonts w:hint="eastAsia" w:ascii="仿宋_GB2312" w:eastAsia="仿宋_GB2312"/>
          <w:color w:val="auto"/>
          <w:sz w:val="32"/>
          <w:szCs w:val="32"/>
        </w:rPr>
        <w:t>反映行政事业单位按人力资源和社会保障部、财政部规定的基本工资和津贴补贴以及规定比例为职工缴纳的住房公积金。</w:t>
      </w:r>
    </w:p>
    <w:p>
      <w:pPr>
        <w:numPr>
          <w:ilvl w:val="0"/>
          <w:numId w:val="6"/>
        </w:numPr>
        <w:ind w:left="0" w:leftChars="0" w:firstLine="40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基本支出：指为保障机构正常运转、完成日常工作任务而发生的人员支出和公用支出。</w:t>
      </w:r>
    </w:p>
    <w:p>
      <w:pPr>
        <w:numPr>
          <w:ilvl w:val="0"/>
          <w:numId w:val="6"/>
        </w:numPr>
        <w:ind w:left="0" w:leftChars="0" w:firstLine="40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6"/>
        <w:numPr>
          <w:ilvl w:val="0"/>
          <w:numId w:val="6"/>
        </w:numPr>
        <w:spacing w:line="560" w:lineRule="exact"/>
        <w:ind w:left="0" w:leftChars="0" w:firstLine="40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17"/>
          <w:rFonts w:ascii="黑体" w:hAnsi="黑体" w:eastAsia="黑体"/>
          <w:b w:val="0"/>
          <w:color w:val="auto"/>
          <w:highlight w:val="none"/>
        </w:rPr>
      </w:pPr>
      <w:bookmarkStart w:id="73" w:name="_Toc15377226"/>
      <w:r>
        <w:rPr>
          <w:rFonts w:ascii="宋体"/>
          <w:b/>
          <w:color w:val="auto"/>
          <w:sz w:val="44"/>
          <w:szCs w:val="44"/>
          <w:highlight w:val="none"/>
        </w:rPr>
        <w:br w:type="page"/>
      </w:r>
      <w:bookmarkStart w:id="74" w:name="_Toc15396614"/>
      <w:bookmarkStart w:id="75" w:name="_Toc762"/>
      <w:r>
        <w:rPr>
          <w:rFonts w:hint="eastAsia" w:ascii="黑体" w:hAnsi="黑体" w:eastAsia="黑体"/>
          <w:color w:val="auto"/>
          <w:sz w:val="44"/>
          <w:szCs w:val="44"/>
          <w:highlight w:val="none"/>
        </w:rPr>
        <w:t>第</w:t>
      </w:r>
      <w:r>
        <w:rPr>
          <w:rStyle w:val="17"/>
          <w:rFonts w:hint="eastAsia" w:ascii="黑体" w:hAnsi="黑体" w:eastAsia="黑体"/>
          <w:b w:val="0"/>
          <w:color w:val="auto"/>
          <w:highlight w:val="none"/>
        </w:rPr>
        <w:t>四部分 附件</w:t>
      </w:r>
      <w:bookmarkEnd w:id="74"/>
      <w:bookmarkEnd w:id="75"/>
    </w:p>
    <w:p>
      <w:pPr>
        <w:keepNext w:val="0"/>
        <w:keepLines w:val="0"/>
        <w:pageBreakBefore w:val="0"/>
        <w:kinsoku/>
        <w:wordWrap/>
        <w:overflowPunct/>
        <w:topLinePunct w:val="0"/>
        <w:autoSpaceDE/>
        <w:autoSpaceDN/>
        <w:bidi w:val="0"/>
        <w:spacing w:line="572" w:lineRule="exact"/>
        <w:jc w:val="left"/>
        <w:textAlignment w:val="auto"/>
        <w:outlineLvl w:val="9"/>
        <w:rPr>
          <w:rFonts w:ascii="仿宋_GB2312" w:hAnsi="仿宋_GB2312" w:eastAsia="仿宋_GB2312" w:cs="仿宋_GB2312"/>
          <w:color w:val="auto"/>
          <w:sz w:val="32"/>
          <w:szCs w:val="32"/>
          <w:highlight w:val="none"/>
        </w:rPr>
      </w:pPr>
    </w:p>
    <w:p>
      <w:pPr>
        <w:ind w:firstLine="640" w:firstLineChars="200"/>
        <w:rPr>
          <w:rFonts w:hint="eastAsia" w:ascii="仿宋_GB2312" w:eastAsia="仿宋_GB2312"/>
          <w:color w:val="auto"/>
          <w:sz w:val="32"/>
          <w:szCs w:val="32"/>
          <w:highlight w:val="none"/>
          <w:lang w:val="en-US" w:eastAsia="zh-CN"/>
        </w:rPr>
      </w:pPr>
      <w:bookmarkStart w:id="76" w:name="_Toc15396618"/>
      <w:r>
        <w:rPr>
          <w:rFonts w:hint="eastAsia" w:ascii="仿宋_GB2312" w:eastAsia="仿宋_GB2312"/>
          <w:color w:val="auto"/>
          <w:sz w:val="32"/>
          <w:szCs w:val="32"/>
          <w:highlight w:val="none"/>
          <w:lang w:val="en-US" w:eastAsia="zh-CN"/>
        </w:rPr>
        <w:t>附件：1.部门预算项目支出绩效自评表（2022年度）</w:t>
      </w:r>
    </w:p>
    <w:p>
      <w:pPr>
        <w:spacing w:line="600" w:lineRule="exact"/>
        <w:jc w:val="left"/>
        <w:outlineLvl w:val="9"/>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bookmarkStart w:id="77" w:name="_Toc8985"/>
      <w:r>
        <w:rPr>
          <w:rFonts w:hint="eastAsia" w:ascii="黑体" w:hAnsi="黑体" w:eastAsia="黑体"/>
          <w:color w:val="auto"/>
          <w:sz w:val="44"/>
          <w:szCs w:val="44"/>
          <w:highlight w:val="none"/>
        </w:rPr>
        <w:t>第</w:t>
      </w:r>
      <w:r>
        <w:rPr>
          <w:rStyle w:val="17"/>
          <w:rFonts w:hint="eastAsia" w:ascii="黑体" w:hAnsi="黑体" w:eastAsia="黑体"/>
          <w:b w:val="0"/>
          <w:color w:val="auto"/>
          <w:highlight w:val="none"/>
        </w:rPr>
        <w:t>五部分 附表</w:t>
      </w:r>
      <w:bookmarkEnd w:id="73"/>
      <w:bookmarkEnd w:id="76"/>
      <w:bookmarkEnd w:id="77"/>
      <w:bookmarkStart w:id="78" w:name="_Toc15396619"/>
    </w:p>
    <w:p>
      <w:pPr>
        <w:pStyle w:val="4"/>
        <w:rPr>
          <w:rFonts w:ascii="仿宋" w:hAnsi="仿宋" w:eastAsia="仿宋"/>
          <w:color w:val="auto"/>
          <w:highlight w:val="none"/>
        </w:rPr>
      </w:pPr>
      <w:bookmarkStart w:id="79" w:name="_Toc4085"/>
      <w:r>
        <w:rPr>
          <w:rFonts w:hint="eastAsia" w:ascii="仿宋" w:hAnsi="仿宋" w:eastAsia="仿宋"/>
          <w:b w:val="0"/>
          <w:color w:val="auto"/>
          <w:highlight w:val="none"/>
        </w:rPr>
        <w:t>一、收</w:t>
      </w:r>
      <w:r>
        <w:rPr>
          <w:rStyle w:val="18"/>
          <w:rFonts w:hint="eastAsia" w:ascii="仿宋" w:hAnsi="仿宋" w:eastAsia="仿宋"/>
          <w:b w:val="0"/>
          <w:bCs w:val="0"/>
          <w:color w:val="auto"/>
          <w:highlight w:val="none"/>
        </w:rPr>
        <w:t>入支出决算总表</w:t>
      </w:r>
      <w:bookmarkEnd w:id="78"/>
      <w:bookmarkEnd w:id="79"/>
    </w:p>
    <w:p>
      <w:pPr>
        <w:pStyle w:val="4"/>
        <w:rPr>
          <w:rFonts w:ascii="仿宋" w:hAnsi="仿宋" w:eastAsia="仿宋"/>
          <w:color w:val="auto"/>
          <w:highlight w:val="none"/>
        </w:rPr>
      </w:pPr>
      <w:bookmarkStart w:id="80" w:name="_Toc4779"/>
      <w:bookmarkStart w:id="81" w:name="_Toc15396620"/>
      <w:r>
        <w:rPr>
          <w:rFonts w:hint="eastAsia" w:ascii="仿宋" w:hAnsi="仿宋" w:eastAsia="仿宋"/>
          <w:b w:val="0"/>
          <w:color w:val="auto"/>
          <w:highlight w:val="none"/>
        </w:rPr>
        <w:t>二、收</w:t>
      </w:r>
      <w:r>
        <w:rPr>
          <w:rStyle w:val="18"/>
          <w:rFonts w:hint="eastAsia" w:ascii="仿宋" w:hAnsi="仿宋" w:eastAsia="仿宋"/>
          <w:b w:val="0"/>
          <w:bCs w:val="0"/>
          <w:color w:val="auto"/>
          <w:highlight w:val="none"/>
        </w:rPr>
        <w:t>入决算表</w:t>
      </w:r>
      <w:bookmarkEnd w:id="80"/>
      <w:bookmarkEnd w:id="81"/>
    </w:p>
    <w:p>
      <w:pPr>
        <w:pStyle w:val="4"/>
        <w:rPr>
          <w:rFonts w:ascii="仿宋" w:hAnsi="仿宋" w:eastAsia="仿宋"/>
          <w:color w:val="auto"/>
          <w:highlight w:val="none"/>
        </w:rPr>
      </w:pPr>
      <w:bookmarkStart w:id="82" w:name="_Toc23516"/>
      <w:bookmarkStart w:id="83" w:name="_Toc15396621"/>
      <w:r>
        <w:rPr>
          <w:rStyle w:val="1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8"/>
          <w:rFonts w:hint="eastAsia" w:ascii="仿宋" w:hAnsi="仿宋" w:eastAsia="仿宋"/>
          <w:b w:val="0"/>
          <w:bCs w:val="0"/>
          <w:color w:val="auto"/>
          <w:highlight w:val="none"/>
        </w:rPr>
        <w:t>出决算表</w:t>
      </w:r>
      <w:bookmarkEnd w:id="82"/>
      <w:bookmarkEnd w:id="83"/>
    </w:p>
    <w:p>
      <w:pPr>
        <w:pStyle w:val="4"/>
        <w:rPr>
          <w:rFonts w:ascii="仿宋" w:hAnsi="仿宋" w:eastAsia="仿宋"/>
          <w:b w:val="0"/>
          <w:color w:val="auto"/>
          <w:highlight w:val="none"/>
        </w:rPr>
      </w:pPr>
      <w:bookmarkStart w:id="84" w:name="_Toc15396622"/>
      <w:bookmarkStart w:id="85" w:name="_Toc17599"/>
      <w:r>
        <w:rPr>
          <w:rStyle w:val="1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8"/>
          <w:rFonts w:hint="eastAsia" w:ascii="仿宋" w:hAnsi="仿宋" w:eastAsia="仿宋"/>
          <w:b w:val="0"/>
          <w:bCs w:val="0"/>
          <w:color w:val="auto"/>
          <w:highlight w:val="none"/>
        </w:rPr>
        <w:t>政拨款收入支出决算总表</w:t>
      </w:r>
      <w:bookmarkEnd w:id="84"/>
      <w:bookmarkEnd w:id="85"/>
    </w:p>
    <w:p>
      <w:pPr>
        <w:pStyle w:val="4"/>
        <w:rPr>
          <w:rStyle w:val="18"/>
          <w:rFonts w:ascii="仿宋" w:hAnsi="仿宋" w:eastAsia="仿宋"/>
          <w:b w:val="0"/>
          <w:bCs w:val="0"/>
          <w:color w:val="auto"/>
          <w:highlight w:val="none"/>
        </w:rPr>
      </w:pPr>
      <w:bookmarkStart w:id="86" w:name="_Toc15396623"/>
      <w:bookmarkStart w:id="87" w:name="_Toc21348"/>
      <w:r>
        <w:rPr>
          <w:rStyle w:val="1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8"/>
          <w:rFonts w:hint="eastAsia" w:ascii="仿宋" w:hAnsi="仿宋" w:eastAsia="仿宋"/>
          <w:b w:val="0"/>
          <w:bCs w:val="0"/>
          <w:color w:val="auto"/>
          <w:highlight w:val="none"/>
        </w:rPr>
        <w:t>政拨款支出决算明细表</w:t>
      </w:r>
      <w:bookmarkEnd w:id="86"/>
      <w:bookmarkEnd w:id="87"/>
      <w:bookmarkStart w:id="88" w:name="_Toc15396624"/>
    </w:p>
    <w:p>
      <w:pPr>
        <w:pStyle w:val="4"/>
        <w:rPr>
          <w:rFonts w:ascii="仿宋" w:hAnsi="仿宋" w:eastAsia="仿宋"/>
          <w:color w:val="auto"/>
          <w:highlight w:val="none"/>
        </w:rPr>
      </w:pPr>
      <w:bookmarkStart w:id="89" w:name="_Toc18299"/>
      <w:r>
        <w:rPr>
          <w:rStyle w:val="1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般公共预算财政拨款支出决算表</w:t>
      </w:r>
      <w:bookmarkEnd w:id="88"/>
      <w:bookmarkEnd w:id="89"/>
    </w:p>
    <w:p>
      <w:pPr>
        <w:pStyle w:val="4"/>
        <w:rPr>
          <w:rFonts w:ascii="仿宋" w:hAnsi="仿宋" w:eastAsia="仿宋"/>
          <w:color w:val="auto"/>
          <w:highlight w:val="none"/>
        </w:rPr>
      </w:pPr>
      <w:bookmarkStart w:id="90" w:name="_Toc22358"/>
      <w:bookmarkStart w:id="91" w:name="_Toc15396625"/>
      <w:r>
        <w:rPr>
          <w:rStyle w:val="1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般公共预算财政拨款支出决算明细表</w:t>
      </w:r>
      <w:bookmarkEnd w:id="90"/>
      <w:bookmarkEnd w:id="91"/>
    </w:p>
    <w:p>
      <w:pPr>
        <w:pStyle w:val="4"/>
        <w:rPr>
          <w:rFonts w:ascii="仿宋" w:hAnsi="仿宋" w:eastAsia="仿宋"/>
          <w:color w:val="auto"/>
          <w:highlight w:val="none"/>
        </w:rPr>
      </w:pPr>
      <w:bookmarkStart w:id="92" w:name="_Toc15396626"/>
      <w:bookmarkStart w:id="93" w:name="_Toc16084"/>
      <w:r>
        <w:rPr>
          <w:rStyle w:val="1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般公共预算财政拨款基本支出决算表</w:t>
      </w:r>
      <w:bookmarkEnd w:id="92"/>
      <w:bookmarkEnd w:id="93"/>
    </w:p>
    <w:p>
      <w:pPr>
        <w:pStyle w:val="4"/>
        <w:rPr>
          <w:rFonts w:ascii="仿宋" w:hAnsi="仿宋" w:eastAsia="仿宋"/>
          <w:color w:val="auto"/>
          <w:highlight w:val="none"/>
        </w:rPr>
      </w:pPr>
      <w:bookmarkStart w:id="94" w:name="_Toc28891"/>
      <w:bookmarkStart w:id="95" w:name="_Toc15396627"/>
      <w:r>
        <w:rPr>
          <w:rStyle w:val="1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般公共预算财政拨款项目支出决算表</w:t>
      </w:r>
      <w:bookmarkEnd w:id="94"/>
      <w:bookmarkEnd w:id="95"/>
    </w:p>
    <w:p>
      <w:pPr>
        <w:pStyle w:val="4"/>
        <w:rPr>
          <w:rFonts w:ascii="仿宋" w:hAnsi="仿宋" w:eastAsia="仿宋"/>
          <w:color w:val="auto"/>
          <w:highlight w:val="none"/>
        </w:rPr>
      </w:pPr>
      <w:bookmarkStart w:id="96" w:name="_Toc15396628"/>
      <w:bookmarkStart w:id="97" w:name="_Toc22578"/>
      <w:r>
        <w:rPr>
          <w:rStyle w:val="18"/>
          <w:rFonts w:hint="eastAsia" w:ascii="仿宋" w:hAnsi="仿宋" w:eastAsia="仿宋"/>
          <w:b w:val="0"/>
          <w:bCs w:val="0"/>
          <w:color w:val="auto"/>
          <w:highlight w:val="none"/>
        </w:rPr>
        <w:t>十、</w:t>
      </w:r>
      <w:bookmarkEnd w:id="96"/>
      <w:r>
        <w:rPr>
          <w:rFonts w:hint="eastAsia" w:ascii="仿宋" w:hAnsi="仿宋" w:eastAsia="仿宋"/>
          <w:b w:val="0"/>
          <w:color w:val="auto"/>
          <w:highlight w:val="none"/>
        </w:rPr>
        <w:t>政</w:t>
      </w:r>
      <w:r>
        <w:rPr>
          <w:rStyle w:val="18"/>
          <w:rFonts w:hint="eastAsia" w:ascii="仿宋" w:hAnsi="仿宋" w:eastAsia="仿宋"/>
          <w:b w:val="0"/>
          <w:bCs w:val="0"/>
          <w:color w:val="auto"/>
          <w:highlight w:val="none"/>
        </w:rPr>
        <w:t>府性基金预算财政拨款收入支出决算表</w:t>
      </w:r>
      <w:bookmarkEnd w:id="97"/>
    </w:p>
    <w:p>
      <w:pPr>
        <w:pStyle w:val="4"/>
        <w:rPr>
          <w:rFonts w:ascii="仿宋" w:hAnsi="仿宋" w:eastAsia="仿宋"/>
          <w:color w:val="auto"/>
          <w:highlight w:val="none"/>
        </w:rPr>
      </w:pPr>
      <w:bookmarkStart w:id="98" w:name="_Toc15396629"/>
      <w:bookmarkStart w:id="99" w:name="_Toc17687"/>
      <w:r>
        <w:rPr>
          <w:rStyle w:val="18"/>
          <w:rFonts w:hint="eastAsia" w:ascii="仿宋" w:hAnsi="仿宋" w:eastAsia="仿宋"/>
          <w:b w:val="0"/>
          <w:bCs w:val="0"/>
          <w:color w:val="auto"/>
          <w:highlight w:val="none"/>
        </w:rPr>
        <w:t>十一、</w:t>
      </w:r>
      <w:bookmarkEnd w:id="98"/>
      <w:r>
        <w:rPr>
          <w:rFonts w:hint="eastAsia" w:ascii="仿宋" w:hAnsi="仿宋" w:eastAsia="仿宋"/>
          <w:b w:val="0"/>
          <w:color w:val="auto"/>
          <w:highlight w:val="none"/>
        </w:rPr>
        <w:t>国</w:t>
      </w:r>
      <w:r>
        <w:rPr>
          <w:rStyle w:val="18"/>
          <w:rFonts w:hint="eastAsia" w:ascii="仿宋" w:hAnsi="仿宋" w:eastAsia="仿宋"/>
          <w:b w:val="0"/>
          <w:bCs w:val="0"/>
          <w:color w:val="auto"/>
          <w:highlight w:val="none"/>
        </w:rPr>
        <w:t>有资本经营预算</w:t>
      </w:r>
      <w:r>
        <w:rPr>
          <w:rStyle w:val="18"/>
          <w:rFonts w:hint="eastAsia" w:ascii="仿宋" w:hAnsi="仿宋" w:eastAsia="仿宋"/>
          <w:b w:val="0"/>
          <w:bCs w:val="0"/>
          <w:color w:val="auto"/>
          <w:highlight w:val="none"/>
          <w:lang w:eastAsia="zh-CN"/>
        </w:rPr>
        <w:t>财政拨款收入</w:t>
      </w:r>
      <w:r>
        <w:rPr>
          <w:rStyle w:val="18"/>
          <w:rFonts w:hint="eastAsia" w:ascii="仿宋" w:hAnsi="仿宋" w:eastAsia="仿宋"/>
          <w:b w:val="0"/>
          <w:bCs w:val="0"/>
          <w:color w:val="auto"/>
          <w:highlight w:val="none"/>
        </w:rPr>
        <w:t>支出决算表</w:t>
      </w:r>
      <w:bookmarkEnd w:id="99"/>
    </w:p>
    <w:p>
      <w:pPr>
        <w:pStyle w:val="4"/>
        <w:rPr>
          <w:rFonts w:ascii="仿宋" w:hAnsi="仿宋" w:eastAsia="仿宋"/>
          <w:color w:val="auto"/>
          <w:highlight w:val="none"/>
        </w:rPr>
      </w:pPr>
      <w:bookmarkStart w:id="100" w:name="_Toc15396630"/>
      <w:bookmarkStart w:id="101" w:name="_Toc1053"/>
      <w:r>
        <w:rPr>
          <w:rStyle w:val="18"/>
          <w:rFonts w:hint="eastAsia" w:ascii="仿宋" w:hAnsi="仿宋" w:eastAsia="仿宋"/>
          <w:b w:val="0"/>
          <w:bCs w:val="0"/>
          <w:color w:val="auto"/>
          <w:highlight w:val="none"/>
        </w:rPr>
        <w:t>十二、</w:t>
      </w:r>
      <w:bookmarkEnd w:id="100"/>
      <w:r>
        <w:rPr>
          <w:rStyle w:val="18"/>
          <w:rFonts w:hint="eastAsia" w:ascii="仿宋" w:hAnsi="仿宋" w:eastAsia="仿宋"/>
          <w:b w:val="0"/>
          <w:bCs w:val="0"/>
          <w:color w:val="auto"/>
          <w:highlight w:val="none"/>
          <w:lang w:eastAsia="zh-CN"/>
        </w:rPr>
        <w:t>国有资本经营预算财政拨款支出决算表</w:t>
      </w:r>
      <w:bookmarkEnd w:id="101"/>
    </w:p>
    <w:p>
      <w:pPr>
        <w:pStyle w:val="4"/>
        <w:rPr>
          <w:rFonts w:hint="eastAsia" w:eastAsia="仿宋"/>
          <w:color w:val="auto"/>
          <w:highlight w:val="none"/>
          <w:lang w:eastAsia="zh-CN"/>
        </w:rPr>
      </w:pPr>
      <w:bookmarkStart w:id="102" w:name="_Toc15396631"/>
      <w:bookmarkStart w:id="103" w:name="_Toc10907"/>
      <w:r>
        <w:rPr>
          <w:rStyle w:val="18"/>
          <w:rFonts w:hint="eastAsia" w:ascii="仿宋" w:hAnsi="仿宋" w:eastAsia="仿宋"/>
          <w:b w:val="0"/>
          <w:bCs w:val="0"/>
          <w:color w:val="auto"/>
          <w:highlight w:val="none"/>
        </w:rPr>
        <w:t>十三、</w:t>
      </w:r>
      <w:bookmarkEnd w:id="102"/>
      <w:r>
        <w:rPr>
          <w:rStyle w:val="18"/>
          <w:rFonts w:hint="eastAsia" w:ascii="仿宋" w:hAnsi="仿宋" w:eastAsia="仿宋"/>
          <w:b w:val="0"/>
          <w:bCs w:val="0"/>
          <w:color w:val="auto"/>
          <w:highlight w:val="none"/>
          <w:lang w:eastAsia="zh-CN"/>
        </w:rPr>
        <w:t>财政拨款“三公”经费支出决算表</w:t>
      </w:r>
      <w:bookmarkEnd w:id="103"/>
    </w:p>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jc w:val="center"/>
        </w:pPr>
        <w:r>
          <w:rPr>
            <w:rFonts w:hint="eastAsia"/>
            <w:lang w:val="en-US" w:eastAsia="zh-CN"/>
          </w:rPr>
          <w:t>1</w:t>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sdt>
      <w:sdtPr>
        <w:id w:val="288308501"/>
      </w:sdtPr>
      <w:sdtContent/>
    </w:sdt>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sdt>
      <w:sdtPr>
        <w:id w:val="119960605"/>
      </w:sdtPr>
      <w:sdtContent/>
    </w:sdt>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64174E50"/>
    <w:multiLevelType w:val="singleLevel"/>
    <w:tmpl w:val="64174E50"/>
    <w:lvl w:ilvl="0" w:tentative="0">
      <w:start w:val="1"/>
      <w:numFmt w:val="decimal"/>
      <w:suff w:val="nothing"/>
      <w:lvlText w:val="%1．"/>
      <w:lvlJc w:val="left"/>
      <w:pPr>
        <w:ind w:left="0" w:firstLine="400"/>
      </w:pPr>
      <w:rPr>
        <w:rFonts w:hint="default"/>
      </w:rPr>
    </w:lvl>
  </w:abstractNum>
  <w:abstractNum w:abstractNumId="5">
    <w:nsid w:val="77C054C3"/>
    <w:multiLevelType w:val="singleLevel"/>
    <w:tmpl w:val="77C054C3"/>
    <w:lvl w:ilvl="0" w:tentative="0">
      <w:start w:val="1"/>
      <w:numFmt w:val="decimal"/>
      <w:suff w:val="nothing"/>
      <w:lvlText w:val="%1．"/>
      <w:lvlJc w:val="left"/>
      <w:pPr>
        <w:ind w:left="0" w:firstLine="400"/>
      </w:pPr>
      <w:rPr>
        <w:rFonts w:hint="default" w:ascii="Times New Roman" w:hAnsi="Times New Roman" w:cs="Times New Roman"/>
        <w:b w:val="0"/>
        <w:bCs w:val="0"/>
        <w:sz w:val="32"/>
        <w:szCs w:val="32"/>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NzcwY2I2Y2YxZjNjNzVhMzlkMDEwYjZiN2I2M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251DE7"/>
    <w:rsid w:val="053A62B5"/>
    <w:rsid w:val="0A2032A3"/>
    <w:rsid w:val="0B8A37D8"/>
    <w:rsid w:val="0ED270E9"/>
    <w:rsid w:val="10C055FF"/>
    <w:rsid w:val="118107EC"/>
    <w:rsid w:val="11C965A4"/>
    <w:rsid w:val="11DD6519"/>
    <w:rsid w:val="16BB723D"/>
    <w:rsid w:val="18015F3F"/>
    <w:rsid w:val="19B14EE3"/>
    <w:rsid w:val="1AC72D51"/>
    <w:rsid w:val="1BE8440E"/>
    <w:rsid w:val="1D155CEE"/>
    <w:rsid w:val="1E8B1B25"/>
    <w:rsid w:val="20F57F95"/>
    <w:rsid w:val="240371BF"/>
    <w:rsid w:val="25711CC6"/>
    <w:rsid w:val="25C741E6"/>
    <w:rsid w:val="27842671"/>
    <w:rsid w:val="29FD04D3"/>
    <w:rsid w:val="2ABE7A3E"/>
    <w:rsid w:val="2B7A5E46"/>
    <w:rsid w:val="2CA234A8"/>
    <w:rsid w:val="2CFF7BD5"/>
    <w:rsid w:val="2EFA178C"/>
    <w:rsid w:val="30B46D73"/>
    <w:rsid w:val="319F7F4E"/>
    <w:rsid w:val="32E270B7"/>
    <w:rsid w:val="362D0B6A"/>
    <w:rsid w:val="383D272C"/>
    <w:rsid w:val="39AE70AB"/>
    <w:rsid w:val="3C0C0783"/>
    <w:rsid w:val="3F9F3A96"/>
    <w:rsid w:val="41085755"/>
    <w:rsid w:val="48BF60AB"/>
    <w:rsid w:val="493C27E9"/>
    <w:rsid w:val="496F39ED"/>
    <w:rsid w:val="49FF41D3"/>
    <w:rsid w:val="4BE068DB"/>
    <w:rsid w:val="4BF6002B"/>
    <w:rsid w:val="4ECE2238"/>
    <w:rsid w:val="4FD126E3"/>
    <w:rsid w:val="51DB4B86"/>
    <w:rsid w:val="55013E5E"/>
    <w:rsid w:val="55333C3E"/>
    <w:rsid w:val="584C60EF"/>
    <w:rsid w:val="5AF00823"/>
    <w:rsid w:val="63714E20"/>
    <w:rsid w:val="64CA39A1"/>
    <w:rsid w:val="66107593"/>
    <w:rsid w:val="69630ADE"/>
    <w:rsid w:val="6C4A05C8"/>
    <w:rsid w:val="6D3B1A89"/>
    <w:rsid w:val="6EB3588D"/>
    <w:rsid w:val="71526F38"/>
    <w:rsid w:val="71BF4EC2"/>
    <w:rsid w:val="72734D90"/>
    <w:rsid w:val="7412278C"/>
    <w:rsid w:val="75251974"/>
    <w:rsid w:val="7904082E"/>
    <w:rsid w:val="79E7B28D"/>
    <w:rsid w:val="7F9F20EE"/>
    <w:rsid w:val="7FFF9AD1"/>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标题 1 Char"/>
    <w:basedOn w:val="14"/>
    <w:link w:val="3"/>
    <w:qFormat/>
    <w:uiPriority w:val="9"/>
    <w:rPr>
      <w:rFonts w:ascii="Times New Roman" w:hAnsi="Times New Roman"/>
      <w:b/>
      <w:bCs/>
      <w:kern w:val="44"/>
      <w:sz w:val="44"/>
      <w:szCs w:val="44"/>
    </w:rPr>
  </w:style>
  <w:style w:type="character" w:customStyle="1" w:styleId="18">
    <w:name w:val="标题 2 Char"/>
    <w:basedOn w:val="14"/>
    <w:link w:val="4"/>
    <w:qFormat/>
    <w:uiPriority w:val="9"/>
    <w:rPr>
      <w:rFonts w:asciiTheme="majorHAnsi" w:hAnsiTheme="majorHAnsi" w:eastAsiaTheme="majorEastAsia" w:cstheme="majorBidi"/>
      <w:b/>
      <w:bCs/>
      <w:kern w:val="2"/>
      <w:sz w:val="32"/>
      <w:szCs w:val="32"/>
    </w:rPr>
  </w:style>
  <w:style w:type="character" w:customStyle="1" w:styleId="19">
    <w:name w:val="标题 3 Char"/>
    <w:basedOn w:val="14"/>
    <w:link w:val="5"/>
    <w:qFormat/>
    <w:uiPriority w:val="9"/>
    <w:rPr>
      <w:rFonts w:ascii="Times New Roman" w:hAnsi="Times New Roman"/>
      <w:b/>
      <w:bCs/>
      <w:kern w:val="2"/>
      <w:sz w:val="32"/>
      <w:szCs w:val="32"/>
    </w:rPr>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8"/>
    <w:semiHidden/>
    <w:qFormat/>
    <w:uiPriority w:val="99"/>
    <w:rPr>
      <w:rFonts w:ascii="Times New Roman" w:hAnsi="Times New Roman"/>
      <w:kern w:val="2"/>
      <w:sz w:val="18"/>
      <w:szCs w:val="18"/>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5991;&#26723;(&#24050;&#35782;&#21035;)(7)\2023\2022&#20915;&#31639;&#20844;&#24320;\&#30334;&#21033;-&#20915;&#31639;&#20844;&#24320;&#25554;&#22270;&#21046;&#20316;&#31034;&#2036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5991;&#26723;(&#24050;&#35782;&#21035;)(7)\2023\2022&#20915;&#31639;&#20844;&#24320;\2022&#20915;&#31639;&#20844;&#24320;&#25554;&#22270;&#21046;&#20316;&#31034;&#2036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5991;&#26723;(&#24050;&#35782;&#21035;)(7)\2023\2022&#20915;&#31639;&#20844;&#24320;\2022&#20915;&#31639;&#20844;&#24320;&#25554;&#22270;&#21046;&#20316;&#31034;&#2036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5991;&#26723;(&#24050;&#35782;&#21035;)(7)\2023\2022&#20915;&#31639;&#20844;&#24320;\2022&#20915;&#31639;&#20844;&#24320;&#25554;&#22270;&#21046;&#20316;&#31034;&#2036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5991;&#26723;(&#24050;&#35782;&#21035;)(7)\2023\2022&#20915;&#31639;&#20844;&#24320;\2022&#20915;&#31639;&#20844;&#24320;&#25554;&#22270;&#21046;&#20316;&#31034;&#2036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5991;&#26723;(&#24050;&#35782;&#21035;)(7)\2023\2022&#20915;&#31639;&#20844;&#24320;\2022&#20915;&#31639;&#20844;&#24320;&#25554;&#22270;&#21046;&#20316;&#31034;&#2036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5991;&#26723;(&#24050;&#35782;&#21035;)(7)\2023\2022&#20915;&#31639;&#20844;&#24320;\2022&#20915;&#31639;&#20844;&#24320;&#25554;&#22270;&#21046;&#20316;&#31034;&#2036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c:spPr>
          <c:invertIfNegative val="0"/>
          <c:dPt>
            <c:idx val="1"/>
            <c:invertIfNegative val="0"/>
            <c:bubble3D val="0"/>
            <c:spPr>
              <a:solidFill>
                <a:srgbClr val="FFC000"/>
              </a:solidFill>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'[百利-决算公开插图制作示例.xlsx]图一'!$A$1:$B$1</c:f>
              <c:strCache>
                <c:ptCount val="2"/>
                <c:pt idx="0">
                  <c:v>2021年</c:v>
                </c:pt>
                <c:pt idx="1">
                  <c:v>2022年</c:v>
                </c:pt>
              </c:strCache>
            </c:strRef>
          </c:cat>
          <c:val>
            <c:numRef>
              <c:f>'[百利-决算公开插图制作示例.xlsx]图一'!$A$2:$B$2</c:f>
              <c:numCache>
                <c:formatCode>General</c:formatCode>
                <c:ptCount val="2"/>
                <c:pt idx="0">
                  <c:v>541.09</c:v>
                </c:pt>
                <c:pt idx="1">
                  <c:v>617.46</c:v>
                </c:pt>
              </c:numCache>
            </c:numRef>
          </c:val>
        </c:ser>
        <c:dLbls>
          <c:showLegendKey val="0"/>
          <c:showVal val="1"/>
          <c:showCatName val="0"/>
          <c:showSerName val="0"/>
          <c:showPercent val="0"/>
          <c:showBubbleSize val="0"/>
        </c:dLbls>
        <c:gapWidth val="150"/>
        <c:axId val="132649344"/>
        <c:axId val="132650880"/>
      </c:barChart>
      <c:catAx>
        <c:axId val="1326493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2650880"/>
        <c:crosses val="autoZero"/>
        <c:auto val="1"/>
        <c:lblAlgn val="ctr"/>
        <c:lblOffset val="100"/>
        <c:noMultiLvlLbl val="0"/>
      </c:catAx>
      <c:valAx>
        <c:axId val="1326508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26493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dk1">
                    <a:lumMod val="75000"/>
                    <a:lumOff val="25000"/>
                  </a:schemeClr>
                </a:solidFill>
                <a:latin typeface="+mn-lt"/>
                <a:ea typeface="+mn-ea"/>
                <a:cs typeface="+mn-cs"/>
              </a:defRPr>
            </a:pPr>
            <a:r>
              <a:rPr b="0"/>
              <a:t>图</a:t>
            </a:r>
            <a:r>
              <a:rPr lang="en-US" altLang="zh-CN" b="0"/>
              <a:t>2</a:t>
            </a:r>
            <a:r>
              <a:rPr altLang="en-US" b="0"/>
              <a:t>：收入决算结构图</a:t>
            </a:r>
            <a:endParaRPr lang="en-US" altLang="zh-CN" b="0"/>
          </a:p>
        </c:rich>
      </c:tx>
      <c:layout/>
      <c:overlay val="0"/>
      <c:spPr>
        <a:noFill/>
        <a:ln>
          <a:noFill/>
        </a:ln>
        <a:effectLst/>
      </c:spPr>
    </c:title>
    <c:autoTitleDeleted val="0"/>
    <c:plotArea>
      <c:layout>
        <c:manualLayout>
          <c:layoutTarget val="inner"/>
          <c:xMode val="edge"/>
          <c:yMode val="edge"/>
          <c:x val="0.342013888888889"/>
          <c:y val="0.176388888888889"/>
          <c:w val="0.324305555555556"/>
          <c:h val="0.540509259259259"/>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1"/>
              <c:layout>
                <c:manualLayout>
                  <c:x val="0.0210903045010881"/>
                  <c:y val="0.01510139803298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[2022决算公开插图制作示例.xlsx]图二!$A$1:$A$2</c:f>
              <c:strCache>
                <c:ptCount val="2"/>
                <c:pt idx="0">
                  <c:v>一、一般公共预算财政拨款收入</c:v>
                </c:pt>
                <c:pt idx="1">
                  <c:v>二、其他收入</c:v>
                </c:pt>
              </c:strCache>
            </c:strRef>
          </c:cat>
          <c:val>
            <c:numRef>
              <c:f>[2022决算公开插图制作示例.xlsx]图二!$B$1:$B$2</c:f>
              <c:numCache>
                <c:formatCode>General</c:formatCode>
                <c:ptCount val="2"/>
                <c:pt idx="0">
                  <c:v>544.68</c:v>
                </c:pt>
                <c:pt idx="1">
                  <c:v>26.47</c:v>
                </c:pt>
              </c:numCache>
            </c:numRef>
          </c:val>
        </c:ser>
        <c:ser>
          <c:idx val="1"/>
          <c:order val="1"/>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[2022决算公开插图制作示例.xlsx]图二!$A$1:$A$2</c:f>
              <c:strCache>
                <c:ptCount val="2"/>
                <c:pt idx="0">
                  <c:v>一、一般公共预算财政拨款收入</c:v>
                </c:pt>
                <c:pt idx="1">
                  <c:v>二、其他收入</c:v>
                </c:pt>
              </c:strCache>
            </c:strRef>
          </c:cat>
          <c:val>
            <c:numRef>
              <c:f>[2022决算公开插图制作示例.xlsx]图二!$C$1:$C$2</c:f>
              <c:numCache>
                <c:formatCode>0.00%</c:formatCode>
                <c:ptCount val="2"/>
                <c:pt idx="0">
                  <c:v>0.953654906767049</c:v>
                </c:pt>
                <c:pt idx="1">
                  <c:v>0.0463450932329511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24846894138"/>
          <c:y val="0.150462962962963"/>
          <c:w val="0.566371172353456"/>
          <c:h val="0.689814814814815"/>
        </c:manualLayout>
      </c:layout>
      <c:pieChart>
        <c:varyColors val="1"/>
        <c:ser>
          <c:idx val="0"/>
          <c:order val="0"/>
          <c:explosion val="0"/>
          <c:dPt>
            <c:idx val="0"/>
            <c:bubble3D val="0"/>
          </c:dPt>
          <c:dPt>
            <c:idx val="1"/>
            <c:bubble3D val="0"/>
          </c:dPt>
          <c:dLbls>
            <c:dLbl>
              <c:idx val="0"/>
              <c:layout>
                <c:manualLayout>
                  <c:x val="0.0848707349081365"/>
                  <c:y val="-0.17157334499854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86458880139982"/>
                  <c:y val="0.14014727325750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[2022决算公开插图制作示例.xlsx]图三!$A$2:$B$2</c:f>
              <c:strCache>
                <c:ptCount val="2"/>
                <c:pt idx="0">
                  <c:v>基本支出</c:v>
                </c:pt>
                <c:pt idx="1">
                  <c:v>项目支出</c:v>
                </c:pt>
              </c:strCache>
            </c:strRef>
          </c:cat>
          <c:val>
            <c:numRef>
              <c:f>[2022决算公开插图制作示例.xlsx]图三!$A$3:$B$3</c:f>
              <c:numCache>
                <c:formatCode>0.00%</c:formatCode>
                <c:ptCount val="2"/>
                <c:pt idx="0">
                  <c:v>0.831</c:v>
                </c:pt>
                <c:pt idx="1">
                  <c:v>0.169</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777043088363955"/>
          <c:y val="0.434801326917469"/>
          <c:w val="0.186845800524934"/>
          <c:h val="0.167434383202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668853893263"/>
          <c:y val="0.0514005540974045"/>
          <c:w val="0.587929790026247"/>
          <c:h val="0.824965368912219"/>
        </c:manualLayout>
      </c:layout>
      <c:barChart>
        <c:barDir val="col"/>
        <c:grouping val="clustered"/>
        <c:varyColors val="0"/>
        <c:ser>
          <c:idx val="0"/>
          <c:order val="0"/>
          <c:invertIfNegative val="0"/>
          <c:dPt>
            <c:idx val="1"/>
            <c:invertIfNegative val="0"/>
            <c:bubble3D val="0"/>
            <c:spPr>
              <a:solidFill>
                <a:srgbClr val="C00000"/>
              </a:solidFill>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'[2022决算公开插图制作示例.xlsx]图4 '!$A$1:$B$1</c:f>
              <c:strCache>
                <c:ptCount val="2"/>
                <c:pt idx="0">
                  <c:v>2021年</c:v>
                </c:pt>
                <c:pt idx="1">
                  <c:v>2022年</c:v>
                </c:pt>
              </c:strCache>
            </c:strRef>
          </c:cat>
          <c:val>
            <c:numRef>
              <c:f>'[2022决算公开插图制作示例.xlsx]图4 '!$A$2:$B$2</c:f>
              <c:numCache>
                <c:formatCode>General</c:formatCode>
                <c:ptCount val="2"/>
                <c:pt idx="0">
                  <c:v>456.89</c:v>
                </c:pt>
                <c:pt idx="1">
                  <c:v>590.18</c:v>
                </c:pt>
              </c:numCache>
            </c:numRef>
          </c:val>
        </c:ser>
        <c:dLbls>
          <c:showLegendKey val="0"/>
          <c:showVal val="1"/>
          <c:showCatName val="0"/>
          <c:showSerName val="0"/>
          <c:showPercent val="0"/>
          <c:showBubbleSize val="0"/>
        </c:dLbls>
        <c:gapWidth val="150"/>
        <c:axId val="133066112"/>
        <c:axId val="133084288"/>
      </c:barChart>
      <c:catAx>
        <c:axId val="133066112"/>
        <c:scaling>
          <c:orientation val="minMax"/>
        </c:scaling>
        <c:delete val="0"/>
        <c:axPos val="b"/>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crossAx val="133084288"/>
        <c:crosses val="autoZero"/>
        <c:auto val="1"/>
        <c:lblAlgn val="ctr"/>
        <c:lblOffset val="100"/>
        <c:noMultiLvlLbl val="0"/>
      </c:catAx>
      <c:valAx>
        <c:axId val="1330842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3066112"/>
        <c:crosses val="autoZero"/>
        <c:crossBetween val="between"/>
      </c:valAx>
    </c:plotArea>
    <c:legend>
      <c:legendPos val="r"/>
      <c:layout>
        <c:manualLayout>
          <c:xMode val="edge"/>
          <c:yMode val="edge"/>
          <c:x val="0.763154199475066"/>
          <c:y val="0.360343394575678"/>
          <c:w val="0.220179133858268"/>
          <c:h val="0.27931321084864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571741032371"/>
          <c:y val="0.168676727909011"/>
          <c:w val="0.606249125109361"/>
          <c:h val="0.679911417322835"/>
        </c:manualLayout>
      </c:layout>
      <c:barChart>
        <c:barDir val="col"/>
        <c:grouping val="clustered"/>
        <c:varyColors val="0"/>
        <c:ser>
          <c:idx val="0"/>
          <c:order val="0"/>
          <c:invertIfNegative val="0"/>
          <c:dPt>
            <c:idx val="1"/>
            <c:invertIfNegative val="0"/>
            <c:bubble3D val="0"/>
            <c:spPr>
              <a:solidFill>
                <a:srgbClr val="FF0000"/>
              </a:solidFill>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[2022决算公开插图制作示例.xlsx]图5!$A$1:$B$1</c:f>
              <c:strCache>
                <c:ptCount val="2"/>
                <c:pt idx="0">
                  <c:v>2021年</c:v>
                </c:pt>
                <c:pt idx="1">
                  <c:v>2022年</c:v>
                </c:pt>
              </c:strCache>
            </c:strRef>
          </c:cat>
          <c:val>
            <c:numRef>
              <c:f>[2022决算公开插图制作示例.xlsx]图5!$A$2:$B$2</c:f>
              <c:numCache>
                <c:formatCode>General</c:formatCode>
                <c:ptCount val="2"/>
                <c:pt idx="0">
                  <c:v>407.09</c:v>
                </c:pt>
                <c:pt idx="1">
                  <c:v>590.18</c:v>
                </c:pt>
              </c:numCache>
            </c:numRef>
          </c:val>
        </c:ser>
        <c:dLbls>
          <c:showLegendKey val="0"/>
          <c:showVal val="1"/>
          <c:showCatName val="0"/>
          <c:showSerName val="0"/>
          <c:showPercent val="0"/>
          <c:showBubbleSize val="0"/>
        </c:dLbls>
        <c:gapWidth val="150"/>
        <c:axId val="133142016"/>
        <c:axId val="133143552"/>
      </c:barChart>
      <c:catAx>
        <c:axId val="133142016"/>
        <c:scaling>
          <c:orientation val="minMax"/>
        </c:scaling>
        <c:delete val="0"/>
        <c:axPos val="b"/>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crossAx val="133143552"/>
        <c:crosses val="autoZero"/>
        <c:auto val="1"/>
        <c:lblAlgn val="ctr"/>
        <c:lblOffset val="100"/>
        <c:noMultiLvlLbl val="0"/>
      </c:catAx>
      <c:valAx>
        <c:axId val="1331435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3142016"/>
        <c:crosses val="autoZero"/>
        <c:crossBetween val="between"/>
      </c:valAx>
    </c:plotArea>
    <c:legend>
      <c:legendPos val="tr"/>
      <c:layout>
        <c:manualLayout>
          <c:xMode val="edge"/>
          <c:yMode val="edge"/>
          <c:x val="0.765931977252843"/>
          <c:y val="0.236111111111111"/>
          <c:w val="0.211845800524934"/>
          <c:h val="0.4552391367745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tx2">
                  <a:lumMod val="40000"/>
                  <a:lumOff val="60000"/>
                </a:schemeClr>
              </a:solidFill>
            </c:spPr>
          </c:dPt>
          <c:dPt>
            <c:idx val="1"/>
            <c:bubble3D val="0"/>
          </c:dPt>
          <c:dPt>
            <c:idx val="2"/>
            <c:bubble3D val="0"/>
          </c:dPt>
          <c:dPt>
            <c:idx val="3"/>
            <c:bubble3D val="0"/>
          </c:dPt>
          <c:dLbls>
            <c:dLbl>
              <c:idx val="0"/>
              <c:layout>
                <c:manualLayout>
                  <c:x val="0.0483216316710411"/>
                  <c:y val="0.097738043161271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46208442694663"/>
                  <c:y val="-0.035963108778069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0951443569554"/>
                  <c:y val="-0.1322783610382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6543197725284"/>
                  <c:y val="-0.10867344706911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[2022决算公开插图制作示例.xlsx]图6!$A$2:$A$5</c:f>
              <c:strCache>
                <c:ptCount val="4"/>
                <c:pt idx="0">
                  <c:v>交通运输（类）支出</c:v>
                </c:pt>
                <c:pt idx="1">
                  <c:v>社会保障和就业（类）支出</c:v>
                </c:pt>
                <c:pt idx="2">
                  <c:v>卫生健康(类)支出</c:v>
                </c:pt>
                <c:pt idx="3">
                  <c:v>住房保障（类）支出</c:v>
                </c:pt>
              </c:strCache>
            </c:strRef>
          </c:cat>
          <c:val>
            <c:numRef>
              <c:f>[2022决算公开插图制作示例.xlsx]图6!$B$2:$B$5</c:f>
              <c:numCache>
                <c:formatCode>General</c:formatCode>
                <c:ptCount val="4"/>
                <c:pt idx="0">
                  <c:v>495.76</c:v>
                </c:pt>
                <c:pt idx="1">
                  <c:v>43.7</c:v>
                </c:pt>
                <c:pt idx="2">
                  <c:v>14.15</c:v>
                </c:pt>
                <c:pt idx="3">
                  <c:v>36.57</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dLbl>
              <c:idx val="0"/>
              <c:layout>
                <c:manualLayout>
                  <c:x val="-0.0677309711286089"/>
                  <c:y val="-0.06258967629046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2130139982502"/>
                  <c:y val="-0.04985819480898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[2022决算公开插图制作示例.xlsx]图7!$A$2:$A$3</c:f>
              <c:strCache>
                <c:ptCount val="2"/>
                <c:pt idx="0">
                  <c:v>公务用车购置及运行维护费支出</c:v>
                </c:pt>
                <c:pt idx="1">
                  <c:v>公务接待费支出</c:v>
                </c:pt>
              </c:strCache>
            </c:strRef>
          </c:cat>
          <c:val>
            <c:numRef>
              <c:f>[2022决算公开插图制作示例.xlsx]图7!$B$2:$B$3</c:f>
              <c:numCache>
                <c:formatCode>0.00%</c:formatCode>
                <c:ptCount val="2"/>
                <c:pt idx="0">
                  <c:v>0.9406</c:v>
                </c:pt>
                <c:pt idx="1">
                  <c:v>0.0594</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664920094314907"/>
          <c:y val="0.34151738973956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24</Pages>
  <Words>1299</Words>
  <Characters>7410</Characters>
  <Lines>61</Lines>
  <Paragraphs>17</Paragraphs>
  <TotalTime>12</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枫楹</cp:lastModifiedBy>
  <cp:lastPrinted>2023-07-31T18:35:00Z</cp:lastPrinted>
  <dcterms:modified xsi:type="dcterms:W3CDTF">2023-10-18T01:46:55Z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8641028742B941298F5DEA552272EE26_13</vt:lpwstr>
  </property>
</Properties>
</file>