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600" w:lineRule="exact"/>
        <w:jc w:val="left"/>
        <w:outlineLvl w:val="9"/>
        <w:rPr>
          <w:rFonts w:ascii="方正小标宋简体" w:hAnsi="宋体" w:eastAsia="方正小标宋简体"/>
          <w:color w:val="auto"/>
          <w:sz w:val="21"/>
          <w:szCs w:val="21"/>
          <w:highlight w:val="none"/>
        </w:rPr>
      </w:pPr>
      <w:bookmarkStart w:id="0" w:name="_Toc15306267"/>
    </w:p>
    <w:p>
      <w:pPr>
        <w:shd w:val="clear"/>
        <w:spacing w:line="600" w:lineRule="exact"/>
        <w:jc w:val="center"/>
        <w:outlineLvl w:val="9"/>
        <w:rPr>
          <w:rFonts w:ascii="方正小标宋简体" w:hAnsi="宋体" w:eastAsia="方正小标宋简体"/>
          <w:color w:val="auto"/>
          <w:sz w:val="72"/>
          <w:szCs w:val="72"/>
          <w:highlight w:val="none"/>
        </w:rPr>
      </w:pPr>
    </w:p>
    <w:p>
      <w:pPr>
        <w:shd w:val="clear"/>
        <w:spacing w:line="600" w:lineRule="exact"/>
        <w:jc w:val="center"/>
        <w:outlineLvl w:val="9"/>
        <w:rPr>
          <w:rFonts w:ascii="方正小标宋简体" w:hAnsi="宋体" w:eastAsia="方正小标宋简体"/>
          <w:color w:val="auto"/>
          <w:sz w:val="72"/>
          <w:szCs w:val="72"/>
          <w:highlight w:val="none"/>
        </w:rPr>
      </w:pPr>
    </w:p>
    <w:p>
      <w:pPr>
        <w:shd w:val="clea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597"/>
      <w:bookmarkStart w:id="2" w:name="_Toc15396475"/>
      <w:bookmarkStart w:id="3" w:name="_Toc15378441"/>
      <w:bookmarkStart w:id="4" w:name="_Toc8362"/>
      <w:bookmarkStart w:id="5" w:name="_Toc11738"/>
      <w:bookmarkStart w:id="6" w:name="_Toc15377425"/>
      <w:bookmarkStart w:id="7" w:name="_Toc15377193"/>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bookmarkEnd w:id="7"/>
    </w:p>
    <w:p>
      <w:pPr>
        <w:shd w:val="clea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8" w:name="_Toc15396476"/>
      <w:bookmarkStart w:id="9" w:name="_Toc3411"/>
      <w:bookmarkStart w:id="10" w:name="_Toc17987"/>
      <w:bookmarkStart w:id="11" w:name="_Toc15377426"/>
      <w:bookmarkStart w:id="12" w:name="_Toc15378442"/>
      <w:bookmarkStart w:id="13" w:name="_Toc15396598"/>
      <w:bookmarkStart w:id="14" w:name="_Toc15377194"/>
      <w:r>
        <w:rPr>
          <w:rFonts w:hint="eastAsia" w:ascii="方正小标宋简体" w:hAnsi="方正小标宋简体" w:eastAsia="方正小标宋简体" w:cs="方正小标宋简体"/>
          <w:color w:val="auto"/>
          <w:sz w:val="72"/>
          <w:szCs w:val="72"/>
          <w:highlight w:val="none"/>
          <w:lang w:eastAsia="zh-CN"/>
        </w:rPr>
        <w:t>广元市</w:t>
      </w:r>
      <w:bookmarkEnd w:id="0"/>
      <w:bookmarkStart w:id="15" w:name="_Toc15306268"/>
      <w:r>
        <w:rPr>
          <w:rFonts w:hint="eastAsia" w:ascii="方正小标宋简体" w:hAnsi="方正小标宋简体" w:eastAsia="方正小标宋简体" w:cs="方正小标宋简体"/>
          <w:color w:val="auto"/>
          <w:sz w:val="72"/>
          <w:szCs w:val="72"/>
          <w:highlight w:val="none"/>
          <w:lang w:eastAsia="zh-CN"/>
        </w:rPr>
        <w:t>交通运输局（本级）</w:t>
      </w:r>
      <w:r>
        <w:rPr>
          <w:rFonts w:hint="eastAsia" w:ascii="方正小标宋简体" w:hAnsi="方正小标宋简体" w:eastAsia="方正小标宋简体" w:cs="方正小标宋简体"/>
          <w:color w:val="auto"/>
          <w:sz w:val="72"/>
          <w:szCs w:val="72"/>
          <w:highlight w:val="none"/>
          <w:lang w:val="en-US" w:eastAsia="zh-CN"/>
        </w:rPr>
        <w:t>单位</w:t>
      </w:r>
      <w:r>
        <w:rPr>
          <w:rFonts w:hint="eastAsia" w:ascii="方正小标宋简体" w:hAnsi="方正小标宋简体" w:eastAsia="方正小标宋简体" w:cs="方正小标宋简体"/>
          <w:color w:val="auto"/>
          <w:sz w:val="72"/>
          <w:szCs w:val="72"/>
          <w:highlight w:val="none"/>
        </w:rPr>
        <w:t>决算</w:t>
      </w:r>
      <w:bookmarkEnd w:id="8"/>
      <w:bookmarkEnd w:id="9"/>
      <w:bookmarkEnd w:id="10"/>
      <w:bookmarkEnd w:id="11"/>
      <w:bookmarkEnd w:id="12"/>
      <w:bookmarkEnd w:id="13"/>
      <w:bookmarkEnd w:id="14"/>
      <w:bookmarkEnd w:id="15"/>
    </w:p>
    <w:p>
      <w:pPr>
        <w:shd w:val="clear"/>
        <w:rPr>
          <w:rFonts w:hint="eastAsia" w:ascii="黑体" w:hAnsi="黑体" w:eastAsia="黑体"/>
          <w:b w:val="0"/>
          <w:color w:val="auto"/>
          <w:highlight w:val="none"/>
        </w:rPr>
      </w:pPr>
      <w:r>
        <w:rPr>
          <w:rFonts w:hint="eastAsia" w:ascii="黑体" w:hAnsi="黑体" w:eastAsia="黑体"/>
          <w:b w:val="0"/>
          <w:color w:val="auto"/>
          <w:highlight w:val="none"/>
        </w:rPr>
        <w:br w:type="page"/>
      </w:r>
    </w:p>
    <w:p>
      <w:pPr>
        <w:pStyle w:val="3"/>
        <w:pageBreakBefore w:val="0"/>
        <w:shd w:val="clear"/>
        <w:kinsoku/>
        <w:wordWrap/>
        <w:overflowPunct/>
        <w:topLinePunct w:val="0"/>
        <w:autoSpaceDE/>
        <w:autoSpaceDN/>
        <w:bidi w:val="0"/>
        <w:adjustRightInd/>
        <w:snapToGrid/>
        <w:spacing w:line="560" w:lineRule="exact"/>
        <w:ind w:firstLine="880" w:firstLineChars="200"/>
        <w:jc w:val="center"/>
        <w:textAlignment w:val="auto"/>
        <w:rPr>
          <w:rFonts w:hint="eastAsia" w:ascii="黑体" w:hAnsi="黑体" w:eastAsia="黑体"/>
          <w:b w:val="0"/>
          <w:color w:val="auto"/>
          <w:highlight w:val="none"/>
        </w:rPr>
      </w:pPr>
      <w:bookmarkStart w:id="16" w:name="_Toc1453"/>
      <w:bookmarkStart w:id="17" w:name="_Toc7244"/>
      <w:r>
        <w:rPr>
          <w:rFonts w:hint="eastAsia" w:ascii="黑体" w:hAnsi="黑体" w:eastAsia="黑体"/>
          <w:b w:val="0"/>
          <w:color w:val="auto"/>
          <w:highlight w:val="none"/>
        </w:rPr>
        <w:t>目录</w:t>
      </w:r>
      <w:bookmarkEnd w:id="16"/>
      <w:bookmarkEnd w:id="17"/>
    </w:p>
    <w:p>
      <w:pPr>
        <w:pStyle w:val="3"/>
        <w:pageBreakBefore w:val="0"/>
        <w:shd w:val="clear"/>
        <w:kinsoku/>
        <w:wordWrap/>
        <w:overflowPunct/>
        <w:topLinePunct w:val="0"/>
        <w:autoSpaceDE/>
        <w:autoSpaceDN/>
        <w:bidi w:val="0"/>
        <w:adjustRightInd/>
        <w:snapToGrid/>
        <w:spacing w:line="560" w:lineRule="exact"/>
        <w:ind w:firstLine="560" w:firstLineChars="200"/>
        <w:jc w:val="center"/>
        <w:textAlignment w:val="auto"/>
        <w:rPr>
          <w:rFonts w:hint="eastAsia" w:ascii="黑体" w:hAnsi="黑体" w:eastAsia="黑体"/>
          <w:b w:val="0"/>
          <w:color w:val="auto"/>
          <w:sz w:val="28"/>
          <w:szCs w:val="28"/>
          <w:highlight w:val="none"/>
        </w:rPr>
      </w:pPr>
      <w:bookmarkStart w:id="18" w:name="_Toc30077"/>
      <w:bookmarkStart w:id="19" w:name="_Toc19618"/>
      <w:r>
        <w:rPr>
          <w:rFonts w:hint="eastAsia" w:ascii="黑体" w:hAnsi="黑体" w:eastAsia="黑体"/>
          <w:b w:val="0"/>
          <w:color w:val="auto"/>
          <w:sz w:val="28"/>
          <w:szCs w:val="28"/>
          <w:highlight w:val="none"/>
        </w:rPr>
        <w:t>公示日期：2023年10月</w:t>
      </w:r>
      <w:r>
        <w:rPr>
          <w:rFonts w:hint="eastAsia" w:ascii="黑体" w:hAnsi="黑体" w:eastAsia="黑体"/>
          <w:b w:val="0"/>
          <w:color w:val="auto"/>
          <w:sz w:val="28"/>
          <w:szCs w:val="28"/>
          <w:highlight w:val="none"/>
          <w:lang w:val="en-US" w:eastAsia="zh-CN"/>
        </w:rPr>
        <w:t>17</w:t>
      </w:r>
      <w:bookmarkStart w:id="136" w:name="_GoBack"/>
      <w:bookmarkEnd w:id="136"/>
      <w:r>
        <w:rPr>
          <w:rFonts w:hint="eastAsia" w:ascii="黑体" w:hAnsi="黑体" w:eastAsia="黑体"/>
          <w:b w:val="0"/>
          <w:color w:val="auto"/>
          <w:sz w:val="28"/>
          <w:szCs w:val="28"/>
          <w:highlight w:val="none"/>
        </w:rPr>
        <w:t>日</w:t>
      </w:r>
      <w:bookmarkEnd w:id="18"/>
      <w:bookmarkEnd w:id="19"/>
    </w:p>
    <w:sdt>
      <w:sdtPr>
        <w:rPr>
          <w:rFonts w:ascii="宋体" w:hAnsi="宋体" w:eastAsia="宋体" w:cs="Times New Roman"/>
          <w:kern w:val="2"/>
          <w:sz w:val="21"/>
          <w:szCs w:val="24"/>
          <w:highlight w:val="none"/>
          <w:lang w:val="en-US" w:eastAsia="zh-CN" w:bidi="ar-SA"/>
        </w:rPr>
        <w:id w:val="147480445"/>
        <w15:color w:val="DBDBDB"/>
        <w:docPartObj>
          <w:docPartGallery w:val="Table of Contents"/>
          <w:docPartUnique/>
        </w:docPartObj>
      </w:sdtPr>
      <w:sdtEndPr>
        <w:rPr>
          <w:rFonts w:hint="eastAsia" w:ascii="Calibri" w:hAnsi="Calibri" w:eastAsia="宋体" w:cs="Times New Roman"/>
          <w:b/>
          <w:kern w:val="2"/>
          <w:sz w:val="21"/>
          <w:szCs w:val="24"/>
          <w:highlight w:val="none"/>
          <w:lang w:val="en-US" w:eastAsia="zh-CN" w:bidi="ar-SA"/>
        </w:rPr>
      </w:sdtEndPr>
      <w:sdtContent>
        <w:p>
          <w:pPr>
            <w:shd w:val="clear"/>
            <w:spacing w:before="0" w:beforeLines="0" w:after="0" w:afterLines="0" w:line="240" w:lineRule="auto"/>
            <w:ind w:left="0" w:leftChars="0" w:right="0" w:rightChars="0" w:firstLine="0" w:firstLineChars="0"/>
            <w:jc w:val="center"/>
            <w:rPr>
              <w:highlight w:val="none"/>
            </w:rPr>
          </w:pP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40" w:lineRule="exact"/>
            <w:textAlignment w:val="auto"/>
          </w:pPr>
          <w:r>
            <w:rPr>
              <w:rFonts w:hint="eastAsia"/>
              <w:highlight w:val="none"/>
            </w:rPr>
            <w:fldChar w:fldCharType="begin"/>
          </w:r>
          <w:r>
            <w:rPr>
              <w:rFonts w:hint="eastAsia"/>
              <w:highlight w:val="none"/>
            </w:rPr>
            <w:instrText xml:space="preserve">TOC \o "1-2" \h \u </w:instrText>
          </w:r>
          <w:r>
            <w:rPr>
              <w:rFonts w:hint="eastAsia"/>
              <w:highlight w:val="none"/>
            </w:rPr>
            <w:fldChar w:fldCharType="separate"/>
          </w:r>
          <w:r>
            <w:rPr>
              <w:rFonts w:hint="eastAsia"/>
              <w:highlight w:val="none"/>
            </w:rPr>
            <w:fldChar w:fldCharType="begin"/>
          </w:r>
          <w:r>
            <w:rPr>
              <w:rFonts w:hint="eastAsia"/>
              <w:highlight w:val="none"/>
            </w:rPr>
            <w:instrText xml:space="preserve"> HYPERLINK \l _Toc992 </w:instrText>
          </w:r>
          <w:r>
            <w:rPr>
              <w:rFonts w:hint="eastAsia"/>
              <w:highlight w:val="none"/>
            </w:rPr>
            <w:fldChar w:fldCharType="separate"/>
          </w:r>
          <w:r>
            <w:rPr>
              <w:rFonts w:hint="eastAsia" w:ascii="黑体" w:hAnsi="黑体" w:eastAsia="黑体"/>
              <w:highlight w:val="none"/>
            </w:rPr>
            <w:t xml:space="preserve">第一部分 </w:t>
          </w:r>
          <w:r>
            <w:rPr>
              <w:rFonts w:hint="eastAsia" w:ascii="黑体" w:hAnsi="黑体" w:eastAsia="黑体"/>
              <w:highlight w:val="none"/>
              <w:lang w:eastAsia="zh-CN"/>
            </w:rPr>
            <w:t>单位</w:t>
          </w:r>
          <w:r>
            <w:rPr>
              <w:rFonts w:hint="eastAsia" w:ascii="黑体" w:hAnsi="黑体" w:eastAsia="黑体"/>
              <w:bCs w:val="0"/>
              <w:highlight w:val="none"/>
            </w:rPr>
            <w:t>概况</w:t>
          </w:r>
          <w:r>
            <w:tab/>
          </w:r>
          <w:r>
            <w:fldChar w:fldCharType="begin"/>
          </w:r>
          <w:r>
            <w:instrText xml:space="preserve"> PAGEREF _Toc992 \h </w:instrText>
          </w:r>
          <w:r>
            <w:fldChar w:fldCharType="separate"/>
          </w:r>
          <w:r>
            <w:t>1</w:t>
          </w:r>
          <w:r>
            <w:fldChar w:fldCharType="end"/>
          </w:r>
          <w:r>
            <w:rPr>
              <w:rFonts w:hint="eastAsia"/>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40" w:lineRule="exact"/>
            <w:textAlignment w:val="auto"/>
          </w:pPr>
          <w:r>
            <w:rPr>
              <w:rFonts w:hint="eastAsia"/>
              <w:highlight w:val="none"/>
            </w:rPr>
            <w:fldChar w:fldCharType="begin"/>
          </w:r>
          <w:r>
            <w:rPr>
              <w:rFonts w:hint="eastAsia"/>
              <w:highlight w:val="none"/>
            </w:rPr>
            <w:instrText xml:space="preserve"> HYPERLINK \l _Toc17905 </w:instrText>
          </w:r>
          <w:r>
            <w:rPr>
              <w:rFonts w:hint="eastAsia"/>
              <w:highlight w:val="none"/>
            </w:rPr>
            <w:fldChar w:fldCharType="separate"/>
          </w:r>
          <w:r>
            <w:rPr>
              <w:rFonts w:hint="eastAsia" w:ascii="方正小标宋_GBK" w:hAnsi="方正小标宋_GBK" w:eastAsia="方正小标宋_GBK" w:cs="方正小标宋_GBK"/>
              <w:bCs w:val="0"/>
              <w:szCs w:val="32"/>
              <w:lang w:eastAsia="zh-CN"/>
            </w:rPr>
            <w:t xml:space="preserve">一、 </w:t>
          </w:r>
          <w:r>
            <w:rPr>
              <w:rFonts w:hint="eastAsia" w:ascii="方正小标宋_GBK" w:hAnsi="方正小标宋_GBK" w:eastAsia="方正小标宋_GBK" w:cs="方正小标宋_GBK"/>
              <w:bCs w:val="0"/>
              <w:szCs w:val="32"/>
              <w:highlight w:val="none"/>
              <w:lang w:eastAsia="zh-CN"/>
            </w:rPr>
            <w:t>主要职责</w:t>
          </w:r>
          <w:r>
            <w:tab/>
          </w:r>
          <w:r>
            <w:fldChar w:fldCharType="begin"/>
          </w:r>
          <w:r>
            <w:instrText xml:space="preserve"> PAGEREF _Toc17905 \h </w:instrText>
          </w:r>
          <w:r>
            <w:fldChar w:fldCharType="separate"/>
          </w:r>
          <w:r>
            <w:t>1</w:t>
          </w:r>
          <w:r>
            <w:fldChar w:fldCharType="end"/>
          </w:r>
          <w:r>
            <w:rPr>
              <w:rFonts w:hint="eastAsia"/>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40" w:lineRule="exact"/>
            <w:textAlignment w:val="auto"/>
          </w:pPr>
          <w:r>
            <w:rPr>
              <w:rFonts w:hint="eastAsia"/>
              <w:highlight w:val="none"/>
            </w:rPr>
            <w:fldChar w:fldCharType="begin"/>
          </w:r>
          <w:r>
            <w:rPr>
              <w:rFonts w:hint="eastAsia"/>
              <w:highlight w:val="none"/>
            </w:rPr>
            <w:instrText xml:space="preserve"> HYPERLINK \l _Toc25600 </w:instrText>
          </w:r>
          <w:r>
            <w:rPr>
              <w:rFonts w:hint="eastAsia"/>
              <w:highlight w:val="none"/>
            </w:rPr>
            <w:fldChar w:fldCharType="separate"/>
          </w:r>
          <w:r>
            <w:rPr>
              <w:rFonts w:hint="eastAsia" w:ascii="方正小标宋_GBK" w:hAnsi="方正小标宋_GBK" w:eastAsia="方正小标宋_GBK" w:cs="方正小标宋_GBK"/>
              <w:bCs w:val="0"/>
              <w:szCs w:val="32"/>
              <w:lang w:val="en-US" w:eastAsia="zh-CN"/>
            </w:rPr>
            <w:t xml:space="preserve">二、 </w:t>
          </w:r>
          <w:r>
            <w:rPr>
              <w:rFonts w:hint="eastAsia" w:ascii="方正小标宋_GBK" w:hAnsi="方正小标宋_GBK" w:eastAsia="方正小标宋_GBK" w:cs="方正小标宋_GBK"/>
              <w:bCs w:val="0"/>
              <w:szCs w:val="32"/>
              <w:highlight w:val="none"/>
              <w:lang w:val="en-US" w:eastAsia="zh-CN"/>
            </w:rPr>
            <w:t>机构设置</w:t>
          </w:r>
          <w:r>
            <w:tab/>
          </w:r>
          <w:r>
            <w:fldChar w:fldCharType="begin"/>
          </w:r>
          <w:r>
            <w:instrText xml:space="preserve"> PAGEREF _Toc25600 \h </w:instrText>
          </w:r>
          <w:r>
            <w:fldChar w:fldCharType="separate"/>
          </w:r>
          <w:r>
            <w:t>2</w:t>
          </w:r>
          <w:r>
            <w:fldChar w:fldCharType="end"/>
          </w:r>
          <w:r>
            <w:rPr>
              <w:rFonts w:hint="eastAsia"/>
              <w:highlight w:val="none"/>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40" w:lineRule="exact"/>
            <w:textAlignment w:val="auto"/>
          </w:pPr>
          <w:r>
            <w:rPr>
              <w:rFonts w:hint="eastAsia"/>
              <w:highlight w:val="none"/>
            </w:rPr>
            <w:fldChar w:fldCharType="begin"/>
          </w:r>
          <w:r>
            <w:rPr>
              <w:rFonts w:hint="eastAsia"/>
              <w:highlight w:val="none"/>
            </w:rPr>
            <w:instrText xml:space="preserve"> HYPERLINK \l _Toc6462 </w:instrText>
          </w:r>
          <w:r>
            <w:rPr>
              <w:rFonts w:hint="eastAsia"/>
              <w:highlight w:val="none"/>
            </w:rP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2022年度</w:t>
          </w:r>
          <w:r>
            <w:rPr>
              <w:rFonts w:hint="eastAsia" w:ascii="黑体" w:hAnsi="黑体" w:eastAsia="黑体"/>
              <w:bCs/>
              <w:highlight w:val="none"/>
              <w:lang w:eastAsia="zh-CN"/>
            </w:rPr>
            <w:t>单位</w:t>
          </w:r>
          <w:r>
            <w:rPr>
              <w:rFonts w:hint="eastAsia" w:ascii="黑体" w:hAnsi="黑体" w:eastAsia="黑体"/>
              <w:bCs/>
              <w:highlight w:val="none"/>
            </w:rPr>
            <w:t>决算情况说明</w:t>
          </w:r>
          <w:r>
            <w:tab/>
          </w:r>
          <w:r>
            <w:fldChar w:fldCharType="begin"/>
          </w:r>
          <w:r>
            <w:instrText xml:space="preserve"> PAGEREF _Toc6462 \h </w:instrText>
          </w:r>
          <w:r>
            <w:fldChar w:fldCharType="separate"/>
          </w:r>
          <w:r>
            <w:t>3</w:t>
          </w:r>
          <w:r>
            <w:fldChar w:fldCharType="end"/>
          </w:r>
          <w:r>
            <w:rPr>
              <w:rFonts w:hint="eastAsia"/>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40" w:lineRule="exact"/>
            <w:textAlignment w:val="auto"/>
          </w:pPr>
          <w:r>
            <w:rPr>
              <w:rFonts w:hint="eastAsia"/>
              <w:highlight w:val="none"/>
            </w:rPr>
            <w:fldChar w:fldCharType="begin"/>
          </w:r>
          <w:r>
            <w:rPr>
              <w:rFonts w:hint="eastAsia"/>
              <w:highlight w:val="none"/>
            </w:rPr>
            <w:instrText xml:space="preserve"> HYPERLINK \l _Toc22192 </w:instrText>
          </w:r>
          <w:r>
            <w:rPr>
              <w:rFonts w:hint="eastAsia"/>
              <w:highlight w:val="none"/>
            </w:rP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_Toc22192 \h </w:instrText>
          </w:r>
          <w:r>
            <w:fldChar w:fldCharType="separate"/>
          </w:r>
          <w:r>
            <w:t>3</w:t>
          </w:r>
          <w:r>
            <w:fldChar w:fldCharType="end"/>
          </w:r>
          <w:r>
            <w:rPr>
              <w:rFonts w:hint="eastAsia"/>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40" w:lineRule="exact"/>
            <w:textAlignment w:val="auto"/>
          </w:pPr>
          <w:r>
            <w:rPr>
              <w:rFonts w:hint="eastAsia"/>
              <w:highlight w:val="none"/>
            </w:rPr>
            <w:fldChar w:fldCharType="begin"/>
          </w:r>
          <w:r>
            <w:rPr>
              <w:rFonts w:hint="eastAsia"/>
              <w:highlight w:val="none"/>
            </w:rPr>
            <w:instrText xml:space="preserve"> HYPERLINK \l _Toc9353 </w:instrText>
          </w:r>
          <w:r>
            <w:rPr>
              <w:rFonts w:hint="eastAsia"/>
              <w:highlight w:val="none"/>
            </w:rP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_Toc9353 \h </w:instrText>
          </w:r>
          <w:r>
            <w:fldChar w:fldCharType="separate"/>
          </w:r>
          <w:r>
            <w:t>3</w:t>
          </w:r>
          <w:r>
            <w:fldChar w:fldCharType="end"/>
          </w:r>
          <w:r>
            <w:rPr>
              <w:rFonts w:hint="eastAsia"/>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40" w:lineRule="exact"/>
            <w:textAlignment w:val="auto"/>
          </w:pPr>
          <w:r>
            <w:rPr>
              <w:rFonts w:hint="eastAsia"/>
              <w:highlight w:val="none"/>
            </w:rPr>
            <w:fldChar w:fldCharType="begin"/>
          </w:r>
          <w:r>
            <w:rPr>
              <w:rFonts w:hint="eastAsia"/>
              <w:highlight w:val="none"/>
            </w:rPr>
            <w:instrText xml:space="preserve"> HYPERLINK \l _Toc23746 </w:instrText>
          </w:r>
          <w:r>
            <w:rPr>
              <w:rFonts w:hint="eastAsia"/>
              <w:highlight w:val="none"/>
            </w:rP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_Toc23746 \h </w:instrText>
          </w:r>
          <w:r>
            <w:fldChar w:fldCharType="separate"/>
          </w:r>
          <w:r>
            <w:t>4</w:t>
          </w:r>
          <w:r>
            <w:fldChar w:fldCharType="end"/>
          </w:r>
          <w:r>
            <w:rPr>
              <w:rFonts w:hint="eastAsia"/>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40" w:lineRule="exact"/>
            <w:textAlignment w:val="auto"/>
          </w:pPr>
          <w:r>
            <w:rPr>
              <w:rFonts w:hint="eastAsia"/>
              <w:highlight w:val="none"/>
            </w:rPr>
            <w:fldChar w:fldCharType="begin"/>
          </w:r>
          <w:r>
            <w:rPr>
              <w:rFonts w:hint="eastAsia"/>
              <w:highlight w:val="none"/>
            </w:rPr>
            <w:instrText xml:space="preserve"> HYPERLINK \l _Toc19134 </w:instrText>
          </w:r>
          <w:r>
            <w:rPr>
              <w:rFonts w:hint="eastAsia"/>
              <w:highlight w:val="none"/>
            </w:rP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_Toc19134 \h </w:instrText>
          </w:r>
          <w:r>
            <w:fldChar w:fldCharType="separate"/>
          </w:r>
          <w:r>
            <w:t>4</w:t>
          </w:r>
          <w:r>
            <w:fldChar w:fldCharType="end"/>
          </w:r>
          <w:r>
            <w:rPr>
              <w:rFonts w:hint="eastAsia"/>
              <w:highlight w:val="none"/>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40" w:lineRule="exact"/>
            <w:textAlignment w:val="auto"/>
            <w:rPr>
              <w:rFonts w:hint="eastAsia" w:ascii="黑体" w:hAnsi="Times New Roman" w:eastAsia="黑体" w:cs="Times New Roman"/>
              <w:kern w:val="2"/>
              <w:sz w:val="21"/>
              <w:szCs w:val="32"/>
              <w:highlight w:val="none"/>
              <w:lang w:val="en-US" w:eastAsia="zh-CN" w:bidi="ar-SA"/>
            </w:rPr>
          </w:pPr>
          <w:r>
            <w:rPr>
              <w:rFonts w:hint="eastAsia"/>
              <w:highlight w:val="none"/>
              <w:lang w:val="en-US" w:eastAsia="zh-CN"/>
            </w:rPr>
            <w:t xml:space="preserve">   </w:t>
          </w:r>
          <w:r>
            <w:rPr>
              <w:rFonts w:hint="eastAsia" w:ascii="黑体" w:hAnsi="Times New Roman" w:eastAsia="黑体" w:cs="Times New Roman"/>
              <w:kern w:val="2"/>
              <w:sz w:val="21"/>
              <w:szCs w:val="32"/>
              <w:highlight w:val="none"/>
              <w:lang w:val="en-US" w:eastAsia="zh-CN" w:bidi="ar-SA"/>
            </w:rPr>
            <w:fldChar w:fldCharType="begin"/>
          </w:r>
          <w:r>
            <w:rPr>
              <w:rFonts w:hint="eastAsia" w:ascii="黑体" w:hAnsi="Times New Roman" w:eastAsia="黑体" w:cs="Times New Roman"/>
              <w:kern w:val="2"/>
              <w:sz w:val="21"/>
              <w:szCs w:val="32"/>
              <w:highlight w:val="none"/>
              <w:lang w:val="en-US" w:eastAsia="zh-CN" w:bidi="ar-SA"/>
            </w:rPr>
            <w:instrText xml:space="preserve"> HYPERLINK \l _Toc9029 </w:instrText>
          </w:r>
          <w:r>
            <w:rPr>
              <w:rFonts w:hint="eastAsia" w:ascii="黑体" w:hAnsi="Times New Roman" w:eastAsia="黑体" w:cs="Times New Roman"/>
              <w:kern w:val="2"/>
              <w:sz w:val="21"/>
              <w:szCs w:val="32"/>
              <w:highlight w:val="none"/>
              <w:lang w:val="en-US" w:eastAsia="zh-CN" w:bidi="ar-SA"/>
            </w:rPr>
            <w:fldChar w:fldCharType="separate"/>
          </w:r>
          <w:r>
            <w:rPr>
              <w:rFonts w:hint="eastAsia" w:ascii="黑体" w:hAnsi="Times New Roman" w:eastAsia="黑体" w:cs="Times New Roman"/>
              <w:kern w:val="2"/>
              <w:sz w:val="21"/>
              <w:szCs w:val="32"/>
              <w:highlight w:val="none"/>
              <w:lang w:val="en-US" w:eastAsia="zh-CN" w:bidi="ar-SA"/>
            </w:rPr>
            <w:t>五、一般公共预算财政拨款支出决算情况说明</w:t>
          </w:r>
          <w:r>
            <w:rPr>
              <w:rFonts w:hint="eastAsia" w:ascii="黑体" w:hAnsi="Times New Roman" w:eastAsia="黑体" w:cs="Times New Roman"/>
              <w:kern w:val="2"/>
              <w:sz w:val="21"/>
              <w:szCs w:val="32"/>
              <w:highlight w:val="none"/>
              <w:lang w:val="en-US" w:eastAsia="zh-CN" w:bidi="ar-SA"/>
            </w:rPr>
            <w:tab/>
          </w:r>
          <w:r>
            <w:rPr>
              <w:rFonts w:hint="eastAsia" w:ascii="黑体" w:hAnsi="Times New Roman" w:eastAsia="黑体" w:cs="Times New Roman"/>
              <w:kern w:val="2"/>
              <w:sz w:val="21"/>
              <w:szCs w:val="32"/>
              <w:highlight w:val="none"/>
              <w:lang w:val="en-US" w:eastAsia="zh-CN" w:bidi="ar-SA"/>
            </w:rPr>
            <w:fldChar w:fldCharType="begin"/>
          </w:r>
          <w:r>
            <w:rPr>
              <w:rFonts w:hint="eastAsia" w:ascii="黑体" w:hAnsi="Times New Roman" w:eastAsia="黑体" w:cs="Times New Roman"/>
              <w:kern w:val="2"/>
              <w:sz w:val="21"/>
              <w:szCs w:val="32"/>
              <w:highlight w:val="none"/>
              <w:lang w:val="en-US" w:eastAsia="zh-CN" w:bidi="ar-SA"/>
            </w:rPr>
            <w:instrText xml:space="preserve"> PAGEREF _Toc9029 \h </w:instrText>
          </w:r>
          <w:r>
            <w:rPr>
              <w:rFonts w:hint="eastAsia" w:ascii="黑体" w:hAnsi="Times New Roman" w:eastAsia="黑体" w:cs="Times New Roman"/>
              <w:kern w:val="2"/>
              <w:sz w:val="21"/>
              <w:szCs w:val="32"/>
              <w:highlight w:val="none"/>
              <w:lang w:val="en-US" w:eastAsia="zh-CN" w:bidi="ar-SA"/>
            </w:rPr>
            <w:fldChar w:fldCharType="separate"/>
          </w:r>
          <w:r>
            <w:rPr>
              <w:rFonts w:hint="eastAsia" w:ascii="黑体" w:hAnsi="Times New Roman" w:eastAsia="黑体" w:cs="Times New Roman"/>
              <w:kern w:val="2"/>
              <w:sz w:val="21"/>
              <w:szCs w:val="32"/>
              <w:highlight w:val="none"/>
              <w:lang w:val="en-US" w:eastAsia="zh-CN" w:bidi="ar-SA"/>
            </w:rPr>
            <w:t>5</w:t>
          </w:r>
          <w:r>
            <w:rPr>
              <w:rFonts w:hint="eastAsia" w:ascii="黑体" w:hAnsi="Times New Roman" w:eastAsia="黑体" w:cs="Times New Roman"/>
              <w:kern w:val="2"/>
              <w:sz w:val="21"/>
              <w:szCs w:val="32"/>
              <w:highlight w:val="none"/>
              <w:lang w:val="en-US" w:eastAsia="zh-CN" w:bidi="ar-SA"/>
            </w:rPr>
            <w:fldChar w:fldCharType="end"/>
          </w:r>
          <w:r>
            <w:rPr>
              <w:rFonts w:hint="eastAsia" w:ascii="黑体" w:hAnsi="Times New Roman" w:eastAsia="黑体" w:cs="Times New Roman"/>
              <w:kern w:val="2"/>
              <w:sz w:val="21"/>
              <w:szCs w:val="32"/>
              <w:highlight w:val="none"/>
              <w:lang w:val="en-US" w:eastAsia="zh-CN" w:bidi="ar-SA"/>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40" w:lineRule="exact"/>
            <w:textAlignment w:val="auto"/>
          </w:pPr>
          <w:r>
            <w:rPr>
              <w:rFonts w:hint="eastAsia"/>
              <w:highlight w:val="none"/>
            </w:rPr>
            <w:fldChar w:fldCharType="begin"/>
          </w:r>
          <w:r>
            <w:rPr>
              <w:rFonts w:hint="eastAsia"/>
              <w:highlight w:val="none"/>
            </w:rPr>
            <w:instrText xml:space="preserve"> HYPERLINK \l _Toc11498 </w:instrText>
          </w:r>
          <w:r>
            <w:rPr>
              <w:rFonts w:hint="eastAsia"/>
              <w:highlight w:val="none"/>
            </w:rP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_Toc11498 \h </w:instrText>
          </w:r>
          <w:r>
            <w:fldChar w:fldCharType="separate"/>
          </w:r>
          <w:r>
            <w:t>8</w:t>
          </w:r>
          <w:r>
            <w:fldChar w:fldCharType="end"/>
          </w:r>
          <w:r>
            <w:rPr>
              <w:rFonts w:hint="eastAsia"/>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40" w:lineRule="exact"/>
            <w:textAlignment w:val="auto"/>
          </w:pPr>
          <w:r>
            <w:rPr>
              <w:rFonts w:hint="eastAsia"/>
              <w:highlight w:val="none"/>
            </w:rPr>
            <w:fldChar w:fldCharType="begin"/>
          </w:r>
          <w:r>
            <w:rPr>
              <w:rFonts w:hint="eastAsia"/>
              <w:highlight w:val="none"/>
            </w:rPr>
            <w:instrText xml:space="preserve"> HYPERLINK \l _Toc30654 </w:instrText>
          </w:r>
          <w:r>
            <w:rPr>
              <w:rFonts w:hint="eastAsia"/>
              <w:highlight w:val="none"/>
            </w:rP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_Toc30654 \h </w:instrText>
          </w:r>
          <w:r>
            <w:fldChar w:fldCharType="separate"/>
          </w:r>
          <w:r>
            <w:t>8</w:t>
          </w:r>
          <w:r>
            <w:fldChar w:fldCharType="end"/>
          </w:r>
          <w:r>
            <w:rPr>
              <w:rFonts w:hint="eastAsia"/>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40" w:lineRule="exact"/>
            <w:textAlignment w:val="auto"/>
          </w:pPr>
          <w:r>
            <w:rPr>
              <w:rFonts w:hint="eastAsia"/>
              <w:highlight w:val="none"/>
            </w:rPr>
            <w:fldChar w:fldCharType="begin"/>
          </w:r>
          <w:r>
            <w:rPr>
              <w:rFonts w:hint="eastAsia"/>
              <w:highlight w:val="none"/>
            </w:rPr>
            <w:instrText xml:space="preserve"> HYPERLINK \l _Toc15271 </w:instrText>
          </w:r>
          <w:r>
            <w:rPr>
              <w:rFonts w:hint="eastAsia"/>
              <w:highlight w:val="none"/>
            </w:rPr>
            <w:fldChar w:fldCharType="separate"/>
          </w:r>
          <w:r>
            <w:rPr>
              <w:rFonts w:hint="eastAsia" w:ascii="黑体" w:hAnsi="黑体" w:eastAsia="黑体"/>
              <w:kern w:val="2"/>
              <w:szCs w:val="24"/>
              <w:highlight w:val="none"/>
              <w:lang w:val="zh-CN"/>
            </w:rPr>
            <w:t>八、政府性基金预算支出决算情况说明</w:t>
          </w:r>
          <w:r>
            <w:tab/>
          </w:r>
          <w:r>
            <w:fldChar w:fldCharType="begin"/>
          </w:r>
          <w:r>
            <w:instrText xml:space="preserve"> PAGEREF _Toc15271 \h </w:instrText>
          </w:r>
          <w:r>
            <w:fldChar w:fldCharType="separate"/>
          </w:r>
          <w:r>
            <w:t>10</w:t>
          </w:r>
          <w:r>
            <w:fldChar w:fldCharType="end"/>
          </w:r>
          <w:r>
            <w:rPr>
              <w:rFonts w:hint="eastAsia"/>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40" w:lineRule="exact"/>
            <w:textAlignment w:val="auto"/>
          </w:pPr>
          <w:r>
            <w:rPr>
              <w:rFonts w:hint="eastAsia"/>
              <w:highlight w:val="none"/>
            </w:rPr>
            <w:fldChar w:fldCharType="begin"/>
          </w:r>
          <w:r>
            <w:rPr>
              <w:rFonts w:hint="eastAsia"/>
              <w:highlight w:val="none"/>
            </w:rPr>
            <w:instrText xml:space="preserve"> HYPERLINK \l _Toc12201 </w:instrText>
          </w:r>
          <w:r>
            <w:rPr>
              <w:rFonts w:hint="eastAsia"/>
              <w:highlight w:val="none"/>
            </w:rPr>
            <w:fldChar w:fldCharType="separate"/>
          </w:r>
          <w:r>
            <w:rPr>
              <w:rFonts w:hint="eastAsia" w:ascii="黑体" w:hAnsi="黑体" w:eastAsia="黑体"/>
              <w:kern w:val="2"/>
              <w:szCs w:val="24"/>
              <w:highlight w:val="none"/>
              <w:lang w:val="zh-CN"/>
            </w:rPr>
            <w:t>九、国有资本经营预算支出决算情况说明</w:t>
          </w:r>
          <w:r>
            <w:tab/>
          </w:r>
          <w:r>
            <w:fldChar w:fldCharType="begin"/>
          </w:r>
          <w:r>
            <w:instrText xml:space="preserve"> PAGEREF _Toc12201 \h </w:instrText>
          </w:r>
          <w:r>
            <w:fldChar w:fldCharType="separate"/>
          </w:r>
          <w:r>
            <w:t>10</w:t>
          </w:r>
          <w:r>
            <w:fldChar w:fldCharType="end"/>
          </w:r>
          <w:r>
            <w:rPr>
              <w:rFonts w:hint="eastAsia"/>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40" w:lineRule="exact"/>
            <w:textAlignment w:val="auto"/>
          </w:pPr>
          <w:r>
            <w:rPr>
              <w:rFonts w:hint="eastAsia"/>
              <w:highlight w:val="none"/>
            </w:rPr>
            <w:fldChar w:fldCharType="begin"/>
          </w:r>
          <w:r>
            <w:rPr>
              <w:rFonts w:hint="eastAsia"/>
              <w:highlight w:val="none"/>
            </w:rPr>
            <w:instrText xml:space="preserve"> HYPERLINK \l _Toc19869 </w:instrText>
          </w:r>
          <w:r>
            <w:rPr>
              <w:rFonts w:hint="eastAsia"/>
              <w:highlight w:val="none"/>
            </w:rPr>
            <w:fldChar w:fldCharType="separate"/>
          </w:r>
          <w:r>
            <w:rPr>
              <w:rFonts w:hint="eastAsia" w:ascii="黑体" w:hAnsi="黑体" w:eastAsia="黑体"/>
              <w:kern w:val="2"/>
              <w:szCs w:val="24"/>
              <w:highlight w:val="none"/>
              <w:lang w:val="zh-CN"/>
            </w:rPr>
            <w:t>十、其他重要事项的情况说明</w:t>
          </w:r>
          <w:r>
            <w:tab/>
          </w:r>
          <w:r>
            <w:fldChar w:fldCharType="begin"/>
          </w:r>
          <w:r>
            <w:instrText xml:space="preserve"> PAGEREF _Toc19869 \h </w:instrText>
          </w:r>
          <w:r>
            <w:fldChar w:fldCharType="separate"/>
          </w:r>
          <w:r>
            <w:t>10</w:t>
          </w:r>
          <w:r>
            <w:fldChar w:fldCharType="end"/>
          </w:r>
          <w:r>
            <w:rPr>
              <w:rFonts w:hint="eastAsia"/>
              <w:highlight w:val="none"/>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40" w:lineRule="exact"/>
            <w:textAlignment w:val="auto"/>
          </w:pPr>
          <w:r>
            <w:rPr>
              <w:rFonts w:hint="eastAsia"/>
              <w:highlight w:val="none"/>
            </w:rPr>
            <w:fldChar w:fldCharType="begin"/>
          </w:r>
          <w:r>
            <w:rPr>
              <w:rFonts w:hint="eastAsia"/>
              <w:highlight w:val="none"/>
            </w:rPr>
            <w:instrText xml:space="preserve"> HYPERLINK \l _Toc6722 </w:instrText>
          </w:r>
          <w:r>
            <w:rPr>
              <w:rFonts w:hint="eastAsia"/>
              <w:highlight w:val="none"/>
            </w:rPr>
            <w:fldChar w:fldCharType="separate"/>
          </w:r>
          <w:r>
            <w:rPr>
              <w:rFonts w:hint="eastAsia" w:ascii="黑体" w:hAnsi="黑体" w:eastAsia="黑体" w:cs="黑体"/>
              <w:szCs w:val="44"/>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_Toc6722 \h </w:instrText>
          </w:r>
          <w:r>
            <w:fldChar w:fldCharType="separate"/>
          </w:r>
          <w:r>
            <w:t>12</w:t>
          </w:r>
          <w:r>
            <w:fldChar w:fldCharType="end"/>
          </w:r>
          <w:r>
            <w:rPr>
              <w:rFonts w:hint="eastAsia"/>
              <w:highlight w:val="none"/>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40" w:lineRule="exact"/>
            <w:textAlignment w:val="auto"/>
          </w:pPr>
          <w:r>
            <w:rPr>
              <w:rFonts w:hint="eastAsia"/>
              <w:highlight w:val="none"/>
            </w:rPr>
            <w:fldChar w:fldCharType="begin"/>
          </w:r>
          <w:r>
            <w:rPr>
              <w:rFonts w:hint="eastAsia"/>
              <w:highlight w:val="none"/>
            </w:rPr>
            <w:instrText xml:space="preserve"> HYPERLINK \l _Toc17280 </w:instrText>
          </w:r>
          <w:r>
            <w:rPr>
              <w:rFonts w:hint="eastAsia"/>
              <w:highlight w:val="none"/>
            </w:rP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fldChar w:fldCharType="begin"/>
          </w:r>
          <w:r>
            <w:instrText xml:space="preserve"> PAGEREF _Toc17280 \h </w:instrText>
          </w:r>
          <w:r>
            <w:fldChar w:fldCharType="separate"/>
          </w:r>
          <w:r>
            <w:t>15</w:t>
          </w:r>
          <w:r>
            <w:fldChar w:fldCharType="end"/>
          </w:r>
          <w:r>
            <w:rPr>
              <w:rFonts w:hint="eastAsia"/>
              <w:highlight w:val="none"/>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40" w:lineRule="exact"/>
            <w:textAlignment w:val="auto"/>
          </w:pPr>
          <w:r>
            <w:rPr>
              <w:rFonts w:hint="eastAsia"/>
              <w:highlight w:val="none"/>
            </w:rPr>
            <w:fldChar w:fldCharType="begin"/>
          </w:r>
          <w:r>
            <w:rPr>
              <w:rFonts w:hint="eastAsia"/>
              <w:highlight w:val="none"/>
            </w:rPr>
            <w:instrText xml:space="preserve"> HYPERLINK \l _Toc7963 </w:instrText>
          </w:r>
          <w:r>
            <w:rPr>
              <w:rFonts w:hint="eastAsia"/>
              <w:highlight w:val="none"/>
            </w:rP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_Toc7963 \h </w:instrText>
          </w:r>
          <w:r>
            <w:fldChar w:fldCharType="separate"/>
          </w:r>
          <w:r>
            <w:t>1</w:t>
          </w:r>
          <w:r>
            <w:fldChar w:fldCharType="end"/>
          </w:r>
          <w:r>
            <w:rPr>
              <w:rFonts w:hint="eastAsia"/>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40" w:lineRule="exact"/>
            <w:textAlignment w:val="auto"/>
          </w:pPr>
          <w:r>
            <w:rPr>
              <w:rFonts w:hint="eastAsia"/>
              <w:highlight w:val="none"/>
            </w:rPr>
            <w:fldChar w:fldCharType="begin"/>
          </w:r>
          <w:r>
            <w:rPr>
              <w:rFonts w:hint="eastAsia"/>
              <w:highlight w:val="none"/>
            </w:rPr>
            <w:instrText xml:space="preserve"> HYPERLINK \l _Toc17633 </w:instrText>
          </w:r>
          <w:r>
            <w:rPr>
              <w:rFonts w:hint="eastAsia"/>
              <w:highlight w:val="none"/>
            </w:rP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_Toc17633 \h </w:instrText>
          </w:r>
          <w:r>
            <w:fldChar w:fldCharType="separate"/>
          </w:r>
          <w:r>
            <w:t>1</w:t>
          </w:r>
          <w:r>
            <w:fldChar w:fldCharType="end"/>
          </w:r>
          <w:r>
            <w:rPr>
              <w:rFonts w:hint="eastAsia"/>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40" w:lineRule="exact"/>
            <w:textAlignment w:val="auto"/>
          </w:pPr>
          <w:r>
            <w:rPr>
              <w:rFonts w:hint="eastAsia"/>
              <w:highlight w:val="none"/>
            </w:rPr>
            <w:fldChar w:fldCharType="begin"/>
          </w:r>
          <w:r>
            <w:rPr>
              <w:rFonts w:hint="eastAsia"/>
              <w:highlight w:val="none"/>
            </w:rPr>
            <w:instrText xml:space="preserve"> HYPERLINK \l _Toc1952 </w:instrText>
          </w:r>
          <w:r>
            <w:rPr>
              <w:rFonts w:hint="eastAsia"/>
              <w:highlight w:val="none"/>
            </w:rP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_Toc1952 \h </w:instrText>
          </w:r>
          <w:r>
            <w:fldChar w:fldCharType="separate"/>
          </w:r>
          <w:r>
            <w:t>1</w:t>
          </w:r>
          <w:r>
            <w:fldChar w:fldCharType="end"/>
          </w:r>
          <w:r>
            <w:rPr>
              <w:rFonts w:hint="eastAsia"/>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40" w:lineRule="exact"/>
            <w:textAlignment w:val="auto"/>
          </w:pPr>
          <w:r>
            <w:rPr>
              <w:rFonts w:hint="eastAsia"/>
              <w:highlight w:val="none"/>
            </w:rPr>
            <w:fldChar w:fldCharType="begin"/>
          </w:r>
          <w:r>
            <w:rPr>
              <w:rFonts w:hint="eastAsia"/>
              <w:highlight w:val="none"/>
            </w:rPr>
            <w:instrText xml:space="preserve"> HYPERLINK \l _Toc22049 </w:instrText>
          </w:r>
          <w:r>
            <w:rPr>
              <w:rFonts w:hint="eastAsia"/>
              <w:highlight w:val="none"/>
            </w:rP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_Toc22049 \h </w:instrText>
          </w:r>
          <w:r>
            <w:fldChar w:fldCharType="separate"/>
          </w:r>
          <w:r>
            <w:t>1</w:t>
          </w:r>
          <w:r>
            <w:fldChar w:fldCharType="end"/>
          </w:r>
          <w:r>
            <w:rPr>
              <w:rFonts w:hint="eastAsia"/>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40" w:lineRule="exact"/>
            <w:textAlignment w:val="auto"/>
          </w:pPr>
          <w:r>
            <w:rPr>
              <w:rFonts w:hint="eastAsia"/>
              <w:highlight w:val="none"/>
            </w:rPr>
            <w:fldChar w:fldCharType="begin"/>
          </w:r>
          <w:r>
            <w:rPr>
              <w:rFonts w:hint="eastAsia"/>
              <w:highlight w:val="none"/>
            </w:rPr>
            <w:instrText xml:space="preserve"> HYPERLINK \l _Toc19854 </w:instrText>
          </w:r>
          <w:r>
            <w:rPr>
              <w:rFonts w:hint="eastAsia"/>
              <w:highlight w:val="none"/>
            </w:rP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_Toc19854 \h </w:instrText>
          </w:r>
          <w:r>
            <w:fldChar w:fldCharType="separate"/>
          </w:r>
          <w:r>
            <w:t>1</w:t>
          </w:r>
          <w:r>
            <w:fldChar w:fldCharType="end"/>
          </w:r>
          <w:r>
            <w:rPr>
              <w:rFonts w:hint="eastAsia"/>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40" w:lineRule="exact"/>
            <w:textAlignment w:val="auto"/>
          </w:pPr>
          <w:r>
            <w:rPr>
              <w:rFonts w:hint="eastAsia"/>
              <w:highlight w:val="none"/>
            </w:rPr>
            <w:fldChar w:fldCharType="begin"/>
          </w:r>
          <w:r>
            <w:rPr>
              <w:rFonts w:hint="eastAsia"/>
              <w:highlight w:val="none"/>
            </w:rPr>
            <w:instrText xml:space="preserve"> HYPERLINK \l _Toc2279 </w:instrText>
          </w:r>
          <w:r>
            <w:rPr>
              <w:rFonts w:hint="eastAsia"/>
              <w:highlight w:val="none"/>
            </w:rP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_Toc2279 \h </w:instrText>
          </w:r>
          <w:r>
            <w:fldChar w:fldCharType="separate"/>
          </w:r>
          <w:r>
            <w:t>1</w:t>
          </w:r>
          <w:r>
            <w:fldChar w:fldCharType="end"/>
          </w:r>
          <w:r>
            <w:rPr>
              <w:rFonts w:hint="eastAsia"/>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40" w:lineRule="exact"/>
            <w:textAlignment w:val="auto"/>
          </w:pPr>
          <w:r>
            <w:rPr>
              <w:rFonts w:hint="eastAsia"/>
              <w:highlight w:val="none"/>
            </w:rPr>
            <w:fldChar w:fldCharType="begin"/>
          </w:r>
          <w:r>
            <w:rPr>
              <w:rFonts w:hint="eastAsia"/>
              <w:highlight w:val="none"/>
            </w:rPr>
            <w:instrText xml:space="preserve"> HYPERLINK \l _Toc21163 </w:instrText>
          </w:r>
          <w:r>
            <w:rPr>
              <w:rFonts w:hint="eastAsia"/>
              <w:highlight w:val="none"/>
            </w:rP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_Toc21163 \h </w:instrText>
          </w:r>
          <w:r>
            <w:fldChar w:fldCharType="separate"/>
          </w:r>
          <w:r>
            <w:t>1</w:t>
          </w:r>
          <w:r>
            <w:fldChar w:fldCharType="end"/>
          </w:r>
          <w:r>
            <w:rPr>
              <w:rFonts w:hint="eastAsia"/>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40" w:lineRule="exact"/>
            <w:textAlignment w:val="auto"/>
          </w:pPr>
          <w:r>
            <w:rPr>
              <w:rFonts w:hint="eastAsia"/>
              <w:highlight w:val="none"/>
            </w:rPr>
            <w:fldChar w:fldCharType="begin"/>
          </w:r>
          <w:r>
            <w:rPr>
              <w:rFonts w:hint="eastAsia"/>
              <w:highlight w:val="none"/>
            </w:rPr>
            <w:instrText xml:space="preserve"> HYPERLINK \l _Toc8162 </w:instrText>
          </w:r>
          <w:r>
            <w:rPr>
              <w:rFonts w:hint="eastAsia"/>
              <w:highlight w:val="none"/>
            </w:rP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_Toc8162 \h </w:instrText>
          </w:r>
          <w:r>
            <w:fldChar w:fldCharType="separate"/>
          </w:r>
          <w:r>
            <w:t>1</w:t>
          </w:r>
          <w:r>
            <w:fldChar w:fldCharType="end"/>
          </w:r>
          <w:r>
            <w:rPr>
              <w:rFonts w:hint="eastAsia"/>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40" w:lineRule="exact"/>
            <w:textAlignment w:val="auto"/>
          </w:pPr>
          <w:r>
            <w:rPr>
              <w:rFonts w:hint="eastAsia"/>
              <w:highlight w:val="none"/>
            </w:rPr>
            <w:fldChar w:fldCharType="begin"/>
          </w:r>
          <w:r>
            <w:rPr>
              <w:rFonts w:hint="eastAsia"/>
              <w:highlight w:val="none"/>
            </w:rPr>
            <w:instrText xml:space="preserve"> HYPERLINK \l _Toc7907 </w:instrText>
          </w:r>
          <w:r>
            <w:rPr>
              <w:rFonts w:hint="eastAsia"/>
              <w:highlight w:val="none"/>
            </w:rP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_Toc7907 \h </w:instrText>
          </w:r>
          <w:r>
            <w:fldChar w:fldCharType="separate"/>
          </w:r>
          <w:r>
            <w:t>1</w:t>
          </w:r>
          <w:r>
            <w:fldChar w:fldCharType="end"/>
          </w:r>
          <w:r>
            <w:rPr>
              <w:rFonts w:hint="eastAsia"/>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40" w:lineRule="exact"/>
            <w:textAlignment w:val="auto"/>
          </w:pPr>
          <w:r>
            <w:rPr>
              <w:rFonts w:hint="eastAsia"/>
              <w:highlight w:val="none"/>
            </w:rPr>
            <w:fldChar w:fldCharType="begin"/>
          </w:r>
          <w:r>
            <w:rPr>
              <w:rFonts w:hint="eastAsia"/>
              <w:highlight w:val="none"/>
            </w:rPr>
            <w:instrText xml:space="preserve"> HYPERLINK \l _Toc31588 </w:instrText>
          </w:r>
          <w:r>
            <w:rPr>
              <w:rFonts w:hint="eastAsia"/>
              <w:highlight w:val="none"/>
            </w:rP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_Toc31588 \h </w:instrText>
          </w:r>
          <w:r>
            <w:fldChar w:fldCharType="separate"/>
          </w:r>
          <w:r>
            <w:t>1</w:t>
          </w:r>
          <w:r>
            <w:fldChar w:fldCharType="end"/>
          </w:r>
          <w:r>
            <w:rPr>
              <w:rFonts w:hint="eastAsia"/>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40" w:lineRule="exact"/>
            <w:textAlignment w:val="auto"/>
          </w:pPr>
          <w:r>
            <w:rPr>
              <w:rFonts w:hint="eastAsia"/>
              <w:highlight w:val="none"/>
            </w:rPr>
            <w:fldChar w:fldCharType="begin"/>
          </w:r>
          <w:r>
            <w:rPr>
              <w:rFonts w:hint="eastAsia"/>
              <w:highlight w:val="none"/>
            </w:rPr>
            <w:instrText xml:space="preserve"> HYPERLINK \l _Toc28937 </w:instrText>
          </w:r>
          <w:r>
            <w:rPr>
              <w:rFonts w:hint="eastAsia"/>
              <w:highlight w:val="none"/>
            </w:rP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_Toc28937 \h </w:instrText>
          </w:r>
          <w:r>
            <w:fldChar w:fldCharType="separate"/>
          </w:r>
          <w:r>
            <w:t>1</w:t>
          </w:r>
          <w:r>
            <w:fldChar w:fldCharType="end"/>
          </w:r>
          <w:r>
            <w:rPr>
              <w:rFonts w:hint="eastAsia"/>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40" w:lineRule="exact"/>
            <w:textAlignment w:val="auto"/>
          </w:pPr>
          <w:r>
            <w:rPr>
              <w:rFonts w:hint="eastAsia"/>
              <w:highlight w:val="none"/>
            </w:rPr>
            <w:fldChar w:fldCharType="begin"/>
          </w:r>
          <w:r>
            <w:rPr>
              <w:rFonts w:hint="eastAsia"/>
              <w:highlight w:val="none"/>
            </w:rPr>
            <w:instrText xml:space="preserve"> HYPERLINK \l _Toc26509 </w:instrText>
          </w:r>
          <w:r>
            <w:rPr>
              <w:rFonts w:hint="eastAsia"/>
              <w:highlight w:val="none"/>
            </w:rP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_Toc26509 \h </w:instrText>
          </w:r>
          <w:r>
            <w:fldChar w:fldCharType="separate"/>
          </w:r>
          <w:r>
            <w:t>1</w:t>
          </w:r>
          <w:r>
            <w:fldChar w:fldCharType="end"/>
          </w:r>
          <w:r>
            <w:rPr>
              <w:rFonts w:hint="eastAsia"/>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40" w:lineRule="exact"/>
            <w:textAlignment w:val="auto"/>
          </w:pPr>
          <w:r>
            <w:rPr>
              <w:rFonts w:hint="eastAsia"/>
              <w:highlight w:val="none"/>
            </w:rPr>
            <w:fldChar w:fldCharType="begin"/>
          </w:r>
          <w:r>
            <w:rPr>
              <w:rFonts w:hint="eastAsia"/>
              <w:highlight w:val="none"/>
            </w:rPr>
            <w:instrText xml:space="preserve"> HYPERLINK \l _Toc21207 </w:instrText>
          </w:r>
          <w:r>
            <w:rPr>
              <w:rFonts w:hint="eastAsia"/>
              <w:highlight w:val="none"/>
            </w:rP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_Toc21207 \h </w:instrText>
          </w:r>
          <w:r>
            <w:fldChar w:fldCharType="separate"/>
          </w:r>
          <w:r>
            <w:t>1</w:t>
          </w:r>
          <w:r>
            <w:fldChar w:fldCharType="end"/>
          </w:r>
          <w:r>
            <w:rPr>
              <w:rFonts w:hint="eastAsia"/>
              <w:highlight w:val="none"/>
            </w:rPr>
            <w:fldChar w:fldCharType="end"/>
          </w:r>
        </w:p>
        <w:p>
          <w:pPr>
            <w:pStyle w:val="12"/>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40" w:lineRule="exact"/>
            <w:textAlignment w:val="auto"/>
          </w:pPr>
          <w:r>
            <w:rPr>
              <w:rFonts w:hint="eastAsia"/>
              <w:highlight w:val="none"/>
            </w:rPr>
            <w:fldChar w:fldCharType="begin"/>
          </w:r>
          <w:r>
            <w:rPr>
              <w:rFonts w:hint="eastAsia"/>
              <w:highlight w:val="none"/>
            </w:rPr>
            <w:instrText xml:space="preserve"> HYPERLINK \l _Toc25832 </w:instrText>
          </w:r>
          <w:r>
            <w:rPr>
              <w:rFonts w:hint="eastAsia"/>
              <w:highlight w:val="none"/>
            </w:rP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_Toc25832 \h </w:instrText>
          </w:r>
          <w:r>
            <w:fldChar w:fldCharType="separate"/>
          </w:r>
          <w:r>
            <w:t>1</w:t>
          </w:r>
          <w:r>
            <w:fldChar w:fldCharType="end"/>
          </w:r>
          <w:r>
            <w:rPr>
              <w:rFonts w:hint="eastAsia"/>
              <w:highlight w:val="none"/>
            </w:rPr>
            <w:fldChar w:fldCharType="end"/>
          </w:r>
        </w:p>
        <w:p>
          <w:pPr>
            <w:pStyle w:val="2"/>
            <w:shd w:val="clear"/>
            <w:rPr>
              <w:rFonts w:hint="eastAsia"/>
              <w:highlight w:val="none"/>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highlight w:val="none"/>
            </w:rPr>
            <w:fldChar w:fldCharType="end"/>
          </w:r>
        </w:p>
      </w:sdtContent>
    </w:sdt>
    <w:p>
      <w:pPr>
        <w:pStyle w:val="3"/>
        <w:pageBreakBefore w:val="0"/>
        <w:shd w:val="clear"/>
        <w:kinsoku/>
        <w:wordWrap/>
        <w:overflowPunct/>
        <w:topLinePunct w:val="0"/>
        <w:autoSpaceDE/>
        <w:autoSpaceDN/>
        <w:bidi w:val="0"/>
        <w:adjustRightInd/>
        <w:snapToGrid/>
        <w:spacing w:line="560" w:lineRule="exact"/>
        <w:ind w:firstLine="880" w:firstLineChars="200"/>
        <w:jc w:val="center"/>
        <w:textAlignment w:val="auto"/>
        <w:rPr>
          <w:rStyle w:val="17"/>
          <w:rFonts w:ascii="黑体" w:hAnsi="黑体" w:eastAsia="黑体"/>
          <w:b/>
          <w:bCs w:val="0"/>
          <w:color w:val="auto"/>
          <w:highlight w:val="none"/>
        </w:rPr>
      </w:pPr>
      <w:bookmarkStart w:id="20" w:name="_Toc992"/>
      <w:bookmarkStart w:id="21" w:name="_Toc698346174_WPSOffice_Level1"/>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17"/>
          <w:rFonts w:hint="eastAsia" w:ascii="黑体" w:hAnsi="黑体" w:eastAsia="黑体"/>
          <w:b w:val="0"/>
          <w:bCs w:val="0"/>
          <w:color w:val="auto"/>
          <w:highlight w:val="none"/>
        </w:rPr>
        <w:t>概况</w:t>
      </w:r>
      <w:bookmarkEnd w:id="20"/>
      <w:bookmarkEnd w:id="21"/>
    </w:p>
    <w:p>
      <w:pPr>
        <w:pStyle w:val="4"/>
        <w:pageBreakBefore w:val="0"/>
        <w:numPr>
          <w:ilvl w:val="0"/>
          <w:numId w:val="1"/>
        </w:numPr>
        <w:shd w:val="clear"/>
        <w:kinsoku/>
        <w:wordWrap/>
        <w:overflowPunct/>
        <w:topLinePunct w:val="0"/>
        <w:autoSpaceDE/>
        <w:autoSpaceDN/>
        <w:bidi w:val="0"/>
        <w:adjustRightInd/>
        <w:snapToGrid/>
        <w:spacing w:before="0" w:after="0" w:line="560" w:lineRule="exact"/>
        <w:ind w:firstLine="640" w:firstLineChars="200"/>
        <w:textAlignment w:val="auto"/>
        <w:rPr>
          <w:rStyle w:val="18"/>
          <w:rFonts w:hint="eastAsia" w:ascii="方正小标宋_GBK" w:hAnsi="方正小标宋_GBK" w:eastAsia="方正小标宋_GBK" w:cs="方正小标宋_GBK"/>
          <w:b w:val="0"/>
          <w:bCs w:val="0"/>
          <w:color w:val="auto"/>
          <w:sz w:val="32"/>
          <w:szCs w:val="32"/>
          <w:highlight w:val="none"/>
          <w:lang w:eastAsia="zh-CN"/>
        </w:rPr>
      </w:pPr>
      <w:bookmarkStart w:id="22" w:name="_Toc17905"/>
      <w:bookmarkStart w:id="23" w:name="_Toc1105666732_WPSOffice_Level2"/>
      <w:bookmarkStart w:id="24" w:name="_Toc15377197"/>
      <w:bookmarkStart w:id="25" w:name="_Toc15396600"/>
      <w:r>
        <w:rPr>
          <w:rStyle w:val="18"/>
          <w:rFonts w:hint="eastAsia" w:ascii="方正小标宋_GBK" w:hAnsi="方正小标宋_GBK" w:eastAsia="方正小标宋_GBK" w:cs="方正小标宋_GBK"/>
          <w:b w:val="0"/>
          <w:bCs w:val="0"/>
          <w:color w:val="auto"/>
          <w:sz w:val="32"/>
          <w:szCs w:val="32"/>
          <w:highlight w:val="none"/>
          <w:lang w:eastAsia="zh-CN"/>
        </w:rPr>
        <w:t>主要职责</w:t>
      </w:r>
      <w:bookmarkEnd w:id="22"/>
      <w:bookmarkEnd w:id="2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1．负责贯彻执行国家有关交通运输行业的方针、政策和法律、法规。组织拟订并监督实施公路、水路等行业规划、政策和标准，会同相关部门组织编制综合运输体系规划，参与拟订物流业发展战略和规划。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2．拟订全市交通运输政策规定，负责本系统、本部门依法行政工作，落实行政执法责任制。指导公路、水路行业有关体制改革工作。承担地方高速公路管理的有关工作。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3．承担道路、水路交通运输市场监管责任，组织制订道路、水路运输有关政策并监督实施。指导城乡客运管理工作，指导出租汽车行业管理工作，会同相关部门制定运输价格。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4．承担水上交通安全监管责任。负责水上交通管制、运输船舶及相关水上设施检验、登记和防止污染、救助打捞、通讯导航、危险品运输的监督管理工作，负责船员管理相关工作；指导水上交通安全事故、船舶及相关水上设施污染事故的应急处置，依法组织或参与事故调查处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5．负责提出公路、水路固定资产投资规模和方向、市财政性资金安排建议，按照规定权限审批、核准国家、省、市规划内和年度计划规模内固定资产投资项目；会同相关部门拟订公路、水路有关规费政策并监督实施，提出有关财政、土地、价格等政策建议；指导交通运输行业审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6．承担公路、水路建设市场监管责任。拟订公路、水路工程建设相关政策、制度、技术标准并监督实施，组织实施公路、水路有关重点工程建设和工程质量、安全生产监督管理工作；负责对交通行业和产业项目的招标投标活动的监督执法；指导交通运输基础设施管理和维护，承担有关重要设施的管理和维护；按规定负责港口规划和港口岸线使用管理工作；负责公路、桥梁、隧道收取通行费及站卡设置的协调和归口管理，指导交通运输行业特许经营管理；会同相关部门组织实施交通运输行业职业资格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7．指导公路、水路行业安全生产和应急管理工作。按规定组织协调国家及省市重点物资和紧急客货运输，负责重点干线路网运行监测和协调；组织协调地方交通战备工作，承担国防动员有关工作。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8．贯彻实施交通运输科技政策，组织重大科技开发；指导交通运输信息化建设，监测分析运行情况，开展相关统计工作，发布有关信息。指导公路、水路行业环境保护和节能减排工作。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9．负责公路、水路有关涉外工作，开展对外经济技术交流与合作，指导全市交通运输行业招商引资和利用外资工作。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10．承担市政府公布的有关行政审批事项。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11．承办市政府交办的其他事项。</w:t>
      </w:r>
    </w:p>
    <w:p>
      <w:pPr>
        <w:pStyle w:val="4"/>
        <w:pageBreakBefore w:val="0"/>
        <w:numPr>
          <w:ilvl w:val="0"/>
          <w:numId w:val="1"/>
        </w:numPr>
        <w:shd w:val="clear"/>
        <w:kinsoku/>
        <w:wordWrap/>
        <w:overflowPunct/>
        <w:topLinePunct w:val="0"/>
        <w:autoSpaceDE/>
        <w:autoSpaceDN/>
        <w:bidi w:val="0"/>
        <w:adjustRightInd/>
        <w:snapToGrid/>
        <w:spacing w:before="0" w:after="0" w:line="560" w:lineRule="exact"/>
        <w:ind w:firstLine="640" w:firstLineChars="200"/>
        <w:textAlignment w:val="auto"/>
        <w:rPr>
          <w:rStyle w:val="18"/>
          <w:rFonts w:hint="eastAsia" w:ascii="方正小标宋_GBK" w:hAnsi="方正小标宋_GBK" w:eastAsia="方正小标宋_GBK" w:cs="方正小标宋_GBK"/>
          <w:b w:val="0"/>
          <w:bCs w:val="0"/>
          <w:color w:val="auto"/>
          <w:sz w:val="32"/>
          <w:szCs w:val="32"/>
          <w:highlight w:val="none"/>
          <w:lang w:val="en-US" w:eastAsia="zh-CN"/>
        </w:rPr>
      </w:pPr>
      <w:bookmarkStart w:id="26" w:name="_Toc25600"/>
      <w:bookmarkStart w:id="27" w:name="_Toc782425135_WPSOffice_Level2"/>
      <w:r>
        <w:rPr>
          <w:rStyle w:val="18"/>
          <w:rFonts w:hint="eastAsia" w:ascii="方正小标宋_GBK" w:hAnsi="方正小标宋_GBK" w:eastAsia="方正小标宋_GBK" w:cs="方正小标宋_GBK"/>
          <w:b w:val="0"/>
          <w:bCs w:val="0"/>
          <w:color w:val="auto"/>
          <w:sz w:val="32"/>
          <w:szCs w:val="32"/>
          <w:highlight w:val="none"/>
          <w:lang w:val="en-US" w:eastAsia="zh-CN"/>
        </w:rPr>
        <w:t>机构设置</w:t>
      </w:r>
      <w:bookmarkEnd w:id="26"/>
      <w:bookmarkEnd w:id="2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1" w:after="0" w:afterAutospacing="1" w:line="56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市交通运输局机关为</w:t>
      </w:r>
      <w:r>
        <w:rPr>
          <w:rFonts w:hint="default" w:ascii="仿宋_GB2312" w:hAnsi="仿宋_GB2312" w:eastAsia="仿宋_GB2312" w:cs="仿宋_GB2312"/>
          <w:i w:val="0"/>
          <w:caps w:val="0"/>
          <w:color w:val="auto"/>
          <w:spacing w:val="0"/>
          <w:kern w:val="0"/>
          <w:sz w:val="32"/>
          <w:szCs w:val="32"/>
          <w:highlight w:val="none"/>
          <w:shd w:val="clear" w:color="auto" w:fill="FFFFFF"/>
          <w:lang w:eastAsia="zh-CN" w:bidi="ar"/>
        </w:rPr>
        <w:t>市交通局部门</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二级预算单位。</w:t>
      </w:r>
      <w:r>
        <w:rPr>
          <w:rFonts w:ascii="仿宋" w:hAnsi="仿宋" w:eastAsia="仿宋" w:cs="仿宋"/>
          <w:kern w:val="2"/>
          <w:sz w:val="32"/>
          <w:szCs w:val="32"/>
          <w:lang w:val="en-US" w:eastAsia="zh-CN" w:bidi="ar"/>
        </w:rPr>
        <w:t>下设独立编制机构</w:t>
      </w:r>
      <w:r>
        <w:rPr>
          <w:rFonts w:hint="default" w:ascii="仿宋" w:hAnsi="仿宋" w:eastAsia="仿宋" w:cs="仿宋"/>
          <w:kern w:val="2"/>
          <w:sz w:val="32"/>
          <w:szCs w:val="32"/>
          <w:lang w:val="en-US" w:eastAsia="zh-CN" w:bidi="ar"/>
        </w:rPr>
        <w:t>1个，其中行政机关</w:t>
      </w:r>
      <w:r>
        <w:rPr>
          <w:rFonts w:hint="default" w:ascii="仿宋" w:hAnsi="仿宋" w:eastAsia="仿宋" w:cs="仿宋"/>
          <w:kern w:val="2"/>
          <w:sz w:val="32"/>
          <w:szCs w:val="32"/>
          <w:lang w:eastAsia="zh-CN" w:bidi="ar"/>
        </w:rPr>
        <w:t>1</w:t>
      </w:r>
      <w:r>
        <w:rPr>
          <w:rFonts w:hint="default" w:ascii="仿宋" w:hAnsi="仿宋" w:eastAsia="仿宋" w:cs="仿宋"/>
          <w:kern w:val="2"/>
          <w:sz w:val="32"/>
          <w:szCs w:val="32"/>
          <w:lang w:val="en-US" w:eastAsia="zh-CN" w:bidi="ar"/>
        </w:rPr>
        <w:t>个，参照公务员法管理的事业机构0个，其他事业机构</w:t>
      </w:r>
      <w:r>
        <w:rPr>
          <w:rFonts w:hint="default" w:ascii="仿宋" w:hAnsi="仿宋" w:eastAsia="仿宋" w:cs="仿宋"/>
          <w:kern w:val="2"/>
          <w:sz w:val="32"/>
          <w:szCs w:val="32"/>
          <w:lang w:eastAsia="zh-CN" w:bidi="ar"/>
        </w:rPr>
        <w:t>0</w:t>
      </w:r>
      <w:r>
        <w:rPr>
          <w:rFonts w:hint="default" w:ascii="仿宋" w:hAnsi="仿宋" w:eastAsia="仿宋" w:cs="仿宋"/>
          <w:kern w:val="2"/>
          <w:sz w:val="32"/>
          <w:szCs w:val="32"/>
          <w:lang w:val="en-US" w:eastAsia="zh-CN" w:bidi="ar"/>
        </w:rPr>
        <w:t>个。</w:t>
      </w:r>
    </w:p>
    <w:p>
      <w:pPr>
        <w:shd w:val="clea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br w:type="page"/>
      </w:r>
    </w:p>
    <w:bookmarkEnd w:id="24"/>
    <w:bookmarkEnd w:id="25"/>
    <w:p>
      <w:pPr>
        <w:pStyle w:val="3"/>
        <w:pageBreakBefore w:val="0"/>
        <w:widowControl w:val="0"/>
        <w:shd w:val="clear"/>
        <w:kinsoku/>
        <w:wordWrap/>
        <w:overflowPunct/>
        <w:topLinePunct w:val="0"/>
        <w:bidi w:val="0"/>
        <w:snapToGrid/>
        <w:spacing w:before="0" w:after="0" w:line="560" w:lineRule="exact"/>
        <w:ind w:left="0" w:right="0" w:firstLine="880" w:firstLineChars="200"/>
        <w:jc w:val="center"/>
        <w:textAlignment w:val="auto"/>
        <w:rPr>
          <w:rStyle w:val="17"/>
          <w:rFonts w:ascii="黑体" w:hAnsi="黑体" w:eastAsia="黑体"/>
          <w:b w:val="0"/>
          <w:bCs/>
          <w:color w:val="auto"/>
          <w:highlight w:val="none"/>
        </w:rPr>
      </w:pPr>
      <w:bookmarkStart w:id="28" w:name="_Toc6462"/>
      <w:bookmarkStart w:id="29" w:name="_Toc15396602"/>
      <w:bookmarkStart w:id="30" w:name="_Toc15377204"/>
      <w:bookmarkStart w:id="31" w:name="_Toc1105666732_WPSOffice_Level1"/>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17"/>
          <w:rFonts w:hint="eastAsia" w:ascii="黑体" w:hAnsi="黑体" w:eastAsia="黑体"/>
          <w:b w:val="0"/>
          <w:bCs/>
          <w:color w:val="auto"/>
          <w:highlight w:val="none"/>
          <w:lang w:eastAsia="zh-CN"/>
        </w:rPr>
        <w:t>单位</w:t>
      </w:r>
      <w:r>
        <w:rPr>
          <w:rStyle w:val="17"/>
          <w:rFonts w:hint="eastAsia" w:ascii="黑体" w:hAnsi="黑体" w:eastAsia="黑体"/>
          <w:b w:val="0"/>
          <w:bCs/>
          <w:color w:val="auto"/>
          <w:highlight w:val="none"/>
        </w:rPr>
        <w:t>决算情况说明</w:t>
      </w:r>
      <w:bookmarkEnd w:id="28"/>
      <w:bookmarkEnd w:id="29"/>
      <w:bookmarkEnd w:id="30"/>
      <w:bookmarkEnd w:id="31"/>
    </w:p>
    <w:p>
      <w:pPr>
        <w:pageBreakBefore w:val="0"/>
        <w:widowControl w:val="0"/>
        <w:shd w:val="clear"/>
        <w:kinsoku/>
        <w:wordWrap/>
        <w:overflowPunct/>
        <w:topLinePunct w:val="0"/>
        <w:bidi w:val="0"/>
        <w:snapToGrid/>
        <w:spacing w:line="560" w:lineRule="exact"/>
        <w:ind w:left="0" w:right="0" w:firstLine="420" w:firstLineChars="200"/>
        <w:textAlignment w:val="auto"/>
        <w:rPr>
          <w:color w:val="auto"/>
          <w:highlight w:val="none"/>
        </w:rPr>
      </w:pPr>
    </w:p>
    <w:p>
      <w:pPr>
        <w:pStyle w:val="27"/>
        <w:pageBreakBefore w:val="0"/>
        <w:widowControl w:val="0"/>
        <w:numPr>
          <w:ilvl w:val="0"/>
          <w:numId w:val="2"/>
        </w:numPr>
        <w:shd w:val="clear"/>
        <w:kinsoku/>
        <w:wordWrap/>
        <w:overflowPunct/>
        <w:topLinePunct w:val="0"/>
        <w:bidi w:val="0"/>
        <w:snapToGrid/>
        <w:spacing w:line="560" w:lineRule="exact"/>
        <w:ind w:left="0" w:right="0" w:firstLine="640" w:firstLineChars="200"/>
        <w:textAlignment w:val="auto"/>
        <w:outlineLvl w:val="1"/>
        <w:rPr>
          <w:rStyle w:val="18"/>
          <w:rFonts w:ascii="黑体" w:hAnsi="黑体" w:eastAsia="黑体"/>
          <w:b w:val="0"/>
          <w:color w:val="auto"/>
          <w:highlight w:val="none"/>
        </w:rPr>
      </w:pPr>
      <w:bookmarkStart w:id="32" w:name="_Toc15377205"/>
      <w:bookmarkStart w:id="33" w:name="_Toc219166499_WPSOffice_Level2"/>
      <w:bookmarkStart w:id="34" w:name="_Toc15396603"/>
      <w:bookmarkStart w:id="35" w:name="_Toc22192"/>
      <w:r>
        <w:rPr>
          <w:rFonts w:hint="eastAsia" w:ascii="黑体" w:hAnsi="黑体" w:eastAsia="黑体"/>
          <w:color w:val="auto"/>
          <w:sz w:val="32"/>
          <w:szCs w:val="32"/>
          <w:highlight w:val="none"/>
        </w:rPr>
        <w:t>收</w:t>
      </w:r>
      <w:r>
        <w:rPr>
          <w:rStyle w:val="18"/>
          <w:rFonts w:hint="eastAsia" w:ascii="黑体" w:hAnsi="黑体" w:eastAsia="黑体"/>
          <w:b w:val="0"/>
          <w:color w:val="auto"/>
          <w:highlight w:val="none"/>
        </w:rPr>
        <w:t>入支出决算总体情况说明</w:t>
      </w:r>
      <w:bookmarkEnd w:id="32"/>
      <w:bookmarkEnd w:id="33"/>
      <w:bookmarkEnd w:id="34"/>
      <w:bookmarkEnd w:id="35"/>
    </w:p>
    <w:p>
      <w:pPr>
        <w:keepNext/>
        <w:keepLines/>
        <w:shd w:val="clear"/>
        <w:spacing w:beforeLines="0" w:afterLines="0" w:line="576" w:lineRule="exact"/>
        <w:ind w:firstLine="64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2022年度收、支总计17,310.61万元。与2021年相比，收、支总计各减少17,167.47万元，下降49.8%。主要变动原因是政府性基金预算财政拨款收入减少。</w:t>
      </w:r>
    </w:p>
    <w:p>
      <w:pPr>
        <w:pageBreakBefore w:val="0"/>
        <w:widowControl w:val="0"/>
        <w:shd w:val="clear"/>
        <w:kinsoku/>
        <w:wordWrap/>
        <w:overflowPunct/>
        <w:topLinePunct w:val="0"/>
        <w:bidi w:val="0"/>
        <w:snapToGrid/>
        <w:spacing w:line="560" w:lineRule="exact"/>
        <w:ind w:left="0" w:right="0" w:firstLine="640" w:firstLineChars="200"/>
        <w:textAlignment w:val="auto"/>
        <w:rPr>
          <w:rFonts w:ascii="仿宋" w:hAnsi="仿宋" w:eastAsia="仿宋"/>
          <w:color w:val="auto"/>
          <w:sz w:val="32"/>
          <w:szCs w:val="32"/>
          <w:highlight w:val="none"/>
        </w:rPr>
      </w:pPr>
      <w:r>
        <w:rPr>
          <w:rFonts w:hint="eastAsia" w:ascii="仿宋_GB2312" w:eastAsia="仿宋_GB2312"/>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137795</wp:posOffset>
            </wp:positionH>
            <wp:positionV relativeFrom="paragraph">
              <wp:posOffset>592455</wp:posOffset>
            </wp:positionV>
            <wp:extent cx="5080000" cy="2781300"/>
            <wp:effectExtent l="4445" t="4445" r="20955" b="1460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ageBreakBefore w:val="0"/>
        <w:widowControl w:val="0"/>
        <w:shd w:val="clear"/>
        <w:kinsoku/>
        <w:wordWrap/>
        <w:overflowPunct/>
        <w:topLinePunct w:val="0"/>
        <w:bidi w:val="0"/>
        <w:snapToGrid/>
        <w:spacing w:line="560" w:lineRule="exact"/>
        <w:ind w:left="0" w:right="0" w:firstLine="640" w:firstLineChars="200"/>
        <w:jc w:val="left"/>
        <w:textAlignment w:val="auto"/>
        <w:rPr>
          <w:rFonts w:ascii="仿宋_GB2312" w:eastAsia="仿宋_GB2312"/>
          <w:color w:val="auto"/>
          <w:sz w:val="32"/>
          <w:szCs w:val="32"/>
          <w:highlight w:val="none"/>
        </w:rPr>
      </w:pPr>
    </w:p>
    <w:p>
      <w:pPr>
        <w:pStyle w:val="27"/>
        <w:pageBreakBefore w:val="0"/>
        <w:widowControl w:val="0"/>
        <w:numPr>
          <w:ilvl w:val="0"/>
          <w:numId w:val="2"/>
        </w:numPr>
        <w:shd w:val="clear"/>
        <w:kinsoku/>
        <w:wordWrap/>
        <w:overflowPunct/>
        <w:topLinePunct w:val="0"/>
        <w:bidi w:val="0"/>
        <w:snapToGrid/>
        <w:spacing w:line="560" w:lineRule="exact"/>
        <w:ind w:left="0" w:right="0" w:firstLine="640" w:firstLineChars="200"/>
        <w:textAlignment w:val="auto"/>
        <w:outlineLvl w:val="1"/>
        <w:rPr>
          <w:rStyle w:val="18"/>
          <w:rFonts w:ascii="黑体" w:hAnsi="黑体" w:eastAsia="黑体"/>
          <w:b w:val="0"/>
          <w:color w:val="auto"/>
          <w:highlight w:val="none"/>
        </w:rPr>
      </w:pPr>
      <w:bookmarkStart w:id="36" w:name="_Toc1771135377_WPSOffice_Level2"/>
      <w:bookmarkStart w:id="37" w:name="_Toc15377206"/>
      <w:bookmarkStart w:id="38" w:name="_Toc9353"/>
      <w:bookmarkStart w:id="39" w:name="_Toc15396604"/>
      <w:r>
        <w:rPr>
          <w:rFonts w:hint="eastAsia" w:ascii="黑体" w:hAnsi="黑体" w:eastAsia="黑体"/>
          <w:color w:val="auto"/>
          <w:sz w:val="32"/>
          <w:szCs w:val="32"/>
          <w:highlight w:val="none"/>
        </w:rPr>
        <w:t>收</w:t>
      </w:r>
      <w:r>
        <w:rPr>
          <w:rStyle w:val="18"/>
          <w:rFonts w:hint="eastAsia" w:ascii="黑体" w:hAnsi="黑体" w:eastAsia="黑体"/>
          <w:b w:val="0"/>
          <w:color w:val="auto"/>
          <w:highlight w:val="none"/>
        </w:rPr>
        <w:t>入决算情况说明</w:t>
      </w:r>
      <w:bookmarkEnd w:id="36"/>
      <w:bookmarkEnd w:id="37"/>
      <w:bookmarkEnd w:id="38"/>
      <w:bookmarkEnd w:id="39"/>
    </w:p>
    <w:p>
      <w:pPr>
        <w:pageBreakBefore w:val="0"/>
        <w:widowControl w:val="0"/>
        <w:shd w:val="clear"/>
        <w:kinsoku/>
        <w:wordWrap/>
        <w:overflowPunct/>
        <w:topLinePunct w:val="0"/>
        <w:bidi w:val="0"/>
        <w:snapToGrid/>
        <w:spacing w:line="560" w:lineRule="exact"/>
        <w:ind w:left="0" w:right="0" w:firstLine="640" w:firstLineChars="200"/>
        <w:textAlignment w:val="auto"/>
        <w:outlineLvl w:val="1"/>
        <w:rPr>
          <w:rFonts w:ascii="仿宋" w:hAnsi="仿宋" w:eastAsia="仿宋"/>
          <w:color w:val="auto"/>
          <w:sz w:val="32"/>
          <w:szCs w:val="32"/>
          <w:highlight w:val="none"/>
        </w:rPr>
      </w:pPr>
      <w:bookmarkStart w:id="40" w:name="_Toc3943"/>
      <w:bookmarkStart w:id="41" w:name="_Toc7370"/>
      <w:r>
        <w:rPr>
          <w:rFonts w:hint="eastAsia" w:ascii="仿宋_GB2312" w:hAnsi="仿宋_GB2312" w:eastAsia="仿宋_GB2312"/>
          <w:color w:val="000000"/>
          <w:kern w:val="2"/>
          <w:sz w:val="32"/>
          <w:szCs w:val="24"/>
          <w:highlight w:val="none"/>
          <w:lang w:val="zh-CN"/>
        </w:rPr>
        <w:t>2022年本年收入合计15,359.51万元，其中：一般公共预算财政拨款收入4,183.56万元，占27.2%；政府性基金预算财政拨款收入11,175.96万元，占72.8%</w:t>
      </w:r>
      <w:r>
        <w:rPr>
          <w:rFonts w:hint="eastAsia" w:ascii="仿宋" w:hAnsi="仿宋" w:eastAsia="仿宋"/>
          <w:color w:val="auto"/>
          <w:sz w:val="32"/>
          <w:szCs w:val="32"/>
          <w:highlight w:val="none"/>
        </w:rPr>
        <w:t>。</w:t>
      </w:r>
      <w:bookmarkEnd w:id="40"/>
      <w:bookmarkEnd w:id="41"/>
    </w:p>
    <w:p>
      <w:pPr>
        <w:pageBreakBefore w:val="0"/>
        <w:widowControl w:val="0"/>
        <w:shd w:val="clear"/>
        <w:kinsoku/>
        <w:wordWrap/>
        <w:overflowPunct/>
        <w:topLinePunct w:val="0"/>
        <w:bidi w:val="0"/>
        <w:snapToGrid/>
        <w:spacing w:line="560" w:lineRule="exact"/>
        <w:ind w:left="0" w:right="0"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-43180</wp:posOffset>
            </wp:positionH>
            <wp:positionV relativeFrom="paragraph">
              <wp:posOffset>459105</wp:posOffset>
            </wp:positionV>
            <wp:extent cx="5080000" cy="2134870"/>
            <wp:effectExtent l="4445" t="4445" r="20955" b="1333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32"/>
          <w:szCs w:val="32"/>
          <w:highlight w:val="none"/>
        </w:rPr>
        <w:t>（图2：收入决算结构图）（饼状图）</w:t>
      </w:r>
    </w:p>
    <w:p>
      <w:pPr>
        <w:pageBreakBefore w:val="0"/>
        <w:widowControl w:val="0"/>
        <w:shd w:val="clear"/>
        <w:kinsoku/>
        <w:wordWrap/>
        <w:overflowPunct/>
        <w:topLinePunct w:val="0"/>
        <w:bidi w:val="0"/>
        <w:snapToGrid/>
        <w:spacing w:line="560" w:lineRule="exact"/>
        <w:ind w:left="0" w:right="0" w:firstLine="640" w:firstLineChars="200"/>
        <w:textAlignment w:val="auto"/>
        <w:rPr>
          <w:rFonts w:ascii="仿宋_GB2312" w:eastAsia="仿宋_GB2312"/>
          <w:color w:val="auto"/>
          <w:sz w:val="32"/>
          <w:szCs w:val="32"/>
          <w:highlight w:val="none"/>
        </w:rPr>
      </w:pPr>
    </w:p>
    <w:p>
      <w:pPr>
        <w:pStyle w:val="27"/>
        <w:pageBreakBefore w:val="0"/>
        <w:widowControl w:val="0"/>
        <w:numPr>
          <w:ilvl w:val="0"/>
          <w:numId w:val="2"/>
        </w:numPr>
        <w:shd w:val="clear"/>
        <w:kinsoku/>
        <w:wordWrap/>
        <w:overflowPunct/>
        <w:topLinePunct w:val="0"/>
        <w:bidi w:val="0"/>
        <w:snapToGrid/>
        <w:spacing w:line="560" w:lineRule="exact"/>
        <w:ind w:left="0" w:right="0" w:firstLine="640" w:firstLineChars="200"/>
        <w:textAlignment w:val="auto"/>
        <w:outlineLvl w:val="1"/>
        <w:rPr>
          <w:rStyle w:val="18"/>
          <w:rFonts w:ascii="黑体" w:hAnsi="黑体" w:eastAsia="黑体"/>
          <w:b w:val="0"/>
          <w:color w:val="auto"/>
          <w:highlight w:val="none"/>
        </w:rPr>
      </w:pPr>
      <w:bookmarkStart w:id="42" w:name="_Toc15377207"/>
      <w:bookmarkStart w:id="43" w:name="_Toc15396605"/>
      <w:bookmarkStart w:id="44" w:name="_Toc1988610263_WPSOffice_Level2"/>
      <w:bookmarkStart w:id="45" w:name="_Toc23746"/>
      <w:r>
        <w:rPr>
          <w:rFonts w:hint="eastAsia" w:ascii="黑体" w:hAnsi="黑体" w:eastAsia="黑体"/>
          <w:color w:val="auto"/>
          <w:sz w:val="32"/>
          <w:szCs w:val="32"/>
          <w:highlight w:val="none"/>
        </w:rPr>
        <w:t>支</w:t>
      </w:r>
      <w:r>
        <w:rPr>
          <w:rStyle w:val="18"/>
          <w:rFonts w:hint="eastAsia" w:ascii="黑体" w:hAnsi="黑体" w:eastAsia="黑体"/>
          <w:b w:val="0"/>
          <w:color w:val="auto"/>
          <w:highlight w:val="none"/>
        </w:rPr>
        <w:t>出决算情况说明</w:t>
      </w:r>
      <w:bookmarkEnd w:id="42"/>
      <w:bookmarkEnd w:id="43"/>
      <w:bookmarkEnd w:id="44"/>
      <w:bookmarkEnd w:id="45"/>
    </w:p>
    <w:p>
      <w:pPr>
        <w:pageBreakBefore w:val="0"/>
        <w:widowControl w:val="0"/>
        <w:shd w:val="clear"/>
        <w:kinsoku/>
        <w:wordWrap/>
        <w:overflowPunct/>
        <w:topLinePunct w:val="0"/>
        <w:bidi w:val="0"/>
        <w:snapToGrid/>
        <w:spacing w:line="560" w:lineRule="exact"/>
        <w:ind w:left="0" w:right="0" w:firstLine="640" w:firstLineChars="200"/>
        <w:textAlignment w:val="auto"/>
        <w:outlineLvl w:val="1"/>
        <w:rPr>
          <w:rFonts w:ascii="仿宋" w:hAnsi="仿宋" w:eastAsia="仿宋"/>
          <w:color w:val="auto"/>
          <w:sz w:val="32"/>
          <w:szCs w:val="32"/>
          <w:highlight w:val="none"/>
        </w:rPr>
      </w:pPr>
      <w:bookmarkStart w:id="46" w:name="_Toc26945"/>
      <w:bookmarkStart w:id="47" w:name="_Toc31283"/>
      <w:r>
        <w:rPr>
          <w:rFonts w:hint="eastAsia" w:ascii="仿宋_GB2312" w:hAnsi="仿宋_GB2312" w:eastAsia="仿宋_GB2312"/>
          <w:color w:val="000000"/>
          <w:kern w:val="2"/>
          <w:sz w:val="32"/>
          <w:szCs w:val="24"/>
          <w:highlight w:val="none"/>
          <w:lang w:val="zh-CN"/>
        </w:rPr>
        <w:t>2022年本年支出合计17,310.61万元，其中：基本支出914.24万元，占5.3%；项目支出16,396.37万元，占94.7%</w:t>
      </w:r>
      <w:r>
        <w:rPr>
          <w:rFonts w:hint="eastAsia" w:ascii="仿宋" w:hAnsi="仿宋" w:eastAsia="仿宋"/>
          <w:color w:val="auto"/>
          <w:sz w:val="32"/>
          <w:szCs w:val="32"/>
          <w:highlight w:val="none"/>
        </w:rPr>
        <w:t>。</w:t>
      </w:r>
      <w:bookmarkEnd w:id="46"/>
      <w:bookmarkEnd w:id="47"/>
    </w:p>
    <w:p>
      <w:pPr>
        <w:pageBreakBefore w:val="0"/>
        <w:widowControl w:val="0"/>
        <w:shd w:val="clear"/>
        <w:kinsoku/>
        <w:wordWrap/>
        <w:overflowPunct/>
        <w:topLinePunct w:val="0"/>
        <w:bidi w:val="0"/>
        <w:snapToGrid/>
        <w:spacing w:line="560" w:lineRule="exact"/>
        <w:ind w:left="0" w:right="0"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pageBreakBefore w:val="0"/>
        <w:widowControl w:val="0"/>
        <w:shd w:val="clear"/>
        <w:kinsoku/>
        <w:wordWrap/>
        <w:overflowPunct/>
        <w:topLinePunct w:val="0"/>
        <w:bidi w:val="0"/>
        <w:snapToGrid/>
        <w:spacing w:line="560" w:lineRule="exact"/>
        <w:ind w:left="0" w:right="0" w:firstLine="640" w:firstLineChars="200"/>
        <w:textAlignment w:val="auto"/>
        <w:rPr>
          <w:rFonts w:ascii="仿宋_GB2312" w:eastAsia="仿宋_GB2312"/>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185420</wp:posOffset>
            </wp:positionH>
            <wp:positionV relativeFrom="paragraph">
              <wp:posOffset>133350</wp:posOffset>
            </wp:positionV>
            <wp:extent cx="5080000" cy="2286000"/>
            <wp:effectExtent l="4445" t="4445" r="20955" b="1460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ageBreakBefore w:val="0"/>
        <w:widowControl w:val="0"/>
        <w:shd w:val="clear"/>
        <w:kinsoku/>
        <w:wordWrap/>
        <w:overflowPunct/>
        <w:topLinePunct w:val="0"/>
        <w:bidi w:val="0"/>
        <w:snapToGrid/>
        <w:spacing w:line="560" w:lineRule="exact"/>
        <w:ind w:left="0" w:right="0" w:firstLine="640" w:firstLineChars="200"/>
        <w:textAlignment w:val="auto"/>
        <w:outlineLvl w:val="1"/>
        <w:rPr>
          <w:rStyle w:val="18"/>
          <w:rFonts w:ascii="黑体" w:hAnsi="黑体" w:eastAsia="黑体"/>
          <w:b w:val="0"/>
          <w:color w:val="auto"/>
          <w:highlight w:val="none"/>
        </w:rPr>
      </w:pPr>
      <w:bookmarkStart w:id="48" w:name="_Toc19134"/>
      <w:bookmarkStart w:id="49" w:name="_Toc15396606"/>
      <w:bookmarkStart w:id="50" w:name="_Toc92513227_WPSOffice_Level2"/>
      <w:bookmarkStart w:id="51" w:name="_Toc15377208"/>
      <w:r>
        <w:rPr>
          <w:rFonts w:hint="eastAsia" w:ascii="黑体" w:hAnsi="黑体" w:eastAsia="黑体"/>
          <w:color w:val="auto"/>
          <w:sz w:val="32"/>
          <w:szCs w:val="32"/>
          <w:highlight w:val="none"/>
        </w:rPr>
        <w:t>四、财</w:t>
      </w:r>
      <w:r>
        <w:rPr>
          <w:rStyle w:val="18"/>
          <w:rFonts w:hint="eastAsia" w:ascii="黑体" w:hAnsi="黑体" w:eastAsia="黑体"/>
          <w:b w:val="0"/>
          <w:color w:val="auto"/>
          <w:highlight w:val="none"/>
        </w:rPr>
        <w:t>政拨款收入支出决算总体情况说明</w:t>
      </w:r>
      <w:bookmarkEnd w:id="48"/>
      <w:bookmarkEnd w:id="49"/>
      <w:bookmarkEnd w:id="50"/>
      <w:bookmarkEnd w:id="51"/>
    </w:p>
    <w:p>
      <w:pPr>
        <w:pageBreakBefore w:val="0"/>
        <w:widowControl w:val="0"/>
        <w:shd w:val="clear"/>
        <w:kinsoku/>
        <w:wordWrap/>
        <w:overflowPunct/>
        <w:topLinePunct w:val="0"/>
        <w:bidi w:val="0"/>
        <w:snapToGrid/>
        <w:spacing w:line="560" w:lineRule="exact"/>
        <w:ind w:left="0" w:right="0" w:firstLine="640" w:firstLineChars="200"/>
        <w:textAlignment w:val="auto"/>
        <w:rPr>
          <w:rFonts w:ascii="仿宋" w:hAnsi="仿宋" w:eastAsia="仿宋"/>
          <w:color w:val="auto"/>
          <w:sz w:val="32"/>
          <w:szCs w:val="32"/>
          <w:highlight w:val="none"/>
        </w:rPr>
      </w:pPr>
      <w:r>
        <w:rPr>
          <w:rFonts w:hint="eastAsia" w:ascii="仿宋_GB2312" w:hAnsi="仿宋_GB2312" w:eastAsia="仿宋_GB2312"/>
          <w:color w:val="000000"/>
          <w:kern w:val="2"/>
          <w:sz w:val="32"/>
          <w:szCs w:val="24"/>
          <w:highlight w:val="none"/>
          <w:lang w:val="zh-CN"/>
        </w:rPr>
        <w:t>2022年财政拨款收、支总计15,704.98万元。与2021年相比，财政拨款收、支总计各减少5,782.92万元，下降26.9%。</w:t>
      </w:r>
      <w:r>
        <w:rPr>
          <w:rFonts w:hint="eastAsia" w:ascii="仿宋" w:hAnsi="仿宋" w:eastAsia="仿宋"/>
          <w:color w:val="auto"/>
          <w:sz w:val="32"/>
          <w:szCs w:val="32"/>
          <w:highlight w:val="none"/>
        </w:rPr>
        <w:t>主要变动原因是</w:t>
      </w:r>
      <w:r>
        <w:rPr>
          <w:rFonts w:hint="eastAsia" w:ascii="仿宋_GB2312" w:hAnsi="仿宋_GB2312" w:eastAsia="仿宋_GB2312"/>
          <w:color w:val="000000"/>
          <w:kern w:val="2"/>
          <w:sz w:val="32"/>
          <w:szCs w:val="24"/>
          <w:highlight w:val="none"/>
          <w:lang w:val="zh-CN"/>
        </w:rPr>
        <w:t>政府性基金预算财政拨款减少和一般公共预算财政拨款减少。</w:t>
      </w:r>
    </w:p>
    <w:p>
      <w:pPr>
        <w:pageBreakBefore w:val="0"/>
        <w:widowControl w:val="0"/>
        <w:shd w:val="clear"/>
        <w:kinsoku/>
        <w:wordWrap/>
        <w:overflowPunct/>
        <w:topLinePunct w:val="0"/>
        <w:bidi w:val="0"/>
        <w:snapToGrid/>
        <w:spacing w:line="560" w:lineRule="exact"/>
        <w:ind w:left="0" w:right="0"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pStyle w:val="3"/>
        <w:bidi w:val="0"/>
        <w:ind w:firstLine="642" w:firstLineChars="200"/>
        <w:rPr>
          <w:rFonts w:hint="eastAsia" w:ascii="黑体" w:hAnsi="Times New Roman" w:eastAsia="黑体" w:cs="Times New Roman"/>
          <w:b/>
          <w:bCs w:val="0"/>
          <w:color w:val="auto"/>
          <w:kern w:val="2"/>
          <w:sz w:val="32"/>
          <w:szCs w:val="32"/>
          <w:highlight w:val="none"/>
          <w:lang w:val="en-US" w:eastAsia="zh-CN" w:bidi="ar-SA"/>
        </w:rPr>
      </w:pPr>
      <w:bookmarkStart w:id="52" w:name="_Toc9029"/>
      <w:r>
        <w:rPr>
          <w:rFonts w:hint="eastAsia" w:ascii="黑体" w:hAnsi="Times New Roman" w:eastAsia="黑体" w:cs="Times New Roman"/>
          <w:b/>
          <w:bCs w:val="0"/>
          <w:color w:val="auto"/>
          <w:kern w:val="2"/>
          <w:sz w:val="32"/>
          <w:szCs w:val="32"/>
          <w:highlight w:val="none"/>
          <w:lang w:val="en-US" w:eastAsia="zh-CN" w:bidi="ar-SA"/>
        </w:rPr>
        <w:drawing>
          <wp:anchor distT="0" distB="0" distL="114300" distR="114300" simplePos="0" relativeHeight="251662336" behindDoc="0" locked="0" layoutInCell="1" allowOverlap="1">
            <wp:simplePos x="0" y="0"/>
            <wp:positionH relativeFrom="column">
              <wp:posOffset>442595</wp:posOffset>
            </wp:positionH>
            <wp:positionV relativeFrom="paragraph">
              <wp:posOffset>245745</wp:posOffset>
            </wp:positionV>
            <wp:extent cx="5080000" cy="2371725"/>
            <wp:effectExtent l="4445" t="4445" r="20955" b="508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53" w:name="_Toc15396607"/>
      <w:bookmarkStart w:id="54" w:name="_Toc15377209"/>
      <w:r>
        <w:rPr>
          <w:rFonts w:hint="eastAsia" w:ascii="黑体" w:hAnsi="Times New Roman" w:eastAsia="黑体" w:cs="Times New Roman"/>
          <w:b/>
          <w:bCs w:val="0"/>
          <w:color w:val="auto"/>
          <w:kern w:val="2"/>
          <w:sz w:val="32"/>
          <w:szCs w:val="32"/>
          <w:highlight w:val="none"/>
          <w:lang w:val="en-US" w:eastAsia="zh-CN" w:bidi="ar-SA"/>
        </w:rPr>
        <w:t>五、一般公共预算财政拨款支出决算情况说明</w:t>
      </w:r>
      <w:bookmarkEnd w:id="52"/>
      <w:bookmarkEnd w:id="53"/>
      <w:bookmarkEnd w:id="54"/>
    </w:p>
    <w:p>
      <w:pPr>
        <w:pageBreakBefore w:val="0"/>
        <w:widowControl w:val="0"/>
        <w:shd w:val="clear"/>
        <w:kinsoku/>
        <w:wordWrap/>
        <w:overflowPunct/>
        <w:topLinePunct w:val="0"/>
        <w:bidi w:val="0"/>
        <w:snapToGrid/>
        <w:spacing w:line="560" w:lineRule="exact"/>
        <w:ind w:left="0" w:right="0" w:firstLine="642" w:firstLineChars="200"/>
        <w:textAlignment w:val="auto"/>
        <w:outlineLvl w:val="2"/>
        <w:rPr>
          <w:rFonts w:ascii="仿宋" w:hAnsi="仿宋" w:eastAsia="仿宋"/>
          <w:b/>
          <w:color w:val="auto"/>
          <w:sz w:val="32"/>
          <w:szCs w:val="32"/>
          <w:highlight w:val="none"/>
        </w:rPr>
      </w:pPr>
      <w:bookmarkStart w:id="55" w:name="_Toc15377210"/>
      <w:r>
        <w:rPr>
          <w:rFonts w:hint="eastAsia" w:ascii="仿宋" w:hAnsi="仿宋" w:eastAsia="仿宋"/>
          <w:b/>
          <w:color w:val="auto"/>
          <w:sz w:val="32"/>
          <w:szCs w:val="32"/>
          <w:highlight w:val="none"/>
        </w:rPr>
        <w:t>（一）一般公共预算财政拨款支出决算总体情况</w:t>
      </w:r>
      <w:bookmarkEnd w:id="55"/>
    </w:p>
    <w:p>
      <w:pPr>
        <w:keepNext/>
        <w:keepLines/>
        <w:shd w:val="clear"/>
        <w:spacing w:beforeLines="0" w:afterLines="0" w:line="576" w:lineRule="exact"/>
        <w:ind w:firstLine="64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2022年一般公共预算财政拨款支出4,529.03万元，占本年支出合计的26.2%。与2021年相比，一般公共预算财政拨款支出减少1,294.6万元，下降22.2%。主要变动原因是一般公共预算财政拨款减少。</w:t>
      </w:r>
    </w:p>
    <w:p>
      <w:pPr>
        <w:pageBreakBefore w:val="0"/>
        <w:widowControl w:val="0"/>
        <w:shd w:val="clear"/>
        <w:kinsoku/>
        <w:wordWrap/>
        <w:overflowPunct/>
        <w:topLinePunct w:val="0"/>
        <w:bidi w:val="0"/>
        <w:snapToGrid/>
        <w:spacing w:line="560" w:lineRule="exact"/>
        <w:ind w:left="0" w:right="0"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3360" behindDoc="0" locked="0" layoutInCell="1" allowOverlap="1">
            <wp:simplePos x="0" y="0"/>
            <wp:positionH relativeFrom="column">
              <wp:posOffset>318770</wp:posOffset>
            </wp:positionH>
            <wp:positionV relativeFrom="paragraph">
              <wp:posOffset>842010</wp:posOffset>
            </wp:positionV>
            <wp:extent cx="5080000" cy="2342515"/>
            <wp:effectExtent l="4445" t="4445" r="20955" b="1524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auto"/>
          <w:sz w:val="32"/>
          <w:szCs w:val="32"/>
          <w:highlight w:val="none"/>
        </w:rPr>
        <w:t>（图5：一般公共预算财政拨款支出决算变动情况）（柱状图）</w:t>
      </w:r>
    </w:p>
    <w:p>
      <w:pPr>
        <w:pageBreakBefore w:val="0"/>
        <w:widowControl w:val="0"/>
        <w:shd w:val="clear"/>
        <w:kinsoku/>
        <w:wordWrap/>
        <w:overflowPunct/>
        <w:topLinePunct w:val="0"/>
        <w:bidi w:val="0"/>
        <w:snapToGrid/>
        <w:spacing w:line="560" w:lineRule="exact"/>
        <w:ind w:left="0" w:right="0" w:firstLine="640" w:firstLineChars="200"/>
        <w:textAlignment w:val="auto"/>
        <w:rPr>
          <w:rFonts w:ascii="仿宋" w:hAnsi="仿宋" w:eastAsia="仿宋"/>
          <w:color w:val="auto"/>
          <w:sz w:val="32"/>
          <w:szCs w:val="32"/>
          <w:highlight w:val="none"/>
        </w:rPr>
      </w:pPr>
    </w:p>
    <w:p>
      <w:pPr>
        <w:pageBreakBefore w:val="0"/>
        <w:widowControl w:val="0"/>
        <w:shd w:val="clear"/>
        <w:kinsoku/>
        <w:wordWrap/>
        <w:overflowPunct/>
        <w:topLinePunct w:val="0"/>
        <w:bidi w:val="0"/>
        <w:snapToGrid/>
        <w:spacing w:line="560" w:lineRule="exact"/>
        <w:ind w:left="0" w:right="0" w:firstLine="642" w:firstLineChars="200"/>
        <w:textAlignment w:val="auto"/>
        <w:outlineLvl w:val="2"/>
        <w:rPr>
          <w:rFonts w:ascii="仿宋" w:hAnsi="仿宋" w:eastAsia="仿宋"/>
          <w:b/>
          <w:color w:val="auto"/>
          <w:sz w:val="32"/>
          <w:szCs w:val="32"/>
          <w:highlight w:val="none"/>
        </w:rPr>
      </w:pPr>
      <w:bookmarkStart w:id="56" w:name="_Toc15377211"/>
      <w:r>
        <w:rPr>
          <w:rFonts w:hint="eastAsia" w:ascii="仿宋" w:hAnsi="仿宋" w:eastAsia="仿宋"/>
          <w:b/>
          <w:color w:val="auto"/>
          <w:sz w:val="32"/>
          <w:szCs w:val="32"/>
          <w:highlight w:val="none"/>
        </w:rPr>
        <w:t>（二）一般公共预算财政拨款支出决算结构情况</w:t>
      </w:r>
      <w:bookmarkEnd w:id="56"/>
    </w:p>
    <w:p>
      <w:pPr>
        <w:keepNext/>
        <w:keepLines/>
        <w:shd w:val="clear"/>
        <w:spacing w:beforeLines="0" w:afterLines="0" w:line="576" w:lineRule="exact"/>
        <w:ind w:firstLine="64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2022年一般公共预算财政拨款支出4,529.0</w:t>
      </w:r>
      <w:r>
        <w:rPr>
          <w:rFonts w:hint="eastAsia" w:ascii="仿宋_GB2312" w:hAnsi="仿宋_GB2312" w:eastAsia="仿宋_GB2312"/>
          <w:color w:val="000000"/>
          <w:kern w:val="2"/>
          <w:sz w:val="32"/>
          <w:szCs w:val="24"/>
          <w:highlight w:val="none"/>
          <w:lang w:val="en-US" w:eastAsia="zh-CN"/>
        </w:rPr>
        <w:t>3</w:t>
      </w:r>
      <w:r>
        <w:rPr>
          <w:rFonts w:hint="eastAsia" w:ascii="仿宋_GB2312" w:hAnsi="仿宋_GB2312" w:eastAsia="仿宋_GB2312"/>
          <w:color w:val="000000"/>
          <w:kern w:val="2"/>
          <w:sz w:val="32"/>
          <w:szCs w:val="24"/>
          <w:highlight w:val="none"/>
          <w:lang w:val="zh-CN"/>
        </w:rPr>
        <w:t>万元，主要用于以下方面： 文化体育与传媒支出5万元，占0.1%；社会保障和就业支出119.58万元，占2.6%；卫生健康支出24.59万元，占0.5%；交通运输支出3,915.9</w:t>
      </w:r>
      <w:r>
        <w:rPr>
          <w:rFonts w:hint="eastAsia" w:ascii="仿宋_GB2312" w:hAnsi="仿宋_GB2312" w:eastAsia="仿宋_GB2312"/>
          <w:color w:val="000000"/>
          <w:kern w:val="2"/>
          <w:sz w:val="32"/>
          <w:szCs w:val="24"/>
          <w:highlight w:val="none"/>
          <w:lang w:val="en-US" w:eastAsia="zh-CN"/>
        </w:rPr>
        <w:t>8</w:t>
      </w:r>
      <w:r>
        <w:rPr>
          <w:rFonts w:hint="eastAsia" w:ascii="仿宋_GB2312" w:hAnsi="仿宋_GB2312" w:eastAsia="仿宋_GB2312"/>
          <w:color w:val="000000"/>
          <w:kern w:val="2"/>
          <w:sz w:val="32"/>
          <w:szCs w:val="24"/>
          <w:highlight w:val="none"/>
          <w:lang w:val="zh-CN"/>
        </w:rPr>
        <w:t>万元，占86.5%；住房保障支出63.88万元，占1.4%；其他支出400万元，占8.8%。</w:t>
      </w:r>
    </w:p>
    <w:p>
      <w:pPr>
        <w:pageBreakBefore w:val="0"/>
        <w:widowControl w:val="0"/>
        <w:shd w:val="clear"/>
        <w:kinsoku/>
        <w:wordWrap/>
        <w:overflowPunct/>
        <w:topLinePunct w:val="0"/>
        <w:bidi w:val="0"/>
        <w:snapToGrid/>
        <w:spacing w:line="560" w:lineRule="exact"/>
        <w:ind w:left="0" w:right="0"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pageBreakBefore w:val="0"/>
        <w:widowControl w:val="0"/>
        <w:shd w:val="clear"/>
        <w:kinsoku/>
        <w:wordWrap/>
        <w:overflowPunct/>
        <w:topLinePunct w:val="0"/>
        <w:bidi w:val="0"/>
        <w:snapToGrid/>
        <w:spacing w:line="560" w:lineRule="exact"/>
        <w:ind w:left="0" w:right="0"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4384" behindDoc="0" locked="0" layoutInCell="1" allowOverlap="1">
            <wp:simplePos x="0" y="0"/>
            <wp:positionH relativeFrom="column">
              <wp:posOffset>328295</wp:posOffset>
            </wp:positionH>
            <wp:positionV relativeFrom="paragraph">
              <wp:posOffset>228600</wp:posOffset>
            </wp:positionV>
            <wp:extent cx="5080000" cy="2629535"/>
            <wp:effectExtent l="4445" t="4445" r="20955" b="1397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ageBreakBefore w:val="0"/>
        <w:widowControl w:val="0"/>
        <w:shd w:val="clear"/>
        <w:kinsoku/>
        <w:wordWrap/>
        <w:overflowPunct/>
        <w:topLinePunct w:val="0"/>
        <w:bidi w:val="0"/>
        <w:snapToGrid/>
        <w:spacing w:line="560" w:lineRule="exact"/>
        <w:ind w:left="0" w:right="0" w:firstLine="642" w:firstLineChars="200"/>
        <w:textAlignment w:val="auto"/>
        <w:outlineLvl w:val="2"/>
        <w:rPr>
          <w:rFonts w:ascii="仿宋" w:hAnsi="仿宋" w:eastAsia="仿宋"/>
          <w:b/>
          <w:color w:val="auto"/>
          <w:sz w:val="32"/>
          <w:szCs w:val="32"/>
          <w:highlight w:val="none"/>
        </w:rPr>
      </w:pPr>
      <w:bookmarkStart w:id="57" w:name="_Toc15377212"/>
      <w:r>
        <w:rPr>
          <w:rFonts w:hint="eastAsia" w:ascii="仿宋" w:hAnsi="仿宋" w:eastAsia="仿宋"/>
          <w:b/>
          <w:color w:val="auto"/>
          <w:sz w:val="32"/>
          <w:szCs w:val="32"/>
          <w:highlight w:val="none"/>
        </w:rPr>
        <w:t>（三）一般公共预算财政拨款支出决算具体情况</w:t>
      </w:r>
      <w:bookmarkEnd w:id="57"/>
    </w:p>
    <w:p>
      <w:pPr>
        <w:keepNext/>
        <w:keepLines/>
        <w:shd w:val="clear"/>
        <w:spacing w:beforeLines="0" w:afterLines="0" w:line="576" w:lineRule="exact"/>
        <w:ind w:firstLine="643"/>
        <w:jc w:val="both"/>
        <w:rPr>
          <w:rFonts w:hint="eastAsia" w:ascii="仿宋_GB2312" w:hAnsi="仿宋_GB2312" w:eastAsia="仿宋_GB2312"/>
          <w:b/>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2022年一般公共预算支出决算数为4,529.03万元</w:t>
      </w:r>
      <w:r>
        <w:rPr>
          <w:rFonts w:hint="eastAsia" w:ascii="仿宋_GB2312" w:hAnsi="仿宋_GB2312" w:eastAsia="仿宋_GB2312"/>
          <w:color w:val="000000"/>
          <w:kern w:val="2"/>
          <w:sz w:val="32"/>
          <w:szCs w:val="24"/>
          <w:highlight w:val="none"/>
          <w:lang w:val="zh-CN"/>
        </w:rPr>
        <w:t>，</w:t>
      </w:r>
      <w:r>
        <w:rPr>
          <w:rFonts w:hint="eastAsia" w:ascii="仿宋_GB2312" w:hAnsi="仿宋_GB2312" w:eastAsia="仿宋_GB2312"/>
          <w:b/>
          <w:color w:val="000000"/>
          <w:kern w:val="2"/>
          <w:sz w:val="32"/>
          <w:szCs w:val="24"/>
          <w:highlight w:val="none"/>
          <w:lang w:val="zh-CN"/>
        </w:rPr>
        <w:t>完成预算100%。其中：</w:t>
      </w:r>
    </w:p>
    <w:p>
      <w:pPr>
        <w:pageBreakBefore w:val="0"/>
        <w:widowControl w:val="0"/>
        <w:numPr>
          <w:ilvl w:val="0"/>
          <w:numId w:val="3"/>
        </w:numPr>
        <w:shd w:val="clear"/>
        <w:kinsoku/>
        <w:wordWrap/>
        <w:overflowPunct/>
        <w:topLinePunct w:val="0"/>
        <w:autoSpaceDE/>
        <w:autoSpaceDN/>
        <w:bidi w:val="0"/>
        <w:adjustRightInd/>
        <w:snapToGrid/>
        <w:spacing w:line="560" w:lineRule="exact"/>
        <w:ind w:left="0" w:leftChars="0" w:firstLine="400" w:firstLineChars="0"/>
        <w:textAlignment w:val="auto"/>
        <w:rPr>
          <w:rFonts w:hint="eastAsia" w:ascii="仿宋_GB2312" w:hAnsi="仿宋_GB2312" w:eastAsia="仿宋_GB2312" w:cs="仿宋_GB2312"/>
          <w:b w:val="0"/>
          <w:bCs/>
          <w:color w:val="auto"/>
          <w:sz w:val="32"/>
          <w:szCs w:val="32"/>
          <w:highlight w:val="none"/>
        </w:rPr>
      </w:pPr>
      <w:r>
        <w:rPr>
          <w:rStyle w:val="15"/>
          <w:rFonts w:hint="eastAsia" w:ascii="仿宋_GB2312" w:hAnsi="仿宋_GB2312" w:eastAsia="仿宋_GB2312" w:cs="仿宋_GB2312"/>
          <w:b w:val="0"/>
          <w:bCs/>
          <w:color w:val="auto"/>
          <w:sz w:val="32"/>
          <w:szCs w:val="32"/>
          <w:highlight w:val="none"/>
        </w:rPr>
        <w:t>文化旅游体育与传媒（类）</w:t>
      </w:r>
      <w:r>
        <w:rPr>
          <w:rStyle w:val="15"/>
          <w:rFonts w:hint="eastAsia" w:ascii="仿宋_GB2312" w:hAnsi="仿宋_GB2312" w:eastAsia="仿宋_GB2312" w:cs="仿宋_GB2312"/>
          <w:b w:val="0"/>
          <w:bCs/>
          <w:color w:val="auto"/>
          <w:sz w:val="32"/>
          <w:szCs w:val="32"/>
          <w:highlight w:val="none"/>
          <w:lang w:eastAsia="zh-CN"/>
        </w:rPr>
        <w:t>文化和旅游</w:t>
      </w:r>
      <w:r>
        <w:rPr>
          <w:rStyle w:val="15"/>
          <w:rFonts w:hint="eastAsia" w:ascii="仿宋_GB2312" w:hAnsi="仿宋_GB2312" w:eastAsia="仿宋_GB2312" w:cs="仿宋_GB2312"/>
          <w:b w:val="0"/>
          <w:bCs/>
          <w:color w:val="auto"/>
          <w:sz w:val="32"/>
          <w:szCs w:val="32"/>
          <w:highlight w:val="none"/>
        </w:rPr>
        <w:t>（款）</w:t>
      </w:r>
      <w:r>
        <w:rPr>
          <w:rStyle w:val="15"/>
          <w:rFonts w:hint="eastAsia" w:ascii="仿宋_GB2312" w:hAnsi="仿宋_GB2312" w:eastAsia="仿宋_GB2312" w:cs="仿宋_GB2312"/>
          <w:b w:val="0"/>
          <w:bCs/>
          <w:color w:val="auto"/>
          <w:sz w:val="32"/>
          <w:szCs w:val="32"/>
          <w:highlight w:val="none"/>
          <w:lang w:eastAsia="zh-CN"/>
        </w:rPr>
        <w:t>文化活动</w:t>
      </w:r>
      <w:r>
        <w:rPr>
          <w:rStyle w:val="15"/>
          <w:rFonts w:hint="eastAsia" w:ascii="仿宋_GB2312" w:hAnsi="仿宋_GB2312" w:eastAsia="仿宋_GB2312" w:cs="仿宋_GB2312"/>
          <w:b w:val="0"/>
          <w:bCs/>
          <w:color w:val="auto"/>
          <w:sz w:val="32"/>
          <w:szCs w:val="32"/>
          <w:highlight w:val="none"/>
        </w:rPr>
        <w:t>（项）</w:t>
      </w:r>
      <w:r>
        <w:rPr>
          <w:rStyle w:val="15"/>
          <w:rFonts w:hint="eastAsia" w:ascii="仿宋_GB2312" w:hAnsi="仿宋_GB2312" w:eastAsia="仿宋_GB2312" w:cs="仿宋_GB2312"/>
          <w:b w:val="0"/>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 xml:space="preserve"> 支出决算为</w:t>
      </w:r>
      <w:r>
        <w:rPr>
          <w:rStyle w:val="15"/>
          <w:rFonts w:hint="eastAsia" w:ascii="仿宋_GB2312" w:hAnsi="仿宋_GB2312" w:eastAsia="仿宋_GB2312" w:cs="仿宋_GB2312"/>
          <w:b w:val="0"/>
          <w:bCs/>
          <w:color w:val="auto"/>
          <w:sz w:val="32"/>
          <w:szCs w:val="32"/>
          <w:highlight w:val="none"/>
          <w:lang w:val="en-US" w:eastAsia="zh-CN"/>
        </w:rPr>
        <w:t>5</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p>
    <w:p>
      <w:pPr>
        <w:pageBreakBefore w:val="0"/>
        <w:widowControl w:val="0"/>
        <w:numPr>
          <w:ilvl w:val="0"/>
          <w:numId w:val="3"/>
        </w:numPr>
        <w:shd w:val="clear"/>
        <w:kinsoku/>
        <w:wordWrap/>
        <w:overflowPunct/>
        <w:topLinePunct w:val="0"/>
        <w:autoSpaceDE/>
        <w:autoSpaceDN/>
        <w:bidi w:val="0"/>
        <w:adjustRightInd/>
        <w:snapToGrid/>
        <w:spacing w:line="560" w:lineRule="exact"/>
        <w:ind w:left="0" w:leftChars="0" w:firstLine="400" w:firstLineChars="0"/>
        <w:textAlignment w:val="auto"/>
        <w:rPr>
          <w:rFonts w:hint="eastAsia" w:ascii="仿宋_GB2312" w:hAnsi="仿宋_GB2312" w:eastAsia="仿宋_GB2312" w:cs="仿宋_GB2312"/>
          <w:b w:val="0"/>
          <w:bCs/>
          <w:color w:val="auto"/>
          <w:sz w:val="32"/>
          <w:szCs w:val="32"/>
          <w:highlight w:val="none"/>
        </w:rPr>
      </w:pPr>
      <w:r>
        <w:rPr>
          <w:rStyle w:val="15"/>
          <w:rFonts w:hint="eastAsia" w:ascii="仿宋_GB2312" w:hAnsi="仿宋_GB2312" w:eastAsia="仿宋_GB2312" w:cs="仿宋_GB2312"/>
          <w:b w:val="0"/>
          <w:bCs/>
          <w:color w:val="auto"/>
          <w:sz w:val="32"/>
          <w:szCs w:val="32"/>
          <w:highlight w:val="none"/>
        </w:rPr>
        <w:t>社会保障和就业（类）</w:t>
      </w:r>
      <w:r>
        <w:rPr>
          <w:rStyle w:val="15"/>
          <w:rFonts w:hint="eastAsia" w:ascii="仿宋_GB2312" w:hAnsi="仿宋_GB2312" w:eastAsia="仿宋_GB2312" w:cs="仿宋_GB2312"/>
          <w:b w:val="0"/>
          <w:bCs/>
          <w:color w:val="auto"/>
          <w:sz w:val="32"/>
          <w:szCs w:val="32"/>
          <w:highlight w:val="none"/>
          <w:lang w:eastAsia="zh-CN"/>
        </w:rPr>
        <w:t>人力资源和社会保障管理事务</w:t>
      </w:r>
      <w:r>
        <w:rPr>
          <w:rStyle w:val="15"/>
          <w:rFonts w:hint="eastAsia" w:ascii="仿宋_GB2312" w:hAnsi="仿宋_GB2312" w:eastAsia="仿宋_GB2312" w:cs="仿宋_GB2312"/>
          <w:b w:val="0"/>
          <w:bCs/>
          <w:color w:val="auto"/>
          <w:sz w:val="32"/>
          <w:szCs w:val="32"/>
          <w:highlight w:val="none"/>
        </w:rPr>
        <w:t>（款）</w:t>
      </w:r>
      <w:r>
        <w:rPr>
          <w:rStyle w:val="15"/>
          <w:rFonts w:hint="eastAsia" w:ascii="仿宋_GB2312" w:hAnsi="仿宋_GB2312" w:eastAsia="仿宋_GB2312" w:cs="仿宋_GB2312"/>
          <w:b w:val="0"/>
          <w:bCs/>
          <w:color w:val="auto"/>
          <w:sz w:val="32"/>
          <w:szCs w:val="32"/>
          <w:highlight w:val="none"/>
          <w:lang w:eastAsia="zh-CN"/>
        </w:rPr>
        <w:t>引进人才费用</w:t>
      </w:r>
      <w:r>
        <w:rPr>
          <w:rStyle w:val="15"/>
          <w:rFonts w:hint="eastAsia" w:ascii="仿宋_GB2312" w:hAnsi="仿宋_GB2312" w:eastAsia="仿宋_GB2312" w:cs="仿宋_GB2312"/>
          <w:b w:val="0"/>
          <w:bCs/>
          <w:color w:val="auto"/>
          <w:sz w:val="32"/>
          <w:szCs w:val="32"/>
          <w:highlight w:val="none"/>
        </w:rPr>
        <w:t>（项）</w:t>
      </w:r>
      <w:r>
        <w:rPr>
          <w:rStyle w:val="15"/>
          <w:rFonts w:hint="eastAsia" w:ascii="仿宋_GB2312" w:hAnsi="仿宋_GB2312" w:eastAsia="仿宋_GB2312" w:cs="仿宋_GB2312"/>
          <w:b w:val="0"/>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 xml:space="preserve"> 支出决算为</w:t>
      </w:r>
      <w:r>
        <w:rPr>
          <w:rStyle w:val="15"/>
          <w:rFonts w:hint="eastAsia" w:ascii="仿宋_GB2312" w:hAnsi="仿宋_GB2312" w:eastAsia="仿宋_GB2312" w:cs="仿宋_GB2312"/>
          <w:b w:val="0"/>
          <w:bCs/>
          <w:color w:val="auto"/>
          <w:sz w:val="32"/>
          <w:szCs w:val="32"/>
          <w:highlight w:val="none"/>
          <w:lang w:val="en-US" w:eastAsia="zh-CN"/>
        </w:rPr>
        <w:t>8.3</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p>
    <w:p>
      <w:pPr>
        <w:pageBreakBefore w:val="0"/>
        <w:widowControl w:val="0"/>
        <w:numPr>
          <w:ilvl w:val="0"/>
          <w:numId w:val="3"/>
        </w:numPr>
        <w:shd w:val="clear"/>
        <w:kinsoku/>
        <w:wordWrap/>
        <w:overflowPunct/>
        <w:topLinePunct w:val="0"/>
        <w:autoSpaceDE/>
        <w:autoSpaceDN/>
        <w:bidi w:val="0"/>
        <w:adjustRightInd/>
        <w:snapToGrid/>
        <w:spacing w:line="560" w:lineRule="exact"/>
        <w:ind w:left="0" w:leftChars="0" w:firstLine="400" w:firstLineChars="0"/>
        <w:textAlignment w:val="auto"/>
        <w:rPr>
          <w:rFonts w:hint="eastAsia" w:ascii="仿宋_GB2312" w:hAnsi="仿宋_GB2312" w:eastAsia="仿宋_GB2312" w:cs="仿宋_GB2312"/>
          <w:b w:val="0"/>
          <w:bCs/>
          <w:color w:val="auto"/>
          <w:sz w:val="32"/>
          <w:szCs w:val="32"/>
          <w:highlight w:val="none"/>
        </w:rPr>
      </w:pPr>
      <w:r>
        <w:rPr>
          <w:rStyle w:val="15"/>
          <w:rFonts w:hint="eastAsia" w:ascii="仿宋_GB2312" w:hAnsi="仿宋_GB2312" w:eastAsia="仿宋_GB2312" w:cs="仿宋_GB2312"/>
          <w:b w:val="0"/>
          <w:bCs/>
          <w:color w:val="auto"/>
          <w:sz w:val="32"/>
          <w:szCs w:val="32"/>
          <w:highlight w:val="none"/>
        </w:rPr>
        <w:t>社会保障和就业（类）</w:t>
      </w:r>
      <w:r>
        <w:rPr>
          <w:rStyle w:val="15"/>
          <w:rFonts w:hint="eastAsia" w:ascii="仿宋_GB2312" w:hAnsi="仿宋_GB2312" w:eastAsia="仿宋_GB2312" w:cs="仿宋_GB2312"/>
          <w:b w:val="0"/>
          <w:bCs/>
          <w:color w:val="auto"/>
          <w:sz w:val="32"/>
          <w:szCs w:val="32"/>
          <w:highlight w:val="none"/>
          <w:lang w:eastAsia="zh-CN"/>
        </w:rPr>
        <w:t>人力资源和社会保障管理事务</w:t>
      </w:r>
      <w:r>
        <w:rPr>
          <w:rStyle w:val="15"/>
          <w:rFonts w:hint="eastAsia" w:ascii="仿宋_GB2312" w:hAnsi="仿宋_GB2312" w:eastAsia="仿宋_GB2312" w:cs="仿宋_GB2312"/>
          <w:b w:val="0"/>
          <w:bCs/>
          <w:color w:val="auto"/>
          <w:sz w:val="32"/>
          <w:szCs w:val="32"/>
          <w:highlight w:val="none"/>
        </w:rPr>
        <w:t>（款）</w:t>
      </w:r>
      <w:r>
        <w:rPr>
          <w:rStyle w:val="15"/>
          <w:rFonts w:hint="eastAsia" w:ascii="仿宋_GB2312" w:hAnsi="仿宋_GB2312" w:eastAsia="仿宋_GB2312" w:cs="仿宋_GB2312"/>
          <w:b w:val="0"/>
          <w:bCs/>
          <w:color w:val="auto"/>
          <w:sz w:val="32"/>
          <w:szCs w:val="32"/>
          <w:highlight w:val="none"/>
          <w:lang w:eastAsia="zh-CN"/>
        </w:rPr>
        <w:t>其他人力资源和社会保障管理事务支出</w:t>
      </w:r>
      <w:r>
        <w:rPr>
          <w:rStyle w:val="15"/>
          <w:rFonts w:hint="eastAsia" w:ascii="仿宋_GB2312" w:hAnsi="仿宋_GB2312" w:eastAsia="仿宋_GB2312" w:cs="仿宋_GB2312"/>
          <w:b w:val="0"/>
          <w:bCs/>
          <w:color w:val="auto"/>
          <w:sz w:val="32"/>
          <w:szCs w:val="32"/>
          <w:highlight w:val="none"/>
        </w:rPr>
        <w:t>（项）</w:t>
      </w:r>
      <w:r>
        <w:rPr>
          <w:rStyle w:val="15"/>
          <w:rFonts w:hint="eastAsia" w:ascii="仿宋_GB2312" w:hAnsi="仿宋_GB2312" w:eastAsia="仿宋_GB2312" w:cs="仿宋_GB2312"/>
          <w:b w:val="0"/>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 xml:space="preserve"> 支出决算为</w:t>
      </w:r>
      <w:r>
        <w:rPr>
          <w:rStyle w:val="15"/>
          <w:rFonts w:hint="eastAsia" w:ascii="仿宋_GB2312" w:hAnsi="仿宋_GB2312" w:eastAsia="仿宋_GB2312" w:cs="仿宋_GB2312"/>
          <w:b w:val="0"/>
          <w:bCs/>
          <w:color w:val="auto"/>
          <w:sz w:val="32"/>
          <w:szCs w:val="32"/>
          <w:highlight w:val="none"/>
          <w:lang w:val="en-US" w:eastAsia="zh-CN"/>
        </w:rPr>
        <w:t>4</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p>
    <w:p>
      <w:pPr>
        <w:pageBreakBefore w:val="0"/>
        <w:widowControl w:val="0"/>
        <w:numPr>
          <w:ilvl w:val="0"/>
          <w:numId w:val="3"/>
        </w:numPr>
        <w:shd w:val="clear"/>
        <w:kinsoku/>
        <w:wordWrap/>
        <w:overflowPunct/>
        <w:topLinePunct w:val="0"/>
        <w:autoSpaceDE/>
        <w:autoSpaceDN/>
        <w:bidi w:val="0"/>
        <w:adjustRightInd/>
        <w:snapToGrid/>
        <w:spacing w:line="560" w:lineRule="exact"/>
        <w:ind w:left="0" w:leftChars="0" w:firstLine="400" w:firstLineChars="0"/>
        <w:textAlignment w:val="auto"/>
        <w:rPr>
          <w:rFonts w:hint="eastAsia" w:ascii="仿宋_GB2312" w:hAnsi="仿宋_GB2312" w:eastAsia="仿宋_GB2312" w:cs="仿宋_GB2312"/>
          <w:b w:val="0"/>
          <w:bCs/>
          <w:color w:val="auto"/>
          <w:sz w:val="32"/>
          <w:szCs w:val="32"/>
          <w:highlight w:val="none"/>
        </w:rPr>
      </w:pPr>
      <w:r>
        <w:rPr>
          <w:rStyle w:val="15"/>
          <w:rFonts w:hint="eastAsia" w:ascii="仿宋_GB2312" w:hAnsi="仿宋_GB2312" w:eastAsia="仿宋_GB2312" w:cs="仿宋_GB2312"/>
          <w:b w:val="0"/>
          <w:bCs/>
          <w:color w:val="auto"/>
          <w:sz w:val="32"/>
          <w:szCs w:val="32"/>
          <w:highlight w:val="none"/>
        </w:rPr>
        <w:t>社会保障和就业（类）</w:t>
      </w:r>
      <w:r>
        <w:rPr>
          <w:rStyle w:val="15"/>
          <w:rFonts w:hint="eastAsia" w:ascii="仿宋_GB2312" w:hAnsi="仿宋_GB2312" w:eastAsia="仿宋_GB2312" w:cs="仿宋_GB2312"/>
          <w:b w:val="0"/>
          <w:bCs/>
          <w:color w:val="auto"/>
          <w:sz w:val="32"/>
          <w:szCs w:val="32"/>
          <w:highlight w:val="none"/>
          <w:lang w:eastAsia="zh-CN"/>
        </w:rPr>
        <w:t>行政事业单位养老支出</w:t>
      </w:r>
      <w:r>
        <w:rPr>
          <w:rStyle w:val="15"/>
          <w:rFonts w:hint="eastAsia" w:ascii="仿宋_GB2312" w:hAnsi="仿宋_GB2312" w:eastAsia="仿宋_GB2312" w:cs="仿宋_GB2312"/>
          <w:b w:val="0"/>
          <w:bCs/>
          <w:color w:val="auto"/>
          <w:sz w:val="32"/>
          <w:szCs w:val="32"/>
          <w:highlight w:val="none"/>
        </w:rPr>
        <w:t>（款）</w:t>
      </w:r>
      <w:r>
        <w:rPr>
          <w:rStyle w:val="15"/>
          <w:rFonts w:hint="eastAsia" w:ascii="仿宋_GB2312" w:hAnsi="仿宋_GB2312" w:eastAsia="仿宋_GB2312" w:cs="仿宋_GB2312"/>
          <w:b w:val="0"/>
          <w:bCs/>
          <w:color w:val="auto"/>
          <w:sz w:val="32"/>
          <w:szCs w:val="32"/>
          <w:highlight w:val="none"/>
          <w:lang w:eastAsia="zh-CN"/>
        </w:rPr>
        <w:t>行政单位离退休</w:t>
      </w:r>
      <w:r>
        <w:rPr>
          <w:rStyle w:val="15"/>
          <w:rFonts w:hint="eastAsia" w:ascii="仿宋_GB2312" w:hAnsi="仿宋_GB2312" w:eastAsia="仿宋_GB2312" w:cs="仿宋_GB2312"/>
          <w:b w:val="0"/>
          <w:bCs/>
          <w:color w:val="auto"/>
          <w:sz w:val="32"/>
          <w:szCs w:val="32"/>
          <w:highlight w:val="none"/>
        </w:rPr>
        <w:t>（项）</w:t>
      </w:r>
      <w:r>
        <w:rPr>
          <w:rStyle w:val="15"/>
          <w:rFonts w:hint="eastAsia" w:ascii="仿宋_GB2312" w:hAnsi="仿宋_GB2312" w:eastAsia="仿宋_GB2312" w:cs="仿宋_GB2312"/>
          <w:b w:val="0"/>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 xml:space="preserve"> 支出决算为</w:t>
      </w:r>
      <w:r>
        <w:rPr>
          <w:rStyle w:val="15"/>
          <w:rFonts w:hint="eastAsia" w:ascii="仿宋_GB2312" w:hAnsi="仿宋_GB2312" w:eastAsia="仿宋_GB2312" w:cs="仿宋_GB2312"/>
          <w:b w:val="0"/>
          <w:bCs/>
          <w:color w:val="auto"/>
          <w:sz w:val="32"/>
          <w:szCs w:val="32"/>
          <w:highlight w:val="none"/>
          <w:lang w:val="en-US" w:eastAsia="zh-CN"/>
        </w:rPr>
        <w:t>14.80</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p>
    <w:p>
      <w:pPr>
        <w:pageBreakBefore w:val="0"/>
        <w:widowControl w:val="0"/>
        <w:numPr>
          <w:ilvl w:val="0"/>
          <w:numId w:val="3"/>
        </w:numPr>
        <w:shd w:val="clear"/>
        <w:kinsoku/>
        <w:wordWrap/>
        <w:overflowPunct/>
        <w:topLinePunct w:val="0"/>
        <w:autoSpaceDE/>
        <w:autoSpaceDN/>
        <w:bidi w:val="0"/>
        <w:adjustRightInd/>
        <w:snapToGrid/>
        <w:spacing w:line="560" w:lineRule="exact"/>
        <w:ind w:left="0" w:leftChars="0" w:firstLine="400" w:firstLineChars="0"/>
        <w:textAlignment w:val="auto"/>
        <w:rPr>
          <w:rFonts w:hint="eastAsia" w:ascii="仿宋_GB2312" w:hAnsi="仿宋_GB2312" w:eastAsia="仿宋_GB2312" w:cs="仿宋_GB2312"/>
          <w:b w:val="0"/>
          <w:bCs/>
          <w:color w:val="auto"/>
          <w:sz w:val="32"/>
          <w:szCs w:val="32"/>
          <w:highlight w:val="none"/>
        </w:rPr>
      </w:pPr>
      <w:r>
        <w:rPr>
          <w:rStyle w:val="15"/>
          <w:rFonts w:hint="eastAsia" w:ascii="仿宋_GB2312" w:hAnsi="仿宋_GB2312" w:eastAsia="仿宋_GB2312" w:cs="仿宋_GB2312"/>
          <w:b w:val="0"/>
          <w:bCs/>
          <w:color w:val="auto"/>
          <w:sz w:val="32"/>
          <w:szCs w:val="32"/>
          <w:highlight w:val="none"/>
        </w:rPr>
        <w:t>社会保障和就业（类）</w:t>
      </w:r>
      <w:r>
        <w:rPr>
          <w:rStyle w:val="15"/>
          <w:rFonts w:hint="eastAsia" w:ascii="仿宋_GB2312" w:hAnsi="仿宋_GB2312" w:eastAsia="仿宋_GB2312" w:cs="仿宋_GB2312"/>
          <w:b w:val="0"/>
          <w:bCs/>
          <w:color w:val="auto"/>
          <w:sz w:val="32"/>
          <w:szCs w:val="32"/>
          <w:highlight w:val="none"/>
          <w:lang w:eastAsia="zh-CN"/>
        </w:rPr>
        <w:t>行政事业单位养老支出</w:t>
      </w:r>
      <w:r>
        <w:rPr>
          <w:rStyle w:val="15"/>
          <w:rFonts w:hint="eastAsia" w:ascii="仿宋_GB2312" w:hAnsi="仿宋_GB2312" w:eastAsia="仿宋_GB2312" w:cs="仿宋_GB2312"/>
          <w:b w:val="0"/>
          <w:bCs/>
          <w:color w:val="auto"/>
          <w:sz w:val="32"/>
          <w:szCs w:val="32"/>
          <w:highlight w:val="none"/>
        </w:rPr>
        <w:t>（款）</w:t>
      </w:r>
      <w:r>
        <w:rPr>
          <w:rStyle w:val="15"/>
          <w:rFonts w:hint="eastAsia" w:ascii="仿宋_GB2312" w:hAnsi="仿宋_GB2312" w:eastAsia="仿宋_GB2312" w:cs="仿宋_GB2312"/>
          <w:b w:val="0"/>
          <w:bCs/>
          <w:color w:val="auto"/>
          <w:sz w:val="32"/>
          <w:szCs w:val="32"/>
          <w:highlight w:val="none"/>
          <w:lang w:eastAsia="zh-CN"/>
        </w:rPr>
        <w:t>机关事业单位基本养老保险缴费支出</w:t>
      </w:r>
      <w:r>
        <w:rPr>
          <w:rStyle w:val="15"/>
          <w:rFonts w:hint="eastAsia" w:ascii="仿宋_GB2312" w:hAnsi="仿宋_GB2312" w:eastAsia="仿宋_GB2312" w:cs="仿宋_GB2312"/>
          <w:b w:val="0"/>
          <w:bCs/>
          <w:color w:val="auto"/>
          <w:sz w:val="32"/>
          <w:szCs w:val="32"/>
          <w:highlight w:val="none"/>
        </w:rPr>
        <w:t>（项）</w:t>
      </w:r>
      <w:r>
        <w:rPr>
          <w:rStyle w:val="15"/>
          <w:rFonts w:hint="eastAsia" w:ascii="仿宋_GB2312" w:hAnsi="仿宋_GB2312" w:eastAsia="仿宋_GB2312" w:cs="仿宋_GB2312"/>
          <w:b w:val="0"/>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 xml:space="preserve"> 支出决算为</w:t>
      </w:r>
      <w:r>
        <w:rPr>
          <w:rStyle w:val="15"/>
          <w:rFonts w:hint="eastAsia" w:ascii="仿宋_GB2312" w:hAnsi="仿宋_GB2312" w:eastAsia="仿宋_GB2312" w:cs="仿宋_GB2312"/>
          <w:b w:val="0"/>
          <w:bCs/>
          <w:color w:val="auto"/>
          <w:sz w:val="32"/>
          <w:szCs w:val="32"/>
          <w:highlight w:val="none"/>
          <w:lang w:val="en-US" w:eastAsia="zh-CN"/>
        </w:rPr>
        <w:t>46.28</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p>
    <w:p>
      <w:pPr>
        <w:pageBreakBefore w:val="0"/>
        <w:widowControl w:val="0"/>
        <w:numPr>
          <w:ilvl w:val="0"/>
          <w:numId w:val="3"/>
        </w:numPr>
        <w:shd w:val="clear"/>
        <w:kinsoku/>
        <w:wordWrap/>
        <w:overflowPunct/>
        <w:topLinePunct w:val="0"/>
        <w:autoSpaceDE/>
        <w:autoSpaceDN/>
        <w:bidi w:val="0"/>
        <w:adjustRightInd/>
        <w:snapToGrid/>
        <w:spacing w:line="560" w:lineRule="exact"/>
        <w:ind w:left="0" w:leftChars="0" w:firstLine="400" w:firstLineChars="0"/>
        <w:textAlignment w:val="auto"/>
        <w:rPr>
          <w:rFonts w:hint="eastAsia" w:ascii="仿宋_GB2312" w:hAnsi="仿宋_GB2312" w:eastAsia="仿宋_GB2312" w:cs="仿宋_GB2312"/>
          <w:b w:val="0"/>
          <w:bCs/>
          <w:color w:val="auto"/>
          <w:sz w:val="32"/>
          <w:szCs w:val="32"/>
          <w:highlight w:val="none"/>
        </w:rPr>
      </w:pPr>
      <w:r>
        <w:rPr>
          <w:rStyle w:val="15"/>
          <w:rFonts w:hint="eastAsia" w:ascii="仿宋_GB2312" w:hAnsi="仿宋_GB2312" w:eastAsia="仿宋_GB2312" w:cs="仿宋_GB2312"/>
          <w:b w:val="0"/>
          <w:bCs/>
          <w:color w:val="auto"/>
          <w:sz w:val="32"/>
          <w:szCs w:val="32"/>
          <w:highlight w:val="none"/>
        </w:rPr>
        <w:t>社会保障和就业（类）</w:t>
      </w:r>
      <w:r>
        <w:rPr>
          <w:rStyle w:val="15"/>
          <w:rFonts w:hint="eastAsia" w:ascii="仿宋_GB2312" w:hAnsi="仿宋_GB2312" w:eastAsia="仿宋_GB2312" w:cs="仿宋_GB2312"/>
          <w:b w:val="0"/>
          <w:bCs/>
          <w:color w:val="auto"/>
          <w:sz w:val="32"/>
          <w:szCs w:val="32"/>
          <w:highlight w:val="none"/>
          <w:lang w:eastAsia="zh-CN"/>
        </w:rPr>
        <w:t>行政事业单位养老支出</w:t>
      </w:r>
      <w:r>
        <w:rPr>
          <w:rStyle w:val="15"/>
          <w:rFonts w:hint="eastAsia" w:ascii="仿宋_GB2312" w:hAnsi="仿宋_GB2312" w:eastAsia="仿宋_GB2312" w:cs="仿宋_GB2312"/>
          <w:b w:val="0"/>
          <w:bCs/>
          <w:color w:val="auto"/>
          <w:sz w:val="32"/>
          <w:szCs w:val="32"/>
          <w:highlight w:val="none"/>
        </w:rPr>
        <w:t>（款）</w:t>
      </w:r>
      <w:r>
        <w:rPr>
          <w:rStyle w:val="15"/>
          <w:rFonts w:hint="eastAsia" w:ascii="仿宋_GB2312" w:hAnsi="仿宋_GB2312" w:eastAsia="仿宋_GB2312" w:cs="仿宋_GB2312"/>
          <w:b w:val="0"/>
          <w:bCs/>
          <w:color w:val="auto"/>
          <w:sz w:val="32"/>
          <w:szCs w:val="32"/>
          <w:highlight w:val="none"/>
          <w:lang w:eastAsia="zh-CN"/>
        </w:rPr>
        <w:t>机关事业单位职业年金缴费支出</w:t>
      </w:r>
      <w:r>
        <w:rPr>
          <w:rStyle w:val="15"/>
          <w:rFonts w:hint="eastAsia" w:ascii="仿宋_GB2312" w:hAnsi="仿宋_GB2312" w:eastAsia="仿宋_GB2312" w:cs="仿宋_GB2312"/>
          <w:b w:val="0"/>
          <w:bCs/>
          <w:color w:val="auto"/>
          <w:sz w:val="32"/>
          <w:szCs w:val="32"/>
          <w:highlight w:val="none"/>
        </w:rPr>
        <w:t>（项）</w:t>
      </w:r>
      <w:r>
        <w:rPr>
          <w:rStyle w:val="15"/>
          <w:rFonts w:hint="eastAsia" w:ascii="仿宋_GB2312" w:hAnsi="仿宋_GB2312" w:eastAsia="仿宋_GB2312" w:cs="仿宋_GB2312"/>
          <w:b w:val="0"/>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 xml:space="preserve"> 支出决算为</w:t>
      </w:r>
      <w:r>
        <w:rPr>
          <w:rStyle w:val="15"/>
          <w:rFonts w:hint="eastAsia" w:ascii="仿宋_GB2312" w:hAnsi="仿宋_GB2312" w:eastAsia="仿宋_GB2312" w:cs="仿宋_GB2312"/>
          <w:b w:val="0"/>
          <w:bCs/>
          <w:color w:val="auto"/>
          <w:sz w:val="32"/>
          <w:szCs w:val="32"/>
          <w:highlight w:val="none"/>
          <w:lang w:val="en-US" w:eastAsia="zh-CN"/>
        </w:rPr>
        <w:t>22.63</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p>
    <w:p>
      <w:pPr>
        <w:pageBreakBefore w:val="0"/>
        <w:widowControl w:val="0"/>
        <w:numPr>
          <w:ilvl w:val="0"/>
          <w:numId w:val="3"/>
        </w:numPr>
        <w:shd w:val="clear"/>
        <w:kinsoku/>
        <w:wordWrap/>
        <w:overflowPunct/>
        <w:topLinePunct w:val="0"/>
        <w:autoSpaceDE/>
        <w:autoSpaceDN/>
        <w:bidi w:val="0"/>
        <w:adjustRightInd/>
        <w:snapToGrid/>
        <w:spacing w:line="560" w:lineRule="exact"/>
        <w:ind w:left="0" w:leftChars="0" w:firstLine="400" w:firstLineChars="0"/>
        <w:textAlignment w:val="auto"/>
        <w:rPr>
          <w:rFonts w:hint="eastAsia" w:ascii="仿宋_GB2312" w:hAnsi="仿宋_GB2312" w:eastAsia="仿宋_GB2312" w:cs="仿宋_GB2312"/>
          <w:b w:val="0"/>
          <w:bCs/>
          <w:color w:val="auto"/>
          <w:sz w:val="32"/>
          <w:szCs w:val="32"/>
          <w:highlight w:val="none"/>
        </w:rPr>
      </w:pPr>
      <w:r>
        <w:rPr>
          <w:rStyle w:val="15"/>
          <w:rFonts w:hint="eastAsia" w:ascii="仿宋_GB2312" w:hAnsi="仿宋_GB2312" w:eastAsia="仿宋_GB2312" w:cs="仿宋_GB2312"/>
          <w:b w:val="0"/>
          <w:bCs/>
          <w:color w:val="auto"/>
          <w:sz w:val="32"/>
          <w:szCs w:val="32"/>
          <w:highlight w:val="none"/>
        </w:rPr>
        <w:t>社会保障和就业（类）</w:t>
      </w:r>
      <w:r>
        <w:rPr>
          <w:rStyle w:val="15"/>
          <w:rFonts w:hint="eastAsia" w:ascii="仿宋_GB2312" w:hAnsi="仿宋_GB2312" w:eastAsia="仿宋_GB2312" w:cs="仿宋_GB2312"/>
          <w:b w:val="0"/>
          <w:bCs/>
          <w:color w:val="auto"/>
          <w:sz w:val="32"/>
          <w:szCs w:val="32"/>
          <w:highlight w:val="none"/>
          <w:lang w:eastAsia="zh-CN"/>
        </w:rPr>
        <w:t>抚恤</w:t>
      </w:r>
      <w:r>
        <w:rPr>
          <w:rStyle w:val="15"/>
          <w:rFonts w:hint="eastAsia" w:ascii="仿宋_GB2312" w:hAnsi="仿宋_GB2312" w:eastAsia="仿宋_GB2312" w:cs="仿宋_GB2312"/>
          <w:b w:val="0"/>
          <w:bCs/>
          <w:color w:val="auto"/>
          <w:sz w:val="32"/>
          <w:szCs w:val="32"/>
          <w:highlight w:val="none"/>
        </w:rPr>
        <w:t>（款）</w:t>
      </w:r>
      <w:r>
        <w:rPr>
          <w:rStyle w:val="15"/>
          <w:rFonts w:hint="eastAsia" w:ascii="仿宋_GB2312" w:hAnsi="仿宋_GB2312" w:eastAsia="仿宋_GB2312" w:cs="仿宋_GB2312"/>
          <w:b w:val="0"/>
          <w:bCs/>
          <w:color w:val="auto"/>
          <w:sz w:val="32"/>
          <w:szCs w:val="32"/>
          <w:highlight w:val="none"/>
          <w:lang w:eastAsia="zh-CN"/>
        </w:rPr>
        <w:t>死亡抚恤</w:t>
      </w:r>
      <w:r>
        <w:rPr>
          <w:rStyle w:val="15"/>
          <w:rFonts w:hint="eastAsia" w:ascii="仿宋_GB2312" w:hAnsi="仿宋_GB2312" w:eastAsia="仿宋_GB2312" w:cs="仿宋_GB2312"/>
          <w:b w:val="0"/>
          <w:bCs/>
          <w:color w:val="auto"/>
          <w:sz w:val="32"/>
          <w:szCs w:val="32"/>
          <w:highlight w:val="none"/>
        </w:rPr>
        <w:t>（项）</w:t>
      </w:r>
      <w:r>
        <w:rPr>
          <w:rStyle w:val="15"/>
          <w:rFonts w:hint="eastAsia" w:ascii="仿宋_GB2312" w:hAnsi="仿宋_GB2312" w:eastAsia="仿宋_GB2312" w:cs="仿宋_GB2312"/>
          <w:b w:val="0"/>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 xml:space="preserve"> 支出决算为</w:t>
      </w:r>
      <w:r>
        <w:rPr>
          <w:rStyle w:val="15"/>
          <w:rFonts w:hint="eastAsia" w:ascii="仿宋_GB2312" w:hAnsi="仿宋_GB2312" w:eastAsia="仿宋_GB2312" w:cs="仿宋_GB2312"/>
          <w:b w:val="0"/>
          <w:bCs/>
          <w:color w:val="auto"/>
          <w:sz w:val="32"/>
          <w:szCs w:val="32"/>
          <w:highlight w:val="none"/>
          <w:lang w:val="en-US" w:eastAsia="zh-CN"/>
        </w:rPr>
        <w:t>23.58</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p>
    <w:p>
      <w:pPr>
        <w:pageBreakBefore w:val="0"/>
        <w:widowControl w:val="0"/>
        <w:numPr>
          <w:ilvl w:val="0"/>
          <w:numId w:val="3"/>
        </w:numPr>
        <w:shd w:val="clear"/>
        <w:kinsoku/>
        <w:wordWrap/>
        <w:overflowPunct/>
        <w:topLinePunct w:val="0"/>
        <w:autoSpaceDE/>
        <w:autoSpaceDN/>
        <w:bidi w:val="0"/>
        <w:adjustRightInd/>
        <w:snapToGrid/>
        <w:spacing w:line="560" w:lineRule="exact"/>
        <w:ind w:left="0" w:leftChars="0" w:firstLine="400" w:firstLineChars="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卫生健康</w:t>
      </w:r>
      <w:r>
        <w:rPr>
          <w:rStyle w:val="15"/>
          <w:rFonts w:hint="eastAsia" w:ascii="仿宋_GB2312" w:hAnsi="仿宋_GB2312" w:eastAsia="仿宋_GB2312" w:cs="仿宋_GB2312"/>
          <w:b w:val="0"/>
          <w:bCs/>
          <w:color w:val="auto"/>
          <w:sz w:val="32"/>
          <w:szCs w:val="32"/>
          <w:highlight w:val="none"/>
        </w:rPr>
        <w:t>（类）</w:t>
      </w:r>
      <w:r>
        <w:rPr>
          <w:rStyle w:val="15"/>
          <w:rFonts w:hint="eastAsia" w:ascii="仿宋_GB2312" w:hAnsi="仿宋_GB2312" w:eastAsia="仿宋_GB2312" w:cs="仿宋_GB2312"/>
          <w:b w:val="0"/>
          <w:bCs/>
          <w:color w:val="auto"/>
          <w:sz w:val="32"/>
          <w:szCs w:val="32"/>
          <w:highlight w:val="none"/>
          <w:lang w:eastAsia="zh-CN"/>
        </w:rPr>
        <w:t>行政事业单位医疗</w:t>
      </w:r>
      <w:r>
        <w:rPr>
          <w:rStyle w:val="15"/>
          <w:rFonts w:hint="eastAsia" w:ascii="仿宋_GB2312" w:hAnsi="仿宋_GB2312" w:eastAsia="仿宋_GB2312" w:cs="仿宋_GB2312"/>
          <w:b w:val="0"/>
          <w:bCs/>
          <w:color w:val="auto"/>
          <w:sz w:val="32"/>
          <w:szCs w:val="32"/>
          <w:highlight w:val="none"/>
        </w:rPr>
        <w:t>（款）</w:t>
      </w:r>
      <w:r>
        <w:rPr>
          <w:rStyle w:val="15"/>
          <w:rFonts w:hint="eastAsia" w:ascii="仿宋_GB2312" w:hAnsi="仿宋_GB2312" w:eastAsia="仿宋_GB2312" w:cs="仿宋_GB2312"/>
          <w:b w:val="0"/>
          <w:bCs/>
          <w:color w:val="auto"/>
          <w:sz w:val="32"/>
          <w:szCs w:val="32"/>
          <w:highlight w:val="none"/>
          <w:lang w:eastAsia="zh-CN"/>
        </w:rPr>
        <w:t>行政单位医疗</w:t>
      </w:r>
      <w:r>
        <w:rPr>
          <w:rStyle w:val="15"/>
          <w:rFonts w:hint="eastAsia" w:ascii="仿宋_GB2312" w:hAnsi="仿宋_GB2312" w:eastAsia="仿宋_GB2312" w:cs="仿宋_GB2312"/>
          <w:b w:val="0"/>
          <w:bCs/>
          <w:color w:val="auto"/>
          <w:sz w:val="32"/>
          <w:szCs w:val="32"/>
          <w:highlight w:val="none"/>
        </w:rPr>
        <w:t>（项）</w:t>
      </w:r>
      <w:r>
        <w:rPr>
          <w:rStyle w:val="15"/>
          <w:rFonts w:hint="eastAsia" w:ascii="仿宋_GB2312" w:hAnsi="仿宋_GB2312" w:eastAsia="仿宋_GB2312" w:cs="仿宋_GB2312"/>
          <w:b w:val="0"/>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eastAsia="仿宋_GB2312" w:cs="仿宋_GB2312"/>
          <w:b w:val="0"/>
          <w:bCs/>
          <w:color w:val="auto"/>
          <w:sz w:val="32"/>
          <w:szCs w:val="32"/>
          <w:highlight w:val="none"/>
          <w:lang w:val="en-US" w:eastAsia="zh-CN"/>
        </w:rPr>
        <w:t>24.59</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p>
    <w:p>
      <w:pPr>
        <w:pageBreakBefore w:val="0"/>
        <w:widowControl w:val="0"/>
        <w:numPr>
          <w:ilvl w:val="0"/>
          <w:numId w:val="3"/>
        </w:numPr>
        <w:shd w:val="clear"/>
        <w:kinsoku/>
        <w:wordWrap/>
        <w:overflowPunct/>
        <w:topLinePunct w:val="0"/>
        <w:autoSpaceDE/>
        <w:autoSpaceDN/>
        <w:bidi w:val="0"/>
        <w:adjustRightInd/>
        <w:snapToGrid/>
        <w:spacing w:line="560" w:lineRule="exact"/>
        <w:ind w:left="0" w:leftChars="0" w:firstLine="400" w:firstLineChars="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交通运输支出</w:t>
      </w:r>
      <w:r>
        <w:rPr>
          <w:rStyle w:val="15"/>
          <w:rFonts w:hint="eastAsia" w:ascii="仿宋_GB2312" w:hAnsi="仿宋_GB2312" w:eastAsia="仿宋_GB2312" w:cs="仿宋_GB2312"/>
          <w:b w:val="0"/>
          <w:bCs/>
          <w:color w:val="auto"/>
          <w:sz w:val="32"/>
          <w:szCs w:val="32"/>
          <w:highlight w:val="none"/>
        </w:rPr>
        <w:t>（类）</w:t>
      </w:r>
      <w:r>
        <w:rPr>
          <w:rStyle w:val="15"/>
          <w:rFonts w:hint="eastAsia" w:ascii="仿宋_GB2312" w:hAnsi="仿宋_GB2312" w:eastAsia="仿宋_GB2312" w:cs="仿宋_GB2312"/>
          <w:b w:val="0"/>
          <w:bCs/>
          <w:color w:val="auto"/>
          <w:sz w:val="32"/>
          <w:szCs w:val="32"/>
          <w:highlight w:val="none"/>
          <w:lang w:eastAsia="zh-CN"/>
        </w:rPr>
        <w:t>公路水路运输</w:t>
      </w:r>
      <w:r>
        <w:rPr>
          <w:rStyle w:val="15"/>
          <w:rFonts w:hint="eastAsia" w:ascii="仿宋_GB2312" w:hAnsi="仿宋_GB2312" w:eastAsia="仿宋_GB2312" w:cs="仿宋_GB2312"/>
          <w:b w:val="0"/>
          <w:bCs/>
          <w:color w:val="auto"/>
          <w:sz w:val="32"/>
          <w:szCs w:val="32"/>
          <w:highlight w:val="none"/>
        </w:rPr>
        <w:t>（款）</w:t>
      </w:r>
      <w:r>
        <w:rPr>
          <w:rStyle w:val="15"/>
          <w:rFonts w:hint="eastAsia" w:ascii="仿宋_GB2312" w:hAnsi="仿宋_GB2312" w:eastAsia="仿宋_GB2312" w:cs="仿宋_GB2312"/>
          <w:b w:val="0"/>
          <w:bCs/>
          <w:color w:val="auto"/>
          <w:sz w:val="32"/>
          <w:szCs w:val="32"/>
          <w:highlight w:val="none"/>
          <w:lang w:eastAsia="zh-CN"/>
        </w:rPr>
        <w:t>行政运行</w:t>
      </w:r>
      <w:r>
        <w:rPr>
          <w:rStyle w:val="15"/>
          <w:rFonts w:hint="eastAsia" w:ascii="仿宋_GB2312" w:hAnsi="仿宋_GB2312" w:eastAsia="仿宋_GB2312" w:cs="仿宋_GB2312"/>
          <w:b w:val="0"/>
          <w:bCs/>
          <w:color w:val="auto"/>
          <w:sz w:val="32"/>
          <w:szCs w:val="32"/>
          <w:highlight w:val="none"/>
        </w:rPr>
        <w:t>（项）</w:t>
      </w:r>
      <w:r>
        <w:rPr>
          <w:rStyle w:val="15"/>
          <w:rFonts w:hint="eastAsia" w:ascii="仿宋_GB2312" w:hAnsi="仿宋_GB2312" w:eastAsia="仿宋_GB2312" w:cs="仿宋_GB2312"/>
          <w:b w:val="0"/>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eastAsia="仿宋_GB2312" w:cs="仿宋_GB2312"/>
          <w:b w:val="0"/>
          <w:bCs/>
          <w:color w:val="auto"/>
          <w:sz w:val="32"/>
          <w:szCs w:val="32"/>
          <w:highlight w:val="none"/>
          <w:lang w:val="en-US" w:eastAsia="zh-CN"/>
        </w:rPr>
        <w:t>718.49</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p>
    <w:p>
      <w:pPr>
        <w:pageBreakBefore w:val="0"/>
        <w:widowControl w:val="0"/>
        <w:numPr>
          <w:ilvl w:val="0"/>
          <w:numId w:val="3"/>
        </w:numPr>
        <w:shd w:val="clear"/>
        <w:kinsoku/>
        <w:wordWrap/>
        <w:overflowPunct/>
        <w:topLinePunct w:val="0"/>
        <w:autoSpaceDE/>
        <w:autoSpaceDN/>
        <w:bidi w:val="0"/>
        <w:adjustRightInd/>
        <w:snapToGrid/>
        <w:spacing w:line="560" w:lineRule="exact"/>
        <w:ind w:left="0" w:leftChars="0" w:firstLine="400" w:firstLineChars="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交通运输支出</w:t>
      </w:r>
      <w:r>
        <w:rPr>
          <w:rStyle w:val="15"/>
          <w:rFonts w:hint="eastAsia" w:ascii="仿宋_GB2312" w:hAnsi="仿宋_GB2312" w:eastAsia="仿宋_GB2312" w:cs="仿宋_GB2312"/>
          <w:b w:val="0"/>
          <w:bCs/>
          <w:color w:val="auto"/>
          <w:sz w:val="32"/>
          <w:szCs w:val="32"/>
          <w:highlight w:val="none"/>
        </w:rPr>
        <w:t>（类）</w:t>
      </w:r>
      <w:r>
        <w:rPr>
          <w:rStyle w:val="15"/>
          <w:rFonts w:hint="eastAsia" w:ascii="仿宋_GB2312" w:hAnsi="仿宋_GB2312" w:eastAsia="仿宋_GB2312" w:cs="仿宋_GB2312"/>
          <w:b w:val="0"/>
          <w:bCs/>
          <w:color w:val="auto"/>
          <w:sz w:val="32"/>
          <w:szCs w:val="32"/>
          <w:highlight w:val="none"/>
          <w:lang w:eastAsia="zh-CN"/>
        </w:rPr>
        <w:t>公路水路运输</w:t>
      </w:r>
      <w:r>
        <w:rPr>
          <w:rStyle w:val="15"/>
          <w:rFonts w:hint="eastAsia" w:ascii="仿宋_GB2312" w:hAnsi="仿宋_GB2312" w:eastAsia="仿宋_GB2312" w:cs="仿宋_GB2312"/>
          <w:b w:val="0"/>
          <w:bCs/>
          <w:color w:val="auto"/>
          <w:sz w:val="32"/>
          <w:szCs w:val="32"/>
          <w:highlight w:val="none"/>
        </w:rPr>
        <w:t>（款）</w:t>
      </w:r>
      <w:r>
        <w:rPr>
          <w:rStyle w:val="15"/>
          <w:rFonts w:hint="eastAsia" w:ascii="仿宋_GB2312" w:hAnsi="仿宋_GB2312" w:eastAsia="仿宋_GB2312" w:cs="仿宋_GB2312"/>
          <w:b w:val="0"/>
          <w:bCs/>
          <w:color w:val="auto"/>
          <w:sz w:val="32"/>
          <w:szCs w:val="32"/>
          <w:highlight w:val="none"/>
          <w:lang w:eastAsia="zh-CN"/>
        </w:rPr>
        <w:t>一般行政管理事务</w:t>
      </w:r>
      <w:r>
        <w:rPr>
          <w:rStyle w:val="15"/>
          <w:rFonts w:hint="eastAsia" w:ascii="仿宋_GB2312" w:hAnsi="仿宋_GB2312" w:eastAsia="仿宋_GB2312" w:cs="仿宋_GB2312"/>
          <w:b w:val="0"/>
          <w:bCs/>
          <w:color w:val="auto"/>
          <w:sz w:val="32"/>
          <w:szCs w:val="32"/>
          <w:highlight w:val="none"/>
        </w:rPr>
        <w:t>（项）</w:t>
      </w:r>
      <w:r>
        <w:rPr>
          <w:rStyle w:val="15"/>
          <w:rFonts w:hint="eastAsia" w:ascii="仿宋_GB2312" w:hAnsi="仿宋_GB2312" w:eastAsia="仿宋_GB2312" w:cs="仿宋_GB2312"/>
          <w:b w:val="0"/>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eastAsia="仿宋_GB2312" w:cs="仿宋_GB2312"/>
          <w:b w:val="0"/>
          <w:bCs/>
          <w:color w:val="auto"/>
          <w:sz w:val="32"/>
          <w:szCs w:val="32"/>
          <w:highlight w:val="none"/>
          <w:lang w:val="en-US" w:eastAsia="zh-CN"/>
        </w:rPr>
        <w:t>408.46</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p>
    <w:p>
      <w:pPr>
        <w:pageBreakBefore w:val="0"/>
        <w:widowControl w:val="0"/>
        <w:numPr>
          <w:ilvl w:val="0"/>
          <w:numId w:val="3"/>
        </w:numPr>
        <w:shd w:val="clear"/>
        <w:kinsoku/>
        <w:wordWrap/>
        <w:overflowPunct/>
        <w:topLinePunct w:val="0"/>
        <w:autoSpaceDE/>
        <w:autoSpaceDN/>
        <w:bidi w:val="0"/>
        <w:adjustRightInd/>
        <w:snapToGrid/>
        <w:spacing w:line="560" w:lineRule="exact"/>
        <w:ind w:left="0" w:leftChars="0" w:firstLine="400" w:firstLineChars="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交通运输支出</w:t>
      </w:r>
      <w:r>
        <w:rPr>
          <w:rStyle w:val="15"/>
          <w:rFonts w:hint="eastAsia" w:ascii="仿宋_GB2312" w:hAnsi="仿宋_GB2312" w:eastAsia="仿宋_GB2312" w:cs="仿宋_GB2312"/>
          <w:b w:val="0"/>
          <w:bCs/>
          <w:color w:val="auto"/>
          <w:sz w:val="32"/>
          <w:szCs w:val="32"/>
          <w:highlight w:val="none"/>
        </w:rPr>
        <w:t>（类）</w:t>
      </w:r>
      <w:r>
        <w:rPr>
          <w:rStyle w:val="15"/>
          <w:rFonts w:hint="eastAsia" w:ascii="仿宋_GB2312" w:hAnsi="仿宋_GB2312" w:eastAsia="仿宋_GB2312" w:cs="仿宋_GB2312"/>
          <w:b w:val="0"/>
          <w:bCs/>
          <w:color w:val="auto"/>
          <w:sz w:val="32"/>
          <w:szCs w:val="32"/>
          <w:highlight w:val="none"/>
          <w:lang w:eastAsia="zh-CN"/>
        </w:rPr>
        <w:t>公路水里运输</w:t>
      </w:r>
      <w:r>
        <w:rPr>
          <w:rStyle w:val="15"/>
          <w:rFonts w:hint="eastAsia" w:ascii="仿宋_GB2312" w:hAnsi="仿宋_GB2312" w:eastAsia="仿宋_GB2312" w:cs="仿宋_GB2312"/>
          <w:b w:val="0"/>
          <w:bCs/>
          <w:color w:val="auto"/>
          <w:sz w:val="32"/>
          <w:szCs w:val="32"/>
          <w:highlight w:val="none"/>
        </w:rPr>
        <w:t>（款）</w:t>
      </w:r>
      <w:r>
        <w:rPr>
          <w:rStyle w:val="15"/>
          <w:rFonts w:hint="eastAsia" w:ascii="仿宋_GB2312" w:hAnsi="仿宋_GB2312" w:eastAsia="仿宋_GB2312" w:cs="仿宋_GB2312"/>
          <w:b w:val="0"/>
          <w:bCs/>
          <w:color w:val="auto"/>
          <w:sz w:val="32"/>
          <w:szCs w:val="32"/>
          <w:highlight w:val="none"/>
          <w:lang w:eastAsia="zh-CN"/>
        </w:rPr>
        <w:t>其他公路水路运输支出</w:t>
      </w:r>
      <w:r>
        <w:rPr>
          <w:rStyle w:val="15"/>
          <w:rFonts w:hint="eastAsia" w:ascii="仿宋_GB2312" w:hAnsi="仿宋_GB2312" w:eastAsia="仿宋_GB2312" w:cs="仿宋_GB2312"/>
          <w:b w:val="0"/>
          <w:bCs/>
          <w:color w:val="auto"/>
          <w:sz w:val="32"/>
          <w:szCs w:val="32"/>
          <w:highlight w:val="none"/>
        </w:rPr>
        <w:t>（项）</w:t>
      </w:r>
      <w:r>
        <w:rPr>
          <w:rStyle w:val="15"/>
          <w:rFonts w:hint="eastAsia" w:ascii="仿宋_GB2312" w:hAnsi="仿宋_GB2312" w:eastAsia="仿宋_GB2312" w:cs="仿宋_GB2312"/>
          <w:b w:val="0"/>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eastAsia="仿宋_GB2312" w:cs="仿宋_GB2312"/>
          <w:b w:val="0"/>
          <w:bCs/>
          <w:color w:val="auto"/>
          <w:sz w:val="32"/>
          <w:szCs w:val="32"/>
          <w:highlight w:val="none"/>
          <w:lang w:val="en-US" w:eastAsia="zh-CN"/>
        </w:rPr>
        <w:t>1676</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r>
        <w:rPr>
          <w:rStyle w:val="15"/>
          <w:rFonts w:hint="eastAsia" w:ascii="仿宋_GB2312" w:hAnsi="仿宋_GB2312" w:eastAsia="仿宋_GB2312" w:cs="仿宋_GB2312"/>
          <w:b w:val="0"/>
          <w:bCs/>
          <w:color w:val="auto"/>
          <w:sz w:val="32"/>
          <w:szCs w:val="32"/>
          <w:highlight w:val="none"/>
          <w:lang w:val="en-US" w:eastAsia="zh-CN"/>
        </w:rPr>
        <w:t>。</w:t>
      </w:r>
    </w:p>
    <w:p>
      <w:pPr>
        <w:pageBreakBefore w:val="0"/>
        <w:widowControl w:val="0"/>
        <w:numPr>
          <w:ilvl w:val="0"/>
          <w:numId w:val="3"/>
        </w:numPr>
        <w:shd w:val="clear"/>
        <w:kinsoku/>
        <w:wordWrap/>
        <w:overflowPunct/>
        <w:topLinePunct w:val="0"/>
        <w:autoSpaceDE/>
        <w:autoSpaceDN/>
        <w:bidi w:val="0"/>
        <w:adjustRightInd/>
        <w:snapToGrid/>
        <w:spacing w:line="560" w:lineRule="exact"/>
        <w:ind w:left="0" w:leftChars="0" w:firstLine="400" w:firstLineChars="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交通运输支出</w:t>
      </w:r>
      <w:r>
        <w:rPr>
          <w:rStyle w:val="15"/>
          <w:rFonts w:hint="eastAsia" w:ascii="仿宋_GB2312" w:hAnsi="仿宋_GB2312" w:eastAsia="仿宋_GB2312" w:cs="仿宋_GB2312"/>
          <w:b w:val="0"/>
          <w:bCs/>
          <w:color w:val="auto"/>
          <w:sz w:val="32"/>
          <w:szCs w:val="32"/>
          <w:highlight w:val="none"/>
        </w:rPr>
        <w:t>（类）</w:t>
      </w:r>
      <w:r>
        <w:rPr>
          <w:rStyle w:val="15"/>
          <w:rFonts w:hint="eastAsia" w:ascii="仿宋_GB2312" w:hAnsi="仿宋_GB2312" w:eastAsia="仿宋_GB2312" w:cs="仿宋_GB2312"/>
          <w:b w:val="0"/>
          <w:bCs/>
          <w:color w:val="auto"/>
          <w:sz w:val="32"/>
          <w:szCs w:val="32"/>
          <w:highlight w:val="none"/>
          <w:lang w:eastAsia="zh-CN"/>
        </w:rPr>
        <w:t>其他交通运输支出</w:t>
      </w:r>
      <w:r>
        <w:rPr>
          <w:rStyle w:val="15"/>
          <w:rFonts w:hint="eastAsia" w:ascii="仿宋_GB2312" w:hAnsi="仿宋_GB2312" w:eastAsia="仿宋_GB2312" w:cs="仿宋_GB2312"/>
          <w:b w:val="0"/>
          <w:bCs/>
          <w:color w:val="auto"/>
          <w:sz w:val="32"/>
          <w:szCs w:val="32"/>
          <w:highlight w:val="none"/>
        </w:rPr>
        <w:t>（款）</w:t>
      </w:r>
      <w:r>
        <w:rPr>
          <w:rStyle w:val="15"/>
          <w:rFonts w:hint="eastAsia" w:ascii="仿宋_GB2312" w:hAnsi="仿宋_GB2312" w:eastAsia="仿宋_GB2312" w:cs="仿宋_GB2312"/>
          <w:b w:val="0"/>
          <w:bCs/>
          <w:color w:val="auto"/>
          <w:sz w:val="32"/>
          <w:szCs w:val="32"/>
          <w:highlight w:val="none"/>
          <w:lang w:eastAsia="zh-CN"/>
        </w:rPr>
        <w:t>其他交通运输支出</w:t>
      </w:r>
      <w:r>
        <w:rPr>
          <w:rStyle w:val="15"/>
          <w:rFonts w:hint="eastAsia" w:ascii="仿宋_GB2312" w:hAnsi="仿宋_GB2312" w:eastAsia="仿宋_GB2312" w:cs="仿宋_GB2312"/>
          <w:b w:val="0"/>
          <w:bCs/>
          <w:color w:val="auto"/>
          <w:sz w:val="32"/>
          <w:szCs w:val="32"/>
          <w:highlight w:val="none"/>
        </w:rPr>
        <w:t>（项）</w:t>
      </w:r>
      <w:r>
        <w:rPr>
          <w:rStyle w:val="15"/>
          <w:rFonts w:hint="eastAsia" w:ascii="仿宋_GB2312" w:hAnsi="仿宋_GB2312" w:eastAsia="仿宋_GB2312" w:cs="仿宋_GB2312"/>
          <w:b w:val="0"/>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eastAsia="仿宋_GB2312" w:cs="仿宋_GB2312"/>
          <w:b w:val="0"/>
          <w:bCs/>
          <w:color w:val="auto"/>
          <w:sz w:val="32"/>
          <w:szCs w:val="32"/>
          <w:highlight w:val="none"/>
          <w:lang w:val="en-US" w:eastAsia="zh-CN"/>
        </w:rPr>
        <w:t>1113.02</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p>
    <w:p>
      <w:pPr>
        <w:pageBreakBefore w:val="0"/>
        <w:widowControl w:val="0"/>
        <w:numPr>
          <w:ilvl w:val="0"/>
          <w:numId w:val="3"/>
        </w:numPr>
        <w:shd w:val="clear"/>
        <w:kinsoku/>
        <w:wordWrap/>
        <w:overflowPunct/>
        <w:topLinePunct w:val="0"/>
        <w:autoSpaceDE/>
        <w:autoSpaceDN/>
        <w:bidi w:val="0"/>
        <w:adjustRightInd/>
        <w:snapToGrid/>
        <w:spacing w:line="560" w:lineRule="exact"/>
        <w:ind w:left="0" w:leftChars="0" w:firstLine="400" w:firstLineChars="0"/>
        <w:textAlignment w:val="auto"/>
        <w:rPr>
          <w:rFonts w:hint="eastAsia" w:ascii="仿宋_GB2312" w:hAnsi="仿宋_GB2312" w:eastAsia="仿宋_GB2312" w:cs="仿宋_GB2312"/>
          <w:b w:val="0"/>
          <w:bCs/>
          <w:color w:val="auto"/>
          <w:sz w:val="32"/>
          <w:szCs w:val="32"/>
          <w:highlight w:val="none"/>
        </w:rPr>
      </w:pPr>
      <w:r>
        <w:rPr>
          <w:rStyle w:val="15"/>
          <w:rFonts w:hint="eastAsia" w:ascii="仿宋_GB2312" w:hAnsi="仿宋_GB2312" w:eastAsia="仿宋_GB2312" w:cs="仿宋_GB2312"/>
          <w:b w:val="0"/>
          <w:bCs/>
          <w:color w:val="auto"/>
          <w:sz w:val="32"/>
          <w:szCs w:val="32"/>
          <w:highlight w:val="none"/>
          <w:lang w:eastAsia="zh-CN"/>
        </w:rPr>
        <w:t>住房保障支出</w:t>
      </w:r>
      <w:r>
        <w:rPr>
          <w:rStyle w:val="15"/>
          <w:rFonts w:hint="eastAsia" w:ascii="仿宋_GB2312" w:hAnsi="仿宋_GB2312" w:eastAsia="仿宋_GB2312" w:cs="仿宋_GB2312"/>
          <w:b w:val="0"/>
          <w:bCs/>
          <w:color w:val="auto"/>
          <w:sz w:val="32"/>
          <w:szCs w:val="32"/>
          <w:highlight w:val="none"/>
        </w:rPr>
        <w:t>（类）</w:t>
      </w:r>
      <w:r>
        <w:rPr>
          <w:rStyle w:val="15"/>
          <w:rFonts w:hint="eastAsia" w:ascii="仿宋_GB2312" w:hAnsi="仿宋_GB2312" w:eastAsia="仿宋_GB2312" w:cs="仿宋_GB2312"/>
          <w:b w:val="0"/>
          <w:bCs/>
          <w:color w:val="auto"/>
          <w:sz w:val="32"/>
          <w:szCs w:val="32"/>
          <w:highlight w:val="none"/>
          <w:lang w:eastAsia="zh-CN"/>
        </w:rPr>
        <w:t>住房保障支出</w:t>
      </w:r>
      <w:r>
        <w:rPr>
          <w:rStyle w:val="15"/>
          <w:rFonts w:hint="eastAsia" w:ascii="仿宋_GB2312" w:hAnsi="仿宋_GB2312" w:eastAsia="仿宋_GB2312" w:cs="仿宋_GB2312"/>
          <w:b w:val="0"/>
          <w:bCs/>
          <w:color w:val="auto"/>
          <w:sz w:val="32"/>
          <w:szCs w:val="32"/>
          <w:highlight w:val="none"/>
        </w:rPr>
        <w:t>（款）</w:t>
      </w:r>
      <w:r>
        <w:rPr>
          <w:rStyle w:val="15"/>
          <w:rFonts w:hint="eastAsia" w:ascii="仿宋_GB2312" w:hAnsi="仿宋_GB2312" w:eastAsia="仿宋_GB2312" w:cs="仿宋_GB2312"/>
          <w:b w:val="0"/>
          <w:bCs/>
          <w:color w:val="auto"/>
          <w:sz w:val="32"/>
          <w:szCs w:val="32"/>
          <w:highlight w:val="none"/>
          <w:lang w:eastAsia="zh-CN"/>
        </w:rPr>
        <w:t>住房公积金</w:t>
      </w:r>
      <w:r>
        <w:rPr>
          <w:rStyle w:val="15"/>
          <w:rFonts w:hint="eastAsia" w:ascii="仿宋_GB2312" w:hAnsi="仿宋_GB2312" w:eastAsia="仿宋_GB2312" w:cs="仿宋_GB2312"/>
          <w:b w:val="0"/>
          <w:bCs/>
          <w:color w:val="auto"/>
          <w:sz w:val="32"/>
          <w:szCs w:val="32"/>
          <w:highlight w:val="none"/>
        </w:rPr>
        <w:t>（项）</w:t>
      </w:r>
      <w:r>
        <w:rPr>
          <w:rStyle w:val="15"/>
          <w:rFonts w:hint="eastAsia" w:ascii="仿宋_GB2312" w:hAnsi="仿宋_GB2312" w:eastAsia="仿宋_GB2312" w:cs="仿宋_GB2312"/>
          <w:b w:val="0"/>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eastAsia="仿宋_GB2312" w:cs="仿宋_GB2312"/>
          <w:b w:val="0"/>
          <w:bCs/>
          <w:color w:val="auto"/>
          <w:sz w:val="32"/>
          <w:szCs w:val="32"/>
          <w:highlight w:val="none"/>
          <w:lang w:val="en-US" w:eastAsia="zh-CN"/>
        </w:rPr>
        <w:t>63.88</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p>
    <w:p>
      <w:pPr>
        <w:pageBreakBefore w:val="0"/>
        <w:widowControl w:val="0"/>
        <w:numPr>
          <w:ilvl w:val="0"/>
          <w:numId w:val="3"/>
        </w:numPr>
        <w:shd w:val="clear"/>
        <w:kinsoku/>
        <w:wordWrap/>
        <w:overflowPunct/>
        <w:topLinePunct w:val="0"/>
        <w:autoSpaceDE/>
        <w:autoSpaceDN/>
        <w:bidi w:val="0"/>
        <w:adjustRightInd/>
        <w:snapToGrid/>
        <w:spacing w:line="560" w:lineRule="exact"/>
        <w:ind w:left="0" w:leftChars="0" w:firstLine="400" w:firstLineChars="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其他支出</w:t>
      </w:r>
      <w:r>
        <w:rPr>
          <w:rStyle w:val="15"/>
          <w:rFonts w:hint="eastAsia" w:ascii="仿宋_GB2312" w:hAnsi="仿宋_GB2312" w:eastAsia="仿宋_GB2312" w:cs="仿宋_GB2312"/>
          <w:b w:val="0"/>
          <w:bCs/>
          <w:color w:val="auto"/>
          <w:sz w:val="32"/>
          <w:szCs w:val="32"/>
          <w:highlight w:val="none"/>
        </w:rPr>
        <w:t>（类）</w:t>
      </w:r>
      <w:r>
        <w:rPr>
          <w:rFonts w:hint="eastAsia" w:ascii="仿宋_GB2312" w:hAnsi="仿宋_GB2312" w:eastAsia="仿宋_GB2312" w:cs="仿宋_GB2312"/>
          <w:b w:val="0"/>
          <w:bCs/>
          <w:color w:val="auto"/>
          <w:sz w:val="32"/>
          <w:szCs w:val="32"/>
          <w:highlight w:val="none"/>
          <w:lang w:eastAsia="zh-CN"/>
        </w:rPr>
        <w:t>其他支出</w:t>
      </w:r>
      <w:r>
        <w:rPr>
          <w:rStyle w:val="15"/>
          <w:rFonts w:hint="eastAsia" w:ascii="仿宋_GB2312" w:hAnsi="仿宋_GB2312" w:eastAsia="仿宋_GB2312" w:cs="仿宋_GB2312"/>
          <w:b w:val="0"/>
          <w:bCs/>
          <w:color w:val="auto"/>
          <w:sz w:val="32"/>
          <w:szCs w:val="32"/>
          <w:highlight w:val="none"/>
        </w:rPr>
        <w:t>（款）</w:t>
      </w:r>
      <w:r>
        <w:rPr>
          <w:rFonts w:hint="eastAsia" w:ascii="仿宋_GB2312" w:hAnsi="仿宋_GB2312" w:eastAsia="仿宋_GB2312" w:cs="仿宋_GB2312"/>
          <w:b w:val="0"/>
          <w:bCs/>
          <w:color w:val="auto"/>
          <w:sz w:val="32"/>
          <w:szCs w:val="32"/>
          <w:highlight w:val="none"/>
          <w:lang w:eastAsia="zh-CN"/>
        </w:rPr>
        <w:t>其他支出</w:t>
      </w:r>
      <w:r>
        <w:rPr>
          <w:rStyle w:val="15"/>
          <w:rFonts w:hint="eastAsia" w:ascii="仿宋_GB2312" w:hAnsi="仿宋_GB2312" w:eastAsia="仿宋_GB2312" w:cs="仿宋_GB2312"/>
          <w:b w:val="0"/>
          <w:bCs/>
          <w:color w:val="auto"/>
          <w:sz w:val="32"/>
          <w:szCs w:val="32"/>
          <w:highlight w:val="none"/>
        </w:rPr>
        <w:t>（项）</w:t>
      </w:r>
      <w:r>
        <w:rPr>
          <w:rStyle w:val="15"/>
          <w:rFonts w:hint="eastAsia" w:ascii="仿宋_GB2312" w:hAnsi="仿宋_GB2312" w:eastAsia="仿宋_GB2312" w:cs="仿宋_GB2312"/>
          <w:b w:val="0"/>
          <w:bCs/>
          <w:color w:val="auto"/>
          <w:sz w:val="32"/>
          <w:szCs w:val="32"/>
          <w:highlight w:val="none"/>
          <w:lang w:eastAsia="zh-CN"/>
        </w:rPr>
        <w:t>：</w:t>
      </w:r>
      <w:r>
        <w:rPr>
          <w:rStyle w:val="15"/>
          <w:rFonts w:hint="eastAsia" w:ascii="仿宋_GB2312" w:hAnsi="仿宋_GB2312" w:eastAsia="仿宋_GB2312" w:cs="仿宋_GB2312"/>
          <w:b w:val="0"/>
          <w:bCs/>
          <w:color w:val="auto"/>
          <w:sz w:val="32"/>
          <w:szCs w:val="32"/>
          <w:highlight w:val="none"/>
        </w:rPr>
        <w:t>支出决算为</w:t>
      </w:r>
      <w:r>
        <w:rPr>
          <w:rStyle w:val="15"/>
          <w:rFonts w:hint="eastAsia" w:ascii="仿宋_GB2312" w:hAnsi="仿宋_GB2312" w:eastAsia="仿宋_GB2312" w:cs="仿宋_GB2312"/>
          <w:b w:val="0"/>
          <w:bCs/>
          <w:color w:val="auto"/>
          <w:sz w:val="32"/>
          <w:szCs w:val="32"/>
          <w:highlight w:val="none"/>
          <w:lang w:val="en-US" w:eastAsia="zh-CN"/>
        </w:rPr>
        <w:t>400</w:t>
      </w:r>
      <w:r>
        <w:rPr>
          <w:rStyle w:val="15"/>
          <w:rFonts w:hint="eastAsia" w:ascii="仿宋_GB2312" w:hAnsi="仿宋_GB2312" w:eastAsia="仿宋_GB2312" w:cs="仿宋_GB2312"/>
          <w:b w:val="0"/>
          <w:bCs/>
          <w:color w:val="auto"/>
          <w:sz w:val="32"/>
          <w:szCs w:val="32"/>
          <w:highlight w:val="none"/>
        </w:rPr>
        <w:t>万元，完成预算</w:t>
      </w:r>
      <w:r>
        <w:rPr>
          <w:rStyle w:val="15"/>
          <w:rFonts w:hint="eastAsia" w:ascii="仿宋_GB2312" w:hAnsi="仿宋_GB2312" w:eastAsia="仿宋_GB2312" w:cs="仿宋_GB2312"/>
          <w:b w:val="0"/>
          <w:bCs/>
          <w:color w:val="auto"/>
          <w:sz w:val="32"/>
          <w:szCs w:val="32"/>
          <w:highlight w:val="none"/>
          <w:lang w:val="en-US" w:eastAsia="zh-CN"/>
        </w:rPr>
        <w:t>100</w:t>
      </w:r>
      <w:r>
        <w:rPr>
          <w:rStyle w:val="15"/>
          <w:rFonts w:hint="eastAsia" w:ascii="仿宋_GB2312" w:hAnsi="仿宋_GB2312" w:eastAsia="仿宋_GB2312" w:cs="仿宋_GB2312"/>
          <w:b w:val="0"/>
          <w:bCs/>
          <w:color w:val="auto"/>
          <w:sz w:val="32"/>
          <w:szCs w:val="32"/>
          <w:highlight w:val="none"/>
        </w:rPr>
        <w:t>%。</w:t>
      </w:r>
    </w:p>
    <w:p>
      <w:pPr>
        <w:pageBreakBefore w:val="0"/>
        <w:widowControl w:val="0"/>
        <w:shd w:val="clear"/>
        <w:tabs>
          <w:tab w:val="right" w:pos="8306"/>
        </w:tabs>
        <w:kinsoku/>
        <w:wordWrap/>
        <w:overflowPunct/>
        <w:topLinePunct w:val="0"/>
        <w:bidi w:val="0"/>
        <w:snapToGrid/>
        <w:spacing w:line="560" w:lineRule="exact"/>
        <w:ind w:left="0" w:right="0" w:firstLine="640" w:firstLineChars="200"/>
        <w:textAlignment w:val="auto"/>
        <w:outlineLvl w:val="1"/>
        <w:rPr>
          <w:rStyle w:val="18"/>
          <w:color w:val="auto"/>
          <w:highlight w:val="none"/>
        </w:rPr>
      </w:pPr>
      <w:bookmarkStart w:id="58" w:name="_Toc1791556294_WPSOffice_Level2"/>
      <w:bookmarkStart w:id="59" w:name="_Toc15377214"/>
      <w:bookmarkStart w:id="60" w:name="_Toc15396608"/>
      <w:bookmarkStart w:id="61" w:name="_Toc1149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18"/>
          <w:rFonts w:hint="eastAsia" w:ascii="黑体" w:hAnsi="黑体" w:eastAsia="黑体"/>
          <w:b w:val="0"/>
          <w:color w:val="auto"/>
          <w:highlight w:val="none"/>
        </w:rPr>
        <w:t>般公共预算财政拨款基本支出决算情况说明</w:t>
      </w:r>
      <w:bookmarkEnd w:id="58"/>
      <w:bookmarkEnd w:id="59"/>
      <w:bookmarkEnd w:id="60"/>
      <w:bookmarkEnd w:id="61"/>
      <w:r>
        <w:rPr>
          <w:rStyle w:val="18"/>
          <w:rFonts w:ascii="黑体" w:hAnsi="黑体" w:eastAsia="黑体"/>
          <w:b w:val="0"/>
          <w:color w:val="auto"/>
          <w:highlight w:val="none"/>
        </w:rPr>
        <w:tab/>
      </w:r>
    </w:p>
    <w:p>
      <w:pPr>
        <w:shd w:val="clear"/>
        <w:spacing w:beforeLines="0" w:afterLines="0" w:line="576" w:lineRule="exact"/>
        <w:ind w:firstLine="64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2022年一般公共预算财政拨款基本支出914.24万元，其中：</w:t>
      </w:r>
    </w:p>
    <w:p>
      <w:pPr>
        <w:shd w:val="clear"/>
        <w:spacing w:beforeLines="0" w:afterLines="0" w:line="576" w:lineRule="exact"/>
        <w:ind w:firstLine="643"/>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人员经费</w:t>
      </w:r>
      <w:r>
        <w:rPr>
          <w:rFonts w:hint="eastAsia" w:ascii="仿宋_GB2312" w:hAnsi="仿宋_GB2312" w:eastAsia="仿宋_GB2312"/>
          <w:color w:val="000000"/>
          <w:kern w:val="2"/>
          <w:sz w:val="32"/>
          <w:szCs w:val="24"/>
          <w:highlight w:val="none"/>
          <w:lang w:val="zh-CN"/>
        </w:rPr>
        <w:t>807.75万元，主要包括：</w:t>
      </w:r>
      <w:r>
        <w:rPr>
          <w:rFonts w:hint="eastAsia" w:ascii="仿宋" w:hAnsi="仿宋" w:eastAsia="仿宋"/>
          <w:color w:val="auto"/>
          <w:kern w:val="2"/>
          <w:sz w:val="32"/>
          <w:szCs w:val="24"/>
          <w:highlight w:val="none"/>
          <w:lang w:val="en-US"/>
        </w:rPr>
        <w:t>基本工资、津贴补贴、奖金、机关事业单位基本养老保险缴费、职业年金缴费、</w:t>
      </w:r>
      <w:r>
        <w:rPr>
          <w:rFonts w:hint="eastAsia" w:ascii="仿宋" w:hAnsi="仿宋" w:eastAsia="仿宋"/>
          <w:color w:val="auto"/>
          <w:kern w:val="2"/>
          <w:sz w:val="32"/>
          <w:szCs w:val="24"/>
          <w:highlight w:val="none"/>
          <w:lang w:val="en-US" w:eastAsia="zh-CN"/>
        </w:rPr>
        <w:t>职工基本医疗保险缴费、</w:t>
      </w:r>
      <w:r>
        <w:rPr>
          <w:rFonts w:hint="eastAsia" w:ascii="仿宋" w:hAnsi="仿宋" w:eastAsia="仿宋"/>
          <w:color w:val="auto"/>
          <w:kern w:val="2"/>
          <w:sz w:val="32"/>
          <w:szCs w:val="24"/>
          <w:highlight w:val="none"/>
          <w:lang w:val="en-US"/>
        </w:rPr>
        <w:t>其他社会保障缴费、住房公积金、其他工资福利支出、离休费、抚恤金、生活补助、奖励金、其他对个人和家庭的补助支出</w:t>
      </w:r>
      <w:r>
        <w:rPr>
          <w:rFonts w:hint="eastAsia" w:ascii="仿宋_GB2312" w:hAnsi="仿宋_GB2312" w:eastAsia="仿宋_GB2312"/>
          <w:color w:val="000000"/>
          <w:kern w:val="2"/>
          <w:sz w:val="32"/>
          <w:szCs w:val="24"/>
          <w:highlight w:val="none"/>
          <w:lang w:val="zh-CN"/>
        </w:rPr>
        <w:t>。</w:t>
      </w:r>
    </w:p>
    <w:p>
      <w:pPr>
        <w:shd w:val="clear"/>
        <w:spacing w:beforeLines="0" w:afterLines="0" w:line="576" w:lineRule="exact"/>
        <w:ind w:firstLine="643"/>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公用经费</w:t>
      </w:r>
      <w:r>
        <w:rPr>
          <w:rFonts w:hint="eastAsia" w:ascii="仿宋_GB2312" w:hAnsi="仿宋_GB2312" w:eastAsia="仿宋_GB2312"/>
          <w:color w:val="000000"/>
          <w:kern w:val="2"/>
          <w:sz w:val="32"/>
          <w:szCs w:val="24"/>
          <w:highlight w:val="none"/>
          <w:lang w:val="zh-CN"/>
        </w:rPr>
        <w:t>106.49万元，主要包括：</w:t>
      </w:r>
      <w:r>
        <w:rPr>
          <w:rFonts w:hint="eastAsia" w:ascii="仿宋" w:hAnsi="仿宋" w:eastAsia="仿宋"/>
          <w:color w:val="auto"/>
          <w:kern w:val="2"/>
          <w:sz w:val="32"/>
          <w:szCs w:val="24"/>
          <w:highlight w:val="none"/>
          <w:lang w:val="en-US"/>
        </w:rPr>
        <w:t>办公费、印刷费、水费、电费、物业管理费、维修（护）费、公务接待费、劳务费、工会经费、福利费、其他交通费</w:t>
      </w:r>
      <w:r>
        <w:rPr>
          <w:rFonts w:hint="eastAsia" w:ascii="仿宋" w:hAnsi="仿宋" w:eastAsia="仿宋"/>
          <w:color w:val="auto"/>
          <w:kern w:val="2"/>
          <w:sz w:val="32"/>
          <w:szCs w:val="24"/>
          <w:highlight w:val="none"/>
          <w:lang w:val="en-US" w:eastAsia="zh-CN"/>
        </w:rPr>
        <w:t>用</w:t>
      </w:r>
      <w:r>
        <w:rPr>
          <w:rFonts w:hint="eastAsia" w:ascii="仿宋" w:hAnsi="仿宋" w:eastAsia="仿宋"/>
          <w:color w:val="auto"/>
          <w:kern w:val="2"/>
          <w:sz w:val="32"/>
          <w:szCs w:val="24"/>
          <w:highlight w:val="none"/>
          <w:lang w:val="en-US"/>
        </w:rPr>
        <w:t>、其他商品和服务支出</w:t>
      </w:r>
      <w:r>
        <w:rPr>
          <w:rFonts w:hint="eastAsia" w:ascii="仿宋_GB2312" w:hAnsi="仿宋_GB2312" w:eastAsia="仿宋_GB2312"/>
          <w:color w:val="000000"/>
          <w:kern w:val="2"/>
          <w:sz w:val="32"/>
          <w:szCs w:val="24"/>
          <w:highlight w:val="none"/>
          <w:lang w:val="zh-CN"/>
        </w:rPr>
        <w:t>。</w:t>
      </w:r>
    </w:p>
    <w:p>
      <w:pPr>
        <w:pageBreakBefore w:val="0"/>
        <w:widowControl w:val="0"/>
        <w:shd w:val="clear"/>
        <w:kinsoku/>
        <w:wordWrap/>
        <w:overflowPunct/>
        <w:topLinePunct w:val="0"/>
        <w:bidi w:val="0"/>
        <w:snapToGrid/>
        <w:spacing w:line="560" w:lineRule="exact"/>
        <w:ind w:left="0" w:right="0" w:firstLine="640" w:firstLineChars="200"/>
        <w:textAlignment w:val="auto"/>
        <w:outlineLvl w:val="1"/>
        <w:rPr>
          <w:rStyle w:val="18"/>
          <w:rFonts w:ascii="黑体" w:hAnsi="黑体" w:eastAsia="黑体"/>
          <w:b w:val="0"/>
          <w:color w:val="auto"/>
          <w:highlight w:val="none"/>
        </w:rPr>
      </w:pPr>
      <w:bookmarkStart w:id="62" w:name="_Toc30654"/>
      <w:bookmarkStart w:id="63" w:name="_Toc15396609"/>
      <w:bookmarkStart w:id="64" w:name="_Toc497602947_WPSOffice_Level2"/>
      <w:bookmarkStart w:id="65" w:name="_Toc15377215"/>
      <w:r>
        <w:rPr>
          <w:rFonts w:hint="eastAsia" w:ascii="黑体" w:eastAsia="黑体"/>
          <w:color w:val="auto"/>
          <w:sz w:val="32"/>
          <w:szCs w:val="32"/>
          <w:highlight w:val="none"/>
        </w:rPr>
        <w:t>七、</w:t>
      </w:r>
      <w:r>
        <w:rPr>
          <w:rStyle w:val="18"/>
          <w:rFonts w:hint="eastAsia" w:ascii="黑体" w:hAnsi="黑体" w:eastAsia="黑体"/>
          <w:b w:val="0"/>
          <w:color w:val="auto"/>
          <w:highlight w:val="none"/>
        </w:rPr>
        <w:t>财政拨款</w:t>
      </w:r>
      <w:r>
        <w:rPr>
          <w:rStyle w:val="18"/>
          <w:rFonts w:hint="eastAsia" w:ascii="黑体" w:hAnsi="黑体" w:eastAsia="黑体"/>
          <w:color w:val="auto"/>
          <w:highlight w:val="none"/>
        </w:rPr>
        <w:t>“</w:t>
      </w:r>
      <w:r>
        <w:rPr>
          <w:rStyle w:val="18"/>
          <w:rFonts w:hint="eastAsia" w:ascii="黑体" w:hAnsi="黑体" w:eastAsia="黑体"/>
          <w:b w:val="0"/>
          <w:color w:val="auto"/>
          <w:highlight w:val="none"/>
        </w:rPr>
        <w:t>三公”经费支出决算情况说明</w:t>
      </w:r>
      <w:bookmarkEnd w:id="62"/>
      <w:bookmarkEnd w:id="63"/>
      <w:bookmarkEnd w:id="64"/>
      <w:bookmarkEnd w:id="65"/>
    </w:p>
    <w:p>
      <w:pPr>
        <w:pageBreakBefore w:val="0"/>
        <w:widowControl w:val="0"/>
        <w:shd w:val="clear"/>
        <w:kinsoku/>
        <w:wordWrap/>
        <w:overflowPunct/>
        <w:topLinePunct w:val="0"/>
        <w:bidi w:val="0"/>
        <w:snapToGrid/>
        <w:spacing w:line="560" w:lineRule="exact"/>
        <w:ind w:left="0" w:right="0" w:firstLine="642" w:firstLineChars="200"/>
        <w:textAlignment w:val="auto"/>
        <w:outlineLvl w:val="2"/>
        <w:rPr>
          <w:rFonts w:ascii="仿宋" w:hAnsi="仿宋" w:eastAsia="仿宋"/>
          <w:b/>
          <w:color w:val="auto"/>
          <w:sz w:val="32"/>
          <w:szCs w:val="32"/>
          <w:highlight w:val="none"/>
        </w:rPr>
      </w:pPr>
      <w:bookmarkStart w:id="66" w:name="_Toc15377216"/>
      <w:r>
        <w:rPr>
          <w:rFonts w:hint="eastAsia" w:ascii="仿宋" w:hAnsi="仿宋" w:eastAsia="仿宋"/>
          <w:b/>
          <w:color w:val="auto"/>
          <w:sz w:val="32"/>
          <w:szCs w:val="32"/>
          <w:highlight w:val="none"/>
        </w:rPr>
        <w:t>（一）“三公”经费财政拨款支出决算总体情况说明</w:t>
      </w:r>
      <w:bookmarkEnd w:id="66"/>
    </w:p>
    <w:p>
      <w:pPr>
        <w:keepNext/>
        <w:keepLines/>
        <w:shd w:val="clear"/>
        <w:spacing w:beforeLines="0" w:afterLines="0" w:line="576" w:lineRule="exact"/>
        <w:ind w:firstLine="64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2022年</w:t>
      </w:r>
      <w:r>
        <w:rPr>
          <w:rFonts w:hint="default" w:ascii="仿宋_GB2312" w:hAnsi="仿宋_GB2312" w:eastAsia="仿宋_GB2312"/>
          <w:color w:val="000000"/>
          <w:kern w:val="2"/>
          <w:sz w:val="32"/>
          <w:szCs w:val="24"/>
          <w:highlight w:val="none"/>
          <w:lang w:val="zh-CN"/>
        </w:rPr>
        <w:t>“</w:t>
      </w:r>
      <w:r>
        <w:rPr>
          <w:rFonts w:hint="eastAsia" w:ascii="仿宋_GB2312" w:hAnsi="仿宋_GB2312" w:eastAsia="仿宋_GB2312"/>
          <w:color w:val="000000"/>
          <w:kern w:val="2"/>
          <w:sz w:val="32"/>
          <w:szCs w:val="24"/>
          <w:highlight w:val="none"/>
          <w:lang w:val="zh-CN"/>
        </w:rPr>
        <w:t>三公</w:t>
      </w:r>
      <w:r>
        <w:rPr>
          <w:rFonts w:hint="default" w:ascii="仿宋_GB2312" w:hAnsi="仿宋_GB2312" w:eastAsia="仿宋_GB2312"/>
          <w:color w:val="000000"/>
          <w:kern w:val="2"/>
          <w:sz w:val="32"/>
          <w:szCs w:val="24"/>
          <w:highlight w:val="none"/>
          <w:lang w:val="zh-CN"/>
        </w:rPr>
        <w:t>”</w:t>
      </w:r>
      <w:r>
        <w:rPr>
          <w:rFonts w:hint="eastAsia" w:ascii="仿宋_GB2312" w:hAnsi="仿宋_GB2312" w:eastAsia="仿宋_GB2312"/>
          <w:color w:val="000000"/>
          <w:kern w:val="2"/>
          <w:sz w:val="32"/>
          <w:szCs w:val="24"/>
          <w:highlight w:val="none"/>
          <w:lang w:val="zh-CN"/>
        </w:rPr>
        <w:t>经费财政拨款支出决算为56.24万元，完成预算100%；较上年增加47.09万元，增长514.6%，原因是</w:t>
      </w:r>
      <w:r>
        <w:rPr>
          <w:rFonts w:hint="eastAsia" w:ascii="仿宋_GB2312" w:hAnsi="仿宋_GB2312" w:eastAsia="仿宋_GB2312"/>
          <w:color w:val="000000"/>
          <w:kern w:val="2"/>
          <w:sz w:val="32"/>
          <w:szCs w:val="24"/>
          <w:highlight w:val="none"/>
          <w:lang w:val="en-US" w:eastAsia="zh-CN"/>
        </w:rPr>
        <w:t>2022年更新购置公务用车一辆</w:t>
      </w:r>
      <w:r>
        <w:rPr>
          <w:rFonts w:hint="eastAsia" w:ascii="仿宋_GB2312" w:hAnsi="仿宋_GB2312" w:eastAsia="仿宋_GB2312"/>
          <w:color w:val="000000"/>
          <w:kern w:val="2"/>
          <w:sz w:val="32"/>
          <w:szCs w:val="24"/>
          <w:highlight w:val="none"/>
          <w:lang w:val="zh-CN"/>
        </w:rPr>
        <w:t>。</w:t>
      </w:r>
    </w:p>
    <w:p>
      <w:pPr>
        <w:pageBreakBefore w:val="0"/>
        <w:widowControl w:val="0"/>
        <w:shd w:val="clear"/>
        <w:kinsoku/>
        <w:wordWrap/>
        <w:overflowPunct/>
        <w:topLinePunct w:val="0"/>
        <w:bidi w:val="0"/>
        <w:snapToGrid/>
        <w:spacing w:line="560" w:lineRule="exact"/>
        <w:ind w:left="0" w:right="0" w:firstLine="642" w:firstLineChars="200"/>
        <w:textAlignment w:val="auto"/>
        <w:outlineLvl w:val="2"/>
        <w:rPr>
          <w:rFonts w:ascii="仿宋" w:hAnsi="仿宋" w:eastAsia="仿宋"/>
          <w:b/>
          <w:color w:val="auto"/>
          <w:sz w:val="32"/>
          <w:szCs w:val="32"/>
          <w:highlight w:val="none"/>
        </w:rPr>
      </w:pPr>
      <w:bookmarkStart w:id="67" w:name="_Toc15377217"/>
      <w:r>
        <w:rPr>
          <w:rFonts w:hint="eastAsia" w:ascii="仿宋" w:hAnsi="仿宋" w:eastAsia="仿宋"/>
          <w:b/>
          <w:color w:val="auto"/>
          <w:sz w:val="32"/>
          <w:szCs w:val="32"/>
          <w:highlight w:val="none"/>
        </w:rPr>
        <w:t>（二）“三公”经费财政拨款支出决算具体情况说明</w:t>
      </w:r>
      <w:bookmarkEnd w:id="67"/>
    </w:p>
    <w:p>
      <w:pPr>
        <w:keepNext/>
        <w:keepLines/>
        <w:shd w:val="clear"/>
        <w:spacing w:beforeLines="0" w:afterLines="0" w:line="576" w:lineRule="exact"/>
        <w:ind w:firstLine="64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2022年</w:t>
      </w:r>
      <w:r>
        <w:rPr>
          <w:rFonts w:hint="default" w:ascii="仿宋_GB2312" w:hAnsi="仿宋_GB2312" w:eastAsia="仿宋_GB2312"/>
          <w:color w:val="000000"/>
          <w:kern w:val="2"/>
          <w:sz w:val="32"/>
          <w:szCs w:val="24"/>
          <w:highlight w:val="none"/>
          <w:lang w:val="zh-CN"/>
        </w:rPr>
        <w:t>“</w:t>
      </w:r>
      <w:r>
        <w:rPr>
          <w:rFonts w:hint="eastAsia" w:ascii="仿宋_GB2312" w:hAnsi="仿宋_GB2312" w:eastAsia="仿宋_GB2312"/>
          <w:color w:val="000000"/>
          <w:kern w:val="2"/>
          <w:sz w:val="32"/>
          <w:szCs w:val="24"/>
          <w:highlight w:val="none"/>
          <w:lang w:val="zh-CN"/>
        </w:rPr>
        <w:t>三公</w:t>
      </w:r>
      <w:r>
        <w:rPr>
          <w:rFonts w:hint="default" w:ascii="仿宋_GB2312" w:hAnsi="仿宋_GB2312" w:eastAsia="仿宋_GB2312"/>
          <w:color w:val="000000"/>
          <w:kern w:val="2"/>
          <w:sz w:val="32"/>
          <w:szCs w:val="24"/>
          <w:highlight w:val="none"/>
          <w:lang w:val="zh-CN"/>
        </w:rPr>
        <w:t>”</w:t>
      </w:r>
      <w:r>
        <w:rPr>
          <w:rFonts w:hint="eastAsia" w:ascii="仿宋_GB2312" w:hAnsi="仿宋_GB2312" w:eastAsia="仿宋_GB2312"/>
          <w:color w:val="000000"/>
          <w:kern w:val="2"/>
          <w:sz w:val="32"/>
          <w:szCs w:val="24"/>
          <w:highlight w:val="none"/>
          <w:lang w:val="zh-CN"/>
        </w:rPr>
        <w:t>经费财政拨款支出决算中，因公出国（境）费支出决算0万元，占0%；公务用车购置及运行维护费支出决算55.9万元，占99.4%；公务接待费支出决算0.34万元，占0.6%。具体情况如下：</w:t>
      </w:r>
    </w:p>
    <w:p>
      <w:pPr>
        <w:pageBreakBefore w:val="0"/>
        <w:widowControl w:val="0"/>
        <w:shd w:val="clear"/>
        <w:kinsoku/>
        <w:wordWrap/>
        <w:overflowPunct/>
        <w:topLinePunct w:val="0"/>
        <w:bidi w:val="0"/>
        <w:snapToGrid/>
        <w:spacing w:line="560" w:lineRule="exact"/>
        <w:ind w:left="0" w:right="0"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pStyle w:val="6"/>
        <w:shd w:val="clear"/>
        <w:rPr>
          <w:highlight w:val="none"/>
        </w:rPr>
      </w:pPr>
      <w:r>
        <w:rPr>
          <w:rFonts w:hint="eastAsia" w:ascii="仿宋_GB2312" w:eastAsia="仿宋_GB2312"/>
          <w:b/>
          <w:color w:val="auto"/>
          <w:sz w:val="32"/>
          <w:szCs w:val="32"/>
          <w:highlight w:val="none"/>
          <w:lang w:eastAsia="zh-CN"/>
        </w:rPr>
        <w:drawing>
          <wp:anchor distT="0" distB="0" distL="114300" distR="114300" simplePos="0" relativeHeight="251665408" behindDoc="0" locked="0" layoutInCell="1" allowOverlap="1">
            <wp:simplePos x="0" y="0"/>
            <wp:positionH relativeFrom="column">
              <wp:posOffset>194945</wp:posOffset>
            </wp:positionH>
            <wp:positionV relativeFrom="paragraph">
              <wp:posOffset>90805</wp:posOffset>
            </wp:positionV>
            <wp:extent cx="5080000" cy="2419350"/>
            <wp:effectExtent l="4445" t="4445" r="20955" b="1460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ageBreakBefore w:val="0"/>
        <w:numPr>
          <w:ilvl w:val="0"/>
          <w:numId w:val="4"/>
        </w:numPr>
        <w:shd w:val="clear"/>
        <w:kinsoku/>
        <w:wordWrap/>
        <w:topLinePunct w:val="0"/>
        <w:bidi w:val="0"/>
        <w:spacing w:line="560" w:lineRule="exact"/>
        <w:ind w:firstLine="640"/>
        <w:textAlignment w:val="auto"/>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5"/>
          <w:rFonts w:hint="eastAsia" w:ascii="仿宋" w:hAnsi="仿宋" w:eastAsia="仿宋"/>
          <w:b w:val="0"/>
          <w:bCs/>
          <w:color w:val="auto"/>
          <w:sz w:val="32"/>
          <w:szCs w:val="32"/>
          <w:highlight w:val="none"/>
        </w:rPr>
        <w:t>年初未安排预算。</w:t>
      </w:r>
      <w:r>
        <w:rPr>
          <w:rFonts w:hint="eastAsia" w:ascii="仿宋_GB2312" w:eastAsia="仿宋_GB2312"/>
          <w:color w:val="auto"/>
          <w:sz w:val="32"/>
          <w:szCs w:val="32"/>
          <w:highlight w:val="none"/>
        </w:rPr>
        <w:t>因公出国（境）支出决算较202</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年无变化。</w:t>
      </w:r>
    </w:p>
    <w:p>
      <w:pPr>
        <w:pageBreakBefore w:val="0"/>
        <w:numPr>
          <w:ilvl w:val="0"/>
          <w:numId w:val="4"/>
        </w:numPr>
        <w:shd w:val="clear"/>
        <w:kinsoku/>
        <w:wordWrap/>
        <w:topLinePunct w:val="0"/>
        <w:bidi w:val="0"/>
        <w:spacing w:line="560" w:lineRule="exact"/>
        <w:ind w:firstLine="640"/>
        <w:textAlignment w:val="auto"/>
        <w:rPr>
          <w:rFonts w:hint="eastAsia" w:ascii="仿宋_GB2312" w:hAnsi="仿宋_GB2312" w:eastAsia="仿宋_GB2312"/>
          <w:color w:val="000000"/>
          <w:kern w:val="2"/>
          <w:sz w:val="32"/>
          <w:szCs w:val="24"/>
          <w:highlight w:val="none"/>
          <w:lang w:val="zh-CN"/>
        </w:rPr>
      </w:pPr>
      <w:r>
        <w:rPr>
          <w:rFonts w:hint="eastAsia" w:ascii="仿宋_GB2312" w:eastAsia="仿宋_GB2312"/>
          <w:b/>
          <w:color w:val="auto"/>
          <w:sz w:val="32"/>
          <w:szCs w:val="32"/>
          <w:highlight w:val="none"/>
        </w:rPr>
        <w:t>公务用车购置及运行维护费支出</w:t>
      </w:r>
      <w:r>
        <w:rPr>
          <w:rFonts w:hint="eastAsia" w:ascii="仿宋_GB2312" w:hAnsi="仿宋_GB2312" w:eastAsia="仿宋_GB2312"/>
          <w:color w:val="000000"/>
          <w:kern w:val="2"/>
          <w:sz w:val="32"/>
          <w:szCs w:val="24"/>
          <w:highlight w:val="none"/>
          <w:lang w:val="zh-CN"/>
        </w:rPr>
        <w:t>55.9万元，完成预算100%。公务用车购置及运行维护费支出决算比2021年增加47.5万元，增长565.5%。主要原因是</w:t>
      </w:r>
      <w:r>
        <w:rPr>
          <w:rFonts w:hint="eastAsia" w:ascii="仿宋_GB2312" w:hAnsi="仿宋_GB2312" w:eastAsia="仿宋_GB2312"/>
          <w:color w:val="000000"/>
          <w:kern w:val="2"/>
          <w:sz w:val="32"/>
          <w:szCs w:val="24"/>
          <w:highlight w:val="none"/>
          <w:lang w:val="en-US" w:eastAsia="zh-CN"/>
        </w:rPr>
        <w:t>2022年更新购置公务用车一辆</w:t>
      </w:r>
      <w:r>
        <w:rPr>
          <w:rFonts w:hint="eastAsia" w:ascii="仿宋_GB2312" w:hAnsi="仿宋_GB2312" w:eastAsia="仿宋_GB2312"/>
          <w:color w:val="000000"/>
          <w:kern w:val="2"/>
          <w:sz w:val="32"/>
          <w:szCs w:val="24"/>
          <w:highlight w:val="none"/>
          <w:lang w:val="zh-CN"/>
        </w:rPr>
        <w:t>。其中：</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公务用车购置费</w:t>
      </w:r>
      <w:r>
        <w:rPr>
          <w:rFonts w:hint="eastAsia" w:ascii="仿宋_GB2312" w:hAnsi="仿宋_GB2312" w:eastAsia="仿宋_GB2312"/>
          <w:color w:val="000000"/>
          <w:kern w:val="2"/>
          <w:sz w:val="32"/>
          <w:szCs w:val="24"/>
          <w:highlight w:val="none"/>
          <w:lang w:val="zh-CN"/>
        </w:rPr>
        <w:t>支出50.32万元。全年按规定更新购置公务用车1辆，其中：越野车</w:t>
      </w:r>
      <w:r>
        <w:rPr>
          <w:rFonts w:hint="eastAsia" w:ascii="仿宋_GB2312" w:hAnsi="仿宋_GB2312" w:eastAsia="仿宋_GB2312"/>
          <w:color w:val="000000"/>
          <w:kern w:val="2"/>
          <w:sz w:val="32"/>
          <w:szCs w:val="24"/>
          <w:highlight w:val="none"/>
          <w:lang w:val="en-US" w:eastAsia="zh-CN"/>
        </w:rPr>
        <w:t>1</w:t>
      </w:r>
      <w:r>
        <w:rPr>
          <w:rFonts w:hint="eastAsia" w:ascii="仿宋_GB2312" w:hAnsi="仿宋_GB2312" w:eastAsia="仿宋_GB2312"/>
          <w:color w:val="000000"/>
          <w:kern w:val="2"/>
          <w:sz w:val="32"/>
          <w:szCs w:val="24"/>
          <w:highlight w:val="none"/>
          <w:lang w:val="zh-CN"/>
        </w:rPr>
        <w:t>辆、金额</w:t>
      </w:r>
      <w:r>
        <w:rPr>
          <w:rFonts w:hint="eastAsia" w:ascii="仿宋_GB2312" w:hAnsi="仿宋_GB2312" w:eastAsia="仿宋_GB2312"/>
          <w:color w:val="000000"/>
          <w:kern w:val="2"/>
          <w:sz w:val="32"/>
          <w:szCs w:val="24"/>
          <w:highlight w:val="none"/>
          <w:lang w:val="en-US" w:eastAsia="zh-CN"/>
        </w:rPr>
        <w:t>50.32</w:t>
      </w:r>
      <w:r>
        <w:rPr>
          <w:rFonts w:hint="eastAsia" w:ascii="仿宋_GB2312" w:hAnsi="仿宋_GB2312" w:eastAsia="仿宋_GB2312"/>
          <w:color w:val="000000"/>
          <w:kern w:val="2"/>
          <w:sz w:val="32"/>
          <w:szCs w:val="24"/>
          <w:highlight w:val="none"/>
          <w:lang w:val="zh-CN"/>
        </w:rPr>
        <w:t>万元，主要用于局机关应急保障用车。截至2022年12月底，本单位共有公务用车1辆，车型为越野车。</w:t>
      </w:r>
    </w:p>
    <w:p>
      <w:pPr>
        <w:keepNext/>
        <w:keepLines/>
        <w:shd w:val="clear"/>
        <w:spacing w:beforeLines="0" w:afterLines="0" w:line="576" w:lineRule="exact"/>
        <w:ind w:firstLine="643"/>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公务用车运行维护费</w:t>
      </w:r>
      <w:r>
        <w:rPr>
          <w:rFonts w:hint="eastAsia" w:ascii="仿宋_GB2312" w:hAnsi="仿宋_GB2312" w:eastAsia="仿宋_GB2312"/>
          <w:color w:val="000000"/>
          <w:kern w:val="2"/>
          <w:sz w:val="32"/>
          <w:szCs w:val="24"/>
          <w:highlight w:val="none"/>
          <w:lang w:val="zh-CN"/>
        </w:rPr>
        <w:t>支出5.58万元。主要用于</w:t>
      </w:r>
      <w:r>
        <w:rPr>
          <w:rFonts w:hint="eastAsia" w:ascii="仿宋_GB2312" w:hAnsi="Times New Roman" w:eastAsia="仿宋_GB2312" w:cs="Times New Roman"/>
          <w:sz w:val="32"/>
          <w:szCs w:val="20"/>
          <w:highlight w:val="none"/>
          <w:lang w:eastAsia="zh-CN"/>
        </w:rPr>
        <w:t>交通项目建设、应急保障</w:t>
      </w:r>
      <w:r>
        <w:rPr>
          <w:rFonts w:hint="eastAsia" w:ascii="仿宋_GB2312" w:eastAsia="仿宋_GB2312" w:cs="Times New Roman"/>
          <w:sz w:val="32"/>
          <w:szCs w:val="20"/>
          <w:highlight w:val="none"/>
          <w:lang w:eastAsia="zh-CN"/>
        </w:rPr>
        <w:t>出行</w:t>
      </w:r>
      <w:r>
        <w:rPr>
          <w:rFonts w:hint="eastAsia" w:ascii="仿宋_GB2312" w:hAnsi="仿宋_GB2312" w:eastAsia="仿宋_GB2312"/>
          <w:color w:val="000000"/>
          <w:kern w:val="2"/>
          <w:sz w:val="32"/>
          <w:szCs w:val="24"/>
          <w:highlight w:val="none"/>
          <w:lang w:val="zh-CN"/>
        </w:rPr>
        <w:t>等所需的公务用车燃料费、维修费、过路过桥费、保险费等支出。</w:t>
      </w:r>
    </w:p>
    <w:p>
      <w:pPr>
        <w:keepNext/>
        <w:keepLines/>
        <w:shd w:val="clear"/>
        <w:spacing w:beforeLines="0" w:afterLines="0" w:line="576" w:lineRule="exact"/>
        <w:ind w:firstLine="643"/>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3.公务接待费</w:t>
      </w:r>
      <w:r>
        <w:rPr>
          <w:rFonts w:hint="eastAsia" w:ascii="仿宋_GB2312" w:hAnsi="仿宋_GB2312" w:eastAsia="仿宋_GB2312"/>
          <w:color w:val="000000"/>
          <w:kern w:val="2"/>
          <w:sz w:val="32"/>
          <w:szCs w:val="24"/>
          <w:highlight w:val="none"/>
          <w:lang w:val="zh-CN"/>
        </w:rPr>
        <w:t>支出0.34万元，完成预算100%。公务接待费支出决算比2021年减少0.41万元，下降54.7%。主要原因是厉行节约。其中：</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olor w:val="000000"/>
          <w:kern w:val="2"/>
          <w:sz w:val="32"/>
          <w:szCs w:val="24"/>
          <w:highlight w:val="none"/>
          <w:lang w:val="en-US"/>
        </w:rPr>
      </w:pPr>
      <w:r>
        <w:rPr>
          <w:rFonts w:hint="eastAsia" w:ascii="仿宋_GB2312" w:hAnsi="仿宋_GB2312" w:eastAsia="仿宋_GB2312"/>
          <w:b/>
          <w:color w:val="000000"/>
          <w:kern w:val="2"/>
          <w:sz w:val="32"/>
          <w:szCs w:val="24"/>
          <w:highlight w:val="none"/>
          <w:lang w:val="zh-CN"/>
        </w:rPr>
        <w:t>国内公务接待</w:t>
      </w:r>
      <w:r>
        <w:rPr>
          <w:rFonts w:hint="eastAsia" w:ascii="仿宋_GB2312" w:hAnsi="仿宋_GB2312" w:eastAsia="仿宋_GB2312"/>
          <w:color w:val="000000"/>
          <w:kern w:val="2"/>
          <w:sz w:val="32"/>
          <w:szCs w:val="24"/>
          <w:highlight w:val="none"/>
          <w:lang w:val="zh-CN"/>
        </w:rPr>
        <w:t>支出0.34万元。主要用于</w:t>
      </w:r>
      <w:r>
        <w:rPr>
          <w:rFonts w:hint="eastAsia" w:ascii="仿宋_GB2312" w:hAnsi="仿宋_GB2312" w:eastAsia="仿宋_GB2312"/>
          <w:color w:val="000000"/>
          <w:kern w:val="2"/>
          <w:sz w:val="32"/>
          <w:szCs w:val="24"/>
          <w:highlight w:val="none"/>
          <w:lang w:val="en-US"/>
        </w:rPr>
        <w:t>执行公务开支的用餐费。</w:t>
      </w:r>
      <w:r>
        <w:rPr>
          <w:rFonts w:hint="eastAsia" w:ascii="仿宋_GB2312" w:hAnsi="仿宋_GB2312" w:eastAsia="仿宋_GB2312"/>
          <w:color w:val="000000"/>
          <w:kern w:val="2"/>
          <w:sz w:val="32"/>
          <w:szCs w:val="24"/>
          <w:highlight w:val="none"/>
          <w:lang w:val="zh-CN"/>
        </w:rPr>
        <w:t>国内公务接待3批次，23人次，共计支出0.34万元。具体内容包括</w:t>
      </w:r>
      <w:r>
        <w:rPr>
          <w:rFonts w:hint="eastAsia" w:ascii="仿宋_GB2312" w:hAnsi="仿宋_GB2312" w:eastAsia="仿宋_GB2312"/>
          <w:color w:val="000000"/>
          <w:kern w:val="2"/>
          <w:sz w:val="32"/>
          <w:szCs w:val="24"/>
          <w:highlight w:val="none"/>
          <w:lang w:val="en-US" w:eastAsia="zh-CN"/>
        </w:rPr>
        <w:t>眉山市交通运输局来我单位考察交通运输信息化工作1430元等</w:t>
      </w:r>
      <w:r>
        <w:rPr>
          <w:rFonts w:hint="eastAsia" w:ascii="仿宋_GB2312" w:hAnsi="仿宋_GB2312" w:eastAsia="仿宋_GB2312"/>
          <w:color w:val="000000"/>
          <w:kern w:val="2"/>
          <w:sz w:val="32"/>
          <w:szCs w:val="24"/>
          <w:highlight w:val="none"/>
          <w:lang w:val="en-US"/>
        </w:rPr>
        <w:t>。</w:t>
      </w:r>
    </w:p>
    <w:p>
      <w:pPr>
        <w:pageBreakBefore w:val="0"/>
        <w:widowControl w:val="0"/>
        <w:shd w:val="clear"/>
        <w:kinsoku/>
        <w:wordWrap/>
        <w:overflowPunct/>
        <w:topLinePunct w:val="0"/>
        <w:bidi w:val="0"/>
        <w:snapToGrid/>
        <w:spacing w:line="560" w:lineRule="exact"/>
        <w:ind w:left="0" w:right="0" w:firstLine="642" w:firstLineChars="200"/>
        <w:textAlignment w:val="auto"/>
        <w:rPr>
          <w:rFonts w:hint="eastAsia"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次（不包括陪同人员）</w:t>
      </w:r>
      <w:r>
        <w:rPr>
          <w:rFonts w:hint="eastAsia" w:ascii="仿宋_GB2312" w:eastAsia="仿宋_GB2312"/>
          <w:color w:val="auto"/>
          <w:sz w:val="32"/>
          <w:szCs w:val="32"/>
          <w:highlight w:val="none"/>
        </w:rPr>
        <w:t>，共计支出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keepNext/>
        <w:keepLines/>
        <w:shd w:val="clear"/>
        <w:spacing w:beforeLines="0" w:afterLines="0" w:line="576" w:lineRule="exact"/>
        <w:ind w:firstLine="640"/>
        <w:jc w:val="both"/>
        <w:outlineLvl w:val="1"/>
        <w:rPr>
          <w:rFonts w:hint="eastAsia" w:ascii="黑体" w:hAnsi="黑体" w:eastAsia="黑体"/>
          <w:b/>
          <w:color w:val="auto"/>
          <w:kern w:val="2"/>
          <w:sz w:val="32"/>
          <w:szCs w:val="24"/>
          <w:highlight w:val="none"/>
          <w:lang w:val="zh-CN"/>
        </w:rPr>
      </w:pPr>
      <w:bookmarkStart w:id="68" w:name="_Toc15271"/>
      <w:bookmarkStart w:id="69" w:name="_Toc1259671007_WPSOffice_Level2"/>
      <w:r>
        <w:rPr>
          <w:rFonts w:hint="eastAsia" w:ascii="黑体" w:hAnsi="黑体" w:eastAsia="黑体"/>
          <w:color w:val="000000"/>
          <w:kern w:val="2"/>
          <w:sz w:val="32"/>
          <w:szCs w:val="24"/>
          <w:highlight w:val="none"/>
          <w:lang w:val="zh-CN"/>
        </w:rPr>
        <w:t>八、</w:t>
      </w:r>
      <w:r>
        <w:rPr>
          <w:rFonts w:hint="eastAsia" w:ascii="黑体" w:hAnsi="黑体" w:eastAsia="黑体"/>
          <w:color w:val="auto"/>
          <w:kern w:val="2"/>
          <w:sz w:val="32"/>
          <w:szCs w:val="24"/>
          <w:highlight w:val="none"/>
          <w:lang w:val="zh-CN"/>
        </w:rPr>
        <w:t>政府性基金预算支出决算情况说明</w:t>
      </w:r>
      <w:bookmarkEnd w:id="68"/>
      <w:bookmarkEnd w:id="69"/>
    </w:p>
    <w:p>
      <w:pPr>
        <w:shd w:val="clear"/>
        <w:spacing w:beforeLines="0" w:afterLines="0" w:line="576" w:lineRule="exact"/>
        <w:ind w:firstLine="64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2022年政府性基金预算拨款支出11,175.96万元。</w:t>
      </w:r>
    </w:p>
    <w:p>
      <w:pPr>
        <w:keepNext/>
        <w:keepLines/>
        <w:shd w:val="clear"/>
        <w:spacing w:beforeLines="0" w:afterLines="0" w:line="576" w:lineRule="exact"/>
        <w:ind w:firstLine="640"/>
        <w:jc w:val="both"/>
        <w:outlineLvl w:val="1"/>
        <w:rPr>
          <w:rFonts w:hint="eastAsia" w:ascii="黑体" w:hAnsi="黑体" w:eastAsia="黑体"/>
          <w:color w:val="auto"/>
          <w:kern w:val="2"/>
          <w:sz w:val="32"/>
          <w:szCs w:val="24"/>
          <w:highlight w:val="none"/>
          <w:lang w:val="zh-CN"/>
        </w:rPr>
      </w:pPr>
      <w:bookmarkStart w:id="70" w:name="_Toc2027324878_WPSOffice_Level2"/>
      <w:bookmarkStart w:id="71" w:name="_Toc12201"/>
      <w:r>
        <w:rPr>
          <w:rFonts w:hint="eastAsia" w:ascii="黑体" w:hAnsi="黑体" w:eastAsia="黑体"/>
          <w:color w:val="auto"/>
          <w:kern w:val="2"/>
          <w:sz w:val="32"/>
          <w:szCs w:val="24"/>
          <w:highlight w:val="none"/>
          <w:lang w:val="zh-CN"/>
        </w:rPr>
        <w:t>九、国有资本经营预算支出决算情况说明</w:t>
      </w:r>
      <w:bookmarkEnd w:id="70"/>
      <w:bookmarkEnd w:id="71"/>
    </w:p>
    <w:p>
      <w:pPr>
        <w:shd w:val="clear"/>
        <w:spacing w:beforeLines="0" w:afterLines="0" w:line="576" w:lineRule="exact"/>
        <w:ind w:firstLine="64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2022年国有资本经营预算拨款支出0万元。</w:t>
      </w:r>
    </w:p>
    <w:p>
      <w:pPr>
        <w:keepNext/>
        <w:keepLines/>
        <w:shd w:val="clear"/>
        <w:spacing w:beforeLines="0" w:afterLines="0" w:line="576" w:lineRule="exact"/>
        <w:ind w:firstLine="640"/>
        <w:jc w:val="both"/>
        <w:outlineLvl w:val="1"/>
        <w:rPr>
          <w:rFonts w:hint="eastAsia" w:ascii="黑体" w:hAnsi="黑体" w:eastAsia="黑体"/>
          <w:b/>
          <w:color w:val="auto"/>
          <w:kern w:val="2"/>
          <w:sz w:val="32"/>
          <w:szCs w:val="24"/>
          <w:highlight w:val="none"/>
          <w:lang w:val="zh-CN"/>
        </w:rPr>
      </w:pPr>
      <w:bookmarkStart w:id="72" w:name="_Toc1154348550_WPSOffice_Level2"/>
      <w:bookmarkStart w:id="73" w:name="_Toc19869"/>
      <w:r>
        <w:rPr>
          <w:rFonts w:hint="eastAsia" w:ascii="黑体" w:hAnsi="黑体" w:eastAsia="黑体"/>
          <w:color w:val="000000"/>
          <w:kern w:val="2"/>
          <w:sz w:val="32"/>
          <w:szCs w:val="24"/>
          <w:highlight w:val="none"/>
          <w:lang w:val="zh-CN"/>
        </w:rPr>
        <w:t>十</w:t>
      </w:r>
      <w:r>
        <w:rPr>
          <w:rFonts w:hint="eastAsia" w:ascii="黑体" w:hAnsi="黑体" w:eastAsia="黑体"/>
          <w:b/>
          <w:color w:val="auto"/>
          <w:kern w:val="2"/>
          <w:sz w:val="32"/>
          <w:szCs w:val="24"/>
          <w:highlight w:val="none"/>
          <w:lang w:val="zh-CN"/>
        </w:rPr>
        <w:t>、</w:t>
      </w:r>
      <w:r>
        <w:rPr>
          <w:rFonts w:hint="eastAsia" w:ascii="黑体" w:hAnsi="黑体" w:eastAsia="黑体"/>
          <w:color w:val="auto"/>
          <w:kern w:val="2"/>
          <w:sz w:val="32"/>
          <w:szCs w:val="24"/>
          <w:highlight w:val="none"/>
          <w:lang w:val="zh-CN"/>
        </w:rPr>
        <w:t>其他重要事项的情况说明</w:t>
      </w:r>
      <w:bookmarkEnd w:id="72"/>
      <w:bookmarkEnd w:id="73"/>
    </w:p>
    <w:p>
      <w:pPr>
        <w:keepNext/>
        <w:keepLines/>
        <w:shd w:val="clear"/>
        <w:spacing w:beforeLines="0" w:afterLines="0" w:line="576" w:lineRule="exact"/>
        <w:ind w:firstLine="643"/>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（一）机关运行经费支出情况</w:t>
      </w:r>
    </w:p>
    <w:p>
      <w:pPr>
        <w:shd w:val="clear"/>
        <w:spacing w:beforeLines="0" w:afterLines="0" w:line="576" w:lineRule="exact"/>
        <w:ind w:firstLine="640"/>
        <w:jc w:val="both"/>
        <w:rPr>
          <w:rFonts w:hint="eastAsia" w:ascii="仿宋_GB2312" w:hAnsi="仿宋_GB2312" w:eastAsia="仿宋_GB2312"/>
          <w:color w:val="000000"/>
          <w:kern w:val="2"/>
          <w:sz w:val="32"/>
          <w:szCs w:val="24"/>
          <w:highlight w:val="none"/>
          <w:lang w:val="en-US" w:eastAsia="zh-CN"/>
        </w:rPr>
      </w:pPr>
      <w:r>
        <w:rPr>
          <w:rFonts w:hint="eastAsia" w:ascii="仿宋_GB2312" w:hAnsi="仿宋_GB2312" w:eastAsia="仿宋_GB2312"/>
          <w:color w:val="000000"/>
          <w:kern w:val="2"/>
          <w:sz w:val="32"/>
          <w:szCs w:val="24"/>
          <w:highlight w:val="none"/>
          <w:lang w:val="zh-CN"/>
        </w:rPr>
        <w:t>2022年，广元市交通运输局（本级）机关运行经费支出106.49万元，比2021年增加21.05万元，增长24.6%。主要原因是业务活动增加。</w:t>
      </w:r>
    </w:p>
    <w:p>
      <w:pPr>
        <w:keepNext/>
        <w:keepLines/>
        <w:shd w:val="clear"/>
        <w:spacing w:beforeLines="0" w:afterLines="0" w:line="576" w:lineRule="exact"/>
        <w:ind w:firstLine="643"/>
        <w:jc w:val="both"/>
        <w:rPr>
          <w:rFonts w:hint="eastAsia" w:ascii="仿宋_GB2312" w:hAnsi="仿宋_GB2312" w:eastAsia="仿宋_GB2312"/>
          <w:b/>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（二）政府采购支出情况</w:t>
      </w:r>
    </w:p>
    <w:p>
      <w:pPr>
        <w:shd w:val="clear"/>
        <w:spacing w:beforeLines="0" w:afterLines="0" w:line="576" w:lineRule="exact"/>
        <w:ind w:firstLine="640"/>
        <w:jc w:val="both"/>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2022年，广元市交通运输局（本级）政府采购支出总额321.92万元，其中：政府采购货物支出50.32万元、政府采购服务支出271.6万元。主要用于更新购置公务用车一辆、综合货运枢纽总体规划编制。授予中小企业合同金额50.32万元，占政府采购支出总额的15.6%，其中：授予小微企业合同金额50.32万元，</w:t>
      </w:r>
      <w:r>
        <w:rPr>
          <w:rFonts w:hint="eastAsia" w:ascii="仿宋_GB2312" w:hAnsi="仿宋_GB2312" w:eastAsia="仿宋_GB2312"/>
          <w:color w:val="000000"/>
          <w:kern w:val="2"/>
          <w:sz w:val="32"/>
          <w:szCs w:val="24"/>
          <w:highlight w:val="none"/>
          <w:lang w:val="en-US"/>
        </w:rPr>
        <w:t>占政府采购支出总额的</w:t>
      </w:r>
      <w:r>
        <w:rPr>
          <w:rFonts w:hint="eastAsia" w:ascii="仿宋_GB2312" w:hAnsi="仿宋_GB2312" w:eastAsia="仿宋_GB2312"/>
          <w:color w:val="000000"/>
          <w:kern w:val="2"/>
          <w:sz w:val="32"/>
          <w:szCs w:val="24"/>
          <w:highlight w:val="none"/>
          <w:lang w:val="zh-CN"/>
        </w:rPr>
        <w:t>15.6%。</w:t>
      </w:r>
    </w:p>
    <w:p>
      <w:pPr>
        <w:keepNext/>
        <w:keepLines/>
        <w:shd w:val="clear"/>
        <w:spacing w:beforeLines="0" w:afterLines="0" w:line="576" w:lineRule="exact"/>
        <w:ind w:firstLine="643"/>
        <w:jc w:val="both"/>
        <w:rPr>
          <w:rFonts w:hint="eastAsia" w:ascii="仿宋_GB2312" w:hAnsi="仿宋_GB2312" w:eastAsia="仿宋_GB2312"/>
          <w:b/>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（三）国有资产占有使用情况</w:t>
      </w:r>
    </w:p>
    <w:p>
      <w:pPr>
        <w:shd w:val="clear"/>
        <w:spacing w:beforeLines="0" w:afterLines="0" w:line="576" w:lineRule="exact"/>
        <w:ind w:firstLine="640"/>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截至2022年12月31日，广元市交通运输局（本级）共有车辆1辆，为应急保障用车1辆。单价100万元（含）以上设备0台（套）。</w:t>
      </w:r>
    </w:p>
    <w:p>
      <w:pPr>
        <w:pageBreakBefore w:val="0"/>
        <w:widowControl w:val="0"/>
        <w:shd w:val="clear"/>
        <w:kinsoku/>
        <w:wordWrap/>
        <w:overflowPunct/>
        <w:topLinePunct w:val="0"/>
        <w:autoSpaceDE w:val="0"/>
        <w:autoSpaceDN w:val="0"/>
        <w:bidi w:val="0"/>
        <w:adjustRightInd w:val="0"/>
        <w:snapToGrid/>
        <w:spacing w:line="560" w:lineRule="exact"/>
        <w:ind w:left="0" w:right="0" w:firstLine="642" w:firstLineChars="200"/>
        <w:jc w:val="left"/>
        <w:textAlignment w:val="auto"/>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6"/>
        <w:pageBreakBefore w:val="0"/>
        <w:widowControl w:val="0"/>
        <w:shd w:val="clear"/>
        <w:kinsoku/>
        <w:wordWrap/>
        <w:overflowPunct/>
        <w:topLinePunct w:val="0"/>
        <w:bidi w:val="0"/>
        <w:snapToGrid/>
        <w:spacing w:beforeLines="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年度预算编制阶段，组织对黑石坡至曾家山公路工程</w:t>
      </w:r>
      <w:r>
        <w:rPr>
          <w:rFonts w:hint="eastAsia" w:ascii="仿宋_GB2312" w:hAnsi="仿宋_GB2312" w:eastAsia="仿宋_GB2312" w:cs="仿宋_GB2312"/>
          <w:color w:val="auto"/>
          <w:sz w:val="32"/>
          <w:szCs w:val="32"/>
          <w:highlight w:val="none"/>
          <w:lang w:eastAsia="zh-CN"/>
        </w:rPr>
        <w:t>等</w:t>
      </w:r>
      <w:r>
        <w:rPr>
          <w:rFonts w:hint="eastAsia" w:hAnsi="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32</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widowControl/>
        <w:shd w:val="clear"/>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5"/>
        </w:numPr>
        <w:shd w:val="clear"/>
        <w:spacing w:line="600" w:lineRule="exact"/>
        <w:ind w:firstLine="660" w:firstLineChars="150"/>
        <w:jc w:val="center"/>
        <w:outlineLvl w:val="0"/>
        <w:rPr>
          <w:rStyle w:val="17"/>
          <w:rFonts w:ascii="黑体" w:hAnsi="黑体" w:eastAsia="黑体"/>
          <w:b w:val="0"/>
          <w:color w:val="auto"/>
          <w:highlight w:val="none"/>
        </w:rPr>
      </w:pPr>
      <w:bookmarkStart w:id="74" w:name="_Toc15396613"/>
      <w:bookmarkStart w:id="75" w:name="_Toc15377225"/>
      <w:bookmarkStart w:id="76" w:name="_Toc782425135_WPSOffice_Level1"/>
      <w:bookmarkStart w:id="77" w:name="_Toc6722"/>
      <w:r>
        <w:rPr>
          <w:rFonts w:hint="eastAsia" w:ascii="黑体" w:hAnsi="黑体" w:eastAsia="黑体"/>
          <w:color w:val="auto"/>
          <w:sz w:val="44"/>
          <w:szCs w:val="44"/>
          <w:highlight w:val="none"/>
        </w:rPr>
        <w:t>名</w:t>
      </w:r>
      <w:r>
        <w:rPr>
          <w:rStyle w:val="17"/>
          <w:rFonts w:hint="eastAsia" w:ascii="黑体" w:hAnsi="黑体" w:eastAsia="黑体"/>
          <w:b w:val="0"/>
          <w:color w:val="auto"/>
          <w:highlight w:val="none"/>
        </w:rPr>
        <w:t>词解释</w:t>
      </w:r>
      <w:bookmarkEnd w:id="74"/>
      <w:bookmarkEnd w:id="75"/>
      <w:bookmarkEnd w:id="76"/>
      <w:bookmarkEnd w:id="77"/>
    </w:p>
    <w:p>
      <w:pPr>
        <w:shd w:val="clear"/>
        <w:spacing w:line="600" w:lineRule="exact"/>
        <w:jc w:val="left"/>
        <w:rPr>
          <w:rFonts w:ascii="宋体"/>
          <w:b/>
          <w:color w:val="auto"/>
          <w:sz w:val="44"/>
          <w:szCs w:val="44"/>
          <w:highlight w:val="none"/>
        </w:rPr>
      </w:pPr>
    </w:p>
    <w:p>
      <w:pPr>
        <w:pStyle w:val="26"/>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bookmarkStart w:id="78" w:name="_Toc15377226"/>
      <w:r>
        <w:rPr>
          <w:rFonts w:hint="eastAsia" w:ascii="仿宋_GB2312" w:hAnsi="仿宋_GB2312" w:eastAsia="仿宋_GB2312" w:cs="仿宋_GB2312"/>
          <w:color w:val="auto"/>
          <w:sz w:val="32"/>
          <w:szCs w:val="32"/>
          <w:highlight w:val="none"/>
        </w:rPr>
        <w:t>财政拨款收入：指单位从同级财政部门取得的财政预算资金。</w:t>
      </w:r>
    </w:p>
    <w:p>
      <w:pPr>
        <w:pStyle w:val="26"/>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年初结转和结余：指以前年度尚未完成、结转到本年按有关规定继续使用的资金。</w:t>
      </w:r>
    </w:p>
    <w:p>
      <w:pPr>
        <w:pStyle w:val="26"/>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文化旅游体育与传媒</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eastAsia="zh-CN"/>
        </w:rPr>
        <w:t>文化和旅游</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eastAsia="zh-CN"/>
        </w:rPr>
        <w:t>文化活动</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：反映举办大型文化艺术活动支出</w:t>
      </w:r>
      <w:r>
        <w:rPr>
          <w:rFonts w:hint="eastAsia" w:ascii="仿宋_GB2312" w:hAnsi="仿宋_GB2312" w:eastAsia="仿宋_GB2312" w:cs="仿宋_GB2312"/>
          <w:color w:val="auto"/>
          <w:sz w:val="32"/>
          <w:szCs w:val="32"/>
          <w:highlight w:val="none"/>
        </w:rPr>
        <w:t>。</w:t>
      </w:r>
    </w:p>
    <w:p>
      <w:pPr>
        <w:pStyle w:val="26"/>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社会保障和就业（类）人力资源和社会保障管理事务（款）引进人才费用（项）： 反映引进人才补助、引智成果推广等方面的支出。</w:t>
      </w:r>
    </w:p>
    <w:p>
      <w:pPr>
        <w:pStyle w:val="26"/>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社会保障和就业（类）人力资源和社会保障管理事务（款）其他人力资源和社会保障管理事务支出（项）： 反映其他用于人力资源和社会保障管理事务方面的支出。</w:t>
      </w:r>
    </w:p>
    <w:p>
      <w:pPr>
        <w:pStyle w:val="26"/>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社会保障和就业</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（类）行政事业单位养老支出（款）</w:t>
      </w:r>
      <w:r>
        <w:rPr>
          <w:rFonts w:hint="eastAsia" w:ascii="仿宋_GB2312" w:hAnsi="仿宋_GB2312" w:eastAsia="仿宋_GB2312" w:cs="仿宋_GB2312"/>
          <w:color w:val="auto"/>
          <w:sz w:val="32"/>
          <w:szCs w:val="32"/>
          <w:highlight w:val="none"/>
          <w:lang w:eastAsia="zh-CN"/>
        </w:rPr>
        <w:t>行政</w:t>
      </w:r>
      <w:r>
        <w:rPr>
          <w:rFonts w:hint="eastAsia" w:ascii="仿宋_GB2312" w:hAnsi="仿宋_GB2312" w:eastAsia="仿宋_GB2312" w:cs="仿宋_GB2312"/>
          <w:color w:val="auto"/>
          <w:sz w:val="32"/>
          <w:szCs w:val="32"/>
          <w:highlight w:val="none"/>
        </w:rPr>
        <w:t>单位离退休（项）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指</w:t>
      </w:r>
      <w:r>
        <w:rPr>
          <w:rFonts w:hint="eastAsia" w:ascii="仿宋_GB2312" w:hAnsi="仿宋_GB2312" w:eastAsia="仿宋_GB2312" w:cs="仿宋_GB2312"/>
          <w:color w:val="auto"/>
          <w:sz w:val="32"/>
          <w:szCs w:val="32"/>
          <w:highlight w:val="none"/>
          <w:lang w:eastAsia="zh-CN"/>
        </w:rPr>
        <w:t>行政</w:t>
      </w:r>
      <w:r>
        <w:rPr>
          <w:rFonts w:hint="eastAsia" w:ascii="仿宋_GB2312" w:hAnsi="仿宋_GB2312" w:eastAsia="仿宋_GB2312" w:cs="仿宋_GB2312"/>
          <w:color w:val="auto"/>
          <w:sz w:val="32"/>
          <w:szCs w:val="32"/>
          <w:highlight w:val="none"/>
        </w:rPr>
        <w:t>单位开支的离退休经费。</w:t>
      </w:r>
    </w:p>
    <w:p>
      <w:pPr>
        <w:pStyle w:val="26"/>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社会保障和就业</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（类）行政事业单位养老支出（款）机关事业单位基本养老保险缴费支出（项）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指机关事业单位实施养老保险制度由单位缴纳的基本养老保险费支出。</w:t>
      </w:r>
    </w:p>
    <w:p>
      <w:pPr>
        <w:pStyle w:val="26"/>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社会保障和就业支出（类）行政事业单位养老支出（款）机关事业单位职业年金缴费支出（项）：</w:t>
      </w:r>
      <w:r>
        <w:rPr>
          <w:rFonts w:hint="eastAsia" w:ascii="仿宋_GB2312" w:hAnsi="仿宋_GB2312" w:eastAsia="仿宋_GB2312" w:cs="仿宋_GB2312"/>
          <w:color w:val="auto"/>
          <w:sz w:val="32"/>
          <w:szCs w:val="32"/>
          <w:highlight w:val="none"/>
        </w:rPr>
        <w:t>指机关事业单位实施养老保险制度由单位实际缴纳的职业年金支出</w:t>
      </w:r>
      <w:r>
        <w:rPr>
          <w:rFonts w:hint="eastAsia" w:ascii="仿宋_GB2312" w:hAnsi="仿宋_GB2312" w:eastAsia="仿宋_GB2312" w:cs="仿宋_GB2312"/>
          <w:color w:val="auto"/>
          <w:sz w:val="32"/>
          <w:szCs w:val="32"/>
          <w:highlight w:val="none"/>
          <w:lang w:eastAsia="zh-CN"/>
        </w:rPr>
        <w:t>。</w:t>
      </w:r>
    </w:p>
    <w:p>
      <w:pPr>
        <w:pStyle w:val="26"/>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社会保障和就业</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（类）抚恤（款）死亡抚恤（项）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指按规定用于烈士的牺牲、病故人员家属的一次性和定期抚恤金以及丧葬补助费。</w:t>
      </w:r>
    </w:p>
    <w:p>
      <w:pPr>
        <w:pStyle w:val="26"/>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卫生健康</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（类）行政事业单位医疗（款）行政单位医疗（项）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指财政部门安排的行政单位（包括实行公务员管理的事业单位）基本医疗保险经费，未参加医疗保险的行政单位公费医疗经费，按国家规定享受离休人员、红军老战士待遇人员的医疗费。</w:t>
      </w:r>
    </w:p>
    <w:p>
      <w:pPr>
        <w:pStyle w:val="26"/>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城乡社区支出（类）国有土地使用权出让收入安排的支出（款）征地和拆迁补偿支出（项）：反映地方政府在征地和收购土地过程中支付的土地补偿费、安置补助费、地上附着和青苗补偿费、拆迁补偿费支出。</w:t>
      </w:r>
    </w:p>
    <w:p>
      <w:pPr>
        <w:pStyle w:val="26"/>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城乡社区支出（类）国有土地使用权出让收入安排的支出（款）城市建设支出（项）：指土地出让收入用于完善国有土地使用功能的配套设施建设和城市基础设施建设支出。</w:t>
      </w:r>
    </w:p>
    <w:p>
      <w:pPr>
        <w:pStyle w:val="26"/>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城乡社区支出（类）国有土地使用权出让收入安排的支出（款）农村基础设施建设支出（项）：反映土地出让收入用于农村供水保障、村庄公共设施建设管护以及与农业农村直接相关的以工代赈等方面的支出。</w:t>
      </w:r>
    </w:p>
    <w:p>
      <w:pPr>
        <w:pStyle w:val="26"/>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交通运输支出（类）公路水路运输</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行政运行</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指行政单位（包括实行公务员管理的事业单位）的基本支出。</w:t>
      </w:r>
    </w:p>
    <w:p>
      <w:pPr>
        <w:pStyle w:val="26"/>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交通运输支出（类）公路水路运输（款）一般行政管理事务（项）：</w:t>
      </w:r>
      <w:r>
        <w:rPr>
          <w:rFonts w:hint="eastAsia" w:ascii="仿宋_GB2312" w:hAnsi="仿宋_GB2312" w:eastAsia="仿宋_GB2312" w:cs="仿宋_GB2312"/>
          <w:color w:val="auto"/>
          <w:sz w:val="32"/>
          <w:szCs w:val="32"/>
          <w:highlight w:val="none"/>
        </w:rPr>
        <w:t>指行政单位（包括实行公务员管理的事业单位）未单独设置项级科目的其他项目支出。</w:t>
      </w:r>
    </w:p>
    <w:p>
      <w:pPr>
        <w:pStyle w:val="26"/>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交通运输支出（类）公路水路运输</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其他公路水路运输支出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指其他用于公路水路运输方面的支出。</w:t>
      </w:r>
    </w:p>
    <w:p>
      <w:pPr>
        <w:pStyle w:val="26"/>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交通运输支出（类）其他交通运输支出（款）其他交通运输支出（项）：</w:t>
      </w:r>
      <w:r>
        <w:rPr>
          <w:rFonts w:hint="eastAsia" w:ascii="仿宋_GB2312" w:hAnsi="仿宋_GB2312" w:eastAsia="仿宋_GB2312" w:cs="仿宋_GB2312"/>
          <w:color w:val="auto"/>
          <w:sz w:val="32"/>
          <w:szCs w:val="32"/>
          <w:highlight w:val="none"/>
        </w:rPr>
        <w:t>指其他交通运输支出中除对公共交通运营补助以外的其他支出</w:t>
      </w:r>
    </w:p>
    <w:p>
      <w:pPr>
        <w:pStyle w:val="26"/>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住房保障支出（类）住房改革支出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住房公积金</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指行政事业单位按人力资源和社会保障部、财政部规定的基本工资和津贴补贴以及规定比例为职工缴纳的住房公积金。</w:t>
      </w:r>
    </w:p>
    <w:p>
      <w:pPr>
        <w:pStyle w:val="26"/>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其他支出（类）其他支出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其他支出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：反映其他不能划分到具体功能科目中的支出项目</w:t>
      </w:r>
      <w:r>
        <w:rPr>
          <w:rFonts w:hint="eastAsia" w:ascii="仿宋_GB2312" w:hAnsi="仿宋_GB2312" w:eastAsia="仿宋_GB2312" w:cs="仿宋_GB2312"/>
          <w:color w:val="auto"/>
          <w:sz w:val="32"/>
          <w:szCs w:val="32"/>
          <w:highlight w:val="none"/>
        </w:rPr>
        <w:t>。</w:t>
      </w:r>
    </w:p>
    <w:p>
      <w:pPr>
        <w:pStyle w:val="26"/>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基本支出：指为保障机构正常运转、完成日常工作任务而发生的人员支出和公用支出。</w:t>
      </w:r>
    </w:p>
    <w:p>
      <w:pPr>
        <w:pStyle w:val="26"/>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项目支出：指在基本支出之外为完成特定行政任务和事业发展目标所发生的支出。 </w:t>
      </w:r>
    </w:p>
    <w:p>
      <w:pPr>
        <w:pStyle w:val="26"/>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公”经费：指部门用财政拨款安排的公务用车购置及运行费和公务接待费。其中，公务用车购置及运行费反映单位公务用车车辆购置支出（含车辆购置税）及租用费、燃料费、维修费、过路过桥费、保险费等支出；公务接待费反映单位按规定开支的各类公务接待（含外宾接待）支出。</w:t>
      </w:r>
    </w:p>
    <w:p>
      <w:pPr>
        <w:pStyle w:val="26"/>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机关运行经费：为保障行政单位（含参照公务员法管理的事业单位）运行用于购买货物和服务的各项资金，包括</w:t>
      </w:r>
      <w:r>
        <w:rPr>
          <w:rFonts w:hint="eastAsia" w:ascii="仿宋_GB2312" w:hAnsi="仿宋_GB2312" w:eastAsia="仿宋_GB2312" w:cs="仿宋_GB2312"/>
          <w:color w:val="auto"/>
          <w:sz w:val="32"/>
          <w:szCs w:val="32"/>
          <w:highlight w:val="none"/>
          <w:lang w:eastAsia="zh-CN"/>
        </w:rPr>
        <w:t>办公费、印刷费、水费、电费、物业管理费、维修（护）费、公务接待费、劳务费、工会经费、福利费、公务用车运行维护费、其他交通费用、其他商品和服务支出。</w:t>
      </w:r>
    </w:p>
    <w:p>
      <w:pPr>
        <w:shd w:val="clear"/>
        <w:spacing w:line="600" w:lineRule="exact"/>
        <w:jc w:val="center"/>
        <w:outlineLvl w:val="0"/>
        <w:rPr>
          <w:rStyle w:val="17"/>
          <w:rFonts w:ascii="黑体" w:hAnsi="黑体" w:eastAsia="黑体"/>
          <w:b w:val="0"/>
          <w:color w:val="auto"/>
          <w:highlight w:val="none"/>
        </w:rPr>
      </w:pPr>
      <w:r>
        <w:rPr>
          <w:rFonts w:ascii="宋体"/>
          <w:b/>
          <w:color w:val="auto"/>
          <w:sz w:val="44"/>
          <w:szCs w:val="44"/>
          <w:highlight w:val="none"/>
        </w:rPr>
        <w:br w:type="page"/>
      </w:r>
      <w:bookmarkStart w:id="79" w:name="_Toc219166499_WPSOffice_Level1"/>
      <w:bookmarkStart w:id="80" w:name="_Toc15396614"/>
      <w:bookmarkStart w:id="81" w:name="_Toc17280"/>
      <w:r>
        <w:rPr>
          <w:rFonts w:hint="eastAsia" w:ascii="黑体" w:hAnsi="黑体" w:eastAsia="黑体"/>
          <w:color w:val="auto"/>
          <w:sz w:val="44"/>
          <w:szCs w:val="44"/>
          <w:highlight w:val="none"/>
        </w:rPr>
        <w:t>第</w:t>
      </w:r>
      <w:r>
        <w:rPr>
          <w:rStyle w:val="17"/>
          <w:rFonts w:hint="eastAsia" w:ascii="黑体" w:hAnsi="黑体" w:eastAsia="黑体"/>
          <w:b w:val="0"/>
          <w:color w:val="auto"/>
          <w:highlight w:val="none"/>
        </w:rPr>
        <w:t>四部分 附件</w:t>
      </w:r>
      <w:bookmarkEnd w:id="79"/>
      <w:bookmarkEnd w:id="80"/>
      <w:bookmarkEnd w:id="81"/>
    </w:p>
    <w:p>
      <w:pPr>
        <w:keepNext w:val="0"/>
        <w:keepLines w:val="0"/>
        <w:pageBreakBefore w:val="0"/>
        <w:shd w:val="clear"/>
        <w:kinsoku/>
        <w:wordWrap/>
        <w:overflowPunct/>
        <w:topLinePunct w:val="0"/>
        <w:autoSpaceDE/>
        <w:autoSpaceDN/>
        <w:bidi w:val="0"/>
        <w:spacing w:line="572" w:lineRule="exact"/>
        <w:jc w:val="left"/>
        <w:textAlignment w:val="auto"/>
        <w:outlineLvl w:val="9"/>
        <w:rPr>
          <w:rFonts w:ascii="仿宋_GB2312" w:hAnsi="仿宋_GB2312" w:eastAsia="仿宋_GB2312" w:cs="仿宋_GB2312"/>
          <w:color w:val="auto"/>
          <w:sz w:val="32"/>
          <w:szCs w:val="32"/>
          <w:highlight w:val="none"/>
        </w:rPr>
      </w:pPr>
    </w:p>
    <w:p>
      <w:pPr>
        <w:shd w:val="clear"/>
        <w:spacing w:line="600" w:lineRule="exact"/>
        <w:jc w:val="center"/>
        <w:outlineLvl w:val="1"/>
        <w:rPr>
          <w:rFonts w:hint="eastAsia" w:ascii="宋体" w:hAnsi="宋体" w:eastAsia="宋体" w:cs="宋体"/>
          <w:color w:val="auto"/>
          <w:kern w:val="0"/>
          <w:sz w:val="32"/>
          <w:szCs w:val="32"/>
          <w:highlight w:val="none"/>
          <w:lang w:val="en-US" w:eastAsia="zh-CN" w:bidi="ar-SA"/>
        </w:rPr>
        <w:sectPr>
          <w:footerReference r:id="rId5" w:type="default"/>
          <w:pgSz w:w="11906" w:h="16838"/>
          <w:pgMar w:top="1440" w:right="1800" w:bottom="1440" w:left="1800" w:header="851" w:footer="992" w:gutter="0"/>
          <w:pgNumType w:fmt="decimal" w:start="1"/>
          <w:cols w:space="425" w:num="1"/>
          <w:docGrid w:type="lines" w:linePitch="312" w:charSpace="0"/>
        </w:sectPr>
      </w:pPr>
      <w:bookmarkStart w:id="82" w:name="_Toc170204646_WPSOffice_Level2"/>
      <w:bookmarkStart w:id="83" w:name="_Toc21039"/>
      <w:bookmarkStart w:id="84" w:name="_Toc15396618"/>
      <w:r>
        <w:rPr>
          <w:rFonts w:hint="eastAsia" w:ascii="宋体" w:hAnsi="宋体" w:eastAsia="宋体" w:cs="宋体"/>
          <w:color w:val="auto"/>
          <w:kern w:val="0"/>
          <w:sz w:val="32"/>
          <w:szCs w:val="32"/>
          <w:highlight w:val="none"/>
          <w:lang w:val="en-US" w:eastAsia="zh-CN" w:bidi="ar-SA"/>
        </w:rPr>
        <w:t>部门预算项目支出绩效自评表（2022年度）</w:t>
      </w:r>
      <w:bookmarkEnd w:id="82"/>
      <w:bookmarkEnd w:id="83"/>
    </w:p>
    <w:tbl>
      <w:tblPr>
        <w:tblStyle w:val="13"/>
        <w:tblW w:w="14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9"/>
        <w:gridCol w:w="1980"/>
        <w:gridCol w:w="1722"/>
        <w:gridCol w:w="2198"/>
        <w:gridCol w:w="1135"/>
        <w:gridCol w:w="915"/>
        <w:gridCol w:w="1110"/>
        <w:gridCol w:w="1316"/>
        <w:gridCol w:w="949"/>
        <w:gridCol w:w="1020"/>
        <w:gridCol w:w="1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ascii="方正宋黑_GBK" w:hAnsi="方正宋黑_GBK" w:eastAsia="方正宋黑_GBK" w:cs="方正宋黑_GBK"/>
                <w:i w:val="0"/>
                <w:color w:val="000000"/>
                <w:sz w:val="32"/>
                <w:szCs w:val="32"/>
                <w:highlight w:val="none"/>
                <w:u w:val="none"/>
              </w:rPr>
            </w:pPr>
            <w:bookmarkStart w:id="85" w:name="_Toc1771135377_WPSOffice_Level1"/>
            <w:r>
              <w:rPr>
                <w:rFonts w:hint="eastAsia" w:ascii="方正宋黑_GBK" w:hAnsi="方正宋黑_GBK" w:eastAsia="方正宋黑_GBK" w:cs="方正宋黑_GBK"/>
                <w:i w:val="0"/>
                <w:color w:val="000000"/>
                <w:kern w:val="0"/>
                <w:sz w:val="32"/>
                <w:szCs w:val="32"/>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工资性支出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316" w:type="dxa"/>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严格执行相关政策，保障工资及时发放、足额发放，预算编制科学合理，减少结余资金</w:t>
            </w:r>
          </w:p>
        </w:tc>
        <w:tc>
          <w:tcPr>
            <w:tcW w:w="49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做到严格执行相关政策，保障工资及时发放、足额发放，预算编制科学合理，减少结余资金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做到严格执行相关政策，保障工资及时足额发放，各类保险、住房公积金及时足额缴纳。预算编制科学合理，无结余资金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478.79</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649.31</w:t>
            </w:r>
          </w:p>
        </w:tc>
        <w:tc>
          <w:tcPr>
            <w:tcW w:w="3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649.31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478.79</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649.31</w:t>
            </w:r>
          </w:p>
        </w:tc>
        <w:tc>
          <w:tcPr>
            <w:tcW w:w="3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649.31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3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科目调整次数</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次</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足额保障率</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时效指标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按时发放率</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结余率（计算方法为：结余数/预算数）</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0</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0" w:hRule="atLeast"/>
        </w:trPr>
        <w:tc>
          <w:tcPr>
            <w:tcW w:w="77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项目负责人：韩顺东</w:t>
            </w:r>
          </w:p>
        </w:tc>
        <w:tc>
          <w:tcPr>
            <w:tcW w:w="70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财务负责人：何黎</w:t>
            </w:r>
          </w:p>
        </w:tc>
      </w:tr>
    </w:tbl>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sz w:val="20"/>
          <w:szCs w:val="20"/>
          <w:highlight w:val="none"/>
          <w:u w:val="none"/>
        </w:rPr>
        <w:br w:type="page"/>
      </w:r>
    </w:p>
    <w:tbl>
      <w:tblPr>
        <w:tblStyle w:val="13"/>
        <w:tblW w:w="14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980"/>
        <w:gridCol w:w="1722"/>
        <w:gridCol w:w="2198"/>
        <w:gridCol w:w="1120"/>
        <w:gridCol w:w="915"/>
        <w:gridCol w:w="1155"/>
        <w:gridCol w:w="1286"/>
        <w:gridCol w:w="616"/>
        <w:gridCol w:w="616"/>
        <w:gridCol w:w="2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方正宋黑_GBK" w:hAnsi="方正宋黑_GBK" w:eastAsia="方正宋黑_GBK" w:cs="方正宋黑_GBK"/>
                <w:i w:val="0"/>
                <w:color w:val="000000"/>
                <w:sz w:val="32"/>
                <w:szCs w:val="32"/>
                <w:highlight w:val="none"/>
                <w:u w:val="none"/>
              </w:rPr>
            </w:pPr>
            <w:r>
              <w:rPr>
                <w:rFonts w:hint="eastAsia" w:ascii="方正宋黑_GBK" w:hAnsi="方正宋黑_GBK" w:eastAsia="方正宋黑_GBK" w:cs="方正宋黑_GBK"/>
                <w:i w:val="0"/>
                <w:color w:val="000000"/>
                <w:kern w:val="0"/>
                <w:sz w:val="32"/>
                <w:szCs w:val="32"/>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其他人员支出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286" w:type="dxa"/>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抚恤金、人才引进费用按照相关政策及时足额发放</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抚恤金、人才引进费用按照相关政策及时足额发放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抚恤金、人才引进费用按照相关政策及时足额发放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24.48</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24.48</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24.48</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24.48</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科目调整次数</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次</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足额保障率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时效指标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按时发放率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结余率（计算方法为：结余数/预算数）</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项目负责人：韩顺东</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财务负责人：何黎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方正宋黑_GBK" w:hAnsi="方正宋黑_GBK" w:eastAsia="方正宋黑_GBK" w:cs="方正宋黑_GBK"/>
                <w:i w:val="0"/>
                <w:color w:val="000000"/>
                <w:sz w:val="32"/>
                <w:szCs w:val="32"/>
                <w:highlight w:val="none"/>
                <w:u w:val="none"/>
              </w:rPr>
            </w:pPr>
            <w:r>
              <w:rPr>
                <w:rFonts w:hint="eastAsia" w:ascii="方正宋黑_GBK" w:hAnsi="方正宋黑_GBK" w:eastAsia="方正宋黑_GBK" w:cs="方正宋黑_GBK"/>
                <w:i w:val="0"/>
                <w:color w:val="000000"/>
                <w:kern w:val="0"/>
                <w:sz w:val="32"/>
                <w:szCs w:val="32"/>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离退休费支出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286" w:type="dxa"/>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严格执行相关政策，保障工资及时发放、足额发放，预算编制科学合理，减少结余资金</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做到严格执行相关政策，保障工资及时发放、足额发放，预算编制科学合理，减少结余资金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严格执行相关政策，及时、足额发放离退休人员生活补助和离休费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52.59</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52.59</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52.59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52.59</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52.59</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52.59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科目调整次数</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次</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足额保障率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时效指标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按时发放率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结余率（计算方法为：结余数/预算数）</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项目负责人：韩顺东</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财务负责人：何黎</w:t>
            </w:r>
          </w:p>
        </w:tc>
      </w:tr>
    </w:tbl>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sz w:val="20"/>
          <w:szCs w:val="20"/>
          <w:highlight w:val="none"/>
          <w:u w:val="none"/>
        </w:rPr>
        <w:br w:type="page"/>
      </w:r>
    </w:p>
    <w:tbl>
      <w:tblPr>
        <w:tblStyle w:val="13"/>
        <w:tblW w:w="14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980"/>
        <w:gridCol w:w="1722"/>
        <w:gridCol w:w="2198"/>
        <w:gridCol w:w="1120"/>
        <w:gridCol w:w="915"/>
        <w:gridCol w:w="1155"/>
        <w:gridCol w:w="1286"/>
        <w:gridCol w:w="616"/>
        <w:gridCol w:w="616"/>
        <w:gridCol w:w="2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方正宋黑_GBK" w:hAnsi="方正宋黑_GBK" w:eastAsia="方正宋黑_GBK" w:cs="方正宋黑_GBK"/>
                <w:i w:val="0"/>
                <w:color w:val="000000"/>
                <w:sz w:val="32"/>
                <w:szCs w:val="32"/>
                <w:highlight w:val="none"/>
                <w:u w:val="none"/>
              </w:rPr>
            </w:pPr>
            <w:r>
              <w:rPr>
                <w:rFonts w:hint="eastAsia" w:ascii="方正宋黑_GBK" w:hAnsi="方正宋黑_GBK" w:eastAsia="方正宋黑_GBK" w:cs="方正宋黑_GBK"/>
                <w:i w:val="0"/>
                <w:color w:val="000000"/>
                <w:kern w:val="0"/>
                <w:sz w:val="32"/>
                <w:szCs w:val="32"/>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286" w:type="dxa"/>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严格执行相关政策，保障工资及时发放、足额发放，预算编制科学合理，减少结余资金</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做到严格执行相关政策，保障工资及时发放、足额发放，预算编制科学合理，减少结余资金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严格执行相关政策，及时、足额发放遗属生活补助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2.27</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2.27</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2.27</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2.27</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足额保障率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科目调整次数</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次</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时效指标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按时发放率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结余率（计算方法为：结余数/预算数）</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项目负责人：韩顺东</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财务负责人：何黎</w:t>
            </w:r>
          </w:p>
        </w:tc>
      </w:tr>
    </w:tbl>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sz w:val="20"/>
          <w:szCs w:val="20"/>
          <w:highlight w:val="none"/>
          <w:u w:val="none"/>
        </w:rPr>
        <w:br w:type="page"/>
      </w:r>
    </w:p>
    <w:tbl>
      <w:tblPr>
        <w:tblStyle w:val="13"/>
        <w:tblW w:w="14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980"/>
        <w:gridCol w:w="1722"/>
        <w:gridCol w:w="2198"/>
        <w:gridCol w:w="1120"/>
        <w:gridCol w:w="915"/>
        <w:gridCol w:w="1155"/>
        <w:gridCol w:w="1286"/>
        <w:gridCol w:w="616"/>
        <w:gridCol w:w="616"/>
        <w:gridCol w:w="2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方正宋黑_GBK" w:hAnsi="方正宋黑_GBK" w:eastAsia="方正宋黑_GBK" w:cs="方正宋黑_GBK"/>
                <w:i w:val="0"/>
                <w:color w:val="000000"/>
                <w:sz w:val="32"/>
                <w:szCs w:val="32"/>
                <w:highlight w:val="none"/>
                <w:u w:val="none"/>
              </w:rPr>
            </w:pPr>
            <w:r>
              <w:rPr>
                <w:rFonts w:hint="eastAsia" w:ascii="方正宋黑_GBK" w:hAnsi="方正宋黑_GBK" w:eastAsia="方正宋黑_GBK" w:cs="方正宋黑_GBK"/>
                <w:i w:val="0"/>
                <w:color w:val="000000"/>
                <w:kern w:val="0"/>
                <w:sz w:val="32"/>
                <w:szCs w:val="32"/>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定额公用经费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286" w:type="dxa"/>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保障单位日常运转，提高预算编制质量，严格执行预算</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保障单位日常运转，提高预算编制质量，严格执行预算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保障单位日常运转，提高预算编制质量，严格执行预算，无结余资金。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55.80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54.40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54.40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55.80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54.40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54.40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科目调整次数</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次</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质量指标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Style w:val="33"/>
                <w:rFonts w:hAnsi="宋体"/>
                <w:highlight w:val="none"/>
                <w:lang w:val="en-US" w:eastAsia="zh-CN" w:bidi="ar"/>
              </w:rPr>
              <w:t>预算编制准确率（计算方法为：</w:t>
            </w:r>
            <w:r>
              <w:rPr>
                <w:rStyle w:val="34"/>
                <w:highlight w:val="none"/>
                <w:lang w:val="en-US" w:eastAsia="zh-CN" w:bidi="ar"/>
              </w:rPr>
              <w:t>∣</w:t>
            </w:r>
            <w:r>
              <w:rPr>
                <w:rStyle w:val="33"/>
                <w:rFonts w:hAnsi="宋体"/>
                <w:highlight w:val="none"/>
                <w:lang w:val="en-US" w:eastAsia="zh-CN" w:bidi="ar"/>
              </w:rPr>
              <w:t>（执行数-预算数）/预算数</w:t>
            </w:r>
            <w:r>
              <w:rPr>
                <w:rStyle w:val="34"/>
                <w:highlight w:val="none"/>
                <w:lang w:val="en-US" w:eastAsia="zh-CN" w:bidi="ar"/>
              </w:rPr>
              <w:t>∣</w:t>
            </w:r>
            <w:r>
              <w:rPr>
                <w:rStyle w:val="33"/>
                <w:rFonts w:hAnsi="宋体"/>
                <w:highlight w:val="none"/>
                <w:lang w:val="en-US" w:eastAsia="zh-CN"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“三公经费”控制率[计算方法为：（三公经费实际支出数/预算安排数]×100%）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99%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运转保障率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项目负责人：韩顺东</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财务负责人：何黎</w:t>
            </w:r>
          </w:p>
        </w:tc>
      </w:tr>
    </w:tbl>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sz w:val="20"/>
          <w:szCs w:val="20"/>
          <w:highlight w:val="none"/>
          <w:u w:val="none"/>
        </w:rPr>
        <w:br w:type="page"/>
      </w:r>
    </w:p>
    <w:tbl>
      <w:tblPr>
        <w:tblStyle w:val="13"/>
        <w:tblW w:w="14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980"/>
        <w:gridCol w:w="1722"/>
        <w:gridCol w:w="2198"/>
        <w:gridCol w:w="1120"/>
        <w:gridCol w:w="915"/>
        <w:gridCol w:w="1155"/>
        <w:gridCol w:w="1286"/>
        <w:gridCol w:w="616"/>
        <w:gridCol w:w="616"/>
        <w:gridCol w:w="2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方正宋黑_GBK" w:hAnsi="方正宋黑_GBK" w:eastAsia="方正宋黑_GBK" w:cs="方正宋黑_GBK"/>
                <w:i w:val="0"/>
                <w:color w:val="000000"/>
                <w:sz w:val="32"/>
                <w:szCs w:val="32"/>
                <w:highlight w:val="none"/>
                <w:u w:val="none"/>
              </w:rPr>
            </w:pPr>
            <w:r>
              <w:rPr>
                <w:rFonts w:hint="eastAsia" w:ascii="方正宋黑_GBK" w:hAnsi="方正宋黑_GBK" w:eastAsia="方正宋黑_GBK" w:cs="方正宋黑_GBK"/>
                <w:i w:val="0"/>
                <w:color w:val="000000"/>
                <w:kern w:val="0"/>
                <w:sz w:val="32"/>
                <w:szCs w:val="32"/>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其他公用经费（福利、工会、公车补贴、党建、退休活动）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286" w:type="dxa"/>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保障单位日常运转，提高预算编制质量，严格执行预算</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保障单位日常运转，提高预算编制质量，严格执行预算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保障单位日常运转，提高预算编制质量，严格执行预算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55.09</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55.09</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55.09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55.09</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55.09</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55.09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科目调整次数</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次</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质量指标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Style w:val="33"/>
                <w:rFonts w:hAnsi="宋体"/>
                <w:highlight w:val="none"/>
                <w:lang w:val="en-US" w:eastAsia="zh-CN" w:bidi="ar"/>
              </w:rPr>
              <w:t>预算编制准确率（计算方法为：</w:t>
            </w:r>
            <w:r>
              <w:rPr>
                <w:rStyle w:val="34"/>
                <w:highlight w:val="none"/>
                <w:lang w:val="en-US" w:eastAsia="zh-CN" w:bidi="ar"/>
              </w:rPr>
              <w:t>∣</w:t>
            </w:r>
            <w:r>
              <w:rPr>
                <w:rStyle w:val="33"/>
                <w:rFonts w:hAnsi="宋体"/>
                <w:highlight w:val="none"/>
                <w:lang w:val="en-US" w:eastAsia="zh-CN" w:bidi="ar"/>
              </w:rPr>
              <w:t>（执行数-预算数）/预算数</w:t>
            </w:r>
            <w:r>
              <w:rPr>
                <w:rStyle w:val="34"/>
                <w:highlight w:val="none"/>
                <w:lang w:val="en-US" w:eastAsia="zh-CN" w:bidi="ar"/>
              </w:rPr>
              <w:t>∣</w:t>
            </w:r>
            <w:r>
              <w:rPr>
                <w:rStyle w:val="33"/>
                <w:rFonts w:hAnsi="宋体"/>
                <w:highlight w:val="none"/>
                <w:lang w:val="en-US" w:eastAsia="zh-CN"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“三公经费”控制率[计算方法为：（三公经费实际支出数/预算安排数]×100%）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99%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运转保障率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项目负责人：韩顺东</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财务负责人：何黎</w:t>
            </w:r>
          </w:p>
        </w:tc>
      </w:tr>
    </w:tbl>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sz w:val="20"/>
          <w:szCs w:val="20"/>
          <w:highlight w:val="none"/>
          <w:u w:val="none"/>
        </w:rPr>
        <w:br w:type="page"/>
      </w:r>
    </w:p>
    <w:tbl>
      <w:tblPr>
        <w:tblStyle w:val="13"/>
        <w:tblW w:w="14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980"/>
        <w:gridCol w:w="1722"/>
        <w:gridCol w:w="2198"/>
        <w:gridCol w:w="1120"/>
        <w:gridCol w:w="915"/>
        <w:gridCol w:w="1155"/>
        <w:gridCol w:w="1286"/>
        <w:gridCol w:w="616"/>
        <w:gridCol w:w="616"/>
        <w:gridCol w:w="2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方正宋黑_GBK" w:hAnsi="方正宋黑_GBK" w:eastAsia="方正宋黑_GBK" w:cs="方正宋黑_GBK"/>
                <w:i w:val="0"/>
                <w:color w:val="000000"/>
                <w:sz w:val="32"/>
                <w:szCs w:val="32"/>
                <w:highlight w:val="none"/>
                <w:u w:val="none"/>
              </w:rPr>
            </w:pPr>
            <w:r>
              <w:rPr>
                <w:rFonts w:hint="eastAsia" w:ascii="方正宋黑_GBK" w:hAnsi="方正宋黑_GBK" w:eastAsia="方正宋黑_GBK" w:cs="方正宋黑_GBK"/>
                <w:i w:val="0"/>
                <w:color w:val="000000"/>
                <w:kern w:val="0"/>
                <w:sz w:val="32"/>
                <w:szCs w:val="32"/>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财政全额供养“退休中人”一次性补贴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286" w:type="dxa"/>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及时、足额发放“退休中人”一次性补贴</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及时、足额发放“退休中人”一次性补贴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及时、足额发放“退休中人”一次性补贴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5.48</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5.48</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5.48</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5.48</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足额保障率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科目调整次数</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次</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时效指标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按时发放率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结余率（计算方法为：结余数/预算数）</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项目负责人：韩顺东</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财务负责人：何黎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方正宋黑_GBK" w:hAnsi="方正宋黑_GBK" w:eastAsia="方正宋黑_GBK" w:cs="方正宋黑_GBK"/>
                <w:i w:val="0"/>
                <w:color w:val="000000"/>
                <w:sz w:val="32"/>
                <w:szCs w:val="32"/>
                <w:highlight w:val="none"/>
                <w:u w:val="none"/>
              </w:rPr>
            </w:pPr>
            <w:r>
              <w:rPr>
                <w:rFonts w:hint="eastAsia" w:ascii="方正宋黑_GBK" w:hAnsi="方正宋黑_GBK" w:eastAsia="方正宋黑_GBK" w:cs="方正宋黑_GBK"/>
                <w:i w:val="0"/>
                <w:color w:val="000000"/>
                <w:kern w:val="0"/>
                <w:sz w:val="32"/>
                <w:szCs w:val="32"/>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乡村振兴工作经费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286" w:type="dxa"/>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进行信息摸底调查，开展乡村振兴宣传工作，及时更换乡村横幅标语、公示栏、宣传栏、明白卡、制度牌，规范完善乡村振兴相关资料，按照省市乡村振兴相关要求，驻村人员脱产驻村、吃住在村</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进行了信息摸底调查，开展了乡村振兴宣传工作，及时更换了乡村横幅标语、公示栏、宣传栏、明白卡、制度牌，规范完善乡村振兴相关资料，按照省市乡村振兴相关要求，驻村人员脱产驻村、吃住在村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及时更换乡村横幅标语、公示栏、宣传栏、明白卡、制度牌及规范完善乡村振兴相关软件资料，按照省市乡村振兴相关要求，驻村人员脱产驻村、吃住在村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5.46</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5.46</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5.46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5.46</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5.46</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5.46</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发放3个驻村人员生活补助及工作经费</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5.46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万元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5.46万元</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更换马鞍村乡村振兴横幅标语</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个</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更换马鞍村乡村振兴宣传栏</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个</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1个</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质量指标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全部更换横幅标语、宣传栏</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及时发放驻村补助及工作经费</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时效指标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2022年12月31日前</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1年</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成本指标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工作经费及驻村补助不超过54600元</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54600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54600元</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社会效益指标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按照省市相关要求，驻村人员脱产驻村、吃住在村</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优良中低差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满意度指标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服务对象满意度指标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马鞍村群众满意度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项目负责人：韩顺东</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财务负责人：何黎</w:t>
            </w:r>
          </w:p>
        </w:tc>
      </w:tr>
    </w:tbl>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sz w:val="20"/>
          <w:szCs w:val="20"/>
          <w:highlight w:val="none"/>
          <w:u w:val="none"/>
        </w:rPr>
        <w:br w:type="page"/>
      </w:r>
    </w:p>
    <w:tbl>
      <w:tblPr>
        <w:tblStyle w:val="13"/>
        <w:tblW w:w="14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980"/>
        <w:gridCol w:w="1722"/>
        <w:gridCol w:w="2198"/>
        <w:gridCol w:w="1120"/>
        <w:gridCol w:w="915"/>
        <w:gridCol w:w="1155"/>
        <w:gridCol w:w="1286"/>
        <w:gridCol w:w="616"/>
        <w:gridCol w:w="616"/>
        <w:gridCol w:w="2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方正宋黑_GBK" w:hAnsi="方正宋黑_GBK" w:eastAsia="方正宋黑_GBK" w:cs="方正宋黑_GBK"/>
                <w:i w:val="0"/>
                <w:color w:val="000000"/>
                <w:sz w:val="32"/>
                <w:szCs w:val="32"/>
                <w:highlight w:val="none"/>
                <w:u w:val="none"/>
              </w:rPr>
            </w:pPr>
            <w:r>
              <w:rPr>
                <w:rFonts w:hint="eastAsia" w:ascii="方正宋黑_GBK" w:hAnsi="方正宋黑_GBK" w:eastAsia="方正宋黑_GBK" w:cs="方正宋黑_GBK"/>
                <w:i w:val="0"/>
                <w:color w:val="000000"/>
                <w:kern w:val="0"/>
                <w:sz w:val="32"/>
                <w:szCs w:val="32"/>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交通项目资金争取工作经费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286" w:type="dxa"/>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向上争取交通项目部省补助资金12亿元</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完成向上争取交通项目部省补助资金12亿元目标任务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向上争取交通项目资金工作经费13.58亿元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向上争取部省补助资金</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亿元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13.58亿元</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质量指标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完成向上争取资金任务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113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时效指标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2022年12月31日前</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1年</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成本指标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开展资金争取工作经费不超过50万元</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50万元</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争取交通建设项目部省补助资金</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亿元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13.58亿元</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满意度指标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服务对象满意度指标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群众满意度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项目负责人：韩顺东</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财务负责人：何黎</w:t>
            </w:r>
          </w:p>
        </w:tc>
      </w:tr>
    </w:tbl>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sz w:val="20"/>
          <w:szCs w:val="20"/>
          <w:highlight w:val="none"/>
          <w:u w:val="none"/>
        </w:rPr>
        <w:br w:type="page"/>
      </w:r>
    </w:p>
    <w:tbl>
      <w:tblPr>
        <w:tblStyle w:val="13"/>
        <w:tblW w:w="14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980"/>
        <w:gridCol w:w="1722"/>
        <w:gridCol w:w="2198"/>
        <w:gridCol w:w="1120"/>
        <w:gridCol w:w="915"/>
        <w:gridCol w:w="1155"/>
        <w:gridCol w:w="1286"/>
        <w:gridCol w:w="616"/>
        <w:gridCol w:w="616"/>
        <w:gridCol w:w="2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方正宋黑_GBK" w:hAnsi="方正宋黑_GBK" w:eastAsia="方正宋黑_GBK" w:cs="方正宋黑_GBK"/>
                <w:i w:val="0"/>
                <w:color w:val="000000"/>
                <w:sz w:val="32"/>
                <w:szCs w:val="32"/>
                <w:highlight w:val="none"/>
                <w:u w:val="none"/>
              </w:rPr>
            </w:pPr>
            <w:r>
              <w:rPr>
                <w:rFonts w:hint="eastAsia" w:ascii="方正宋黑_GBK" w:hAnsi="方正宋黑_GBK" w:eastAsia="方正宋黑_GBK" w:cs="方正宋黑_GBK"/>
                <w:i w:val="0"/>
                <w:color w:val="000000"/>
                <w:kern w:val="0"/>
                <w:sz w:val="32"/>
                <w:szCs w:val="32"/>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交通运输管理（含安全监督、法制建设、禁毒工作等）工作经费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286" w:type="dxa"/>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组织开展交通行业行政执法人员培训，召开安全例会、开展安全督导、检查、调研、评估、安全资料印制、整理、归档等，开展国防交通潜力调查，完成数据统计更新，开展国防交通专业保障队伍教育或训（演）练保障国防交通运行，维护局网站平稳运行，不发生网络安全事故，开展网络安全培训和宣传</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2022年组织开展了交通行业安全监督、法制建设、禁毒、交通战备、网络安全等工作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2022年组织开展了交通行业安全监督、法制建设、禁毒、交通战备、网络安全等工作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4.20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4.20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4.20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4.20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4.20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4.20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开展国防交通潜力调查，完成数据统计更新，开展国防交通专业保障队伍教育或训（演）练，保障国防交通运行</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次</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召开安全例会、开展安全督导、检查、调研、评估、安全资料印制、整理、归档等</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次</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42000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局网站维护1年</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交通运输行政执法人员培训</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次</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网络安全宣传和培训</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次</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质量指标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交通运输局干部职工知晓网络安全相关法律和参加网络安全培训覆盖率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不发生网络安全责任事故</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次</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网站运行正常率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时效指标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2022年12月31日前</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成本指标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项目成本</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42000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社会效益指标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交通运输行业社会评价明显上升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优良中低差</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交通运输行政执法队伍投诉率在2021年基础上下降50%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满意度指标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服务对象满意度指标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群众满意度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项目负责人：韩顺东</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财务负责人：何黎</w:t>
            </w:r>
          </w:p>
        </w:tc>
      </w:tr>
    </w:tbl>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sz w:val="20"/>
          <w:szCs w:val="20"/>
          <w:highlight w:val="none"/>
          <w:u w:val="none"/>
        </w:rPr>
        <w:br w:type="page"/>
      </w:r>
    </w:p>
    <w:tbl>
      <w:tblPr>
        <w:tblStyle w:val="13"/>
        <w:tblW w:w="14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980"/>
        <w:gridCol w:w="1722"/>
        <w:gridCol w:w="2198"/>
        <w:gridCol w:w="1120"/>
        <w:gridCol w:w="915"/>
        <w:gridCol w:w="1155"/>
        <w:gridCol w:w="1286"/>
        <w:gridCol w:w="616"/>
        <w:gridCol w:w="616"/>
        <w:gridCol w:w="2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方正宋黑_GBK" w:hAnsi="方正宋黑_GBK" w:eastAsia="方正宋黑_GBK" w:cs="方正宋黑_GBK"/>
                <w:i w:val="0"/>
                <w:color w:val="000000"/>
                <w:sz w:val="32"/>
                <w:szCs w:val="32"/>
                <w:highlight w:val="none"/>
                <w:u w:val="none"/>
              </w:rPr>
            </w:pPr>
            <w:r>
              <w:rPr>
                <w:rFonts w:hint="eastAsia" w:ascii="方正宋黑_GBK" w:hAnsi="方正宋黑_GBK" w:eastAsia="方正宋黑_GBK" w:cs="方正宋黑_GBK"/>
                <w:i w:val="0"/>
                <w:color w:val="000000"/>
                <w:kern w:val="0"/>
                <w:sz w:val="32"/>
                <w:szCs w:val="32"/>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交通项目工作经费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286" w:type="dxa"/>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开展国道G542线利州区盘龙镇（陵江）至昭化区元坝镇（范家坪）改建工程、省道205线利州区（塔山弯）至朝天区云雾山镇（川陕界）新改建工程、剑阁县下寺至利州区月坝公路、嘉陵江水东坝航电综合枢纽工程的工可、设计；广元黑石坡至旺苍县盐河镇公路、G542昭化区元坝镇（范家坪）至旺苍县三江镇（牛项颈）段改建工程取得工可批复；广元市综合交通枢纽总体规划和广元市货运枢纽集疏运体系实施方案通过交通运输部评审等各项前期工作。</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国道G542线利州区盘龙镇（陵江）至昭化区元坝镇（范家坪）改建工程、省道205线利州区（塔山弯）至朝天区云雾山镇（川陕界）新改建工程、剑阁县下寺至利州区月坝公路、嘉陵江水东坝航电综合枢纽工程的工可、设计等前期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了国道G542线利州区盘龙镇（陵江）至昭化区元坝镇（范家坪）改建工程、省道205线利州区（塔山弯）至朝天区云雾山镇（川陕界）新改建工程、剑阁县下寺至利州区月坝公路、嘉陵江水东坝航电综合枢纽工程的工可、设计等前期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预计完成项目工可</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个</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预计完成项目设计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个</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质量指标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预计设计文件取得行业审批</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个</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预计取得项目工可取得批复</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个</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时效指标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2022年12月31日前</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成本指标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项目成本</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满意度指标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服务对象满意度指标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群众满意度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项目负责人：韩顺东</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财务负责人：何黎</w:t>
            </w:r>
          </w:p>
        </w:tc>
      </w:tr>
    </w:tbl>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sz w:val="20"/>
          <w:szCs w:val="20"/>
          <w:highlight w:val="none"/>
          <w:u w:val="none"/>
        </w:rPr>
        <w:br w:type="page"/>
      </w:r>
    </w:p>
    <w:tbl>
      <w:tblPr>
        <w:tblStyle w:val="13"/>
        <w:tblW w:w="14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980"/>
        <w:gridCol w:w="1722"/>
        <w:gridCol w:w="2198"/>
        <w:gridCol w:w="1120"/>
        <w:gridCol w:w="915"/>
        <w:gridCol w:w="1155"/>
        <w:gridCol w:w="1286"/>
        <w:gridCol w:w="616"/>
        <w:gridCol w:w="616"/>
        <w:gridCol w:w="2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方正宋黑_GBK" w:hAnsi="方正宋黑_GBK" w:eastAsia="方正宋黑_GBK" w:cs="方正宋黑_GBK"/>
                <w:i w:val="0"/>
                <w:color w:val="000000"/>
                <w:sz w:val="32"/>
                <w:szCs w:val="32"/>
                <w:highlight w:val="none"/>
                <w:u w:val="none"/>
              </w:rPr>
            </w:pPr>
            <w:r>
              <w:rPr>
                <w:rFonts w:hint="eastAsia" w:ascii="方正宋黑_GBK" w:hAnsi="方正宋黑_GBK" w:eastAsia="方正宋黑_GBK" w:cs="方正宋黑_GBK"/>
                <w:i w:val="0"/>
                <w:color w:val="000000"/>
                <w:kern w:val="0"/>
                <w:sz w:val="32"/>
                <w:szCs w:val="32"/>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交通国土空间规划经费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286" w:type="dxa"/>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代管资金及时拨付</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代管资金及时拨付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代管资金及时拨付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18.00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18.00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18.00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18.00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18.00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18.00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代管资金</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180000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180000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项目负责人：韩顺东</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财务负责人：何黎</w:t>
            </w:r>
          </w:p>
        </w:tc>
      </w:tr>
    </w:tbl>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sz w:val="20"/>
          <w:szCs w:val="20"/>
          <w:highlight w:val="none"/>
          <w:u w:val="none"/>
        </w:rPr>
        <w:br w:type="page"/>
      </w:r>
    </w:p>
    <w:tbl>
      <w:tblPr>
        <w:tblStyle w:val="13"/>
        <w:tblW w:w="14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980"/>
        <w:gridCol w:w="1722"/>
        <w:gridCol w:w="2198"/>
        <w:gridCol w:w="1120"/>
        <w:gridCol w:w="915"/>
        <w:gridCol w:w="1155"/>
        <w:gridCol w:w="1286"/>
        <w:gridCol w:w="616"/>
        <w:gridCol w:w="616"/>
        <w:gridCol w:w="2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方正宋黑_GBK" w:hAnsi="方正宋黑_GBK" w:eastAsia="方正宋黑_GBK" w:cs="方正宋黑_GBK"/>
                <w:i w:val="0"/>
                <w:color w:val="000000"/>
                <w:sz w:val="32"/>
                <w:szCs w:val="32"/>
                <w:highlight w:val="none"/>
                <w:u w:val="none"/>
              </w:rPr>
            </w:pPr>
            <w:r>
              <w:rPr>
                <w:rFonts w:hint="eastAsia" w:ascii="方正宋黑_GBK" w:hAnsi="方正宋黑_GBK" w:eastAsia="方正宋黑_GBK" w:cs="方正宋黑_GBK"/>
                <w:i w:val="0"/>
                <w:color w:val="000000"/>
                <w:kern w:val="0"/>
                <w:sz w:val="32"/>
                <w:szCs w:val="32"/>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综合交通枢纽总体规划和货运枢纽及集疏运体系实施方案编制经费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286" w:type="dxa"/>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283.60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271.60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271.60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283.60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271.60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271.60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完成综合交通枢纽总体规划和货运枢纽及集疏运体系实施方案编制工作</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质量指标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符合行业编制要求</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时效指标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完成时限</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2022年12月31日</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2022年12月31日</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成本指标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经济成本指标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预算资金</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400.00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万元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400.00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该指标为2021年结余资金，指标总额400万元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社会效益</w:t>
            </w:r>
            <w:r>
              <w:rPr>
                <w:rFonts w:hint="eastAsia" w:ascii="仿宋_GB2312" w:hAnsi="宋体" w:eastAsia="仿宋_GB2312" w:cs="仿宋_GB2312"/>
                <w:i w:val="0"/>
                <w:color w:val="000000"/>
                <w:kern w:val="0"/>
                <w:sz w:val="20"/>
                <w:szCs w:val="20"/>
                <w:highlight w:val="none"/>
                <w:u w:val="none"/>
                <w:lang w:val="en-US" w:eastAsia="zh-CN" w:bidi="ar"/>
              </w:rPr>
              <w:br w:type="textWrapping"/>
            </w:r>
            <w:r>
              <w:rPr>
                <w:rFonts w:hint="eastAsia" w:ascii="仿宋_GB2312" w:hAnsi="宋体" w:eastAsia="仿宋_GB2312" w:cs="仿宋_GB2312"/>
                <w:i w:val="0"/>
                <w:color w:val="000000"/>
                <w:kern w:val="0"/>
                <w:sz w:val="20"/>
                <w:szCs w:val="20"/>
                <w:highlight w:val="none"/>
                <w:u w:val="none"/>
                <w:lang w:val="en-US" w:eastAsia="zh-CN" w:bidi="ar"/>
              </w:rPr>
              <w:t>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说明在国家综合立体交通网主骨架的交通区位，综合货运枢纽支持国家重点产业集群等情况</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经济效益</w:t>
            </w:r>
            <w:r>
              <w:rPr>
                <w:rFonts w:hint="eastAsia" w:ascii="仿宋_GB2312" w:hAnsi="宋体" w:eastAsia="仿宋_GB2312" w:cs="仿宋_GB2312"/>
                <w:i w:val="0"/>
                <w:color w:val="000000"/>
                <w:kern w:val="0"/>
                <w:sz w:val="20"/>
                <w:szCs w:val="20"/>
                <w:highlight w:val="none"/>
                <w:u w:val="none"/>
                <w:lang w:val="en-US" w:eastAsia="zh-CN" w:bidi="ar"/>
              </w:rPr>
              <w:br w:type="textWrapping"/>
            </w:r>
            <w:r>
              <w:rPr>
                <w:rFonts w:hint="eastAsia" w:ascii="仿宋_GB2312" w:hAnsi="宋体" w:eastAsia="仿宋_GB2312" w:cs="仿宋_GB2312"/>
                <w:i w:val="0"/>
                <w:color w:val="000000"/>
                <w:kern w:val="0"/>
                <w:sz w:val="20"/>
                <w:szCs w:val="20"/>
                <w:highlight w:val="none"/>
                <w:u w:val="none"/>
                <w:lang w:val="en-US" w:eastAsia="zh-CN" w:bidi="ar"/>
              </w:rPr>
              <w:t>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测算综合货运枢纽设施新增和改造面积，集疏运体系新增及改扩建里程，主要枢纽港站货物吞吐量年均增长率等指标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满意度指标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满意度指标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通过市政府上报</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95.00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95.00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项目负责人：韩顺东</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财务负责人：何黎</w:t>
            </w:r>
          </w:p>
        </w:tc>
      </w:tr>
    </w:tbl>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sz w:val="20"/>
          <w:szCs w:val="20"/>
          <w:highlight w:val="none"/>
          <w:u w:val="none"/>
        </w:rPr>
        <w:br w:type="page"/>
      </w:r>
    </w:p>
    <w:tbl>
      <w:tblPr>
        <w:tblStyle w:val="13"/>
        <w:tblW w:w="14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980"/>
        <w:gridCol w:w="1722"/>
        <w:gridCol w:w="2198"/>
        <w:gridCol w:w="1120"/>
        <w:gridCol w:w="915"/>
        <w:gridCol w:w="1155"/>
        <w:gridCol w:w="1286"/>
        <w:gridCol w:w="616"/>
        <w:gridCol w:w="616"/>
        <w:gridCol w:w="2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方正宋黑_GBK" w:hAnsi="方正宋黑_GBK" w:eastAsia="方正宋黑_GBK" w:cs="方正宋黑_GBK"/>
                <w:i w:val="0"/>
                <w:color w:val="000000"/>
                <w:sz w:val="32"/>
                <w:szCs w:val="32"/>
                <w:highlight w:val="none"/>
                <w:u w:val="none"/>
              </w:rPr>
            </w:pPr>
            <w:r>
              <w:rPr>
                <w:rFonts w:hint="eastAsia" w:ascii="方正宋黑_GBK" w:hAnsi="方正宋黑_GBK" w:eastAsia="方正宋黑_GBK" w:cs="方正宋黑_GBK"/>
                <w:i w:val="0"/>
                <w:color w:val="000000"/>
                <w:kern w:val="0"/>
                <w:sz w:val="32"/>
                <w:szCs w:val="32"/>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市本级第一批更新公务用车（车辆购置和车辆购置税）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286" w:type="dxa"/>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按要求更新购置公务用车一辆</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按要求更新购置公务用车一辆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按要求更新购置公务用车一辆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55.87</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55.87</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55.87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55.87</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55.87</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55.87</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足额保障率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科目调整次数</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次</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时效指标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按时发放率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结余率（计算方法为：结余数/预算数）</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项目负责人：韩顺东</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财务负责人：何黎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方正宋黑_GBK" w:hAnsi="方正宋黑_GBK" w:eastAsia="方正宋黑_GBK" w:cs="方正宋黑_GBK"/>
                <w:i w:val="0"/>
                <w:color w:val="000000"/>
                <w:sz w:val="32"/>
                <w:szCs w:val="32"/>
                <w:highlight w:val="none"/>
                <w:u w:val="none"/>
              </w:rPr>
            </w:pPr>
            <w:r>
              <w:rPr>
                <w:rFonts w:hint="eastAsia" w:ascii="方正宋黑_GBK" w:hAnsi="方正宋黑_GBK" w:eastAsia="方正宋黑_GBK" w:cs="方正宋黑_GBK"/>
                <w:i w:val="0"/>
                <w:color w:val="000000"/>
                <w:kern w:val="0"/>
                <w:sz w:val="32"/>
                <w:szCs w:val="32"/>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2022年春节集中慰问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按要求发放春节慰问金</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按要求发放春节慰问金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按要求发放春节慰问金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90"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28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6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1.60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1.60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1.60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1.60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1.60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1.60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足额保障率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科目调整次数</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次</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时效指标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按时发放率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结余率（计算方法为：结余数/预算数）</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项目负责人：韩顺东</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财务负责人：何黎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方正宋黑_GBK" w:hAnsi="方正宋黑_GBK" w:eastAsia="方正宋黑_GBK" w:cs="方正宋黑_GBK"/>
                <w:i w:val="0"/>
                <w:color w:val="000000"/>
                <w:sz w:val="32"/>
                <w:szCs w:val="32"/>
                <w:highlight w:val="none"/>
                <w:u w:val="none"/>
              </w:rPr>
            </w:pPr>
            <w:r>
              <w:rPr>
                <w:rFonts w:hint="eastAsia" w:ascii="方正宋黑_GBK" w:hAnsi="方正宋黑_GBK" w:eastAsia="方正宋黑_GBK" w:cs="方正宋黑_GBK"/>
                <w:i w:val="0"/>
                <w:color w:val="000000"/>
                <w:kern w:val="0"/>
                <w:sz w:val="32"/>
                <w:szCs w:val="32"/>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传化物流场平资金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286" w:type="dxa"/>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传化公路港物流港项目位于市中心城北部（京昆高速广元北下线口），占地面积260.5亩，估算总投资约8.3亿元，其中由我市负责征拆及场平工程；传化集团负责投资6亿元建设“一中心两基地”。3000万主要用于支付该项目部分前期费用及挖方27万方的土地平整工作所需场平工作费用。及传化公路港物流项目奖励资金659万元。</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传化公路港物流港项目位于市中心城北部（京昆高速广元北下线口），占地面积260.5亩，估算总投资约8.3亿元，其中由我市负责征拆及场平工程；传化集团负责投资6亿元建设“一中心两基地”。3000万主要用于支付该项目部分前期费用及挖方27万方的土地平整工作所需场平工作费用。及传化公路港物流项目奖励资金659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3000万主要用于支付该项目部分前期费用及挖方27万方的土地平整工作所需场平工作费用。及传化公路港物流项目奖励资金659万元。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部门自评得分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3,659.00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3,659.00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3,659.00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3,659.00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部门自评得分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项目前期工作及土地平整挖方</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270000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平方米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270000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质量指标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工程验收合格率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质量指标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资金使用合规率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时效指标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完成时间</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社会效益指标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满足城乡物流需求，扩大内需</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带动区域地区GDP总量的增长，促进区域产业结构的优化和调整</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满意度指标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服务对象满意度指标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群众满意度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成本指标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经济成本指标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项目成本</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万元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3000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奖励批次</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批</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无</w:t>
            </w:r>
          </w:p>
        </w:tc>
      </w:tr>
    </w:tbl>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sz w:val="20"/>
          <w:szCs w:val="20"/>
          <w:highlight w:val="none"/>
          <w:u w:val="none"/>
        </w:rPr>
        <w:br w:type="page"/>
      </w:r>
    </w:p>
    <w:tbl>
      <w:tblPr>
        <w:tblStyle w:val="13"/>
        <w:tblW w:w="14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980"/>
        <w:gridCol w:w="1722"/>
        <w:gridCol w:w="2198"/>
        <w:gridCol w:w="1120"/>
        <w:gridCol w:w="915"/>
        <w:gridCol w:w="1155"/>
        <w:gridCol w:w="1286"/>
        <w:gridCol w:w="616"/>
        <w:gridCol w:w="616"/>
        <w:gridCol w:w="2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方正宋黑_GBK" w:hAnsi="方正宋黑_GBK" w:eastAsia="方正宋黑_GBK" w:cs="方正宋黑_GBK"/>
                <w:i w:val="0"/>
                <w:color w:val="000000"/>
                <w:sz w:val="32"/>
                <w:szCs w:val="32"/>
                <w:highlight w:val="none"/>
                <w:u w:val="none"/>
              </w:rPr>
            </w:pPr>
            <w:r>
              <w:rPr>
                <w:rFonts w:hint="eastAsia" w:ascii="方正宋黑_GBK" w:hAnsi="方正宋黑_GBK" w:eastAsia="方正宋黑_GBK" w:cs="方正宋黑_GBK"/>
                <w:i w:val="0"/>
                <w:color w:val="000000"/>
                <w:kern w:val="0"/>
                <w:sz w:val="32"/>
                <w:szCs w:val="32"/>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2022年取消政府还贷二级公路收费省级补助资金（黑增路）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286" w:type="dxa"/>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完成康旅大道（黑石坡至曾家山公路工程）项目前期及立项批复、林地植被恢复和初步勘察设计批复。</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康旅大道（黑石坡至曾家山公路工程）项目前期及立项批复、林地植被恢复和初步勘察设计批复已完成。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康旅大道（黑石坡至曾家山公路工程）项目前期及立项批复、林地植被恢复和初步勘察设计批复已完成。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部门自评得分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1,646.00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1,646.00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1,646.00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1,646.00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部门自评得分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项目前期及立项、林地植被恢复和初步勘察设计</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质量指标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前期报告合格性</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时效指标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完成时间</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成本指标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经济成本指标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项目前期及立项、林地植被恢复资金</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1467.5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万元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1467.5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成本指标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经济成本指标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初步勘察设计预付费</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178.5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万元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178.5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社会效益指标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加快建设广元城市北部新城、推动广元康养旅游发展；实现黑石坡森林公园与曾家山旅游经济一体化发展；完善区域路网结构，提高路网服务水平和通行能力，助力区域经济社会快速发展。</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优良中低差</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满意度指标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服务对象满意度指标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政府满意度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满意度指标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满意度指标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群众满意度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项目负责人：韩顺东</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财务负责人：何黎</w:t>
            </w:r>
          </w:p>
        </w:tc>
      </w:tr>
    </w:tbl>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sz w:val="20"/>
          <w:szCs w:val="20"/>
          <w:highlight w:val="none"/>
          <w:u w:val="none"/>
        </w:rPr>
        <w:br w:type="page"/>
      </w:r>
    </w:p>
    <w:tbl>
      <w:tblPr>
        <w:tblStyle w:val="13"/>
        <w:tblW w:w="14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980"/>
        <w:gridCol w:w="1722"/>
        <w:gridCol w:w="2198"/>
        <w:gridCol w:w="1120"/>
        <w:gridCol w:w="915"/>
        <w:gridCol w:w="1155"/>
        <w:gridCol w:w="1286"/>
        <w:gridCol w:w="616"/>
        <w:gridCol w:w="616"/>
        <w:gridCol w:w="2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方正宋黑_GBK" w:hAnsi="方正宋黑_GBK" w:eastAsia="方正宋黑_GBK" w:cs="方正宋黑_GBK"/>
                <w:i w:val="0"/>
                <w:color w:val="000000"/>
                <w:sz w:val="32"/>
                <w:szCs w:val="32"/>
                <w:highlight w:val="none"/>
                <w:u w:val="none"/>
              </w:rPr>
            </w:pPr>
            <w:r>
              <w:rPr>
                <w:rFonts w:hint="eastAsia" w:ascii="方正宋黑_GBK" w:hAnsi="方正宋黑_GBK" w:eastAsia="方正宋黑_GBK" w:cs="方正宋黑_GBK"/>
                <w:i w:val="0"/>
                <w:color w:val="000000"/>
                <w:kern w:val="0"/>
                <w:sz w:val="32"/>
                <w:szCs w:val="32"/>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急需紧缺专业选调生安家补助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286" w:type="dxa"/>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按要求及时足额发放选调生安家补助</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按要求及时足额发放选调生安家补助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按要求及时足额发放选调生安家补助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4.00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4.00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4.00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4.00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足额保障率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科目调整次数</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次</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时效指标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按时发放率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结余率（计算方法为：结余数/预算数）</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项目负责人：韩顺东</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财务负责人：何黎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方正宋黑_GBK" w:hAnsi="方正宋黑_GBK" w:eastAsia="方正宋黑_GBK" w:cs="方正宋黑_GBK"/>
                <w:i w:val="0"/>
                <w:color w:val="000000"/>
                <w:sz w:val="32"/>
                <w:szCs w:val="32"/>
                <w:highlight w:val="none"/>
                <w:u w:val="none"/>
              </w:rPr>
            </w:pPr>
            <w:r>
              <w:rPr>
                <w:rFonts w:hint="eastAsia" w:ascii="方正宋黑_GBK" w:hAnsi="方正宋黑_GBK" w:eastAsia="方正宋黑_GBK" w:cs="方正宋黑_GBK"/>
                <w:i w:val="0"/>
                <w:color w:val="000000"/>
                <w:kern w:val="0"/>
                <w:sz w:val="32"/>
                <w:szCs w:val="32"/>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广元市“十四五”综合交通运输发展规划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286" w:type="dxa"/>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完成广元市“十四五”综合交通运输发展规划编制工作</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完成广元市“十四五”综合交通运输发展规划编制工作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以局分管领导为项目总负责人，业务科室负责人为项目具体负责人，编制单位为项目实施单位。实施流程以政府采购公开招标的方式确定编制单位、签订编制合同、开展调研编制工作、编制成果通过市政府常务会议审议并经市政府审定印发、完成编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部门自评得分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121.00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121.00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121.00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121.00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121.00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121.00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部门自评得分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质量指标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规划成果通过审核</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完成广元市“十四五”综合交通运输发展规划编制工作</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时效指标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完成时限</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社会效益指标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《广元市“十四五”综合交通运输发展规划》是国民经济和社会发展五年总体规划在交通运输领域的具体细化和落实</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“十四五”交通运输发展规划》是国民经济和社会发展五年总体规划在交通运输领域的具体细化和落实</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满意度指标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服务对象满意度指标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群众满意度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成本指标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经济成本指标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预算资金</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121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万元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121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项目负责人：韩顺东</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财务负责人：何黎</w:t>
            </w:r>
          </w:p>
        </w:tc>
      </w:tr>
    </w:tbl>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sz w:val="20"/>
          <w:szCs w:val="20"/>
          <w:highlight w:val="none"/>
          <w:u w:val="none"/>
        </w:rPr>
        <w:br w:type="page"/>
      </w:r>
    </w:p>
    <w:tbl>
      <w:tblPr>
        <w:tblStyle w:val="13"/>
        <w:tblW w:w="14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980"/>
        <w:gridCol w:w="1722"/>
        <w:gridCol w:w="2198"/>
        <w:gridCol w:w="1120"/>
        <w:gridCol w:w="915"/>
        <w:gridCol w:w="1155"/>
        <w:gridCol w:w="1286"/>
        <w:gridCol w:w="616"/>
        <w:gridCol w:w="616"/>
        <w:gridCol w:w="2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方正宋黑_GBK" w:hAnsi="方正宋黑_GBK" w:eastAsia="方正宋黑_GBK" w:cs="方正宋黑_GBK"/>
                <w:i w:val="0"/>
                <w:color w:val="000000"/>
                <w:sz w:val="32"/>
                <w:szCs w:val="32"/>
                <w:highlight w:val="none"/>
                <w:u w:val="none"/>
              </w:rPr>
            </w:pPr>
            <w:r>
              <w:rPr>
                <w:rFonts w:hint="eastAsia" w:ascii="方正宋黑_GBK" w:hAnsi="方正宋黑_GBK" w:eastAsia="方正宋黑_GBK" w:cs="方正宋黑_GBK"/>
                <w:i w:val="0"/>
                <w:color w:val="000000"/>
                <w:kern w:val="0"/>
                <w:sz w:val="32"/>
                <w:szCs w:val="32"/>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广元至平武高速公路项目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286" w:type="dxa"/>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该项目为延续性项目，分为建设期与运营期，本次申请资金2000万元，用于修建项目前50公里收费站2处、停车区2处、服务区2处、管理中心1处，大幅度提高区域内通行能力、服务水平及行车安全，并大大缩短行车时间，充分发挥路网整体致益；带动沿线地区GDP总量的增长，促进区域产业结构的优化和调整，提高沿线居民的生活水平和质量，增加就业岗位，减少贫困，促进当地文化、教育、卫生事业的发展，加快城乡一体化进程</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该项目为延续性项目，分为建设期与运营期，本次资金2000万元，用于修建项目前50公里收费站2处、停车区2处、服务区2处、管理中心1处，大幅度提高区域内通行能力、服务水平及行车安全，并大大缩短行车时间，充分发挥路网整体致益；带动沿线地区GDP总量的增长，促进区域产业结构的优化和调整，提高沿线居民的生活水平和质量，增加就业岗位，减少贫困，促进当地文化、教育、卫生事业的发展，加快城乡一体化进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修建项目前50公里收费站2处、停车区2处、服务区2处、管理中心1处，大幅度提高区域内通行能力、服务水平及行车安全，并大大缩短行车时间，充分发挥路网整体致益；带动沿线地区GDP总量的增长，促进区域产业结构的优化和调整，提高沿线居民的生活水平和质量，增加就业岗位，减少贫困，促进当地文化、教育、卫生事业的发展，加快城乡一体化进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部门自评得分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2,000.00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2,000.00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2,000.00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部门自评得分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前50公里建设2处收费站</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处</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前50公里建设2处停车区</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处</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前50公里建设2处服务区</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处</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前50公里建设1处管理中心</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处</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质量指标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资金使用合规率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时效指标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完成时间</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社会效益指标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建成后效益</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带动地方经济发展</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满意度指标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服务对象满意度指标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服务对象满意度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成本指标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经济成本指标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前50公里收费站、停车区、服务区、管理中心等房建施工建设成本</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万元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项目负责人：韩顺东</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财务负责人：何黎</w:t>
            </w:r>
          </w:p>
        </w:tc>
      </w:tr>
    </w:tbl>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sz w:val="20"/>
          <w:szCs w:val="20"/>
          <w:highlight w:val="none"/>
          <w:u w:val="none"/>
        </w:rPr>
        <w:br w:type="page"/>
      </w:r>
    </w:p>
    <w:tbl>
      <w:tblPr>
        <w:tblStyle w:val="13"/>
        <w:tblW w:w="14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980"/>
        <w:gridCol w:w="1722"/>
        <w:gridCol w:w="2198"/>
        <w:gridCol w:w="1120"/>
        <w:gridCol w:w="915"/>
        <w:gridCol w:w="1155"/>
        <w:gridCol w:w="1286"/>
        <w:gridCol w:w="616"/>
        <w:gridCol w:w="616"/>
        <w:gridCol w:w="2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方正宋黑_GBK" w:hAnsi="方正宋黑_GBK" w:eastAsia="方正宋黑_GBK" w:cs="方正宋黑_GBK"/>
                <w:i w:val="0"/>
                <w:color w:val="000000"/>
                <w:sz w:val="32"/>
                <w:szCs w:val="32"/>
                <w:highlight w:val="none"/>
                <w:u w:val="none"/>
              </w:rPr>
            </w:pPr>
            <w:r>
              <w:rPr>
                <w:rFonts w:hint="eastAsia" w:ascii="方正宋黑_GBK" w:hAnsi="方正宋黑_GBK" w:eastAsia="方正宋黑_GBK" w:cs="方正宋黑_GBK"/>
                <w:i w:val="0"/>
                <w:color w:val="000000"/>
                <w:kern w:val="0"/>
                <w:sz w:val="32"/>
                <w:szCs w:val="32"/>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嘉陵江四号桥维修加固工程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286" w:type="dxa"/>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完成嘉陵江四号桥维修加固工程工程尾款及招标代理服务费的支付。嘉陵江四号桥维修加固工程2019 年3月开工，同年6月完工投入使用，2020年3月进行了竣(交)工验收。2020年8月，完成工程结算审计，建设单位送审金额292. 11万元,其中：建安工程投资199.67万元，待摊投资92.44万元，审减6.19万元，审定项目实际完成投资285.91万元，其中：建安工程投资199.67万元，待摊投资86.24万元。现已累计拨付250万元，此次拨付35.913382万元。</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完成嘉陵江四号桥维修加固工程工程尾款及招标代理服务费的支付。嘉陵江四号桥维修加固工程2019 年3月开工，同年6月完工投入使用，2020年3月进行了竣(交)工验收。2020年8月，完成工程结算审计，建设单位送审金额292. 11万元,其中：建安工程投资199.67万元，待摊投资92.44万元，审减6.19万元，审定项目实际完成投资285.91万元，其中：建安工程投资199.67万元，待摊投资86.24万元。现已累计拨付250万元，此次拨付35.913382万元。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嘉陵江四号桥维修加固工程2019 年3月开工，同年6月完工投入使用，2020年3月进行了竣(交)工验收。2020年8月，完成工程结算审计，建设单位送审金额292. 11万元,其中：建安工程投资199.67万元，待摊投资92.44万元，审减6.19万元，审定项目实际完成投资285.91万元，其中：建安工程投资199.67万元，待摊投资86.24万元。现已累计拨付250万元，此次拨付35.913382万元。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部门自评得分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35.91</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35.91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35.91</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35.91</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部门自评得分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质量指标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工程验收合格率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质量指标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资金使用合规率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时效指标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完成时间</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月</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6</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维修加固桥梁长度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69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米</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69</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社会效益指标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改善基本公共通行水平</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社会效益指标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改造项目适应交通发展需求</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满意度指标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服务对象满意度指标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群众满意度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成本指标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经济成本指标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建安工程</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336882.82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336882.82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成本指标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经济成本指标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招标代理服务费</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22251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22251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项目负责人：韩顺东</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财务负责人：何黎</w:t>
            </w:r>
          </w:p>
        </w:tc>
      </w:tr>
    </w:tbl>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sz w:val="20"/>
          <w:szCs w:val="20"/>
          <w:highlight w:val="none"/>
          <w:u w:val="none"/>
        </w:rPr>
        <w:br w:type="page"/>
      </w:r>
    </w:p>
    <w:tbl>
      <w:tblPr>
        <w:tblStyle w:val="13"/>
        <w:tblW w:w="14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980"/>
        <w:gridCol w:w="1722"/>
        <w:gridCol w:w="2198"/>
        <w:gridCol w:w="1120"/>
        <w:gridCol w:w="915"/>
        <w:gridCol w:w="1155"/>
        <w:gridCol w:w="1286"/>
        <w:gridCol w:w="616"/>
        <w:gridCol w:w="616"/>
        <w:gridCol w:w="2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方正宋黑_GBK" w:hAnsi="方正宋黑_GBK" w:eastAsia="方正宋黑_GBK" w:cs="方正宋黑_GBK"/>
                <w:i w:val="0"/>
                <w:color w:val="000000"/>
                <w:sz w:val="32"/>
                <w:szCs w:val="32"/>
                <w:highlight w:val="none"/>
                <w:u w:val="none"/>
              </w:rPr>
            </w:pPr>
            <w:r>
              <w:rPr>
                <w:rFonts w:hint="eastAsia" w:ascii="方正宋黑_GBK" w:hAnsi="方正宋黑_GBK" w:eastAsia="方正宋黑_GBK" w:cs="方正宋黑_GBK"/>
                <w:i w:val="0"/>
                <w:color w:val="000000"/>
                <w:kern w:val="0"/>
                <w:sz w:val="32"/>
                <w:szCs w:val="32"/>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国道108线严家湾及鸭纺路项目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286" w:type="dxa"/>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国道108线严家湾及鸭纺路项目，该项目为延续性项目，分为建设期与运营期，用于拨付项目公司对该项目的日常养护，其中日常养护、路面保洁、清洗、桥面保洁、管涵清理、标线清洗、护栏清洗、水毁地段清理等日常性工作，该养护工作大幅度提高区域内通行能力、服务水平及行车安全；带动沿线地区GDP总量的增长，促进区域产业结构的优化和调整，提高沿线居民的生活水平和质量加快城乡一体化进程。</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国道108线严家湾及鸭纺路项目，该项目为延续性项目，分为建设期与运营期，用于拨付项目公司对该项目的日常养护，其中日常养护、路面保洁、清洗、桥面保洁、管涵清理、标线清洗、护栏清洗、水毁地段清理等日常性工作，该养护工作大幅度提高区域内通行能力、服务水平及行车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申请4622.73万元用于政府付费，申请资金300.7888万元（其中严家湾项目2018-2020年度运营补贴124.7926万元；鸭纺路项目2018-2020年度运营补贴175.9962万元），用于拨付项目公司对该项目的日常养护，其中7公里日常养护、路面保洁、清洗、隧道桥面保洁、管涵清理、标线清洗、护栏清洗、水毁地段清理等日常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部门自评得分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4,923.52</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4,923.52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4,923.52</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4,923.52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部门自评得分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路面保洁、清洗、桥面保洁、管涵清理、标线清洗、护栏清洗、行道树和分隔带浇水、修建、除虫、施肥</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公里</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7</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质量指标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资金使用合格率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现场清理水毁塌方清理</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立方米</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时效指标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完成时间</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大幅度提高区域内通行能力、服务水平</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社会效益指标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促进区域产业结构的优化和调整，提高沿线居民的生活水平和质量加快城乡一体化进程</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满意度指标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服务对象满意度指标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群众满意度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成本指标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经济成本指标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项目成本</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4923.5188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万元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4923.5188</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项目负责人：韩顺东</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财务负责人：何黎</w:t>
            </w:r>
          </w:p>
        </w:tc>
      </w:tr>
    </w:tbl>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sz w:val="20"/>
          <w:szCs w:val="20"/>
          <w:highlight w:val="none"/>
          <w:u w:val="none"/>
        </w:rPr>
        <w:br w:type="page"/>
      </w:r>
    </w:p>
    <w:tbl>
      <w:tblPr>
        <w:tblStyle w:val="13"/>
        <w:tblW w:w="14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980"/>
        <w:gridCol w:w="1722"/>
        <w:gridCol w:w="2198"/>
        <w:gridCol w:w="1120"/>
        <w:gridCol w:w="915"/>
        <w:gridCol w:w="1155"/>
        <w:gridCol w:w="1286"/>
        <w:gridCol w:w="616"/>
        <w:gridCol w:w="616"/>
        <w:gridCol w:w="2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方正宋黑_GBK" w:hAnsi="方正宋黑_GBK" w:eastAsia="方正宋黑_GBK" w:cs="方正宋黑_GBK"/>
                <w:i w:val="0"/>
                <w:color w:val="000000"/>
                <w:sz w:val="32"/>
                <w:szCs w:val="32"/>
                <w:highlight w:val="none"/>
                <w:u w:val="none"/>
              </w:rPr>
            </w:pPr>
            <w:r>
              <w:rPr>
                <w:rFonts w:hint="eastAsia" w:ascii="方正宋黑_GBK" w:hAnsi="方正宋黑_GBK" w:eastAsia="方正宋黑_GBK" w:cs="方正宋黑_GBK"/>
                <w:i w:val="0"/>
                <w:color w:val="000000"/>
                <w:kern w:val="0"/>
                <w:sz w:val="32"/>
                <w:szCs w:val="32"/>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S205利州区河西街道办事处（杨家岩）至下西街道办事处（塔山湾）段改建工程（下穿广元铁路集装箱运输组货中心段）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286" w:type="dxa"/>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S205利州区河西街道办事处（杨家岩）至下西街道办事处（塔山湾）段改建工程（下穿广元铁路集装箱运输组货中心段）项目建设，修建路线全长300米，采用一级公路标准兼市政功能，路基宽度30米，路线框架桥270米/1座。</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S205利州区河西街道办事处（杨家岩）至下西街道办事处（塔山湾）段改建工程（下穿广元铁路集装箱运输组货中心段）项目建设，修建路线全长300米，采用一级公路标准兼市政功能，路基宽度30米，路线框架桥270米/1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修建完成S205利州区河西街道办事处（杨家岩）至下西街道办事处（塔山湾）段改建工程（下穿广元铁路集装箱运输组货中心段）项目建设，修建路线全长300米，采用一级公路标准兼市政功能，路基宽度30米，路线框架桥270米/1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部门自评得分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1,019.09</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1,019.09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1,019.09</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1,019.09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部门自评得分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路基宽度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米</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路线全长</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米</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路线框架桥</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座</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质量指标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工程验收合格率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时效指标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建设工期</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月</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18</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社会效益指标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满足城乡日益增长的运输需求</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满意度指标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服务对象满意度指标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群众满意度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成本指标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经济成本指标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总投金额</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1019.09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万元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1019.09</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项目负责人：韩顺东</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财务负责人：何黎</w:t>
            </w:r>
          </w:p>
        </w:tc>
      </w:tr>
    </w:tbl>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sz w:val="20"/>
          <w:szCs w:val="20"/>
          <w:highlight w:val="none"/>
          <w:u w:val="none"/>
        </w:rPr>
        <w:br w:type="page"/>
      </w:r>
    </w:p>
    <w:tbl>
      <w:tblPr>
        <w:tblStyle w:val="13"/>
        <w:tblW w:w="14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980"/>
        <w:gridCol w:w="1722"/>
        <w:gridCol w:w="2198"/>
        <w:gridCol w:w="1120"/>
        <w:gridCol w:w="915"/>
        <w:gridCol w:w="1155"/>
        <w:gridCol w:w="1286"/>
        <w:gridCol w:w="616"/>
        <w:gridCol w:w="616"/>
        <w:gridCol w:w="2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方正宋黑_GBK" w:hAnsi="方正宋黑_GBK" w:eastAsia="方正宋黑_GBK" w:cs="方正宋黑_GBK"/>
                <w:i w:val="0"/>
                <w:color w:val="000000"/>
                <w:sz w:val="32"/>
                <w:szCs w:val="32"/>
                <w:highlight w:val="none"/>
                <w:u w:val="none"/>
              </w:rPr>
            </w:pPr>
            <w:r>
              <w:rPr>
                <w:rFonts w:hint="eastAsia" w:ascii="方正宋黑_GBK" w:hAnsi="方正宋黑_GBK" w:eastAsia="方正宋黑_GBK" w:cs="方正宋黑_GBK"/>
                <w:i w:val="0"/>
                <w:color w:val="000000"/>
                <w:kern w:val="0"/>
                <w:sz w:val="32"/>
                <w:szCs w:val="32"/>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综合货运枢纽示范城市申报工作经费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286" w:type="dxa"/>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完成综合货运枢纽示范城市申报工作</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第二批综合货运枢纽示范城市申报通过省厅评审，资料已报交通运输部评审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第二批综合货运枢纽示范城市申报通过省厅评审，资料已报交通运输部评审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部门自评得分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61.42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61.42%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第一批申报未能通过交通运输部评审，我局正在积极申报第二批综合货运枢纽示范城市，申报资料通过省厅评审，并报交通运输部评审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61.42</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61.42%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部门自评得分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推进综合货运枢纽示范城市申报工作</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质量指标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完成综合货运枢纽示范城市申报工作</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时效指标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完成时限</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社会效益指标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充分依托“全国性综合交通枢纽城市”地位，积极申报综合货运枢纽示范城市，说明在国家综合立体交通网主骨架的交通区位，综合货运枢纽支持国家重点产业集群等情况</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测算综合货运枢纽设施新增和改造面积，集疏运体系新增及改扩建里程，主要枢纽港站货物吞吐量年均增长率等指标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满意度指标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服务对象满意度指标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群众满意度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成本指标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经济成本指标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预算资金</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万元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61.42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第一批申报未能通过交通运输部评审，我局正在积极申报第二批综合货运枢纽示范城市，申报资料通过省厅评审，并报交通运输部评审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项目负责人：韩顺东</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财务负责人：何黎</w:t>
            </w:r>
          </w:p>
        </w:tc>
      </w:tr>
    </w:tbl>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sz w:val="20"/>
          <w:szCs w:val="20"/>
          <w:highlight w:val="none"/>
          <w:u w:val="none"/>
        </w:rPr>
        <w:br w:type="page"/>
      </w:r>
    </w:p>
    <w:tbl>
      <w:tblPr>
        <w:tblStyle w:val="13"/>
        <w:tblW w:w="14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980"/>
        <w:gridCol w:w="1722"/>
        <w:gridCol w:w="2198"/>
        <w:gridCol w:w="1120"/>
        <w:gridCol w:w="915"/>
        <w:gridCol w:w="1155"/>
        <w:gridCol w:w="1286"/>
        <w:gridCol w:w="616"/>
        <w:gridCol w:w="616"/>
        <w:gridCol w:w="2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方正宋黑_GBK" w:hAnsi="方正宋黑_GBK" w:eastAsia="方正宋黑_GBK" w:cs="方正宋黑_GBK"/>
                <w:i w:val="0"/>
                <w:color w:val="000000"/>
                <w:sz w:val="32"/>
                <w:szCs w:val="32"/>
                <w:highlight w:val="none"/>
                <w:u w:val="none"/>
              </w:rPr>
            </w:pPr>
            <w:r>
              <w:rPr>
                <w:rFonts w:hint="eastAsia" w:ascii="方正宋黑_GBK" w:hAnsi="方正宋黑_GBK" w:eastAsia="方正宋黑_GBK" w:cs="方正宋黑_GBK"/>
                <w:i w:val="0"/>
                <w:color w:val="000000"/>
                <w:kern w:val="0"/>
                <w:sz w:val="32"/>
                <w:szCs w:val="32"/>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286" w:type="dxa"/>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保障单位日常运转，提高预算编制质量，严格执行预算</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保障单位日常运转，提高预算编制质量，严格执行预算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保障单位日常运转，提高预算编制质量，严格执行预算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5.38</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5.38</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5.38</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5.38</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5.38</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5.38</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足额保障率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科目调整次数</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次</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时效指标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Style w:val="33"/>
                <w:rFonts w:hAnsi="宋体"/>
                <w:highlight w:val="none"/>
                <w:lang w:val="en-US" w:eastAsia="zh-CN" w:bidi="ar"/>
              </w:rPr>
              <w:t>预算编制准确率（计算方法为：</w:t>
            </w:r>
            <w:r>
              <w:rPr>
                <w:rStyle w:val="34"/>
                <w:highlight w:val="none"/>
                <w:lang w:val="en-US" w:eastAsia="zh-CN" w:bidi="ar"/>
              </w:rPr>
              <w:t>∣</w:t>
            </w:r>
            <w:r>
              <w:rPr>
                <w:rStyle w:val="33"/>
                <w:rFonts w:hAnsi="宋体"/>
                <w:highlight w:val="none"/>
                <w:lang w:val="en-US" w:eastAsia="zh-CN" w:bidi="ar"/>
              </w:rPr>
              <w:t>（执行数-预算数）/预算数</w:t>
            </w:r>
            <w:r>
              <w:rPr>
                <w:rStyle w:val="34"/>
                <w:highlight w:val="none"/>
                <w:lang w:val="en-US" w:eastAsia="zh-CN" w:bidi="ar"/>
              </w:rPr>
              <w:t>∣</w:t>
            </w:r>
            <w:r>
              <w:rPr>
                <w:rStyle w:val="33"/>
                <w:rFonts w:hAnsi="宋体"/>
                <w:highlight w:val="none"/>
                <w:lang w:val="en-US" w:eastAsia="zh-CN"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结余率（计算方法为：结余数/预算数）</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项目负责人：韩顺东</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财务负责人：何黎</w:t>
            </w:r>
          </w:p>
        </w:tc>
      </w:tr>
    </w:tbl>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sz w:val="20"/>
          <w:szCs w:val="20"/>
          <w:highlight w:val="none"/>
          <w:u w:val="none"/>
        </w:rPr>
        <w:br w:type="page"/>
      </w:r>
    </w:p>
    <w:tbl>
      <w:tblPr>
        <w:tblStyle w:val="13"/>
        <w:tblW w:w="14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980"/>
        <w:gridCol w:w="1722"/>
        <w:gridCol w:w="2198"/>
        <w:gridCol w:w="1120"/>
        <w:gridCol w:w="915"/>
        <w:gridCol w:w="1155"/>
        <w:gridCol w:w="1286"/>
        <w:gridCol w:w="616"/>
        <w:gridCol w:w="616"/>
        <w:gridCol w:w="2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方正宋黑_GBK" w:hAnsi="方正宋黑_GBK" w:eastAsia="方正宋黑_GBK" w:cs="方正宋黑_GBK"/>
                <w:i w:val="0"/>
                <w:color w:val="000000"/>
                <w:sz w:val="32"/>
                <w:szCs w:val="32"/>
                <w:highlight w:val="none"/>
                <w:u w:val="none"/>
              </w:rPr>
            </w:pPr>
            <w:r>
              <w:rPr>
                <w:rFonts w:hint="eastAsia" w:ascii="方正宋黑_GBK" w:hAnsi="方正宋黑_GBK" w:eastAsia="方正宋黑_GBK" w:cs="方正宋黑_GBK"/>
                <w:i w:val="0"/>
                <w:color w:val="000000"/>
                <w:kern w:val="0"/>
                <w:sz w:val="32"/>
                <w:szCs w:val="32"/>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规范后市级基础绩效奖及生活补助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286" w:type="dxa"/>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严格执行相关政策，保障工资及时发放、足额发放，预算编制科学合理，减少结余资金</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做到严格执行相关政策，保障工资及时发放、足额发放，预算编制科学合理，减少结余资金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做到严格执行相关政策，保障工资及时足额发放，住房公积金及时足额缴纳。预算编制科学合理，无结余资金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65.24</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65.24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65.24</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65.24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足额保障率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科目调整次数</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次</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时效指标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按时发放率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结余率（计算方法为：结余数/预算数）</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项目负责人：韩顺东</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财务负责人：何黎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方正宋黑_GBK" w:hAnsi="方正宋黑_GBK" w:eastAsia="方正宋黑_GBK" w:cs="方正宋黑_GBK"/>
                <w:i w:val="0"/>
                <w:color w:val="000000"/>
                <w:sz w:val="32"/>
                <w:szCs w:val="32"/>
                <w:highlight w:val="none"/>
                <w:u w:val="none"/>
              </w:rPr>
            </w:pPr>
            <w:r>
              <w:rPr>
                <w:rFonts w:hint="eastAsia" w:ascii="方正宋黑_GBK" w:hAnsi="方正宋黑_GBK" w:eastAsia="方正宋黑_GBK" w:cs="方正宋黑_GBK"/>
                <w:i w:val="0"/>
                <w:color w:val="000000"/>
                <w:kern w:val="0"/>
                <w:sz w:val="32"/>
                <w:szCs w:val="32"/>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省道205线广元至昭化改建公路耕地开垦费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286" w:type="dxa"/>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该项目属于已完工项目，目前正推进各标段审计和决算工作，为完善项目用地手续，依据《中华人民共和国土地管理法》、《四川省&lt;中华人民共和国土地管理法&gt;实施办法》等法律法规的规定，应缴纳耕地开垦费597.4335万元，缴纳后可依法向省自然资源厅申请办理用地手续。</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该项目属于已完工项目，目前正推进各标段审计和决算工作，为完善项目用地手续，依据《中华人民共和国土地管理法》、《四川省&lt;中华人民共和国土地管理法&gt;实施办法》等法律法规的规定，应缴纳耕地开垦费597.4335万元，缴纳后可依法向省自然资源厅申请办理用地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该项目属于已完工项目，目前正推进各标段审计和决算工作，为完善项目用地手续，依据《中华人民共和国土地管理法》、《四川省&lt;中华人民共和国土地管理法&gt;实施办法》等法律法规的规定，应缴纳耕地开垦费597.4335万元，缴纳后可依法向省自然资源厅申请办理用地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部门自评得分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597.43</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597.43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597.43</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597.43</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部门自评得分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占用一般耕地</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9.0357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公顷</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9.0357</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占用基本农田</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2.0385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公顷</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2.0385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占用可调整园地</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0.0818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公顷</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0.0818</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质量指标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资金使用合规率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时效指标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完成时间</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月</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社会效益指标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缴纳后效益</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优。项目周边土地复垦将有利于促进区域经济发展，同时推动城乡统筹，区域资源整合，构建城乡一体化的需要。</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带动地方经济发展</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优。土地开垦恢复后，将大幅度提改善周边环境；带动沿线地区GDP总量的增长，促进区域产业结构的优化和调整，提高沿线居民的生活水平和质量加快城乡一体化进程。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满意度指标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服务对象满意度指标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服务对象满意度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成本指标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经济成本指标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项目成本</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597.4335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万元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597.4335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项目负责人：韩顺东</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财务负责人：何黎</w:t>
            </w:r>
          </w:p>
        </w:tc>
      </w:tr>
    </w:tbl>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sz w:val="20"/>
          <w:szCs w:val="20"/>
          <w:highlight w:val="none"/>
          <w:u w:val="none"/>
        </w:rPr>
        <w:br w:type="page"/>
      </w:r>
    </w:p>
    <w:tbl>
      <w:tblPr>
        <w:tblStyle w:val="13"/>
        <w:tblW w:w="14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980"/>
        <w:gridCol w:w="1722"/>
        <w:gridCol w:w="2198"/>
        <w:gridCol w:w="1120"/>
        <w:gridCol w:w="915"/>
        <w:gridCol w:w="1155"/>
        <w:gridCol w:w="1286"/>
        <w:gridCol w:w="616"/>
        <w:gridCol w:w="616"/>
        <w:gridCol w:w="2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方正宋黑_GBK" w:hAnsi="方正宋黑_GBK" w:eastAsia="方正宋黑_GBK" w:cs="方正宋黑_GBK"/>
                <w:i w:val="0"/>
                <w:color w:val="000000"/>
                <w:sz w:val="32"/>
                <w:szCs w:val="32"/>
                <w:highlight w:val="none"/>
                <w:u w:val="none"/>
              </w:rPr>
            </w:pPr>
            <w:r>
              <w:rPr>
                <w:rFonts w:hint="eastAsia" w:ascii="方正宋黑_GBK" w:hAnsi="方正宋黑_GBK" w:eastAsia="方正宋黑_GBK" w:cs="方正宋黑_GBK"/>
                <w:i w:val="0"/>
                <w:color w:val="000000"/>
                <w:kern w:val="0"/>
                <w:sz w:val="32"/>
                <w:szCs w:val="32"/>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两新组织党建经费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286" w:type="dxa"/>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“两新”组织党建经费补助资金</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拨付三家单位“两新”组织党建经费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拨付三家单位“两新”组织党建经费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部门自评得分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1.54</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1.54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1.54</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1.54</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部门自评得分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两新组织数量</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个</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质量指标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全额拨付</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时效指标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完成时间</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2022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2022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社会效益指标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两新组织党建工作顺利开展</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满意度指标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服务对象满意度指标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两新组织满意度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成本指标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经济成本指标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项目成本</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1.54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万元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1.54</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项目负责人：韩顺东</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财务负责人：何黎</w:t>
            </w:r>
          </w:p>
        </w:tc>
      </w:tr>
    </w:tbl>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sz w:val="20"/>
          <w:szCs w:val="20"/>
          <w:highlight w:val="none"/>
          <w:u w:val="none"/>
        </w:rPr>
        <w:br w:type="page"/>
      </w:r>
    </w:p>
    <w:tbl>
      <w:tblPr>
        <w:tblStyle w:val="13"/>
        <w:tblW w:w="14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980"/>
        <w:gridCol w:w="1722"/>
        <w:gridCol w:w="2198"/>
        <w:gridCol w:w="1120"/>
        <w:gridCol w:w="915"/>
        <w:gridCol w:w="1155"/>
        <w:gridCol w:w="1286"/>
        <w:gridCol w:w="616"/>
        <w:gridCol w:w="616"/>
        <w:gridCol w:w="2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方正宋黑_GBK" w:hAnsi="方正宋黑_GBK" w:eastAsia="方正宋黑_GBK" w:cs="方正宋黑_GBK"/>
                <w:i w:val="0"/>
                <w:color w:val="000000"/>
                <w:sz w:val="32"/>
                <w:szCs w:val="32"/>
                <w:highlight w:val="none"/>
                <w:u w:val="none"/>
              </w:rPr>
            </w:pPr>
            <w:r>
              <w:rPr>
                <w:rFonts w:hint="eastAsia" w:ascii="方正宋黑_GBK" w:hAnsi="方正宋黑_GBK" w:eastAsia="方正宋黑_GBK" w:cs="方正宋黑_GBK"/>
                <w:i w:val="0"/>
                <w:color w:val="000000"/>
                <w:kern w:val="0"/>
                <w:sz w:val="32"/>
                <w:szCs w:val="32"/>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项目前期工作激励2022年省预算内基本建设资金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286" w:type="dxa"/>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完成S205广元市利州区回龙河街道办事处至河西街道办事处（学工桥至塔山湾）段改建工程项目前期可行性研究报告。</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完成S205广元市利州区回龙河街道办事处至河西街道办事处（学工桥至塔山湾）段改建工程项目前期可行性研究报告。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完成S205广元市利州区回龙河街道办事处至河西街道办事处（学工桥至塔山湾）段改建工程项目前期可行性研究报告。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完成S205广元市利州区回龙河街道办事处至河西街道办事处（学工桥至塔山湾）段改建工程项目前期可行性研究报告批复</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个</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时效指标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完成时间</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质量指标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可研报告完成度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社会效益指标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促进广元旅游、经济及交通运输发展</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满意度指标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服务对象满意度指标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群众满意度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成本指标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经济成本指标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项目成本</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万元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30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项目负责人：韩顺东</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财务负责人：何黎</w:t>
            </w:r>
          </w:p>
        </w:tc>
      </w:tr>
    </w:tbl>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sz w:val="20"/>
          <w:szCs w:val="20"/>
          <w:highlight w:val="none"/>
          <w:u w:val="none"/>
        </w:rPr>
        <w:br w:type="page"/>
      </w:r>
    </w:p>
    <w:tbl>
      <w:tblPr>
        <w:tblStyle w:val="13"/>
        <w:tblW w:w="14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980"/>
        <w:gridCol w:w="1722"/>
        <w:gridCol w:w="2198"/>
        <w:gridCol w:w="1120"/>
        <w:gridCol w:w="915"/>
        <w:gridCol w:w="1155"/>
        <w:gridCol w:w="1286"/>
        <w:gridCol w:w="616"/>
        <w:gridCol w:w="616"/>
        <w:gridCol w:w="2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方正宋黑_GBK" w:hAnsi="方正宋黑_GBK" w:eastAsia="方正宋黑_GBK" w:cs="方正宋黑_GBK"/>
                <w:i w:val="0"/>
                <w:color w:val="000000"/>
                <w:sz w:val="32"/>
                <w:szCs w:val="32"/>
                <w:highlight w:val="none"/>
                <w:u w:val="none"/>
              </w:rPr>
            </w:pPr>
            <w:r>
              <w:rPr>
                <w:rFonts w:hint="eastAsia" w:ascii="方正宋黑_GBK" w:hAnsi="方正宋黑_GBK" w:eastAsia="方正宋黑_GBK" w:cs="方正宋黑_GBK"/>
                <w:i w:val="0"/>
                <w:color w:val="000000"/>
                <w:kern w:val="0"/>
                <w:sz w:val="32"/>
                <w:szCs w:val="32"/>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高层次人才安家补助和工作补助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286" w:type="dxa"/>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严格执行相关政策，及时、足额发放高层次人才安家补助和工作补助</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严格执行相关政策，及时、足额发放高层次人才安家补助和工作补助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严格执行相关政策，及时、足额发放高层次人才安家补助和工作补助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8.30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8.30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8.30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8.30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足额保障率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科目调整次数</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次</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时效指标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按时发放率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结余率（计算方法为：结余数/预算数）</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22.5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项目负责人：韩顺东</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财务负责人：何黎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方正宋黑_GBK" w:hAnsi="方正宋黑_GBK" w:eastAsia="方正宋黑_GBK" w:cs="方正宋黑_GBK"/>
                <w:i w:val="0"/>
                <w:color w:val="000000"/>
                <w:sz w:val="32"/>
                <w:szCs w:val="32"/>
                <w:highlight w:val="none"/>
                <w:u w:val="none"/>
              </w:rPr>
            </w:pPr>
            <w:r>
              <w:rPr>
                <w:rFonts w:hint="eastAsia" w:ascii="方正宋黑_GBK" w:hAnsi="方正宋黑_GBK" w:eastAsia="方正宋黑_GBK" w:cs="方正宋黑_GBK"/>
                <w:i w:val="0"/>
                <w:color w:val="000000"/>
                <w:kern w:val="0"/>
                <w:sz w:val="32"/>
                <w:szCs w:val="32"/>
                <w:highlight w:val="none"/>
                <w:u w:val="none"/>
                <w:lang w:val="en-US" w:eastAsia="zh-CN" w:bidi="ar"/>
              </w:rPr>
              <w:t xml:space="preserve">部门预算项目支出绩效自评表（2022年度）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交通卡点工作人员闭环管理食宿费用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286" w:type="dxa"/>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常态化疫情防控“入川即检”交通卡点及应急期间由市交通运输局及二级单位直接负责的中圈层交通卡点闭环管理食宿费用</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常态化疫情防控“入川即检”交通卡点及应急期间由市交通运输局及二级单位直接负责的中圈层交通卡点闭环管理食宿费用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常态化疫情防控“入川即检”交通卡点及应急期间由市交通运输局及二级单位直接负责的中圈层交通卡点闭环管理食宿费用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部门自评得分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171.79</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171.79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171.79</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171.79</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部门自评得分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质量指标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资金全额拨付</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时效指标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完成时间</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2022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2022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6家单位闭环管理食宿费用</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家</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6</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社会效益指标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稳定营商环境</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满意度指标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服务对象满意度指标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群众满意度</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成本指标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经济成本指标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项目成本</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171.79</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万元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171.79</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项目负责人：韩顺东</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财务负责人：何黎</w:t>
            </w:r>
          </w:p>
        </w:tc>
      </w:tr>
    </w:tbl>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sz w:val="20"/>
          <w:szCs w:val="20"/>
          <w:highlight w:val="none"/>
          <w:u w:val="none"/>
        </w:rPr>
        <w:br w:type="page"/>
      </w:r>
    </w:p>
    <w:tbl>
      <w:tblPr>
        <w:tblStyle w:val="13"/>
        <w:tblW w:w="147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1980"/>
        <w:gridCol w:w="1722"/>
        <w:gridCol w:w="2198"/>
        <w:gridCol w:w="1120"/>
        <w:gridCol w:w="915"/>
        <w:gridCol w:w="1155"/>
        <w:gridCol w:w="1286"/>
        <w:gridCol w:w="616"/>
        <w:gridCol w:w="616"/>
        <w:gridCol w:w="2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73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方正宋黑_GBK" w:hAnsi="方正宋黑_GBK" w:eastAsia="方正宋黑_GBK" w:cs="方正宋黑_GBK"/>
                <w:i w:val="0"/>
                <w:color w:val="000000"/>
                <w:sz w:val="32"/>
                <w:szCs w:val="32"/>
                <w:highlight w:val="none"/>
                <w:u w:val="none"/>
              </w:rPr>
            </w:pPr>
            <w:r>
              <w:rPr>
                <w:rFonts w:hint="eastAsia" w:ascii="方正宋黑_GBK" w:hAnsi="方正宋黑_GBK" w:eastAsia="方正宋黑_GBK" w:cs="方正宋黑_GBK"/>
                <w:i w:val="0"/>
                <w:color w:val="000000"/>
                <w:kern w:val="0"/>
                <w:sz w:val="32"/>
                <w:szCs w:val="32"/>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项目名称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2022年女儿节项目经费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主管部门</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广元市交通运输局部门</w:t>
            </w:r>
          </w:p>
        </w:tc>
        <w:tc>
          <w:tcPr>
            <w:tcW w:w="1286" w:type="dxa"/>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实施单位 （盖章）</w:t>
            </w:r>
          </w:p>
        </w:tc>
        <w:tc>
          <w:tcPr>
            <w:tcW w:w="36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项目基本情况</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1.项目年度目标完成情况</w:t>
            </w: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项目年度目标</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71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根据《2022中国（广元）女儿节凤舟赛水上安全保障方案》要求，2022年女儿节期间，我局直属单位广元航道段具体负责女儿节凤舟赛的赛道设置和水上安全保障工作。该项目是2022年中国（广元）女儿节系列活动内容之一。为保障活动的正常开展，需采购龙舟赛赛道布置专用材料。</w:t>
            </w:r>
          </w:p>
        </w:tc>
        <w:tc>
          <w:tcPr>
            <w:tcW w:w="49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根据《2022中国（广元）女儿节凤舟赛水上安全保障方案》要求，2022年女儿节期间，我局直属单位广元航道段具体负责女儿节凤舟赛的赛道设置和水上安全保障工作。该项目是2022年中国（广元）女儿节系列活动内容之一。为保障活动的正常开展，需采购龙舟赛赛道布置专用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2.项目实施内容及过程概述</w:t>
            </w:r>
          </w:p>
        </w:tc>
        <w:tc>
          <w:tcPr>
            <w:tcW w:w="120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根据《2022中国（广元）女儿节凤舟赛水上安全保障方案》要求，2022年女儿节期间，我局直属单位广元航道段具体负责女儿节凤舟赛的赛道设置和水上安全保障工作。该项目是2022年中国（广元）女儿节系列活动内容之一。为保障活动的正常开展，需采购龙舟赛赛道布置专用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预算执行情况（10分）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年度预算数（万元）</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年初预算</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调整后预算数</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预算执行数</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预算执行率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部门自评得分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总额</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其中：财政资金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5.00</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财政专户管理资金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单位资金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其他资金</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24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绩效指标（90分）</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一级指标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二级指标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三级指标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指标值</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度量单位</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完成值</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部门自评得分</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数量指标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开展女儿节活动</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次</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质量指标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资金使用合规率</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15</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产出指标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时效指标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完成时间</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2022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年</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2022</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效益指标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社会效益指标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女儿节活动圆满完成</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优</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满意度指标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服务对象满意度指标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群众满意度</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95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成本指标</w:t>
            </w:r>
          </w:p>
        </w:tc>
        <w:tc>
          <w:tcPr>
            <w:tcW w:w="1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经济成本指标</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项目成本</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万元</w:t>
            </w:r>
          </w:p>
        </w:tc>
        <w:tc>
          <w:tcPr>
            <w:tcW w:w="1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5</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20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jc w:val="center"/>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righ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100</w:t>
            </w:r>
          </w:p>
        </w:tc>
        <w:tc>
          <w:tcPr>
            <w:tcW w:w="2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260" w:lineRule="exact"/>
              <w:rPr>
                <w:rFonts w:hint="eastAsia" w:ascii="仿宋_GB2312" w:hAnsi="宋体" w:eastAsia="仿宋_GB2312" w:cs="仿宋_GB2312"/>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评价结论</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存在问题</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center"/>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改进措施</w:t>
            </w:r>
          </w:p>
        </w:tc>
        <w:tc>
          <w:tcPr>
            <w:tcW w:w="1405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color w:val="000000"/>
                <w:sz w:val="20"/>
                <w:szCs w:val="20"/>
                <w:highlight w:val="none"/>
                <w:u w:val="none"/>
              </w:rPr>
            </w:pPr>
            <w:r>
              <w:rPr>
                <w:rFonts w:hint="eastAsia" w:ascii="仿宋_GB2312" w:hAnsi="宋体" w:eastAsia="仿宋_GB2312" w:cs="仿宋_GB2312"/>
                <w:i/>
                <w:color w:val="000000"/>
                <w:kern w:val="0"/>
                <w:sz w:val="20"/>
                <w:szCs w:val="20"/>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6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项目负责人：韩顺东</w:t>
            </w:r>
          </w:p>
        </w:tc>
        <w:tc>
          <w:tcPr>
            <w:tcW w:w="7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jc w:val="left"/>
              <w:textAlignment w:val="center"/>
              <w:rPr>
                <w:rFonts w:hint="eastAsia" w:ascii="仿宋_GB2312" w:hAnsi="宋体" w:eastAsia="仿宋_GB2312" w:cs="仿宋_GB2312"/>
                <w:i w:val="0"/>
                <w:color w:val="000000"/>
                <w:sz w:val="20"/>
                <w:szCs w:val="20"/>
                <w:highlight w:val="none"/>
                <w:u w:val="none"/>
              </w:rPr>
            </w:pPr>
            <w:r>
              <w:rPr>
                <w:rFonts w:hint="eastAsia" w:ascii="仿宋_GB2312" w:hAnsi="宋体" w:eastAsia="仿宋_GB2312" w:cs="仿宋_GB2312"/>
                <w:i w:val="0"/>
                <w:color w:val="000000"/>
                <w:kern w:val="0"/>
                <w:sz w:val="20"/>
                <w:szCs w:val="20"/>
                <w:highlight w:val="none"/>
                <w:u w:val="none"/>
                <w:lang w:val="en-US" w:eastAsia="zh-CN" w:bidi="ar"/>
              </w:rPr>
              <w:t>财务负责人：何黎</w:t>
            </w:r>
          </w:p>
        </w:tc>
      </w:tr>
    </w:tbl>
    <w:p>
      <w:pPr>
        <w:shd w:val="clear"/>
        <w:spacing w:line="600" w:lineRule="exact"/>
        <w:jc w:val="center"/>
        <w:outlineLvl w:val="9"/>
        <w:rPr>
          <w:rFonts w:hint="eastAsia" w:ascii="黑体" w:hAnsi="黑体" w:eastAsia="黑体"/>
          <w:color w:val="auto"/>
          <w:sz w:val="44"/>
          <w:szCs w:val="44"/>
          <w:highlight w:val="none"/>
        </w:rPr>
      </w:pPr>
    </w:p>
    <w:p>
      <w:pPr>
        <w:shd w:val="clear"/>
        <w:spacing w:line="600" w:lineRule="exact"/>
        <w:jc w:val="center"/>
        <w:outlineLvl w:val="9"/>
        <w:rPr>
          <w:rFonts w:hint="eastAsia" w:ascii="黑体" w:hAnsi="黑体" w:eastAsia="黑体"/>
          <w:color w:val="auto"/>
          <w:sz w:val="44"/>
          <w:szCs w:val="44"/>
          <w:highlight w:val="none"/>
        </w:rPr>
        <w:sectPr>
          <w:pgSz w:w="16838" w:h="11906" w:orient="landscape"/>
          <w:pgMar w:top="1803" w:right="1440" w:bottom="987" w:left="1440" w:header="851" w:footer="992" w:gutter="0"/>
          <w:pgNumType w:fmt="decimal" w:start="1"/>
          <w:cols w:space="0" w:num="1"/>
          <w:rtlGutter w:val="0"/>
          <w:docGrid w:type="lines" w:linePitch="319" w:charSpace="0"/>
        </w:sectPr>
      </w:pPr>
    </w:p>
    <w:p>
      <w:pPr>
        <w:shd w:val="clear"/>
        <w:spacing w:line="600" w:lineRule="exact"/>
        <w:jc w:val="center"/>
        <w:outlineLvl w:val="0"/>
        <w:rPr>
          <w:rFonts w:hint="eastAsia" w:ascii="仿宋" w:hAnsi="仿宋" w:eastAsia="仿宋"/>
          <w:b w:val="0"/>
          <w:color w:val="auto"/>
          <w:highlight w:val="none"/>
        </w:rPr>
      </w:pPr>
      <w:bookmarkStart w:id="86" w:name="_Toc7963"/>
      <w:r>
        <w:rPr>
          <w:rFonts w:hint="eastAsia" w:ascii="黑体" w:hAnsi="黑体" w:eastAsia="黑体"/>
          <w:color w:val="auto"/>
          <w:sz w:val="44"/>
          <w:szCs w:val="44"/>
          <w:highlight w:val="none"/>
        </w:rPr>
        <w:t>第</w:t>
      </w:r>
      <w:r>
        <w:rPr>
          <w:rStyle w:val="17"/>
          <w:rFonts w:hint="eastAsia" w:ascii="黑体" w:hAnsi="黑体" w:eastAsia="黑体"/>
          <w:b w:val="0"/>
          <w:color w:val="auto"/>
          <w:highlight w:val="none"/>
        </w:rPr>
        <w:t>五部分 附表</w:t>
      </w:r>
      <w:bookmarkEnd w:id="78"/>
      <w:bookmarkEnd w:id="84"/>
      <w:bookmarkEnd w:id="85"/>
      <w:bookmarkEnd w:id="86"/>
      <w:bookmarkStart w:id="87" w:name="_Toc15396619"/>
    </w:p>
    <w:p>
      <w:pPr>
        <w:pStyle w:val="4"/>
        <w:shd w:val="clear"/>
        <w:rPr>
          <w:rFonts w:ascii="仿宋" w:hAnsi="仿宋" w:eastAsia="仿宋"/>
          <w:color w:val="auto"/>
          <w:highlight w:val="none"/>
        </w:rPr>
      </w:pPr>
      <w:bookmarkStart w:id="88" w:name="_Toc1108847297_WPSOffice_Level2"/>
      <w:bookmarkStart w:id="89" w:name="_Toc17633"/>
      <w:r>
        <w:rPr>
          <w:rFonts w:hint="eastAsia" w:ascii="仿宋" w:hAnsi="仿宋" w:eastAsia="仿宋"/>
          <w:b w:val="0"/>
          <w:color w:val="auto"/>
          <w:highlight w:val="none"/>
        </w:rPr>
        <w:t>一、收</w:t>
      </w:r>
      <w:r>
        <w:rPr>
          <w:rStyle w:val="18"/>
          <w:rFonts w:hint="eastAsia" w:ascii="仿宋" w:hAnsi="仿宋" w:eastAsia="仿宋"/>
          <w:b w:val="0"/>
          <w:bCs w:val="0"/>
          <w:color w:val="auto"/>
          <w:highlight w:val="none"/>
        </w:rPr>
        <w:t>入支出决算总表</w:t>
      </w:r>
      <w:bookmarkEnd w:id="87"/>
      <w:bookmarkEnd w:id="88"/>
      <w:bookmarkEnd w:id="89"/>
    </w:p>
    <w:p>
      <w:pPr>
        <w:pStyle w:val="4"/>
        <w:shd w:val="clear"/>
        <w:rPr>
          <w:rFonts w:ascii="仿宋" w:hAnsi="仿宋" w:eastAsia="仿宋"/>
          <w:color w:val="auto"/>
          <w:highlight w:val="none"/>
        </w:rPr>
      </w:pPr>
      <w:bookmarkStart w:id="90" w:name="_Toc1952"/>
      <w:bookmarkStart w:id="91" w:name="_Toc15396620"/>
      <w:bookmarkStart w:id="92" w:name="_Toc454384262_WPSOffice_Level2"/>
      <w:r>
        <w:rPr>
          <w:rFonts w:hint="eastAsia" w:ascii="仿宋" w:hAnsi="仿宋" w:eastAsia="仿宋"/>
          <w:b w:val="0"/>
          <w:color w:val="auto"/>
          <w:highlight w:val="none"/>
        </w:rPr>
        <w:t>二、收</w:t>
      </w:r>
      <w:r>
        <w:rPr>
          <w:rStyle w:val="18"/>
          <w:rFonts w:hint="eastAsia" w:ascii="仿宋" w:hAnsi="仿宋" w:eastAsia="仿宋"/>
          <w:b w:val="0"/>
          <w:bCs w:val="0"/>
          <w:color w:val="auto"/>
          <w:highlight w:val="none"/>
        </w:rPr>
        <w:t>入决算表</w:t>
      </w:r>
      <w:bookmarkEnd w:id="90"/>
      <w:bookmarkEnd w:id="91"/>
      <w:bookmarkEnd w:id="92"/>
    </w:p>
    <w:p>
      <w:pPr>
        <w:pStyle w:val="4"/>
        <w:shd w:val="clear"/>
        <w:rPr>
          <w:rFonts w:ascii="仿宋" w:hAnsi="仿宋" w:eastAsia="仿宋"/>
          <w:color w:val="auto"/>
          <w:highlight w:val="none"/>
        </w:rPr>
      </w:pPr>
      <w:bookmarkStart w:id="93" w:name="_Toc566316954_WPSOffice_Level2"/>
      <w:bookmarkStart w:id="94" w:name="_Toc15396621"/>
      <w:bookmarkStart w:id="95" w:name="_Toc22049"/>
      <w:r>
        <w:rPr>
          <w:rStyle w:val="18"/>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18"/>
          <w:rFonts w:hint="eastAsia" w:ascii="仿宋" w:hAnsi="仿宋" w:eastAsia="仿宋"/>
          <w:b w:val="0"/>
          <w:bCs w:val="0"/>
          <w:color w:val="auto"/>
          <w:highlight w:val="none"/>
        </w:rPr>
        <w:t>出决算表</w:t>
      </w:r>
      <w:bookmarkEnd w:id="93"/>
      <w:bookmarkEnd w:id="94"/>
      <w:bookmarkEnd w:id="95"/>
    </w:p>
    <w:p>
      <w:pPr>
        <w:pStyle w:val="4"/>
        <w:shd w:val="clear"/>
        <w:rPr>
          <w:rFonts w:ascii="仿宋" w:hAnsi="仿宋" w:eastAsia="仿宋"/>
          <w:b w:val="0"/>
          <w:color w:val="auto"/>
          <w:highlight w:val="none"/>
        </w:rPr>
      </w:pPr>
      <w:bookmarkStart w:id="96" w:name="_Toc1932739498_WPSOffice_Level2"/>
      <w:bookmarkStart w:id="97" w:name="_Toc19854"/>
      <w:bookmarkStart w:id="98" w:name="_Toc15396622"/>
      <w:bookmarkStart w:id="99" w:name="_Toc91246207_WPSOffice_Level2"/>
      <w:r>
        <w:rPr>
          <w:rStyle w:val="18"/>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18"/>
          <w:rFonts w:hint="eastAsia" w:ascii="仿宋" w:hAnsi="仿宋" w:eastAsia="仿宋"/>
          <w:b w:val="0"/>
          <w:bCs w:val="0"/>
          <w:color w:val="auto"/>
          <w:highlight w:val="none"/>
        </w:rPr>
        <w:t>政拨款收入支出决算总表</w:t>
      </w:r>
      <w:bookmarkEnd w:id="96"/>
      <w:bookmarkEnd w:id="97"/>
      <w:bookmarkEnd w:id="98"/>
      <w:bookmarkEnd w:id="99"/>
    </w:p>
    <w:p>
      <w:pPr>
        <w:pStyle w:val="4"/>
        <w:shd w:val="clear"/>
        <w:rPr>
          <w:rStyle w:val="18"/>
          <w:rFonts w:ascii="仿宋" w:hAnsi="仿宋" w:eastAsia="仿宋"/>
          <w:b w:val="0"/>
          <w:bCs w:val="0"/>
          <w:color w:val="auto"/>
          <w:highlight w:val="none"/>
        </w:rPr>
      </w:pPr>
      <w:bookmarkStart w:id="100" w:name="_Toc1806269957_WPSOffice_Level2"/>
      <w:bookmarkStart w:id="101" w:name="_Toc327914787_WPSOffice_Level2"/>
      <w:bookmarkStart w:id="102" w:name="_Toc15396623"/>
      <w:bookmarkStart w:id="103" w:name="_Toc2279"/>
      <w:r>
        <w:rPr>
          <w:rStyle w:val="18"/>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18"/>
          <w:rFonts w:hint="eastAsia" w:ascii="仿宋" w:hAnsi="仿宋" w:eastAsia="仿宋"/>
          <w:b w:val="0"/>
          <w:bCs w:val="0"/>
          <w:color w:val="auto"/>
          <w:highlight w:val="none"/>
        </w:rPr>
        <w:t>政拨款支出决算明细表</w:t>
      </w:r>
      <w:bookmarkEnd w:id="100"/>
      <w:bookmarkEnd w:id="101"/>
      <w:bookmarkEnd w:id="102"/>
      <w:bookmarkEnd w:id="103"/>
      <w:bookmarkStart w:id="104" w:name="_Toc15396624"/>
    </w:p>
    <w:p>
      <w:pPr>
        <w:pStyle w:val="4"/>
        <w:shd w:val="clear"/>
        <w:rPr>
          <w:rFonts w:ascii="仿宋" w:hAnsi="仿宋" w:eastAsia="仿宋"/>
          <w:color w:val="auto"/>
          <w:highlight w:val="none"/>
        </w:rPr>
      </w:pPr>
      <w:bookmarkStart w:id="105" w:name="_Toc2084676272_WPSOffice_Level2"/>
      <w:bookmarkStart w:id="106" w:name="_Toc1316488385_WPSOffice_Level2"/>
      <w:bookmarkStart w:id="107" w:name="_Toc21163"/>
      <w:r>
        <w:rPr>
          <w:rStyle w:val="18"/>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18"/>
          <w:rFonts w:hint="eastAsia" w:ascii="仿宋" w:hAnsi="仿宋" w:eastAsia="仿宋"/>
          <w:b w:val="0"/>
          <w:bCs w:val="0"/>
          <w:color w:val="auto"/>
          <w:highlight w:val="none"/>
        </w:rPr>
        <w:t>般公共预算财政拨款支出决算表</w:t>
      </w:r>
      <w:bookmarkEnd w:id="104"/>
      <w:bookmarkEnd w:id="105"/>
      <w:bookmarkEnd w:id="106"/>
      <w:bookmarkEnd w:id="107"/>
    </w:p>
    <w:p>
      <w:pPr>
        <w:pStyle w:val="4"/>
        <w:shd w:val="clear"/>
        <w:rPr>
          <w:rFonts w:ascii="仿宋" w:hAnsi="仿宋" w:eastAsia="仿宋"/>
          <w:color w:val="auto"/>
          <w:highlight w:val="none"/>
        </w:rPr>
      </w:pPr>
      <w:bookmarkStart w:id="108" w:name="_Toc1366257518_WPSOffice_Level2"/>
      <w:bookmarkStart w:id="109" w:name="_Toc1367206862_WPSOffice_Level2"/>
      <w:bookmarkStart w:id="110" w:name="_Toc8162"/>
      <w:bookmarkStart w:id="111" w:name="_Toc15396625"/>
      <w:r>
        <w:rPr>
          <w:rStyle w:val="18"/>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18"/>
          <w:rFonts w:hint="eastAsia" w:ascii="仿宋" w:hAnsi="仿宋" w:eastAsia="仿宋"/>
          <w:b w:val="0"/>
          <w:bCs w:val="0"/>
          <w:color w:val="auto"/>
          <w:highlight w:val="none"/>
        </w:rPr>
        <w:t>般公共预算财政拨款支出决算明细表</w:t>
      </w:r>
      <w:bookmarkEnd w:id="108"/>
      <w:bookmarkEnd w:id="109"/>
      <w:bookmarkEnd w:id="110"/>
      <w:bookmarkEnd w:id="111"/>
    </w:p>
    <w:p>
      <w:pPr>
        <w:pStyle w:val="4"/>
        <w:shd w:val="clear"/>
        <w:rPr>
          <w:rFonts w:ascii="仿宋" w:hAnsi="仿宋" w:eastAsia="仿宋"/>
          <w:color w:val="auto"/>
          <w:highlight w:val="none"/>
        </w:rPr>
      </w:pPr>
      <w:bookmarkStart w:id="112" w:name="_Toc15396626"/>
      <w:bookmarkStart w:id="113" w:name="_Toc1205847175_WPSOffice_Level2"/>
      <w:bookmarkStart w:id="114" w:name="_Toc7907"/>
      <w:bookmarkStart w:id="115" w:name="_Toc1771914780_WPSOffice_Level2"/>
      <w:r>
        <w:rPr>
          <w:rStyle w:val="18"/>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18"/>
          <w:rFonts w:hint="eastAsia" w:ascii="仿宋" w:hAnsi="仿宋" w:eastAsia="仿宋"/>
          <w:b w:val="0"/>
          <w:bCs w:val="0"/>
          <w:color w:val="auto"/>
          <w:highlight w:val="none"/>
        </w:rPr>
        <w:t>般公共预算财政拨款基本支出决算表</w:t>
      </w:r>
      <w:bookmarkEnd w:id="112"/>
      <w:bookmarkEnd w:id="113"/>
      <w:bookmarkEnd w:id="114"/>
      <w:bookmarkEnd w:id="115"/>
    </w:p>
    <w:p>
      <w:pPr>
        <w:pStyle w:val="4"/>
        <w:shd w:val="clear"/>
        <w:rPr>
          <w:rFonts w:ascii="仿宋" w:hAnsi="仿宋" w:eastAsia="仿宋"/>
          <w:color w:val="auto"/>
          <w:highlight w:val="none"/>
        </w:rPr>
      </w:pPr>
      <w:bookmarkStart w:id="116" w:name="_Toc1883063565_WPSOffice_Level2"/>
      <w:bookmarkStart w:id="117" w:name="_Toc2134602760_WPSOffice_Level2"/>
      <w:bookmarkStart w:id="118" w:name="_Toc31588"/>
      <w:bookmarkStart w:id="119" w:name="_Toc15396627"/>
      <w:r>
        <w:rPr>
          <w:rStyle w:val="18"/>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18"/>
          <w:rFonts w:hint="eastAsia" w:ascii="仿宋" w:hAnsi="仿宋" w:eastAsia="仿宋"/>
          <w:b w:val="0"/>
          <w:bCs w:val="0"/>
          <w:color w:val="auto"/>
          <w:highlight w:val="none"/>
        </w:rPr>
        <w:t>般公共预算财政拨款项目支出决算表</w:t>
      </w:r>
      <w:bookmarkEnd w:id="116"/>
      <w:bookmarkEnd w:id="117"/>
      <w:bookmarkEnd w:id="118"/>
      <w:bookmarkEnd w:id="119"/>
    </w:p>
    <w:p>
      <w:pPr>
        <w:pStyle w:val="4"/>
        <w:shd w:val="clear"/>
        <w:rPr>
          <w:rFonts w:ascii="仿宋" w:hAnsi="仿宋" w:eastAsia="仿宋"/>
          <w:color w:val="auto"/>
          <w:highlight w:val="none"/>
        </w:rPr>
      </w:pPr>
      <w:bookmarkStart w:id="120" w:name="_Toc15396628"/>
      <w:bookmarkStart w:id="121" w:name="_Toc2093363873_WPSOffice_Level2"/>
      <w:bookmarkStart w:id="122" w:name="_Toc28937"/>
      <w:bookmarkStart w:id="123" w:name="_Toc301825070_WPSOffice_Level2"/>
      <w:r>
        <w:rPr>
          <w:rStyle w:val="18"/>
          <w:rFonts w:hint="eastAsia" w:ascii="仿宋" w:hAnsi="仿宋" w:eastAsia="仿宋"/>
          <w:b w:val="0"/>
          <w:bCs w:val="0"/>
          <w:color w:val="auto"/>
          <w:highlight w:val="none"/>
        </w:rPr>
        <w:t>十、</w:t>
      </w:r>
      <w:bookmarkEnd w:id="120"/>
      <w:r>
        <w:rPr>
          <w:rFonts w:hint="eastAsia" w:ascii="仿宋" w:hAnsi="仿宋" w:eastAsia="仿宋"/>
          <w:b w:val="0"/>
          <w:color w:val="auto"/>
          <w:highlight w:val="none"/>
        </w:rPr>
        <w:t>政</w:t>
      </w:r>
      <w:r>
        <w:rPr>
          <w:rStyle w:val="18"/>
          <w:rFonts w:hint="eastAsia" w:ascii="仿宋" w:hAnsi="仿宋" w:eastAsia="仿宋"/>
          <w:b w:val="0"/>
          <w:bCs w:val="0"/>
          <w:color w:val="auto"/>
          <w:highlight w:val="none"/>
        </w:rPr>
        <w:t>府性基金预算财政拨款收入支出决算表</w:t>
      </w:r>
      <w:bookmarkEnd w:id="121"/>
      <w:bookmarkEnd w:id="122"/>
      <w:bookmarkEnd w:id="123"/>
    </w:p>
    <w:p>
      <w:pPr>
        <w:pStyle w:val="4"/>
        <w:shd w:val="clear"/>
        <w:rPr>
          <w:rFonts w:ascii="仿宋" w:hAnsi="仿宋" w:eastAsia="仿宋"/>
          <w:color w:val="auto"/>
          <w:highlight w:val="none"/>
        </w:rPr>
      </w:pPr>
      <w:bookmarkStart w:id="124" w:name="_Toc15396629"/>
      <w:bookmarkStart w:id="125" w:name="_Toc719132208_WPSOffice_Level2"/>
      <w:bookmarkStart w:id="126" w:name="_Toc26509"/>
      <w:bookmarkStart w:id="127" w:name="_Toc1820168040_WPSOffice_Level2"/>
      <w:r>
        <w:rPr>
          <w:rStyle w:val="18"/>
          <w:rFonts w:hint="eastAsia" w:ascii="仿宋" w:hAnsi="仿宋" w:eastAsia="仿宋"/>
          <w:b w:val="0"/>
          <w:bCs w:val="0"/>
          <w:color w:val="auto"/>
          <w:highlight w:val="none"/>
        </w:rPr>
        <w:t>十一、</w:t>
      </w:r>
      <w:bookmarkEnd w:id="124"/>
      <w:r>
        <w:rPr>
          <w:rFonts w:hint="eastAsia" w:ascii="仿宋" w:hAnsi="仿宋" w:eastAsia="仿宋"/>
          <w:b w:val="0"/>
          <w:color w:val="auto"/>
          <w:highlight w:val="none"/>
        </w:rPr>
        <w:t>国</w:t>
      </w:r>
      <w:r>
        <w:rPr>
          <w:rStyle w:val="18"/>
          <w:rFonts w:hint="eastAsia" w:ascii="仿宋" w:hAnsi="仿宋" w:eastAsia="仿宋"/>
          <w:b w:val="0"/>
          <w:bCs w:val="0"/>
          <w:color w:val="auto"/>
          <w:highlight w:val="none"/>
        </w:rPr>
        <w:t>有资本经营预算</w:t>
      </w:r>
      <w:r>
        <w:rPr>
          <w:rStyle w:val="18"/>
          <w:rFonts w:hint="eastAsia" w:ascii="仿宋" w:hAnsi="仿宋" w:eastAsia="仿宋"/>
          <w:b w:val="0"/>
          <w:bCs w:val="0"/>
          <w:color w:val="auto"/>
          <w:highlight w:val="none"/>
          <w:lang w:eastAsia="zh-CN"/>
        </w:rPr>
        <w:t>财政拨款收入</w:t>
      </w:r>
      <w:r>
        <w:rPr>
          <w:rStyle w:val="18"/>
          <w:rFonts w:hint="eastAsia" w:ascii="仿宋" w:hAnsi="仿宋" w:eastAsia="仿宋"/>
          <w:b w:val="0"/>
          <w:bCs w:val="0"/>
          <w:color w:val="auto"/>
          <w:highlight w:val="none"/>
        </w:rPr>
        <w:t>支出决算表</w:t>
      </w:r>
      <w:bookmarkEnd w:id="125"/>
      <w:bookmarkEnd w:id="126"/>
      <w:bookmarkEnd w:id="127"/>
    </w:p>
    <w:p>
      <w:pPr>
        <w:pStyle w:val="4"/>
        <w:shd w:val="clear"/>
        <w:rPr>
          <w:rFonts w:ascii="仿宋" w:hAnsi="仿宋" w:eastAsia="仿宋"/>
          <w:color w:val="auto"/>
          <w:highlight w:val="none"/>
        </w:rPr>
      </w:pPr>
      <w:bookmarkStart w:id="128" w:name="_Toc15396630"/>
      <w:bookmarkStart w:id="129" w:name="_Toc37386242_WPSOffice_Level2"/>
      <w:bookmarkStart w:id="130" w:name="_Toc1345595632_WPSOffice_Level2"/>
      <w:bookmarkStart w:id="131" w:name="_Toc21207"/>
      <w:r>
        <w:rPr>
          <w:rStyle w:val="18"/>
          <w:rFonts w:hint="eastAsia" w:ascii="仿宋" w:hAnsi="仿宋" w:eastAsia="仿宋"/>
          <w:b w:val="0"/>
          <w:bCs w:val="0"/>
          <w:color w:val="auto"/>
          <w:highlight w:val="none"/>
        </w:rPr>
        <w:t>十二、</w:t>
      </w:r>
      <w:bookmarkEnd w:id="128"/>
      <w:r>
        <w:rPr>
          <w:rStyle w:val="18"/>
          <w:rFonts w:hint="eastAsia" w:ascii="仿宋" w:hAnsi="仿宋" w:eastAsia="仿宋"/>
          <w:b w:val="0"/>
          <w:bCs w:val="0"/>
          <w:color w:val="auto"/>
          <w:highlight w:val="none"/>
          <w:lang w:eastAsia="zh-CN"/>
        </w:rPr>
        <w:t>国有资本经营预算财政拨款支出决算表</w:t>
      </w:r>
      <w:bookmarkEnd w:id="129"/>
      <w:bookmarkEnd w:id="130"/>
      <w:bookmarkEnd w:id="131"/>
    </w:p>
    <w:p>
      <w:pPr>
        <w:pStyle w:val="4"/>
        <w:shd w:val="clear"/>
        <w:rPr>
          <w:rFonts w:hint="eastAsia" w:eastAsia="仿宋"/>
          <w:color w:val="auto"/>
          <w:highlight w:val="none"/>
          <w:lang w:eastAsia="zh-CN"/>
        </w:rPr>
      </w:pPr>
      <w:bookmarkStart w:id="132" w:name="_Toc15396631"/>
      <w:bookmarkStart w:id="133" w:name="_Toc344897819_WPSOffice_Level2"/>
      <w:bookmarkStart w:id="134" w:name="_Toc811556221_WPSOffice_Level2"/>
      <w:bookmarkStart w:id="135" w:name="_Toc25832"/>
      <w:r>
        <w:rPr>
          <w:rStyle w:val="18"/>
          <w:rFonts w:hint="eastAsia" w:ascii="仿宋" w:hAnsi="仿宋" w:eastAsia="仿宋"/>
          <w:b w:val="0"/>
          <w:bCs w:val="0"/>
          <w:color w:val="auto"/>
          <w:highlight w:val="none"/>
        </w:rPr>
        <w:t>十三、</w:t>
      </w:r>
      <w:bookmarkEnd w:id="132"/>
      <w:r>
        <w:rPr>
          <w:rStyle w:val="18"/>
          <w:rFonts w:hint="eastAsia" w:ascii="仿宋" w:hAnsi="仿宋" w:eastAsia="仿宋"/>
          <w:b w:val="0"/>
          <w:bCs w:val="0"/>
          <w:color w:val="auto"/>
          <w:highlight w:val="none"/>
          <w:lang w:eastAsia="zh-CN"/>
        </w:rPr>
        <w:t>财政拨款“三公”经费支出决算表</w:t>
      </w:r>
      <w:bookmarkEnd w:id="133"/>
      <w:bookmarkEnd w:id="134"/>
      <w:bookmarkEnd w:id="135"/>
    </w:p>
    <w:sectPr>
      <w:pgSz w:w="11906" w:h="16838"/>
      <w:pgMar w:top="1440" w:right="1803" w:bottom="1440" w:left="1803" w:header="851" w:footer="992" w:gutter="0"/>
      <w:pgNumType w:fmt="decimal" w:start="1"/>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sdt>
                    <w:sdtPr>
                      <w:id w:val="-1"/>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677F23"/>
    <w:multiLevelType w:val="singleLevel"/>
    <w:tmpl w:val="D2677F23"/>
    <w:lvl w:ilvl="0" w:tentative="0">
      <w:start w:val="1"/>
      <w:numFmt w:val="decimal"/>
      <w:suff w:val="nothing"/>
      <w:lvlText w:val="%1．"/>
      <w:lvlJc w:val="left"/>
      <w:pPr>
        <w:ind w:left="0" w:firstLine="400"/>
      </w:pPr>
      <w:rPr>
        <w:rFonts w:hint="default"/>
        <w:b w:val="0"/>
        <w:bCs w:val="0"/>
        <w:sz w:val="32"/>
        <w:szCs w:val="32"/>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EDFE71E1"/>
    <w:multiLevelType w:val="singleLevel"/>
    <w:tmpl w:val="EDFE71E1"/>
    <w:lvl w:ilvl="0" w:tentative="0">
      <w:start w:val="1"/>
      <w:numFmt w:val="decimal"/>
      <w:lvlText w:val="%1."/>
      <w:lvlJc w:val="left"/>
      <w:pPr>
        <w:tabs>
          <w:tab w:val="left" w:pos="312"/>
        </w:tabs>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abstractNum w:abstractNumId="5">
    <w:nsid w:val="7185A99B"/>
    <w:multiLevelType w:val="singleLevel"/>
    <w:tmpl w:val="7185A99B"/>
    <w:lvl w:ilvl="0" w:tentative="0">
      <w:start w:val="1"/>
      <w:numFmt w:val="decimal"/>
      <w:suff w:val="nothing"/>
      <w:lvlText w:val="%1．"/>
      <w:lvlJc w:val="left"/>
      <w:pPr>
        <w:ind w:left="0" w:firstLine="400"/>
      </w:pPr>
      <w:rPr>
        <w:rFont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9BF1B33"/>
    <w:rsid w:val="0A2032A3"/>
    <w:rsid w:val="0B8A37D8"/>
    <w:rsid w:val="0BFE7DE3"/>
    <w:rsid w:val="10C055FF"/>
    <w:rsid w:val="118107EC"/>
    <w:rsid w:val="11DD6519"/>
    <w:rsid w:val="16BB723D"/>
    <w:rsid w:val="18015F3F"/>
    <w:rsid w:val="1BE8440E"/>
    <w:rsid w:val="1D155CEE"/>
    <w:rsid w:val="1FFB01AA"/>
    <w:rsid w:val="20F57F95"/>
    <w:rsid w:val="240371BF"/>
    <w:rsid w:val="25711CC6"/>
    <w:rsid w:val="25C741E6"/>
    <w:rsid w:val="27842671"/>
    <w:rsid w:val="29FD04D3"/>
    <w:rsid w:val="2ABE7A3E"/>
    <w:rsid w:val="2CA234A8"/>
    <w:rsid w:val="2DD37557"/>
    <w:rsid w:val="2EFA178C"/>
    <w:rsid w:val="30B46D73"/>
    <w:rsid w:val="319F7F4E"/>
    <w:rsid w:val="32E855AC"/>
    <w:rsid w:val="383D272C"/>
    <w:rsid w:val="39AE70AB"/>
    <w:rsid w:val="3B7682E8"/>
    <w:rsid w:val="3BB3D7EE"/>
    <w:rsid w:val="3C0C0783"/>
    <w:rsid w:val="3F9F3A96"/>
    <w:rsid w:val="3FDF63FC"/>
    <w:rsid w:val="41085755"/>
    <w:rsid w:val="46F13AB7"/>
    <w:rsid w:val="48BF60AB"/>
    <w:rsid w:val="493C27E9"/>
    <w:rsid w:val="496F39ED"/>
    <w:rsid w:val="49FF41D3"/>
    <w:rsid w:val="4BE068DB"/>
    <w:rsid w:val="4BF6002B"/>
    <w:rsid w:val="4ECE2238"/>
    <w:rsid w:val="4FD20001"/>
    <w:rsid w:val="51DB4B86"/>
    <w:rsid w:val="55333C3E"/>
    <w:rsid w:val="5EDF9BBE"/>
    <w:rsid w:val="64CA39A1"/>
    <w:rsid w:val="65BF1AE5"/>
    <w:rsid w:val="67CFE785"/>
    <w:rsid w:val="67FFB7F7"/>
    <w:rsid w:val="69630ADE"/>
    <w:rsid w:val="6C4A05C8"/>
    <w:rsid w:val="6D3B1A89"/>
    <w:rsid w:val="6F4EF397"/>
    <w:rsid w:val="71BF4EC2"/>
    <w:rsid w:val="72734D90"/>
    <w:rsid w:val="72AC5F43"/>
    <w:rsid w:val="73FC611A"/>
    <w:rsid w:val="7412278C"/>
    <w:rsid w:val="776F9EE8"/>
    <w:rsid w:val="77B99CDA"/>
    <w:rsid w:val="7904082E"/>
    <w:rsid w:val="79E7B28D"/>
    <w:rsid w:val="7EF98FF4"/>
    <w:rsid w:val="7F9F20EE"/>
    <w:rsid w:val="7FDAA88A"/>
    <w:rsid w:val="7FEDCF3F"/>
    <w:rsid w:val="7FFF27D2"/>
    <w:rsid w:val="8CCFC970"/>
    <w:rsid w:val="9E3A10E2"/>
    <w:rsid w:val="AEFE0DBD"/>
    <w:rsid w:val="B6FCFFF5"/>
    <w:rsid w:val="CEAA9184"/>
    <w:rsid w:val="DDCE4387"/>
    <w:rsid w:val="F2E1F9D4"/>
    <w:rsid w:val="F7880819"/>
    <w:rsid w:val="FADF2B76"/>
    <w:rsid w:val="FE72B561"/>
    <w:rsid w:val="FE7F9861"/>
    <w:rsid w:val="FFCE36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0"/>
    <w:pPr>
      <w:widowControl w:val="0"/>
      <w:ind w:left="200" w:leftChars="200" w:hanging="200" w:hangingChars="200"/>
      <w:jc w:val="both"/>
    </w:pPr>
    <w:rPr>
      <w:rFonts w:ascii="Calibri" w:hAnsi="Calibri" w:eastAsia="宋体" w:cs="Times New Roman"/>
      <w:kern w:val="2"/>
      <w:sz w:val="21"/>
      <w:szCs w:val="24"/>
      <w:lang w:val="en-US" w:eastAsia="zh-CN" w:bidi="ar-SA"/>
    </w:r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标题 1 Char"/>
    <w:basedOn w:val="14"/>
    <w:link w:val="3"/>
    <w:qFormat/>
    <w:uiPriority w:val="9"/>
    <w:rPr>
      <w:rFonts w:ascii="Times New Roman" w:hAnsi="Times New Roman"/>
      <w:b/>
      <w:bCs/>
      <w:kern w:val="44"/>
      <w:sz w:val="44"/>
      <w:szCs w:val="44"/>
    </w:rPr>
  </w:style>
  <w:style w:type="character" w:customStyle="1" w:styleId="18">
    <w:name w:val="标题 2 Char"/>
    <w:basedOn w:val="14"/>
    <w:link w:val="4"/>
    <w:qFormat/>
    <w:uiPriority w:val="9"/>
    <w:rPr>
      <w:rFonts w:asciiTheme="majorHAnsi" w:hAnsiTheme="majorHAnsi" w:eastAsiaTheme="majorEastAsia" w:cstheme="majorBidi"/>
      <w:b/>
      <w:bCs/>
      <w:kern w:val="2"/>
      <w:sz w:val="32"/>
      <w:szCs w:val="32"/>
    </w:rPr>
  </w:style>
  <w:style w:type="character" w:customStyle="1" w:styleId="19">
    <w:name w:val="标题 3 Char"/>
    <w:basedOn w:val="14"/>
    <w:link w:val="5"/>
    <w:qFormat/>
    <w:uiPriority w:val="9"/>
    <w:rPr>
      <w:rFonts w:ascii="Times New Roman" w:hAnsi="Times New Roman"/>
      <w:b/>
      <w:bCs/>
      <w:kern w:val="2"/>
      <w:sz w:val="32"/>
      <w:szCs w:val="32"/>
    </w:rPr>
  </w:style>
  <w:style w:type="character" w:customStyle="1" w:styleId="20">
    <w:name w:val="Header Char"/>
    <w:basedOn w:val="14"/>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4"/>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4"/>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4"/>
    <w:link w:val="8"/>
    <w:semiHidden/>
    <w:qFormat/>
    <w:uiPriority w:val="99"/>
    <w:rPr>
      <w:rFonts w:ascii="Times New Roman" w:hAnsi="Times New Roman"/>
      <w:kern w:val="2"/>
      <w:sz w:val="18"/>
      <w:szCs w:val="18"/>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 w:type="character" w:customStyle="1" w:styleId="33">
    <w:name w:val="font101"/>
    <w:basedOn w:val="14"/>
    <w:qFormat/>
    <w:uiPriority w:val="0"/>
    <w:rPr>
      <w:rFonts w:hint="eastAsia" w:ascii="仿宋_GB2312" w:eastAsia="仿宋_GB2312" w:cs="仿宋_GB2312"/>
      <w:color w:val="000000"/>
      <w:sz w:val="20"/>
      <w:szCs w:val="20"/>
      <w:u w:val="none"/>
    </w:rPr>
  </w:style>
  <w:style w:type="character" w:customStyle="1" w:styleId="34">
    <w:name w:val="font01"/>
    <w:basedOn w:val="14"/>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775375"/>
          <c:y val="0.0325"/>
        </c:manualLayout>
      </c:layout>
      <c:overlay val="false"/>
      <c:spPr>
        <a:noFill/>
        <a:ln>
          <a:noFill/>
        </a:ln>
        <a:effectLst/>
      </c:spPr>
    </c:title>
    <c:autoTitleDeleted val="false"/>
    <c:plotArea>
      <c:layout>
        <c:manualLayout>
          <c:layoutTarget val="inner"/>
          <c:xMode val="edge"/>
          <c:yMode val="edge"/>
          <c:x val="0.128825"/>
          <c:y val="0.238584474885845"/>
          <c:w val="0.867425"/>
          <c:h val="0.612648401826484"/>
        </c:manualLayout>
      </c:layout>
      <c:barChart>
        <c:barDir val="col"/>
        <c:grouping val="clustered"/>
        <c:varyColors val="false"/>
        <c:ser>
          <c:idx val="0"/>
          <c:order val="0"/>
          <c:tx>
            <c:strRef>
              <c:f>Sheet1!$A$2</c:f>
              <c:strCache>
                <c:ptCount val="1"/>
                <c:pt idx="0">
                  <c:v>2021年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Sheet1!$B$1:$C$1</c:f>
              <c:strCache>
                <c:ptCount val="2"/>
                <c:pt idx="0">
                  <c:v>总收入</c:v>
                </c:pt>
                <c:pt idx="1">
                  <c:v>总支出</c:v>
                </c:pt>
              </c:strCache>
            </c:strRef>
          </c:cat>
          <c:val>
            <c:numRef>
              <c:f>Sheet1!$B$2:$C$2</c:f>
              <c:numCache>
                <c:formatCode>General</c:formatCode>
                <c:ptCount val="2"/>
                <c:pt idx="0">
                  <c:v>34478.08</c:v>
                </c:pt>
                <c:pt idx="1">
                  <c:v>34478.08</c:v>
                </c:pt>
              </c:numCache>
            </c:numRef>
          </c:val>
        </c:ser>
        <c:ser>
          <c:idx val="1"/>
          <c:order val="1"/>
          <c:tx>
            <c:strRef>
              <c:f>Sheet1!$A$3</c:f>
              <c:strCache>
                <c:ptCount val="1"/>
                <c:pt idx="0">
                  <c:v>2022年</c:v>
                </c:pt>
              </c:strCache>
            </c:strRef>
          </c:tx>
          <c:spPr>
            <a:solidFill>
              <a:schemeClr val="accent2"/>
            </a:solidFill>
            <a:ln>
              <a:noFill/>
            </a:ln>
            <a:effectLst/>
          </c:spPr>
          <c:invertIfNegative val="false"/>
          <c:dLbls>
            <c:dLbl>
              <c:idx val="0"/>
              <c:layout>
                <c:manualLayout>
                  <c:x val="0.054375"/>
                  <c:y val="0.005"/>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54375"/>
                  <c:y val="-0.0025"/>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Sheet1!$B$1:$C$1</c:f>
              <c:strCache>
                <c:ptCount val="2"/>
                <c:pt idx="0">
                  <c:v>总收入</c:v>
                </c:pt>
                <c:pt idx="1">
                  <c:v>总支出</c:v>
                </c:pt>
              </c:strCache>
            </c:strRef>
          </c:cat>
          <c:val>
            <c:numRef>
              <c:f>Sheet1!$B$3:$C$3</c:f>
              <c:numCache>
                <c:formatCode>General</c:formatCode>
                <c:ptCount val="2"/>
                <c:pt idx="0">
                  <c:v>17310.61</c:v>
                </c:pt>
                <c:pt idx="1">
                  <c:v>17310.61</c:v>
                </c:pt>
              </c:numCache>
            </c:numRef>
          </c:val>
        </c:ser>
        <c:dLbls>
          <c:showLegendKey val="false"/>
          <c:showVal val="false"/>
          <c:showCatName val="false"/>
          <c:showSerName val="false"/>
          <c:showPercent val="false"/>
          <c:showBubbleSize val="false"/>
        </c:dLbls>
        <c:gapWidth val="219"/>
        <c:overlap val="-27"/>
        <c:axId val="742559288"/>
        <c:axId val="515045953"/>
      </c:barChart>
      <c:catAx>
        <c:axId val="742559288"/>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15045953"/>
        <c:crosses val="autoZero"/>
        <c:auto val="true"/>
        <c:lblAlgn val="ctr"/>
        <c:lblOffset val="100"/>
        <c:noMultiLvlLbl val="false"/>
      </c:catAx>
      <c:valAx>
        <c:axId val="515045953"/>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42559288"/>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92865"/>
          <c:y val="0.005"/>
          <c:w val="0.56177"/>
          <c:h val="0.749026666666667"/>
        </c:manualLayout>
      </c:layout>
      <c:pieChart>
        <c:varyColors val="true"/>
        <c:ser>
          <c:idx val="0"/>
          <c:order val="0"/>
          <c:tx>
            <c:strRef>
              <c:f>Sheet1!$B$1</c:f>
              <c:strCache>
                <c:ptCount val="1"/>
                <c:pt idx="0">
                  <c:v>本年收入</c:v>
                </c:pt>
              </c:strCache>
            </c:strRef>
          </c:tx>
          <c:spPr/>
          <c:explosion val="0"/>
          <c:dPt>
            <c:idx val="0"/>
            <c:bubble3D val="false"/>
            <c:explosion val="0"/>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1"/>
              <c:layout/>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4183.56</c:v>
                </c:pt>
                <c:pt idx="1">
                  <c:v>11175.96</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本年支出合计</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914.24</c:v>
                </c:pt>
                <c:pt idx="1">
                  <c:v>16396.37</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81675"/>
          <c:y val="0.0136986301369863"/>
        </c:manualLayout>
      </c:layout>
      <c:overlay val="false"/>
      <c:spPr>
        <a:noFill/>
        <a:ln>
          <a:noFill/>
        </a:ln>
        <a:effectLst/>
      </c:spPr>
    </c:title>
    <c:autoTitleDeleted val="false"/>
    <c:plotArea>
      <c:layout/>
      <c:barChart>
        <c:barDir val="col"/>
        <c:grouping val="clustered"/>
        <c:varyColors val="false"/>
        <c:ser>
          <c:idx val="0"/>
          <c:order val="0"/>
          <c:tx>
            <c:strRef>
              <c:f>Sheet1!$A$2</c:f>
              <c:strCache>
                <c:ptCount val="1"/>
                <c:pt idx="0">
                  <c:v>2021年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Sheet1!$B$1:$C$1</c:f>
              <c:strCache>
                <c:ptCount val="2"/>
                <c:pt idx="0">
                  <c:v>财政拨款收入</c:v>
                </c:pt>
                <c:pt idx="1">
                  <c:v>财政拨款支出</c:v>
                </c:pt>
              </c:strCache>
            </c:strRef>
          </c:cat>
          <c:val>
            <c:numRef>
              <c:f>Sheet1!$B$2:$C$2</c:f>
              <c:numCache>
                <c:formatCode>General</c:formatCode>
                <c:ptCount val="2"/>
                <c:pt idx="0">
                  <c:v>21487.9</c:v>
                </c:pt>
                <c:pt idx="1">
                  <c:v>21487.9</c:v>
                </c:pt>
              </c:numCache>
            </c:numRef>
          </c:val>
        </c:ser>
        <c:ser>
          <c:idx val="1"/>
          <c:order val="1"/>
          <c:tx>
            <c:strRef>
              <c:f>Sheet1!$A$3</c:f>
              <c:strCache>
                <c:ptCount val="1"/>
                <c:pt idx="0">
                  <c:v>2022年</c:v>
                </c:pt>
              </c:strCache>
            </c:strRef>
          </c:tx>
          <c:spPr>
            <a:solidFill>
              <a:schemeClr val="accent2"/>
            </a:solidFill>
            <a:ln>
              <a:noFill/>
            </a:ln>
            <a:effectLst/>
          </c:spPr>
          <c:invertIfNegative val="false"/>
          <c:dLbls>
            <c:dLbl>
              <c:idx val="0"/>
              <c:layout>
                <c:manualLayout>
                  <c:x val="0.080625"/>
                  <c:y val="0"/>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75"/>
                  <c:y val="0"/>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Sheet1!$B$1:$C$1</c:f>
              <c:strCache>
                <c:ptCount val="2"/>
                <c:pt idx="0">
                  <c:v>财政拨款收入</c:v>
                </c:pt>
                <c:pt idx="1">
                  <c:v>财政拨款支出</c:v>
                </c:pt>
              </c:strCache>
            </c:strRef>
          </c:cat>
          <c:val>
            <c:numRef>
              <c:f>Sheet1!$B$3:$C$3</c:f>
              <c:numCache>
                <c:formatCode>General</c:formatCode>
                <c:ptCount val="2"/>
                <c:pt idx="0">
                  <c:v>15704.98</c:v>
                </c:pt>
                <c:pt idx="1">
                  <c:v>15704.98</c:v>
                </c:pt>
              </c:numCache>
            </c:numRef>
          </c:val>
        </c:ser>
        <c:dLbls>
          <c:showLegendKey val="false"/>
          <c:showVal val="false"/>
          <c:showCatName val="false"/>
          <c:showSerName val="false"/>
          <c:showPercent val="false"/>
          <c:showBubbleSize val="false"/>
        </c:dLbls>
        <c:gapWidth val="219"/>
        <c:overlap val="-27"/>
        <c:axId val="506850844"/>
        <c:axId val="260730374"/>
      </c:barChart>
      <c:catAx>
        <c:axId val="506850844"/>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60730374"/>
        <c:crosses val="autoZero"/>
        <c:auto val="true"/>
        <c:lblAlgn val="ctr"/>
        <c:lblOffset val="100"/>
        <c:noMultiLvlLbl val="false"/>
      </c:catAx>
      <c:valAx>
        <c:axId val="26073037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06850844"/>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7705"/>
          <c:y val="0.0251116071428571"/>
        </c:manualLayout>
      </c:layout>
      <c:overlay val="false"/>
      <c:spPr>
        <a:noFill/>
        <a:ln>
          <a:noFill/>
        </a:ln>
        <a:effectLst/>
      </c:spPr>
    </c:title>
    <c:autoTitleDeleted val="false"/>
    <c:plotArea>
      <c:layout>
        <c:manualLayout>
          <c:layoutTarget val="inner"/>
          <c:xMode val="edge"/>
          <c:yMode val="edge"/>
          <c:x val="0.0907"/>
          <c:y val="0.202493900786121"/>
          <c:w val="0.8818"/>
          <c:h val="0.544158308484684"/>
        </c:manualLayout>
      </c:layout>
      <c:barChart>
        <c:barDir val="col"/>
        <c:grouping val="clustered"/>
        <c:varyColors val="false"/>
        <c:ser>
          <c:idx val="0"/>
          <c:order val="0"/>
          <c:tx>
            <c:strRef>
              <c:f>Sheet1!$B$1</c:f>
              <c:strCache>
                <c:ptCount val="1"/>
                <c:pt idx="0">
                  <c:v>一般公共预算财政拨款支出</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5823.63</c:v>
                </c:pt>
                <c:pt idx="1">
                  <c:v>4529.03</c:v>
                </c:pt>
              </c:numCache>
            </c:numRef>
          </c:val>
        </c:ser>
        <c:dLbls>
          <c:showLegendKey val="false"/>
          <c:showVal val="true"/>
          <c:showCatName val="false"/>
          <c:showSerName val="false"/>
          <c:showPercent val="false"/>
          <c:showBubbleSize val="false"/>
        </c:dLbls>
        <c:gapWidth val="219"/>
        <c:overlap val="-27"/>
        <c:axId val="736058703"/>
        <c:axId val="545892433"/>
      </c:barChart>
      <c:catAx>
        <c:axId val="736058703"/>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45892433"/>
        <c:crosses val="autoZero"/>
        <c:auto val="true"/>
        <c:lblAlgn val="ctr"/>
        <c:lblOffset val="100"/>
        <c:noMultiLvlLbl val="false"/>
      </c:catAx>
      <c:valAx>
        <c:axId val="545892433"/>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36058703"/>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一般公共预算财政拨款支出决算结构</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Lbls>
            <c:dLbl>
              <c:idx val="0"/>
              <c:layout>
                <c:manualLayout>
                  <c:x val="-0.042027449427087"/>
                  <c:y val="0.0123686142597394"/>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81316977334459"/>
                  <c:y val="-0.00632466760806033"/>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16340288960825"/>
                  <c:y val="0.0418685082284378"/>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871205878491159"/>
                  <c:y val="0.10609148407608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Sheet1!$A$2:$A$7</c:f>
              <c:strCache>
                <c:ptCount val="6"/>
                <c:pt idx="0">
                  <c:v>文化体育与传媒支出</c:v>
                </c:pt>
                <c:pt idx="1">
                  <c:v>社会保障和就业支出</c:v>
                </c:pt>
                <c:pt idx="2">
                  <c:v>卫生健康支出</c:v>
                </c:pt>
                <c:pt idx="3">
                  <c:v>交通运输支出</c:v>
                </c:pt>
                <c:pt idx="4">
                  <c:v>住房保障支出</c:v>
                </c:pt>
                <c:pt idx="5">
                  <c:v>其他支出</c:v>
                </c:pt>
              </c:strCache>
            </c:strRef>
          </c:cat>
          <c:val>
            <c:numRef>
              <c:f>Sheet1!$B$2:$B$7</c:f>
              <c:numCache>
                <c:formatCode>General</c:formatCode>
                <c:ptCount val="6"/>
                <c:pt idx="0">
                  <c:v>5</c:v>
                </c:pt>
                <c:pt idx="1">
                  <c:v>119.58</c:v>
                </c:pt>
                <c:pt idx="2">
                  <c:v>24.59</c:v>
                </c:pt>
                <c:pt idx="3">
                  <c:v>3915.98</c:v>
                </c:pt>
                <c:pt idx="4">
                  <c:v>63.88</c:v>
                </c:pt>
                <c:pt idx="5">
                  <c:v>400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公务用车购置及运行维护费支出</c:v>
                </c:pt>
                <c:pt idx="1">
                  <c:v>公务接待费支出</c:v>
                </c:pt>
              </c:strCache>
            </c:strRef>
          </c:cat>
          <c:val>
            <c:numRef>
              <c:f>Sheet1!$B$2:$B$3</c:f>
              <c:numCache>
                <c:formatCode>General</c:formatCode>
                <c:ptCount val="2"/>
                <c:pt idx="0">
                  <c:v>55.9</c:v>
                </c:pt>
                <c:pt idx="1">
                  <c:v>0.34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四川省财政厅</Company>
  <Pages>24</Pages>
  <Words>1299</Words>
  <Characters>7410</Characters>
  <Lines>61</Lines>
  <Paragraphs>17</Paragraphs>
  <TotalTime>16</TotalTime>
  <ScaleCrop>false</ScaleCrop>
  <LinksUpToDate>false</LinksUpToDate>
  <CharactersWithSpaces>8692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2020-08-08T17:49:00Z</dcterms:created>
  <dc:creator>曹颖</dc:creator>
  <cp:lastModifiedBy>uos</cp:lastModifiedBy>
  <cp:lastPrinted>2023-08-03T18:35:00Z</cp:lastPrinted>
  <dcterms:modified xsi:type="dcterms:W3CDTF">2023-10-18T09:08:31Z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6B70361D626A4593B4A9C4A901EC4F63</vt:lpwstr>
  </property>
</Properties>
</file>