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9"/>
        <w:rPr>
          <w:rFonts w:ascii="方正小标宋简体" w:hAnsi="宋体" w:eastAsia="方正小标宋简体"/>
          <w:color w:val="auto"/>
          <w:sz w:val="21"/>
          <w:szCs w:val="21"/>
          <w:highlight w:val="none"/>
        </w:rPr>
      </w:pPr>
      <w:bookmarkStart w:id="0" w:name="_Toc15306267"/>
    </w:p>
    <w:p>
      <w:pPr>
        <w:spacing w:line="600" w:lineRule="exact"/>
        <w:jc w:val="center"/>
        <w:outlineLvl w:val="9"/>
        <w:rPr>
          <w:rFonts w:ascii="方正小标宋简体" w:hAnsi="宋体" w:eastAsia="方正小标宋简体"/>
          <w:color w:val="auto"/>
          <w:sz w:val="72"/>
          <w:szCs w:val="72"/>
          <w:highlight w:val="none"/>
        </w:rPr>
      </w:pPr>
    </w:p>
    <w:p>
      <w:pPr>
        <w:spacing w:line="600" w:lineRule="exact"/>
        <w:jc w:val="center"/>
        <w:outlineLvl w:val="9"/>
        <w:rPr>
          <w:rFonts w:ascii="方正小标宋简体" w:hAnsi="宋体" w:eastAsia="方正小标宋简体"/>
          <w:color w:val="auto"/>
          <w:sz w:val="72"/>
          <w:szCs w:val="72"/>
          <w:highlight w:val="none"/>
        </w:rPr>
      </w:pPr>
    </w:p>
    <w:p>
      <w:pPr>
        <w:keepNext w:val="0"/>
        <w:keepLines w:val="0"/>
        <w:pageBreakBefore w:val="0"/>
        <w:widowControl w:val="0"/>
        <w:kinsoku/>
        <w:wordWrap/>
        <w:overflowPunct/>
        <w:topLinePunct w:val="0"/>
        <w:autoSpaceDE/>
        <w:autoSpaceDN/>
        <w:bidi w:val="0"/>
        <w:adjustRightInd w:val="0"/>
        <w:snapToGrid w:val="0"/>
        <w:spacing w:line="840" w:lineRule="exact"/>
        <w:jc w:val="center"/>
        <w:textAlignment w:val="auto"/>
        <w:outlineLvl w:val="0"/>
        <w:rPr>
          <w:rFonts w:hint="eastAsia" w:ascii="方正小标宋简体" w:hAnsi="方正小标宋简体" w:eastAsia="方正小标宋简体" w:cs="方正小标宋简体"/>
          <w:color w:val="auto"/>
          <w:sz w:val="44"/>
          <w:szCs w:val="44"/>
          <w:highlight w:val="none"/>
        </w:rPr>
      </w:pPr>
      <w:bookmarkStart w:id="1" w:name="_Toc8226"/>
      <w:bookmarkStart w:id="2" w:name="_Toc15396475"/>
      <w:bookmarkStart w:id="3" w:name="_Toc15377193"/>
      <w:bookmarkStart w:id="4" w:name="_Toc15378441"/>
      <w:bookmarkStart w:id="5" w:name="_Toc15377425"/>
      <w:bookmarkStart w:id="6" w:name="_Toc15396597"/>
      <w:r>
        <w:rPr>
          <w:rFonts w:hint="eastAsia" w:ascii="方正小标宋简体" w:hAnsi="方正小标宋简体" w:eastAsia="方正小标宋简体" w:cs="方正小标宋简体"/>
          <w:color w:val="auto"/>
          <w:sz w:val="44"/>
          <w:szCs w:val="44"/>
          <w:highlight w:val="none"/>
        </w:rPr>
        <w:t>20</w:t>
      </w:r>
      <w:r>
        <w:rPr>
          <w:rFonts w:hint="eastAsia" w:ascii="方正小标宋简体" w:hAnsi="方正小标宋简体" w:eastAsia="方正小标宋简体" w:cs="方正小标宋简体"/>
          <w:color w:val="auto"/>
          <w:sz w:val="44"/>
          <w:szCs w:val="44"/>
          <w:highlight w:val="none"/>
          <w:lang w:val="en-US" w:eastAsia="zh-CN"/>
        </w:rPr>
        <w:t>22</w:t>
      </w:r>
      <w:r>
        <w:rPr>
          <w:rFonts w:hint="eastAsia" w:ascii="方正小标宋简体" w:hAnsi="方正小标宋简体" w:eastAsia="方正小标宋简体" w:cs="方正小标宋简体"/>
          <w:color w:val="auto"/>
          <w:sz w:val="44"/>
          <w:szCs w:val="44"/>
          <w:highlight w:val="none"/>
        </w:rPr>
        <w:t>年度</w:t>
      </w:r>
      <w:bookmarkEnd w:id="1"/>
      <w:bookmarkEnd w:id="2"/>
      <w:bookmarkEnd w:id="3"/>
      <w:bookmarkEnd w:id="4"/>
      <w:bookmarkEnd w:id="5"/>
      <w:bookmarkEnd w:id="6"/>
    </w:p>
    <w:p>
      <w:pPr>
        <w:keepNext w:val="0"/>
        <w:keepLines w:val="0"/>
        <w:pageBreakBefore w:val="0"/>
        <w:widowControl w:val="0"/>
        <w:kinsoku/>
        <w:wordWrap/>
        <w:overflowPunct/>
        <w:topLinePunct w:val="0"/>
        <w:autoSpaceDE/>
        <w:autoSpaceDN/>
        <w:bidi w:val="0"/>
        <w:adjustRightInd w:val="0"/>
        <w:snapToGrid w:val="0"/>
        <w:spacing w:line="840" w:lineRule="exact"/>
        <w:jc w:val="center"/>
        <w:textAlignment w:val="auto"/>
        <w:outlineLvl w:val="0"/>
        <w:rPr>
          <w:rFonts w:hint="eastAsia" w:ascii="方正小标宋简体" w:hAnsi="方正小标宋简体" w:eastAsia="方正小标宋简体" w:cs="方正小标宋简体"/>
          <w:color w:val="auto"/>
          <w:sz w:val="44"/>
          <w:szCs w:val="44"/>
          <w:highlight w:val="none"/>
          <w:lang w:eastAsia="zh-CN"/>
        </w:rPr>
      </w:pPr>
      <w:bookmarkStart w:id="7" w:name="_Toc25054"/>
      <w:bookmarkStart w:id="8" w:name="_Toc15396476"/>
      <w:bookmarkStart w:id="9" w:name="_Toc15377194"/>
      <w:bookmarkStart w:id="10" w:name="_Toc15396598"/>
      <w:bookmarkStart w:id="11" w:name="_Toc15377426"/>
      <w:bookmarkStart w:id="12" w:name="_Toc15378442"/>
      <w:r>
        <w:rPr>
          <w:rFonts w:hint="eastAsia" w:ascii="方正小标宋简体" w:hAnsi="方正小标宋简体" w:eastAsia="方正小标宋简体" w:cs="方正小标宋简体"/>
          <w:color w:val="auto"/>
          <w:sz w:val="44"/>
          <w:szCs w:val="44"/>
          <w:highlight w:val="none"/>
          <w:lang w:eastAsia="zh-CN"/>
        </w:rPr>
        <w:t>广元市</w:t>
      </w:r>
      <w:bookmarkEnd w:id="0"/>
      <w:bookmarkStart w:id="13" w:name="_Toc15306268"/>
      <w:r>
        <w:rPr>
          <w:rFonts w:hint="eastAsia" w:ascii="方正小标宋简体" w:hAnsi="方正小标宋简体" w:eastAsia="方正小标宋简体" w:cs="方正小标宋简体"/>
          <w:color w:val="auto"/>
          <w:sz w:val="44"/>
          <w:szCs w:val="44"/>
          <w:highlight w:val="none"/>
          <w:lang w:eastAsia="zh-CN"/>
        </w:rPr>
        <w:t>航务管理局广元航道段</w:t>
      </w:r>
    </w:p>
    <w:p>
      <w:pPr>
        <w:keepNext w:val="0"/>
        <w:keepLines w:val="0"/>
        <w:pageBreakBefore w:val="0"/>
        <w:widowControl w:val="0"/>
        <w:kinsoku/>
        <w:wordWrap/>
        <w:overflowPunct/>
        <w:topLinePunct w:val="0"/>
        <w:autoSpaceDE/>
        <w:autoSpaceDN/>
        <w:bidi w:val="0"/>
        <w:adjustRightInd w:val="0"/>
        <w:snapToGrid w:val="0"/>
        <w:spacing w:line="840" w:lineRule="exact"/>
        <w:jc w:val="center"/>
        <w:textAlignment w:val="auto"/>
        <w:outlineLvl w:val="0"/>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val="en-US" w:eastAsia="zh-CN"/>
        </w:rPr>
        <w:t>单位</w:t>
      </w:r>
      <w:r>
        <w:rPr>
          <w:rFonts w:hint="eastAsia" w:ascii="方正小标宋简体" w:hAnsi="方正小标宋简体" w:eastAsia="方正小标宋简体" w:cs="方正小标宋简体"/>
          <w:color w:val="auto"/>
          <w:sz w:val="44"/>
          <w:szCs w:val="44"/>
          <w:highlight w:val="none"/>
        </w:rPr>
        <w:t>决算</w:t>
      </w:r>
      <w:bookmarkEnd w:id="7"/>
      <w:bookmarkEnd w:id="8"/>
      <w:bookmarkEnd w:id="9"/>
      <w:bookmarkEnd w:id="10"/>
      <w:bookmarkEnd w:id="11"/>
      <w:bookmarkEnd w:id="12"/>
      <w:bookmarkEnd w:id="13"/>
    </w:p>
    <w:p>
      <w:pPr>
        <w:pStyle w:val="2"/>
        <w:rPr>
          <w:rFonts w:hint="eastAsia" w:ascii="方正小标宋简体" w:hAnsi="方正小标宋简体" w:eastAsia="方正小标宋简体" w:cs="方正小标宋简体"/>
          <w:color w:val="auto"/>
          <w:sz w:val="44"/>
          <w:szCs w:val="44"/>
          <w:highlight w:val="none"/>
        </w:rPr>
      </w:pPr>
    </w:p>
    <w:p>
      <w:pPr>
        <w:rPr>
          <w:rFonts w:hint="eastAsia" w:ascii="方正小标宋简体" w:hAnsi="方正小标宋简体" w:eastAsia="方正小标宋简体" w:cs="方正小标宋简体"/>
          <w:color w:val="auto"/>
          <w:sz w:val="72"/>
          <w:szCs w:val="72"/>
          <w:highlight w:val="none"/>
        </w:rPr>
      </w:pPr>
    </w:p>
    <w:p>
      <w:pPr>
        <w:pStyle w:val="2"/>
        <w:rPr>
          <w:rFonts w:hint="eastAsia" w:ascii="方正小标宋简体" w:hAnsi="方正小标宋简体" w:eastAsia="方正小标宋简体" w:cs="方正小标宋简体"/>
          <w:color w:val="auto"/>
          <w:sz w:val="72"/>
          <w:szCs w:val="72"/>
          <w:highlight w:val="none"/>
        </w:rPr>
      </w:pPr>
    </w:p>
    <w:p>
      <w:pPr>
        <w:rPr>
          <w:rFonts w:hint="eastAsia" w:ascii="方正小标宋简体" w:hAnsi="方正小标宋简体" w:eastAsia="方正小标宋简体" w:cs="方正小标宋简体"/>
          <w:color w:val="auto"/>
          <w:sz w:val="72"/>
          <w:szCs w:val="72"/>
          <w:highlight w:val="none"/>
        </w:rPr>
      </w:pPr>
    </w:p>
    <w:p>
      <w:pPr>
        <w:pStyle w:val="2"/>
        <w:rPr>
          <w:rFonts w:hint="eastAsia"/>
        </w:rPr>
      </w:pPr>
    </w:p>
    <w:p>
      <w:pPr>
        <w:rPr>
          <w:rFonts w:hint="eastAsia" w:ascii="方正小标宋简体" w:hAnsi="方正小标宋简体" w:eastAsia="方正小标宋简体" w:cs="方正小标宋简体"/>
          <w:color w:val="auto"/>
          <w:sz w:val="72"/>
          <w:szCs w:val="72"/>
          <w:highlight w:val="none"/>
        </w:rPr>
      </w:pPr>
    </w:p>
    <w:p>
      <w:pPr>
        <w:pStyle w:val="2"/>
        <w:rPr>
          <w:rFonts w:hint="eastAsia" w:ascii="方正小标宋简体" w:hAnsi="方正小标宋简体" w:eastAsia="方正小标宋简体" w:cs="方正小标宋简体"/>
          <w:color w:val="auto"/>
          <w:sz w:val="72"/>
          <w:szCs w:val="72"/>
          <w:highlight w:val="none"/>
        </w:rPr>
      </w:pPr>
    </w:p>
    <w:p>
      <w:pPr>
        <w:rPr>
          <w:rFonts w:hint="eastAsia" w:ascii="方正小标宋简体" w:hAnsi="方正小标宋简体" w:eastAsia="方正小标宋简体" w:cs="方正小标宋简体"/>
          <w:color w:val="auto"/>
          <w:sz w:val="72"/>
          <w:szCs w:val="72"/>
          <w:highlight w:val="none"/>
        </w:rPr>
      </w:pPr>
    </w:p>
    <w:p>
      <w:pPr>
        <w:rPr>
          <w:rFonts w:hint="eastAsia"/>
        </w:rPr>
      </w:pPr>
    </w:p>
    <w:p>
      <w:pPr>
        <w:pStyle w:val="2"/>
        <w:jc w:val="center"/>
        <w:rPr>
          <w:rFonts w:ascii="宋体" w:hAnsi="宋体" w:eastAsia="宋体"/>
          <w:sz w:val="36"/>
          <w:szCs w:val="36"/>
        </w:rPr>
      </w:pPr>
      <w:r>
        <w:rPr>
          <w:rFonts w:hint="eastAsia"/>
          <w:color w:val="auto"/>
          <w:sz w:val="36"/>
          <w:szCs w:val="36"/>
          <w:highlight w:val="none"/>
        </w:rPr>
        <w:t>公开时间：20</w:t>
      </w:r>
      <w:r>
        <w:rPr>
          <w:rFonts w:hint="eastAsia"/>
          <w:color w:val="auto"/>
          <w:sz w:val="36"/>
          <w:szCs w:val="36"/>
          <w:highlight w:val="none"/>
          <w:lang w:val="en-US" w:eastAsia="zh-CN"/>
        </w:rPr>
        <w:t>23</w:t>
      </w:r>
      <w:r>
        <w:rPr>
          <w:rFonts w:hint="eastAsia"/>
          <w:color w:val="auto"/>
          <w:sz w:val="36"/>
          <w:szCs w:val="36"/>
          <w:highlight w:val="none"/>
        </w:rPr>
        <w:t>年</w:t>
      </w:r>
      <w:r>
        <w:rPr>
          <w:rFonts w:hint="eastAsia"/>
          <w:color w:val="auto"/>
          <w:sz w:val="36"/>
          <w:szCs w:val="36"/>
          <w:highlight w:val="none"/>
          <w:lang w:val="en-US" w:eastAsia="zh-CN"/>
        </w:rPr>
        <w:t xml:space="preserve">10 </w:t>
      </w:r>
      <w:r>
        <w:rPr>
          <w:rFonts w:hint="eastAsia"/>
          <w:color w:val="auto"/>
          <w:sz w:val="36"/>
          <w:szCs w:val="36"/>
          <w:highlight w:val="none"/>
        </w:rPr>
        <w:t>月</w:t>
      </w:r>
      <w:r>
        <w:rPr>
          <w:rFonts w:hint="eastAsia"/>
          <w:color w:val="auto"/>
          <w:sz w:val="36"/>
          <w:szCs w:val="36"/>
          <w:highlight w:val="none"/>
          <w:lang w:val="en-US" w:eastAsia="zh-CN"/>
        </w:rPr>
        <w:t>18</w:t>
      </w:r>
      <w:bookmarkStart w:id="101" w:name="_GoBack"/>
      <w:bookmarkEnd w:id="101"/>
      <w:r>
        <w:rPr>
          <w:rFonts w:hint="eastAsia"/>
          <w:color w:val="auto"/>
          <w:sz w:val="36"/>
          <w:szCs w:val="36"/>
          <w:highlight w:val="none"/>
        </w:rPr>
        <w:t>日</w:t>
      </w:r>
    </w:p>
    <w:p>
      <w:pPr>
        <w:pStyle w:val="2"/>
        <w:rPr>
          <w:rFonts w:hint="eastAsia"/>
        </w:rPr>
      </w:pPr>
    </w:p>
    <w:sdt>
      <w:sdtPr>
        <w:rPr>
          <w:rFonts w:hint="eastAsia" w:ascii="黑体" w:hAnsi="黑体" w:eastAsia="黑体" w:cs="黑体"/>
          <w:kern w:val="2"/>
          <w:sz w:val="21"/>
          <w:szCs w:val="24"/>
          <w:lang w:val="en-US" w:eastAsia="zh-CN" w:bidi="ar-SA"/>
        </w:rPr>
        <w:id w:val="147470696"/>
        <w15:color w:val="DBDBDB"/>
        <w:docPartObj>
          <w:docPartGallery w:val="Table of Contents"/>
          <w:docPartUnique/>
        </w:docPartObj>
      </w:sdtPr>
      <w:sdtEndPr>
        <w:rPr>
          <w:rFonts w:hint="eastAsia" w:ascii="黑体" w:hAnsi="黑体" w:eastAsia="黑体" w:cs="Times New Roman"/>
          <w:b/>
          <w:bCs/>
          <w:color w:val="auto"/>
          <w:kern w:val="44"/>
          <w:sz w:val="44"/>
          <w:szCs w:val="44"/>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sz w:val="21"/>
            </w:rPr>
          </w:pPr>
          <w:bookmarkStart w:id="14" w:name="_Toc15377196"/>
          <w:bookmarkStart w:id="15" w:name="_Toc15396599"/>
          <w:r>
            <w:rPr>
              <w:rFonts w:hint="eastAsia" w:ascii="黑体" w:hAnsi="黑体" w:eastAsia="黑体" w:cs="黑体"/>
              <w:sz w:val="48"/>
              <w:szCs w:val="48"/>
            </w:rPr>
            <w:t>目录</w:t>
          </w:r>
        </w:p>
        <w:p/>
        <w:p>
          <w:pPr>
            <w:pStyle w:val="2"/>
          </w:pPr>
        </w:p>
        <w:p>
          <w:pPr>
            <w:pStyle w:val="31"/>
            <w:tabs>
              <w:tab w:val="right" w:leader="dot" w:pos="8306"/>
            </w:tabs>
            <w:rPr>
              <w:b/>
            </w:rPr>
          </w:pPr>
          <w:r>
            <w:rPr>
              <w:rFonts w:hint="eastAsia" w:ascii="黑体" w:hAnsi="黑体" w:eastAsia="黑体"/>
              <w:b w:val="0"/>
              <w:color w:val="auto"/>
              <w:highlight w:val="none"/>
            </w:rPr>
            <w:fldChar w:fldCharType="begin"/>
          </w:r>
          <w:r>
            <w:rPr>
              <w:rFonts w:hint="eastAsia" w:ascii="黑体" w:hAnsi="黑体" w:eastAsia="黑体"/>
              <w:b w:val="0"/>
              <w:color w:val="auto"/>
              <w:highlight w:val="none"/>
            </w:rPr>
            <w:instrText xml:space="preserve">TOC \o "1-2" \h \u </w:instrText>
          </w:r>
          <w:r>
            <w:rPr>
              <w:rFonts w:hint="eastAsia" w:ascii="黑体" w:hAnsi="黑体" w:eastAsia="黑体"/>
              <w:b w:val="0"/>
              <w:color w:val="auto"/>
              <w:highlight w:val="none"/>
            </w:rPr>
            <w:fldChar w:fldCharType="separate"/>
          </w:r>
        </w:p>
        <w:p>
          <w:pPr>
            <w:pStyle w:val="31"/>
            <w:tabs>
              <w:tab w:val="right" w:leader="dot" w:pos="8306"/>
            </w:tabs>
            <w:rPr>
              <w:b/>
            </w:rPr>
          </w:pPr>
          <w:r>
            <w:rPr>
              <w:rFonts w:hint="eastAsia" w:ascii="黑体" w:hAnsi="黑体" w:eastAsia="黑体"/>
              <w:b/>
              <w:color w:val="auto"/>
              <w:highlight w:val="none"/>
            </w:rPr>
            <w:fldChar w:fldCharType="begin"/>
          </w:r>
          <w:r>
            <w:rPr>
              <w:rFonts w:hint="eastAsia" w:ascii="黑体" w:hAnsi="黑体" w:eastAsia="黑体"/>
              <w:b/>
              <w:highlight w:val="none"/>
            </w:rPr>
            <w:instrText xml:space="preserve"> HYPERLINK \l _Toc29355 </w:instrText>
          </w:r>
          <w:r>
            <w:rPr>
              <w:rFonts w:hint="eastAsia" w:ascii="黑体" w:hAnsi="黑体" w:eastAsia="黑体"/>
              <w:b/>
              <w:highlight w:val="none"/>
            </w:rPr>
            <w:fldChar w:fldCharType="separate"/>
          </w:r>
          <w:r>
            <w:rPr>
              <w:rFonts w:hint="eastAsia" w:ascii="黑体" w:hAnsi="黑体" w:eastAsia="黑体"/>
              <w:b/>
              <w:highlight w:val="none"/>
            </w:rPr>
            <w:t xml:space="preserve">第一部分 </w:t>
          </w:r>
          <w:r>
            <w:rPr>
              <w:rFonts w:hint="eastAsia" w:ascii="黑体" w:hAnsi="黑体" w:eastAsia="黑体"/>
              <w:b/>
              <w:highlight w:val="none"/>
              <w:lang w:eastAsia="zh-CN"/>
            </w:rPr>
            <w:t>单位</w:t>
          </w:r>
          <w:r>
            <w:rPr>
              <w:rFonts w:hint="eastAsia" w:ascii="黑体" w:hAnsi="黑体" w:eastAsia="黑体"/>
              <w:b/>
              <w:bCs w:val="0"/>
              <w:highlight w:val="none"/>
            </w:rPr>
            <w:t>概况</w:t>
          </w:r>
          <w:r>
            <w:rPr>
              <w:b/>
            </w:rPr>
            <w:tab/>
          </w:r>
          <w:r>
            <w:rPr>
              <w:b/>
            </w:rPr>
            <w:fldChar w:fldCharType="begin"/>
          </w:r>
          <w:r>
            <w:rPr>
              <w:b/>
            </w:rPr>
            <w:instrText xml:space="preserve"> PAGEREF _Toc29355 \h </w:instrText>
          </w:r>
          <w:r>
            <w:rPr>
              <w:b/>
            </w:rPr>
            <w:fldChar w:fldCharType="separate"/>
          </w:r>
          <w:r>
            <w:rPr>
              <w:b/>
            </w:rPr>
            <w:t>1</w:t>
          </w:r>
          <w:r>
            <w:rPr>
              <w:b/>
            </w:rPr>
            <w:fldChar w:fldCharType="end"/>
          </w:r>
          <w:r>
            <w:rPr>
              <w:rFonts w:hint="eastAsia" w:ascii="黑体" w:hAnsi="黑体" w:eastAsia="黑体"/>
              <w:b/>
              <w:color w:val="auto"/>
              <w:highlight w:val="none"/>
            </w:rPr>
            <w:fldChar w:fldCharType="end"/>
          </w:r>
        </w:p>
        <w:p>
          <w:pPr>
            <w:pStyle w:val="32"/>
            <w:tabs>
              <w:tab w:val="right" w:leader="dot" w:pos="8306"/>
            </w:tabs>
          </w:pPr>
          <w:r>
            <w:rPr>
              <w:rFonts w:hint="eastAsia" w:ascii="黑体" w:hAnsi="黑体" w:eastAsia="黑体"/>
              <w:color w:val="auto"/>
              <w:highlight w:val="none"/>
            </w:rPr>
            <w:fldChar w:fldCharType="begin"/>
          </w:r>
          <w:r>
            <w:rPr>
              <w:rFonts w:hint="eastAsia" w:ascii="黑体" w:hAnsi="黑体" w:eastAsia="黑体"/>
              <w:highlight w:val="none"/>
            </w:rPr>
            <w:instrText xml:space="preserve"> HYPERLINK \l _Toc3045 </w:instrText>
          </w:r>
          <w:r>
            <w:rPr>
              <w:rFonts w:hint="eastAsia" w:ascii="黑体" w:hAnsi="黑体" w:eastAsia="黑体"/>
              <w:highlight w:val="none"/>
            </w:rPr>
            <w:fldChar w:fldCharType="separate"/>
          </w:r>
          <w:r>
            <w:rPr>
              <w:rFonts w:hint="eastAsia" w:ascii="黑体" w:hAnsi="黑体" w:eastAsia="黑体"/>
              <w:bCs w:val="0"/>
              <w:lang w:eastAsia="zh-CN"/>
            </w:rPr>
            <w:t xml:space="preserve">一、 </w:t>
          </w:r>
          <w:r>
            <w:rPr>
              <w:rFonts w:hint="eastAsia" w:ascii="黑体" w:hAnsi="黑体" w:eastAsia="黑体"/>
              <w:bCs w:val="0"/>
              <w:highlight w:val="none"/>
              <w:lang w:eastAsia="zh-CN"/>
            </w:rPr>
            <w:t>主要职责</w:t>
          </w:r>
          <w:r>
            <w:tab/>
          </w:r>
          <w:r>
            <w:fldChar w:fldCharType="begin"/>
          </w:r>
          <w:r>
            <w:instrText xml:space="preserve"> PAGEREF _Toc3045 \h </w:instrText>
          </w:r>
          <w:r>
            <w:fldChar w:fldCharType="separate"/>
          </w:r>
          <w:r>
            <w:t>1</w:t>
          </w:r>
          <w:r>
            <w:fldChar w:fldCharType="end"/>
          </w:r>
          <w:r>
            <w:rPr>
              <w:rFonts w:hint="eastAsia" w:ascii="黑体" w:hAnsi="黑体" w:eastAsia="黑体"/>
              <w:color w:val="auto"/>
              <w:highlight w:val="none"/>
            </w:rPr>
            <w:fldChar w:fldCharType="end"/>
          </w:r>
        </w:p>
        <w:p>
          <w:pPr>
            <w:pStyle w:val="32"/>
            <w:tabs>
              <w:tab w:val="right" w:leader="dot" w:pos="8306"/>
            </w:tabs>
          </w:pPr>
          <w:r>
            <w:rPr>
              <w:rFonts w:hint="eastAsia" w:ascii="黑体" w:hAnsi="黑体" w:eastAsia="黑体"/>
              <w:color w:val="auto"/>
              <w:highlight w:val="none"/>
            </w:rPr>
            <w:fldChar w:fldCharType="begin"/>
          </w:r>
          <w:r>
            <w:rPr>
              <w:rFonts w:hint="eastAsia" w:ascii="黑体" w:hAnsi="黑体" w:eastAsia="黑体"/>
              <w:highlight w:val="none"/>
            </w:rPr>
            <w:instrText xml:space="preserve"> HYPERLINK \l _Toc31111 </w:instrText>
          </w:r>
          <w:r>
            <w:rPr>
              <w:rFonts w:hint="eastAsia" w:ascii="黑体" w:hAnsi="黑体" w:eastAsia="黑体"/>
              <w:highlight w:val="none"/>
            </w:rPr>
            <w:fldChar w:fldCharType="separate"/>
          </w:r>
          <w:r>
            <w:rPr>
              <w:rFonts w:hint="eastAsia" w:ascii="黑体" w:hAnsi="黑体" w:eastAsia="黑体"/>
              <w:lang w:val="en-US" w:eastAsia="zh-CN"/>
            </w:rPr>
            <w:t xml:space="preserve">二、 </w:t>
          </w:r>
          <w:r>
            <w:rPr>
              <w:rFonts w:hint="eastAsia" w:ascii="黑体" w:hAnsi="黑体" w:eastAsia="黑体"/>
              <w:highlight w:val="none"/>
              <w:lang w:val="en-US" w:eastAsia="zh-CN"/>
            </w:rPr>
            <w:t>机构设置</w:t>
          </w:r>
          <w:r>
            <w:tab/>
          </w:r>
          <w:r>
            <w:fldChar w:fldCharType="begin"/>
          </w:r>
          <w:r>
            <w:instrText xml:space="preserve"> PAGEREF _Toc31111 \h </w:instrText>
          </w:r>
          <w:r>
            <w:fldChar w:fldCharType="separate"/>
          </w:r>
          <w:r>
            <w:t>1</w:t>
          </w:r>
          <w:r>
            <w:fldChar w:fldCharType="end"/>
          </w:r>
          <w:r>
            <w:rPr>
              <w:rFonts w:hint="eastAsia" w:ascii="黑体" w:hAnsi="黑体" w:eastAsia="黑体"/>
              <w:color w:val="auto"/>
              <w:highlight w:val="none"/>
            </w:rPr>
            <w:fldChar w:fldCharType="end"/>
          </w:r>
        </w:p>
        <w:p>
          <w:pPr>
            <w:pStyle w:val="31"/>
            <w:tabs>
              <w:tab w:val="right" w:leader="dot" w:pos="8306"/>
            </w:tabs>
            <w:rPr>
              <w:b/>
            </w:rPr>
          </w:pPr>
          <w:r>
            <w:rPr>
              <w:rFonts w:hint="eastAsia" w:ascii="黑体" w:hAnsi="黑体" w:eastAsia="黑体"/>
              <w:b/>
              <w:color w:val="auto"/>
              <w:highlight w:val="none"/>
            </w:rPr>
            <w:fldChar w:fldCharType="begin"/>
          </w:r>
          <w:r>
            <w:rPr>
              <w:rFonts w:hint="eastAsia" w:ascii="黑体" w:hAnsi="黑体" w:eastAsia="黑体"/>
              <w:b/>
              <w:highlight w:val="none"/>
            </w:rPr>
            <w:instrText xml:space="preserve"> HYPERLINK \l _Toc18271 </w:instrText>
          </w:r>
          <w:r>
            <w:rPr>
              <w:rFonts w:hint="eastAsia" w:ascii="黑体" w:hAnsi="黑体" w:eastAsia="黑体"/>
              <w:b/>
              <w:highlight w:val="none"/>
            </w:rPr>
            <w:fldChar w:fldCharType="separate"/>
          </w:r>
          <w:r>
            <w:rPr>
              <w:rFonts w:hint="eastAsia" w:ascii="黑体" w:hAnsi="黑体" w:eastAsia="黑体"/>
              <w:b/>
              <w:bCs/>
              <w:highlight w:val="none"/>
            </w:rPr>
            <w:t xml:space="preserve">第二部分 </w:t>
          </w:r>
          <w:r>
            <w:rPr>
              <w:rFonts w:hint="eastAsia" w:ascii="黑体" w:hAnsi="黑体" w:eastAsia="黑体"/>
              <w:b/>
              <w:bCs/>
              <w:highlight w:val="none"/>
              <w:lang w:val="en-US" w:eastAsia="zh-CN"/>
            </w:rPr>
            <w:t>2022年度</w:t>
          </w:r>
          <w:r>
            <w:rPr>
              <w:rFonts w:hint="eastAsia" w:ascii="黑体" w:hAnsi="黑体" w:eastAsia="黑体"/>
              <w:b/>
              <w:bCs/>
              <w:highlight w:val="none"/>
              <w:lang w:eastAsia="zh-CN"/>
            </w:rPr>
            <w:t>单位</w:t>
          </w:r>
          <w:r>
            <w:rPr>
              <w:rFonts w:hint="eastAsia" w:ascii="黑体" w:hAnsi="黑体" w:eastAsia="黑体"/>
              <w:b/>
              <w:bCs/>
              <w:highlight w:val="none"/>
            </w:rPr>
            <w:t>决算情况说明</w:t>
          </w:r>
          <w:r>
            <w:rPr>
              <w:b/>
            </w:rPr>
            <w:tab/>
          </w:r>
          <w:r>
            <w:rPr>
              <w:b/>
            </w:rPr>
            <w:fldChar w:fldCharType="begin"/>
          </w:r>
          <w:r>
            <w:rPr>
              <w:b/>
            </w:rPr>
            <w:instrText xml:space="preserve"> PAGEREF _Toc18271 \h </w:instrText>
          </w:r>
          <w:r>
            <w:rPr>
              <w:b/>
            </w:rPr>
            <w:fldChar w:fldCharType="separate"/>
          </w:r>
          <w:r>
            <w:rPr>
              <w:b/>
            </w:rPr>
            <w:t>2</w:t>
          </w:r>
          <w:r>
            <w:rPr>
              <w:b/>
            </w:rPr>
            <w:fldChar w:fldCharType="end"/>
          </w:r>
          <w:r>
            <w:rPr>
              <w:rFonts w:hint="eastAsia" w:ascii="黑体" w:hAnsi="黑体" w:eastAsia="黑体"/>
              <w:b/>
              <w:color w:val="auto"/>
              <w:highlight w:val="none"/>
            </w:rPr>
            <w:fldChar w:fldCharType="end"/>
          </w:r>
        </w:p>
        <w:p>
          <w:pPr>
            <w:pStyle w:val="32"/>
            <w:tabs>
              <w:tab w:val="right" w:leader="dot" w:pos="8306"/>
            </w:tabs>
          </w:pPr>
          <w:r>
            <w:rPr>
              <w:rFonts w:hint="eastAsia" w:ascii="黑体" w:hAnsi="黑体" w:eastAsia="黑体"/>
              <w:color w:val="auto"/>
              <w:highlight w:val="none"/>
            </w:rPr>
            <w:fldChar w:fldCharType="begin"/>
          </w:r>
          <w:r>
            <w:rPr>
              <w:rFonts w:hint="eastAsia" w:ascii="黑体" w:hAnsi="黑体" w:eastAsia="黑体"/>
              <w:highlight w:val="none"/>
            </w:rPr>
            <w:instrText xml:space="preserve"> HYPERLINK \l _Toc4495 </w:instrText>
          </w:r>
          <w:r>
            <w:rPr>
              <w:rFonts w:hint="eastAsia" w:ascii="黑体" w:hAnsi="黑体" w:eastAsia="黑体"/>
              <w:highlight w:val="none"/>
            </w:rPr>
            <w:fldChar w:fldCharType="separate"/>
          </w:r>
          <w:r>
            <w:rPr>
              <w:rFonts w:hint="default" w:ascii="黑体" w:hAnsi="黑体" w:eastAsia="黑体"/>
            </w:rPr>
            <w:t xml:space="preserve">一、 </w:t>
          </w:r>
          <w:r>
            <w:rPr>
              <w:rFonts w:hint="eastAsia" w:ascii="黑体" w:hAnsi="黑体" w:eastAsia="黑体"/>
              <w:szCs w:val="32"/>
              <w:highlight w:val="none"/>
            </w:rPr>
            <w:t>收</w:t>
          </w:r>
          <w:r>
            <w:rPr>
              <w:rFonts w:hint="eastAsia" w:ascii="黑体" w:hAnsi="黑体" w:eastAsia="黑体"/>
              <w:highlight w:val="none"/>
            </w:rPr>
            <w:t>入支出决算总体情况说明</w:t>
          </w:r>
          <w:r>
            <w:tab/>
          </w:r>
          <w:r>
            <w:fldChar w:fldCharType="begin"/>
          </w:r>
          <w:r>
            <w:instrText xml:space="preserve"> PAGEREF _Toc4495 \h </w:instrText>
          </w:r>
          <w:r>
            <w:fldChar w:fldCharType="separate"/>
          </w:r>
          <w:r>
            <w:t>2</w:t>
          </w:r>
          <w:r>
            <w:fldChar w:fldCharType="end"/>
          </w:r>
          <w:r>
            <w:rPr>
              <w:rFonts w:hint="eastAsia" w:ascii="黑体" w:hAnsi="黑体" w:eastAsia="黑体"/>
              <w:color w:val="auto"/>
              <w:highlight w:val="none"/>
            </w:rPr>
            <w:fldChar w:fldCharType="end"/>
          </w:r>
        </w:p>
        <w:p>
          <w:pPr>
            <w:pStyle w:val="32"/>
            <w:tabs>
              <w:tab w:val="right" w:leader="dot" w:pos="8306"/>
            </w:tabs>
            <w:jc w:val="both"/>
          </w:pPr>
          <w:r>
            <w:rPr>
              <w:rFonts w:hint="eastAsia" w:ascii="黑体" w:hAnsi="黑体" w:eastAsia="黑体"/>
              <w:color w:val="auto"/>
              <w:highlight w:val="none"/>
            </w:rPr>
            <w:fldChar w:fldCharType="begin"/>
          </w:r>
          <w:r>
            <w:rPr>
              <w:rFonts w:hint="eastAsia" w:ascii="黑体" w:hAnsi="黑体" w:eastAsia="黑体"/>
              <w:highlight w:val="none"/>
            </w:rPr>
            <w:instrText xml:space="preserve"> HYPERLINK \l _Toc28678 </w:instrText>
          </w:r>
          <w:r>
            <w:rPr>
              <w:rFonts w:hint="eastAsia" w:ascii="黑体" w:hAnsi="黑体" w:eastAsia="黑体"/>
              <w:highlight w:val="none"/>
            </w:rPr>
            <w:fldChar w:fldCharType="separate"/>
          </w:r>
          <w:r>
            <w:rPr>
              <w:rFonts w:hint="default" w:ascii="黑体" w:hAnsi="黑体" w:eastAsia="黑体"/>
            </w:rPr>
            <w:t xml:space="preserve">二、 </w:t>
          </w:r>
          <w:r>
            <w:rPr>
              <w:rFonts w:hint="eastAsia" w:ascii="黑体" w:hAnsi="黑体" w:eastAsia="黑体"/>
              <w:szCs w:val="32"/>
              <w:highlight w:val="none"/>
            </w:rPr>
            <w:t>收</w:t>
          </w:r>
          <w:r>
            <w:rPr>
              <w:rFonts w:hint="eastAsia" w:ascii="黑体" w:hAnsi="黑体" w:eastAsia="黑体"/>
              <w:highlight w:val="none"/>
            </w:rPr>
            <w:t>入决算情况说明</w:t>
          </w:r>
          <w:r>
            <w:tab/>
          </w:r>
          <w:r>
            <w:fldChar w:fldCharType="begin"/>
          </w:r>
          <w:r>
            <w:instrText xml:space="preserve"> PAGEREF _Toc28678 \h </w:instrText>
          </w:r>
          <w:r>
            <w:fldChar w:fldCharType="separate"/>
          </w:r>
          <w:r>
            <w:t>2</w:t>
          </w:r>
          <w:r>
            <w:fldChar w:fldCharType="end"/>
          </w:r>
          <w:r>
            <w:rPr>
              <w:rFonts w:hint="eastAsia" w:ascii="黑体" w:hAnsi="黑体" w:eastAsia="黑体"/>
              <w:color w:val="auto"/>
              <w:highlight w:val="none"/>
            </w:rPr>
            <w:fldChar w:fldCharType="end"/>
          </w:r>
        </w:p>
        <w:p>
          <w:pPr>
            <w:pStyle w:val="32"/>
            <w:tabs>
              <w:tab w:val="right" w:leader="dot" w:pos="8306"/>
            </w:tabs>
          </w:pPr>
          <w:r>
            <w:rPr>
              <w:rFonts w:hint="eastAsia" w:ascii="黑体" w:hAnsi="黑体" w:eastAsia="黑体"/>
              <w:color w:val="auto"/>
              <w:highlight w:val="none"/>
            </w:rPr>
            <w:fldChar w:fldCharType="begin"/>
          </w:r>
          <w:r>
            <w:rPr>
              <w:rFonts w:hint="eastAsia" w:ascii="黑体" w:hAnsi="黑体" w:eastAsia="黑体"/>
              <w:highlight w:val="none"/>
            </w:rPr>
            <w:instrText xml:space="preserve"> HYPERLINK \l _Toc16059 </w:instrText>
          </w:r>
          <w:r>
            <w:rPr>
              <w:rFonts w:hint="eastAsia" w:ascii="黑体" w:hAnsi="黑体" w:eastAsia="黑体"/>
              <w:highlight w:val="none"/>
            </w:rPr>
            <w:fldChar w:fldCharType="separate"/>
          </w:r>
          <w:r>
            <w:rPr>
              <w:rFonts w:hint="default" w:ascii="黑体" w:hAnsi="黑体" w:eastAsia="黑体"/>
            </w:rPr>
            <w:t xml:space="preserve">三、 </w:t>
          </w:r>
          <w:r>
            <w:rPr>
              <w:rFonts w:hint="eastAsia" w:ascii="黑体" w:hAnsi="黑体" w:eastAsia="黑体"/>
              <w:szCs w:val="32"/>
              <w:highlight w:val="none"/>
            </w:rPr>
            <w:t>支</w:t>
          </w:r>
          <w:r>
            <w:rPr>
              <w:rFonts w:hint="eastAsia" w:ascii="黑体" w:hAnsi="黑体" w:eastAsia="黑体"/>
              <w:highlight w:val="none"/>
            </w:rPr>
            <w:t>出决算情况说明</w:t>
          </w:r>
          <w:r>
            <w:tab/>
          </w:r>
          <w:r>
            <w:fldChar w:fldCharType="begin"/>
          </w:r>
          <w:r>
            <w:instrText xml:space="preserve"> PAGEREF _Toc16059 \h </w:instrText>
          </w:r>
          <w:r>
            <w:fldChar w:fldCharType="separate"/>
          </w:r>
          <w:r>
            <w:t>3</w:t>
          </w:r>
          <w:r>
            <w:fldChar w:fldCharType="end"/>
          </w:r>
          <w:r>
            <w:rPr>
              <w:rFonts w:hint="eastAsia" w:ascii="黑体" w:hAnsi="黑体" w:eastAsia="黑体"/>
              <w:color w:val="auto"/>
              <w:highlight w:val="none"/>
            </w:rPr>
            <w:fldChar w:fldCharType="end"/>
          </w:r>
        </w:p>
        <w:p>
          <w:pPr>
            <w:pStyle w:val="32"/>
            <w:tabs>
              <w:tab w:val="right" w:leader="dot" w:pos="8306"/>
            </w:tabs>
          </w:pPr>
          <w:r>
            <w:rPr>
              <w:rFonts w:hint="eastAsia" w:ascii="黑体" w:hAnsi="黑体" w:eastAsia="黑体"/>
              <w:color w:val="auto"/>
              <w:highlight w:val="none"/>
            </w:rPr>
            <w:fldChar w:fldCharType="begin"/>
          </w:r>
          <w:r>
            <w:rPr>
              <w:rFonts w:hint="eastAsia" w:ascii="黑体" w:hAnsi="黑体" w:eastAsia="黑体"/>
              <w:highlight w:val="none"/>
            </w:rPr>
            <w:instrText xml:space="preserve"> HYPERLINK \l _Toc21276 </w:instrText>
          </w:r>
          <w:r>
            <w:rPr>
              <w:rFonts w:hint="eastAsia" w:ascii="黑体" w:hAnsi="黑体" w:eastAsia="黑体"/>
              <w:highlight w:val="none"/>
            </w:rPr>
            <w:fldChar w:fldCharType="separate"/>
          </w:r>
          <w:r>
            <w:rPr>
              <w:rFonts w:hint="eastAsia" w:ascii="黑体" w:hAnsi="黑体" w:eastAsia="黑体"/>
              <w:szCs w:val="32"/>
              <w:highlight w:val="none"/>
            </w:rPr>
            <w:t>四、财</w:t>
          </w:r>
          <w:r>
            <w:rPr>
              <w:rFonts w:hint="eastAsia" w:ascii="黑体" w:hAnsi="黑体" w:eastAsia="黑体"/>
              <w:highlight w:val="none"/>
            </w:rPr>
            <w:t>政拨款收入支出决算总体情况说明</w:t>
          </w:r>
          <w:r>
            <w:tab/>
          </w:r>
          <w:r>
            <w:fldChar w:fldCharType="begin"/>
          </w:r>
          <w:r>
            <w:instrText xml:space="preserve"> PAGEREF _Toc21276 \h </w:instrText>
          </w:r>
          <w:r>
            <w:fldChar w:fldCharType="separate"/>
          </w:r>
          <w:r>
            <w:t>3</w:t>
          </w:r>
          <w:r>
            <w:fldChar w:fldCharType="end"/>
          </w:r>
          <w:r>
            <w:rPr>
              <w:rFonts w:hint="eastAsia" w:ascii="黑体" w:hAnsi="黑体" w:eastAsia="黑体"/>
              <w:color w:val="auto"/>
              <w:highlight w:val="none"/>
            </w:rPr>
            <w:fldChar w:fldCharType="end"/>
          </w:r>
        </w:p>
        <w:p>
          <w:pPr>
            <w:pStyle w:val="32"/>
            <w:tabs>
              <w:tab w:val="right" w:leader="dot" w:pos="8306"/>
            </w:tabs>
          </w:pPr>
          <w:r>
            <w:rPr>
              <w:rFonts w:hint="eastAsia" w:ascii="黑体" w:hAnsi="黑体" w:eastAsia="黑体"/>
              <w:color w:val="auto"/>
              <w:highlight w:val="none"/>
            </w:rPr>
            <w:fldChar w:fldCharType="begin"/>
          </w:r>
          <w:r>
            <w:rPr>
              <w:rFonts w:hint="eastAsia" w:ascii="黑体" w:hAnsi="黑体" w:eastAsia="黑体"/>
              <w:highlight w:val="none"/>
            </w:rPr>
            <w:instrText xml:space="preserve"> HYPERLINK \l _Toc8155 </w:instrText>
          </w:r>
          <w:r>
            <w:rPr>
              <w:rFonts w:hint="eastAsia" w:ascii="黑体" w:hAnsi="黑体" w:eastAsia="黑体"/>
              <w:highlight w:val="none"/>
            </w:rPr>
            <w:fldChar w:fldCharType="separate"/>
          </w:r>
          <w:r>
            <w:rPr>
              <w:rFonts w:hint="eastAsia" w:ascii="黑体" w:hAnsi="黑体" w:eastAsia="黑体"/>
              <w:szCs w:val="32"/>
              <w:highlight w:val="none"/>
            </w:rPr>
            <w:t>五、一</w:t>
          </w:r>
          <w:r>
            <w:rPr>
              <w:rFonts w:hint="eastAsia" w:ascii="黑体" w:hAnsi="黑体" w:eastAsia="黑体"/>
              <w:highlight w:val="none"/>
            </w:rPr>
            <w:t>般公共预算财政拨款支出决算情况说明</w:t>
          </w:r>
          <w:r>
            <w:tab/>
          </w:r>
          <w:r>
            <w:fldChar w:fldCharType="begin"/>
          </w:r>
          <w:r>
            <w:instrText xml:space="preserve"> PAGEREF _Toc8155 \h </w:instrText>
          </w:r>
          <w:r>
            <w:fldChar w:fldCharType="separate"/>
          </w:r>
          <w:r>
            <w:t>4</w:t>
          </w:r>
          <w:r>
            <w:fldChar w:fldCharType="end"/>
          </w:r>
          <w:r>
            <w:rPr>
              <w:rFonts w:hint="eastAsia" w:ascii="黑体" w:hAnsi="黑体" w:eastAsia="黑体"/>
              <w:color w:val="auto"/>
              <w:highlight w:val="none"/>
            </w:rPr>
            <w:fldChar w:fldCharType="end"/>
          </w:r>
        </w:p>
        <w:p>
          <w:pPr>
            <w:pStyle w:val="32"/>
            <w:tabs>
              <w:tab w:val="right" w:leader="dot" w:pos="8306"/>
            </w:tabs>
          </w:pPr>
          <w:r>
            <w:rPr>
              <w:rFonts w:hint="eastAsia" w:ascii="黑体" w:hAnsi="黑体" w:eastAsia="黑体"/>
              <w:color w:val="auto"/>
              <w:highlight w:val="none"/>
            </w:rPr>
            <w:fldChar w:fldCharType="begin"/>
          </w:r>
          <w:r>
            <w:rPr>
              <w:rFonts w:hint="eastAsia" w:ascii="黑体" w:hAnsi="黑体" w:eastAsia="黑体"/>
              <w:highlight w:val="none"/>
            </w:rPr>
            <w:instrText xml:space="preserve"> HYPERLINK \l _Toc1786 </w:instrText>
          </w:r>
          <w:r>
            <w:rPr>
              <w:rFonts w:hint="eastAsia" w:ascii="黑体" w:hAnsi="黑体" w:eastAsia="黑体"/>
              <w:highlight w:val="none"/>
            </w:rPr>
            <w:fldChar w:fldCharType="separate"/>
          </w:r>
          <w:r>
            <w:rPr>
              <w:rFonts w:hint="eastAsia" w:ascii="黑体" w:eastAsia="黑体"/>
              <w:szCs w:val="32"/>
              <w:highlight w:val="none"/>
            </w:rPr>
            <w:t>六、</w:t>
          </w:r>
          <w:r>
            <w:rPr>
              <w:rFonts w:hint="eastAsia" w:ascii="黑体" w:hAnsi="黑体" w:eastAsia="黑体"/>
              <w:szCs w:val="32"/>
              <w:highlight w:val="none"/>
            </w:rPr>
            <w:t>一</w:t>
          </w:r>
          <w:r>
            <w:rPr>
              <w:rFonts w:hint="eastAsia" w:ascii="黑体" w:hAnsi="黑体" w:eastAsia="黑体"/>
              <w:highlight w:val="none"/>
            </w:rPr>
            <w:t>般公共预算财政拨款基本支出决算情况说明</w:t>
          </w:r>
          <w:r>
            <w:tab/>
          </w:r>
          <w:r>
            <w:fldChar w:fldCharType="begin"/>
          </w:r>
          <w:r>
            <w:instrText xml:space="preserve"> PAGEREF _Toc1786 \h </w:instrText>
          </w:r>
          <w:r>
            <w:fldChar w:fldCharType="separate"/>
          </w:r>
          <w:r>
            <w:t>7</w:t>
          </w:r>
          <w:r>
            <w:fldChar w:fldCharType="end"/>
          </w:r>
          <w:r>
            <w:rPr>
              <w:rFonts w:hint="eastAsia" w:ascii="黑体" w:hAnsi="黑体" w:eastAsia="黑体"/>
              <w:color w:val="auto"/>
              <w:highlight w:val="none"/>
            </w:rPr>
            <w:fldChar w:fldCharType="end"/>
          </w:r>
        </w:p>
        <w:p>
          <w:pPr>
            <w:pStyle w:val="32"/>
            <w:tabs>
              <w:tab w:val="right" w:leader="dot" w:pos="8306"/>
            </w:tabs>
          </w:pPr>
          <w:r>
            <w:rPr>
              <w:rFonts w:hint="eastAsia" w:ascii="黑体" w:hAnsi="黑体" w:eastAsia="黑体"/>
              <w:color w:val="auto"/>
              <w:highlight w:val="none"/>
            </w:rPr>
            <w:fldChar w:fldCharType="begin"/>
          </w:r>
          <w:r>
            <w:rPr>
              <w:rFonts w:hint="eastAsia" w:ascii="黑体" w:hAnsi="黑体" w:eastAsia="黑体"/>
              <w:highlight w:val="none"/>
            </w:rPr>
            <w:instrText xml:space="preserve"> HYPERLINK \l _Toc18289 </w:instrText>
          </w:r>
          <w:r>
            <w:rPr>
              <w:rFonts w:hint="eastAsia" w:ascii="黑体" w:hAnsi="黑体" w:eastAsia="黑体"/>
              <w:highlight w:val="none"/>
            </w:rPr>
            <w:fldChar w:fldCharType="separate"/>
          </w:r>
          <w:r>
            <w:rPr>
              <w:rFonts w:hint="eastAsia" w:ascii="黑体" w:eastAsia="黑体"/>
              <w:szCs w:val="32"/>
              <w:highlight w:val="none"/>
            </w:rPr>
            <w:t>七、</w:t>
          </w:r>
          <w:r>
            <w:rPr>
              <w:rFonts w:hint="eastAsia" w:ascii="黑体" w:hAnsi="黑体" w:eastAsia="黑体"/>
              <w:highlight w:val="none"/>
            </w:rPr>
            <w:t>财政拨款“三公”经费支出决算情况说明</w:t>
          </w:r>
          <w:r>
            <w:tab/>
          </w:r>
          <w:r>
            <w:fldChar w:fldCharType="begin"/>
          </w:r>
          <w:r>
            <w:instrText xml:space="preserve"> PAGEREF _Toc18289 \h </w:instrText>
          </w:r>
          <w:r>
            <w:fldChar w:fldCharType="separate"/>
          </w:r>
          <w:r>
            <w:t>7</w:t>
          </w:r>
          <w:r>
            <w:fldChar w:fldCharType="end"/>
          </w:r>
          <w:r>
            <w:rPr>
              <w:rFonts w:hint="eastAsia" w:ascii="黑体" w:hAnsi="黑体" w:eastAsia="黑体"/>
              <w:color w:val="auto"/>
              <w:highlight w:val="none"/>
            </w:rPr>
            <w:fldChar w:fldCharType="end"/>
          </w:r>
        </w:p>
        <w:p>
          <w:pPr>
            <w:pStyle w:val="32"/>
            <w:tabs>
              <w:tab w:val="right" w:leader="dot" w:pos="8306"/>
            </w:tabs>
          </w:pPr>
          <w:r>
            <w:rPr>
              <w:rFonts w:hint="eastAsia" w:ascii="黑体" w:hAnsi="黑体" w:eastAsia="黑体"/>
              <w:color w:val="auto"/>
              <w:highlight w:val="none"/>
            </w:rPr>
            <w:fldChar w:fldCharType="begin"/>
          </w:r>
          <w:r>
            <w:rPr>
              <w:rFonts w:hint="eastAsia" w:ascii="黑体" w:hAnsi="黑体" w:eastAsia="黑体"/>
              <w:highlight w:val="none"/>
            </w:rPr>
            <w:instrText xml:space="preserve"> HYPERLINK \l _Toc19137 </w:instrText>
          </w:r>
          <w:r>
            <w:rPr>
              <w:rFonts w:hint="eastAsia" w:ascii="黑体" w:hAnsi="黑体" w:eastAsia="黑体"/>
              <w:highlight w:val="none"/>
            </w:rPr>
            <w:fldChar w:fldCharType="separate"/>
          </w:r>
          <w:r>
            <w:rPr>
              <w:rFonts w:hint="eastAsia" w:ascii="黑体" w:eastAsia="黑体"/>
              <w:szCs w:val="32"/>
              <w:highlight w:val="none"/>
            </w:rPr>
            <w:t>八、</w:t>
          </w:r>
          <w:r>
            <w:rPr>
              <w:rFonts w:hint="eastAsia" w:ascii="黑体" w:hAnsi="黑体" w:eastAsia="黑体"/>
              <w:highlight w:val="none"/>
            </w:rPr>
            <w:t>政府性基金预算支出决算情况说明</w:t>
          </w:r>
          <w:r>
            <w:tab/>
          </w:r>
          <w:r>
            <w:fldChar w:fldCharType="begin"/>
          </w:r>
          <w:r>
            <w:instrText xml:space="preserve"> PAGEREF _Toc19137 \h </w:instrText>
          </w:r>
          <w:r>
            <w:fldChar w:fldCharType="separate"/>
          </w:r>
          <w:r>
            <w:t>9</w:t>
          </w:r>
          <w:r>
            <w:fldChar w:fldCharType="end"/>
          </w:r>
          <w:r>
            <w:rPr>
              <w:rFonts w:hint="eastAsia" w:ascii="黑体" w:hAnsi="黑体" w:eastAsia="黑体"/>
              <w:color w:val="auto"/>
              <w:highlight w:val="none"/>
            </w:rPr>
            <w:fldChar w:fldCharType="end"/>
          </w:r>
        </w:p>
        <w:p>
          <w:pPr>
            <w:pStyle w:val="32"/>
            <w:tabs>
              <w:tab w:val="right" w:leader="dot" w:pos="8306"/>
            </w:tabs>
          </w:pPr>
          <w:r>
            <w:rPr>
              <w:rFonts w:hint="eastAsia" w:ascii="黑体" w:hAnsi="黑体" w:eastAsia="黑体"/>
              <w:color w:val="auto"/>
              <w:highlight w:val="none"/>
            </w:rPr>
            <w:fldChar w:fldCharType="begin"/>
          </w:r>
          <w:r>
            <w:rPr>
              <w:rFonts w:hint="eastAsia" w:ascii="黑体" w:hAnsi="黑体" w:eastAsia="黑体"/>
              <w:highlight w:val="none"/>
            </w:rPr>
            <w:instrText xml:space="preserve"> HYPERLINK \l _Toc16421 </w:instrText>
          </w:r>
          <w:r>
            <w:rPr>
              <w:rFonts w:hint="eastAsia" w:ascii="黑体" w:hAnsi="黑体" w:eastAsia="黑体"/>
              <w:highlight w:val="none"/>
            </w:rPr>
            <w:fldChar w:fldCharType="separate"/>
          </w:r>
          <w:r>
            <w:rPr>
              <w:rFonts w:hint="eastAsia" w:ascii="黑体" w:hAnsi="黑体" w:eastAsia="黑体"/>
            </w:rPr>
            <w:t xml:space="preserve">九、 </w:t>
          </w:r>
          <w:r>
            <w:rPr>
              <w:rFonts w:hint="eastAsia" w:ascii="黑体" w:hAnsi="黑体" w:eastAsia="黑体"/>
              <w:highlight w:val="none"/>
            </w:rPr>
            <w:t>国有资本经营预算支出决算情况说明</w:t>
          </w:r>
          <w:r>
            <w:tab/>
          </w:r>
          <w:r>
            <w:fldChar w:fldCharType="begin"/>
          </w:r>
          <w:r>
            <w:instrText xml:space="preserve"> PAGEREF _Toc16421 \h </w:instrText>
          </w:r>
          <w:r>
            <w:fldChar w:fldCharType="separate"/>
          </w:r>
          <w:r>
            <w:t>9</w:t>
          </w:r>
          <w:r>
            <w:fldChar w:fldCharType="end"/>
          </w:r>
          <w:r>
            <w:rPr>
              <w:rFonts w:hint="eastAsia" w:ascii="黑体" w:hAnsi="黑体" w:eastAsia="黑体"/>
              <w:color w:val="auto"/>
              <w:highlight w:val="none"/>
            </w:rPr>
            <w:fldChar w:fldCharType="end"/>
          </w:r>
        </w:p>
        <w:p>
          <w:pPr>
            <w:pStyle w:val="32"/>
            <w:tabs>
              <w:tab w:val="right" w:leader="dot" w:pos="8306"/>
            </w:tabs>
          </w:pPr>
          <w:r>
            <w:rPr>
              <w:rFonts w:hint="eastAsia" w:ascii="黑体" w:hAnsi="黑体" w:eastAsia="黑体"/>
              <w:color w:val="auto"/>
              <w:highlight w:val="none"/>
            </w:rPr>
            <w:fldChar w:fldCharType="begin"/>
          </w:r>
          <w:r>
            <w:rPr>
              <w:rFonts w:hint="eastAsia" w:ascii="黑体" w:hAnsi="黑体" w:eastAsia="黑体"/>
              <w:highlight w:val="none"/>
            </w:rPr>
            <w:instrText xml:space="preserve"> HYPERLINK \l _Toc14771 </w:instrText>
          </w:r>
          <w:r>
            <w:rPr>
              <w:rFonts w:hint="eastAsia" w:ascii="黑体" w:hAnsi="黑体" w:eastAsia="黑体"/>
              <w:highlight w:val="none"/>
            </w:rPr>
            <w:fldChar w:fldCharType="separate"/>
          </w:r>
          <w:r>
            <w:rPr>
              <w:rFonts w:hint="eastAsia" w:ascii="黑体" w:hAnsi="黑体" w:eastAsia="黑体"/>
            </w:rPr>
            <w:t xml:space="preserve">十、 </w:t>
          </w:r>
          <w:r>
            <w:rPr>
              <w:rFonts w:hint="eastAsia" w:ascii="黑体" w:hAnsi="黑体" w:eastAsia="黑体"/>
              <w:highlight w:val="none"/>
            </w:rPr>
            <w:t>其他重要事项的情况说明</w:t>
          </w:r>
          <w:r>
            <w:tab/>
          </w:r>
          <w:r>
            <w:fldChar w:fldCharType="begin"/>
          </w:r>
          <w:r>
            <w:instrText xml:space="preserve"> PAGEREF _Toc14771 \h </w:instrText>
          </w:r>
          <w:r>
            <w:fldChar w:fldCharType="separate"/>
          </w:r>
          <w:r>
            <w:t>9</w:t>
          </w:r>
          <w:r>
            <w:fldChar w:fldCharType="end"/>
          </w:r>
          <w:r>
            <w:rPr>
              <w:rFonts w:hint="eastAsia" w:ascii="黑体" w:hAnsi="黑体" w:eastAsia="黑体"/>
              <w:color w:val="auto"/>
              <w:highlight w:val="none"/>
            </w:rPr>
            <w:fldChar w:fldCharType="end"/>
          </w:r>
        </w:p>
        <w:p>
          <w:pPr>
            <w:pStyle w:val="31"/>
            <w:tabs>
              <w:tab w:val="right" w:leader="dot" w:pos="8306"/>
            </w:tabs>
            <w:rPr>
              <w:b/>
            </w:rPr>
          </w:pPr>
          <w:r>
            <w:rPr>
              <w:rFonts w:hint="eastAsia" w:ascii="黑体" w:hAnsi="黑体" w:eastAsia="黑体"/>
              <w:b/>
              <w:color w:val="auto"/>
              <w:highlight w:val="none"/>
            </w:rPr>
            <w:fldChar w:fldCharType="begin"/>
          </w:r>
          <w:r>
            <w:rPr>
              <w:rFonts w:hint="eastAsia" w:ascii="黑体" w:hAnsi="黑体" w:eastAsia="黑体"/>
              <w:b/>
              <w:highlight w:val="none"/>
            </w:rPr>
            <w:instrText xml:space="preserve"> HYPERLINK \l _Toc30924 </w:instrText>
          </w:r>
          <w:r>
            <w:rPr>
              <w:rFonts w:hint="eastAsia" w:ascii="黑体" w:hAnsi="黑体" w:eastAsia="黑体"/>
              <w:b/>
              <w:highlight w:val="none"/>
            </w:rPr>
            <w:fldChar w:fldCharType="separate"/>
          </w:r>
          <w:r>
            <w:rPr>
              <w:rFonts w:hint="eastAsia" w:ascii="黑体" w:hAnsi="黑体" w:eastAsia="黑体" w:cs="黑体"/>
              <w:b/>
              <w:szCs w:val="44"/>
            </w:rPr>
            <w:t xml:space="preserve">第三部分 </w:t>
          </w:r>
          <w:r>
            <w:rPr>
              <w:rFonts w:hint="eastAsia" w:ascii="黑体" w:hAnsi="黑体" w:eastAsia="黑体"/>
              <w:b/>
              <w:szCs w:val="44"/>
              <w:highlight w:val="none"/>
            </w:rPr>
            <w:t>名</w:t>
          </w:r>
          <w:r>
            <w:rPr>
              <w:rFonts w:hint="eastAsia" w:ascii="黑体" w:hAnsi="黑体" w:eastAsia="黑体"/>
              <w:b/>
              <w:highlight w:val="none"/>
            </w:rPr>
            <w:t>词解释</w:t>
          </w:r>
          <w:r>
            <w:rPr>
              <w:b/>
            </w:rPr>
            <w:tab/>
          </w:r>
          <w:r>
            <w:rPr>
              <w:b/>
            </w:rPr>
            <w:fldChar w:fldCharType="begin"/>
          </w:r>
          <w:r>
            <w:rPr>
              <w:b/>
            </w:rPr>
            <w:instrText xml:space="preserve"> PAGEREF _Toc30924 \h </w:instrText>
          </w:r>
          <w:r>
            <w:rPr>
              <w:b/>
            </w:rPr>
            <w:fldChar w:fldCharType="separate"/>
          </w:r>
          <w:r>
            <w:rPr>
              <w:b/>
            </w:rPr>
            <w:t>11</w:t>
          </w:r>
          <w:r>
            <w:rPr>
              <w:b/>
            </w:rPr>
            <w:fldChar w:fldCharType="end"/>
          </w:r>
          <w:r>
            <w:rPr>
              <w:rFonts w:hint="eastAsia" w:ascii="黑体" w:hAnsi="黑体" w:eastAsia="黑体"/>
              <w:b/>
              <w:color w:val="auto"/>
              <w:highlight w:val="none"/>
            </w:rPr>
            <w:fldChar w:fldCharType="end"/>
          </w:r>
        </w:p>
        <w:p>
          <w:pPr>
            <w:pStyle w:val="32"/>
            <w:tabs>
              <w:tab w:val="right" w:leader="dot" w:pos="8306"/>
            </w:tabs>
            <w:ind w:left="0" w:leftChars="0" w:firstLine="0" w:firstLineChars="0"/>
            <w:rPr>
              <w:rFonts w:hint="eastAsia" w:ascii="黑体" w:hAnsi="黑体" w:eastAsia="黑体"/>
              <w:b/>
              <w:bCs/>
              <w:color w:val="auto"/>
              <w:highlight w:val="none"/>
              <w:lang w:val="en-US" w:eastAsia="zh-CN"/>
            </w:rPr>
          </w:pPr>
          <w:r>
            <w:rPr>
              <w:rFonts w:hint="eastAsia" w:ascii="黑体" w:hAnsi="黑体" w:eastAsia="黑体"/>
              <w:b/>
              <w:bCs/>
              <w:color w:val="auto"/>
              <w:highlight w:val="none"/>
              <w:lang w:eastAsia="zh-CN"/>
            </w:rPr>
            <w:t>第四部分</w:t>
          </w:r>
          <w:r>
            <w:rPr>
              <w:rFonts w:hint="eastAsia" w:ascii="黑体" w:hAnsi="黑体" w:eastAsia="黑体"/>
              <w:b/>
              <w:bCs/>
              <w:color w:val="auto"/>
              <w:highlight w:val="none"/>
              <w:lang w:val="en-US" w:eastAsia="zh-CN"/>
            </w:rPr>
            <w:t xml:space="preserve"> 附件</w:t>
          </w:r>
        </w:p>
        <w:p>
          <w:pPr>
            <w:pStyle w:val="32"/>
            <w:tabs>
              <w:tab w:val="right" w:leader="dot" w:pos="8306"/>
            </w:tabs>
          </w:pPr>
          <w:r>
            <w:rPr>
              <w:rFonts w:hint="eastAsia" w:ascii="黑体" w:hAnsi="黑体" w:eastAsia="黑体"/>
              <w:color w:val="auto"/>
              <w:highlight w:val="none"/>
            </w:rPr>
            <w:fldChar w:fldCharType="begin"/>
          </w:r>
          <w:r>
            <w:rPr>
              <w:rFonts w:hint="eastAsia" w:ascii="黑体" w:hAnsi="黑体" w:eastAsia="黑体"/>
              <w:highlight w:val="none"/>
            </w:rPr>
            <w:instrText xml:space="preserve"> HYPERLINK \l _Toc19814 </w:instrText>
          </w:r>
          <w:r>
            <w:rPr>
              <w:rFonts w:hint="eastAsia" w:ascii="黑体" w:hAnsi="黑体" w:eastAsia="黑体"/>
              <w:highlight w:val="none"/>
            </w:rPr>
            <w:fldChar w:fldCharType="separate"/>
          </w:r>
          <w:r>
            <w:rPr>
              <w:rFonts w:hint="eastAsia" w:ascii="黑体" w:hAnsi="黑体" w:eastAsia="黑体" w:cs="黑体"/>
              <w:kern w:val="0"/>
              <w:szCs w:val="32"/>
              <w:highlight w:val="none"/>
              <w:lang w:val="en-US" w:eastAsia="zh-CN" w:bidi="ar-SA"/>
            </w:rPr>
            <w:t>部门预算项目支出绩效自评表（2022年度）</w:t>
          </w:r>
          <w:r>
            <w:tab/>
          </w:r>
          <w:r>
            <w:fldChar w:fldCharType="begin"/>
          </w:r>
          <w:r>
            <w:instrText xml:space="preserve"> PAGEREF _Toc19814 \h </w:instrText>
          </w:r>
          <w:r>
            <w:fldChar w:fldCharType="separate"/>
          </w:r>
          <w:r>
            <w:t>14</w:t>
          </w:r>
          <w:r>
            <w:fldChar w:fldCharType="end"/>
          </w:r>
          <w:r>
            <w:rPr>
              <w:rFonts w:hint="eastAsia" w:ascii="黑体" w:hAnsi="黑体" w:eastAsia="黑体"/>
              <w:color w:val="auto"/>
              <w:highlight w:val="none"/>
            </w:rPr>
            <w:fldChar w:fldCharType="end"/>
          </w:r>
        </w:p>
        <w:p>
          <w:pPr>
            <w:pStyle w:val="31"/>
            <w:tabs>
              <w:tab w:val="right" w:leader="dot" w:pos="8306"/>
            </w:tabs>
            <w:rPr>
              <w:b/>
            </w:rPr>
          </w:pPr>
          <w:r>
            <w:rPr>
              <w:rFonts w:hint="eastAsia" w:ascii="黑体" w:hAnsi="黑体" w:eastAsia="黑体"/>
              <w:b/>
              <w:color w:val="auto"/>
              <w:highlight w:val="none"/>
            </w:rPr>
            <w:fldChar w:fldCharType="begin"/>
          </w:r>
          <w:r>
            <w:rPr>
              <w:rFonts w:hint="eastAsia" w:ascii="黑体" w:hAnsi="黑体" w:eastAsia="黑体"/>
              <w:b/>
              <w:highlight w:val="none"/>
            </w:rPr>
            <w:instrText xml:space="preserve"> HYPERLINK \l _Toc6744 </w:instrText>
          </w:r>
          <w:r>
            <w:rPr>
              <w:rFonts w:hint="eastAsia" w:ascii="黑体" w:hAnsi="黑体" w:eastAsia="黑体"/>
              <w:b/>
              <w:highlight w:val="none"/>
            </w:rPr>
            <w:fldChar w:fldCharType="separate"/>
          </w:r>
          <w:r>
            <w:rPr>
              <w:rFonts w:hint="eastAsia" w:ascii="黑体" w:hAnsi="黑体" w:eastAsia="黑体"/>
              <w:b/>
              <w:szCs w:val="44"/>
              <w:highlight w:val="none"/>
            </w:rPr>
            <w:t>第</w:t>
          </w:r>
          <w:r>
            <w:rPr>
              <w:rFonts w:hint="eastAsia" w:ascii="黑体" w:hAnsi="黑体" w:eastAsia="黑体"/>
              <w:b/>
              <w:highlight w:val="none"/>
            </w:rPr>
            <w:t>五部分 附表</w:t>
          </w:r>
          <w:r>
            <w:rPr>
              <w:b/>
            </w:rPr>
            <w:tab/>
          </w:r>
          <w:r>
            <w:rPr>
              <w:b/>
            </w:rPr>
            <w:fldChar w:fldCharType="begin"/>
          </w:r>
          <w:r>
            <w:rPr>
              <w:b/>
            </w:rPr>
            <w:instrText xml:space="preserve"> PAGEREF _Toc6744 \h </w:instrText>
          </w:r>
          <w:r>
            <w:rPr>
              <w:b/>
            </w:rPr>
            <w:fldChar w:fldCharType="separate"/>
          </w:r>
          <w:r>
            <w:rPr>
              <w:b/>
            </w:rPr>
            <w:t>29</w:t>
          </w:r>
          <w:r>
            <w:rPr>
              <w:b/>
            </w:rPr>
            <w:fldChar w:fldCharType="end"/>
          </w:r>
          <w:r>
            <w:rPr>
              <w:rFonts w:hint="eastAsia" w:ascii="黑体" w:hAnsi="黑体" w:eastAsia="黑体"/>
              <w:b/>
              <w:color w:val="auto"/>
              <w:highlight w:val="none"/>
            </w:rPr>
            <w:fldChar w:fldCharType="end"/>
          </w:r>
        </w:p>
        <w:p>
          <w:pPr>
            <w:pStyle w:val="32"/>
            <w:tabs>
              <w:tab w:val="right" w:leader="dot" w:pos="8306"/>
            </w:tabs>
            <w:rPr>
              <w:rFonts w:hint="eastAsia" w:ascii="黑体" w:hAnsi="黑体" w:eastAsia="黑体" w:cs="黑体"/>
            </w:rPr>
          </w:pPr>
          <w:r>
            <w:rPr>
              <w:rFonts w:hint="eastAsia" w:ascii="黑体" w:hAnsi="黑体" w:eastAsia="黑体" w:cs="黑体"/>
              <w:color w:val="auto"/>
              <w:highlight w:val="none"/>
            </w:rPr>
            <w:fldChar w:fldCharType="begin"/>
          </w:r>
          <w:r>
            <w:rPr>
              <w:rFonts w:hint="eastAsia" w:ascii="黑体" w:hAnsi="黑体" w:eastAsia="黑体" w:cs="黑体"/>
              <w:highlight w:val="none"/>
            </w:rPr>
            <w:instrText xml:space="preserve"> HYPERLINK \l _Toc4594 </w:instrText>
          </w:r>
          <w:r>
            <w:rPr>
              <w:rFonts w:hint="eastAsia" w:ascii="黑体" w:hAnsi="黑体" w:eastAsia="黑体" w:cs="黑体"/>
              <w:highlight w:val="none"/>
            </w:rPr>
            <w:fldChar w:fldCharType="separate"/>
          </w:r>
          <w:r>
            <w:rPr>
              <w:rFonts w:hint="eastAsia" w:ascii="黑体" w:hAnsi="黑体" w:eastAsia="黑体" w:cs="黑体"/>
              <w:highlight w:val="none"/>
            </w:rPr>
            <w:t>一、收</w:t>
          </w:r>
          <w:r>
            <w:rPr>
              <w:rFonts w:hint="eastAsia" w:ascii="黑体" w:hAnsi="黑体" w:eastAsia="黑体" w:cs="黑体"/>
              <w:bCs w:val="0"/>
              <w:highlight w:val="none"/>
            </w:rPr>
            <w:t>入支出决算总表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_Toc4594 \h </w:instrText>
          </w:r>
          <w:r>
            <w:rPr>
              <w:rFonts w:hint="eastAsia" w:ascii="黑体" w:hAnsi="黑体" w:eastAsia="黑体" w:cs="黑体"/>
            </w:rPr>
            <w:fldChar w:fldCharType="separate"/>
          </w:r>
          <w:r>
            <w:rPr>
              <w:rFonts w:hint="eastAsia" w:ascii="黑体" w:hAnsi="黑体" w:eastAsia="黑体" w:cs="黑体"/>
            </w:rPr>
            <w:t>30</w:t>
          </w:r>
          <w:r>
            <w:rPr>
              <w:rFonts w:hint="eastAsia" w:ascii="黑体" w:hAnsi="黑体" w:eastAsia="黑体" w:cs="黑体"/>
            </w:rPr>
            <w:fldChar w:fldCharType="end"/>
          </w:r>
          <w:r>
            <w:rPr>
              <w:rFonts w:hint="eastAsia" w:ascii="黑体" w:hAnsi="黑体" w:eastAsia="黑体" w:cs="黑体"/>
              <w:color w:val="auto"/>
              <w:highlight w:val="none"/>
            </w:rPr>
            <w:fldChar w:fldCharType="end"/>
          </w:r>
        </w:p>
        <w:p>
          <w:pPr>
            <w:pStyle w:val="32"/>
            <w:tabs>
              <w:tab w:val="right" w:leader="dot" w:pos="8306"/>
            </w:tabs>
            <w:rPr>
              <w:rFonts w:hint="eastAsia" w:ascii="黑体" w:hAnsi="黑体" w:eastAsia="黑体" w:cs="黑体"/>
            </w:rPr>
          </w:pPr>
          <w:r>
            <w:rPr>
              <w:rFonts w:hint="eastAsia" w:ascii="黑体" w:hAnsi="黑体" w:eastAsia="黑体" w:cs="黑体"/>
              <w:color w:val="auto"/>
              <w:highlight w:val="none"/>
            </w:rPr>
            <w:fldChar w:fldCharType="begin"/>
          </w:r>
          <w:r>
            <w:rPr>
              <w:rFonts w:hint="eastAsia" w:ascii="黑体" w:hAnsi="黑体" w:eastAsia="黑体" w:cs="黑体"/>
              <w:highlight w:val="none"/>
            </w:rPr>
            <w:instrText xml:space="preserve"> HYPERLINK \l _Toc5059 </w:instrText>
          </w:r>
          <w:r>
            <w:rPr>
              <w:rFonts w:hint="eastAsia" w:ascii="黑体" w:hAnsi="黑体" w:eastAsia="黑体" w:cs="黑体"/>
              <w:highlight w:val="none"/>
            </w:rPr>
            <w:fldChar w:fldCharType="separate"/>
          </w:r>
          <w:r>
            <w:rPr>
              <w:rFonts w:hint="eastAsia" w:ascii="黑体" w:hAnsi="黑体" w:eastAsia="黑体" w:cs="黑体"/>
              <w:highlight w:val="none"/>
            </w:rPr>
            <w:t>二、收</w:t>
          </w:r>
          <w:r>
            <w:rPr>
              <w:rFonts w:hint="eastAsia" w:ascii="黑体" w:hAnsi="黑体" w:eastAsia="黑体" w:cs="黑体"/>
              <w:bCs w:val="0"/>
              <w:highlight w:val="none"/>
            </w:rPr>
            <w:t>入决算表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_Toc5059 \h </w:instrText>
          </w:r>
          <w:r>
            <w:rPr>
              <w:rFonts w:hint="eastAsia" w:ascii="黑体" w:hAnsi="黑体" w:eastAsia="黑体" w:cs="黑体"/>
            </w:rPr>
            <w:fldChar w:fldCharType="separate"/>
          </w:r>
          <w:r>
            <w:rPr>
              <w:rFonts w:hint="eastAsia" w:ascii="黑体" w:hAnsi="黑体" w:eastAsia="黑体" w:cs="黑体"/>
            </w:rPr>
            <w:t>30</w:t>
          </w:r>
          <w:r>
            <w:rPr>
              <w:rFonts w:hint="eastAsia" w:ascii="黑体" w:hAnsi="黑体" w:eastAsia="黑体" w:cs="黑体"/>
            </w:rPr>
            <w:fldChar w:fldCharType="end"/>
          </w:r>
          <w:r>
            <w:rPr>
              <w:rFonts w:hint="eastAsia" w:ascii="黑体" w:hAnsi="黑体" w:eastAsia="黑体" w:cs="黑体"/>
              <w:color w:val="auto"/>
              <w:highlight w:val="none"/>
            </w:rPr>
            <w:fldChar w:fldCharType="end"/>
          </w:r>
        </w:p>
        <w:p>
          <w:pPr>
            <w:pStyle w:val="32"/>
            <w:tabs>
              <w:tab w:val="right" w:leader="dot" w:pos="8306"/>
            </w:tabs>
            <w:rPr>
              <w:rFonts w:hint="eastAsia" w:ascii="黑体" w:hAnsi="黑体" w:eastAsia="黑体" w:cs="黑体"/>
            </w:rPr>
          </w:pPr>
          <w:r>
            <w:rPr>
              <w:rFonts w:hint="eastAsia" w:ascii="黑体" w:hAnsi="黑体" w:eastAsia="黑体" w:cs="黑体"/>
              <w:color w:val="auto"/>
              <w:highlight w:val="none"/>
            </w:rPr>
            <w:fldChar w:fldCharType="begin"/>
          </w:r>
          <w:r>
            <w:rPr>
              <w:rFonts w:hint="eastAsia" w:ascii="黑体" w:hAnsi="黑体" w:eastAsia="黑体" w:cs="黑体"/>
              <w:highlight w:val="none"/>
            </w:rPr>
            <w:instrText xml:space="preserve"> HYPERLINK \l _Toc2211 </w:instrText>
          </w:r>
          <w:r>
            <w:rPr>
              <w:rFonts w:hint="eastAsia" w:ascii="黑体" w:hAnsi="黑体" w:eastAsia="黑体" w:cs="黑体"/>
              <w:highlight w:val="none"/>
            </w:rPr>
            <w:fldChar w:fldCharType="separate"/>
          </w:r>
          <w:r>
            <w:rPr>
              <w:rFonts w:hint="eastAsia" w:ascii="黑体" w:hAnsi="黑体" w:eastAsia="黑体" w:cs="黑体"/>
              <w:bCs w:val="0"/>
              <w:highlight w:val="none"/>
            </w:rPr>
            <w:t>三、</w:t>
          </w:r>
          <w:r>
            <w:rPr>
              <w:rFonts w:hint="eastAsia" w:ascii="黑体" w:hAnsi="黑体" w:eastAsia="黑体" w:cs="黑体"/>
              <w:highlight w:val="none"/>
            </w:rPr>
            <w:t>支</w:t>
          </w:r>
          <w:r>
            <w:rPr>
              <w:rFonts w:hint="eastAsia" w:ascii="黑体" w:hAnsi="黑体" w:eastAsia="黑体" w:cs="黑体"/>
              <w:bCs w:val="0"/>
              <w:highlight w:val="none"/>
            </w:rPr>
            <w:t>出决算表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_Toc2211 \h </w:instrText>
          </w:r>
          <w:r>
            <w:rPr>
              <w:rFonts w:hint="eastAsia" w:ascii="黑体" w:hAnsi="黑体" w:eastAsia="黑体" w:cs="黑体"/>
            </w:rPr>
            <w:fldChar w:fldCharType="separate"/>
          </w:r>
          <w:r>
            <w:rPr>
              <w:rFonts w:hint="eastAsia" w:ascii="黑体" w:hAnsi="黑体" w:eastAsia="黑体" w:cs="黑体"/>
            </w:rPr>
            <w:t>30</w:t>
          </w:r>
          <w:r>
            <w:rPr>
              <w:rFonts w:hint="eastAsia" w:ascii="黑体" w:hAnsi="黑体" w:eastAsia="黑体" w:cs="黑体"/>
            </w:rPr>
            <w:fldChar w:fldCharType="end"/>
          </w:r>
          <w:r>
            <w:rPr>
              <w:rFonts w:hint="eastAsia" w:ascii="黑体" w:hAnsi="黑体" w:eastAsia="黑体" w:cs="黑体"/>
              <w:color w:val="auto"/>
              <w:highlight w:val="none"/>
            </w:rPr>
            <w:fldChar w:fldCharType="end"/>
          </w:r>
        </w:p>
        <w:p>
          <w:pPr>
            <w:pStyle w:val="32"/>
            <w:tabs>
              <w:tab w:val="right" w:leader="dot" w:pos="8306"/>
            </w:tabs>
            <w:rPr>
              <w:rFonts w:hint="eastAsia" w:ascii="黑体" w:hAnsi="黑体" w:eastAsia="黑体" w:cs="黑体"/>
            </w:rPr>
          </w:pPr>
          <w:r>
            <w:rPr>
              <w:rFonts w:hint="eastAsia" w:ascii="黑体" w:hAnsi="黑体" w:eastAsia="黑体" w:cs="黑体"/>
              <w:color w:val="auto"/>
              <w:highlight w:val="none"/>
            </w:rPr>
            <w:fldChar w:fldCharType="begin"/>
          </w:r>
          <w:r>
            <w:rPr>
              <w:rFonts w:hint="eastAsia" w:ascii="黑体" w:hAnsi="黑体" w:eastAsia="黑体" w:cs="黑体"/>
              <w:highlight w:val="none"/>
            </w:rPr>
            <w:instrText xml:space="preserve"> HYPERLINK \l _Toc24189 </w:instrText>
          </w:r>
          <w:r>
            <w:rPr>
              <w:rFonts w:hint="eastAsia" w:ascii="黑体" w:hAnsi="黑体" w:eastAsia="黑体" w:cs="黑体"/>
              <w:highlight w:val="none"/>
            </w:rPr>
            <w:fldChar w:fldCharType="separate"/>
          </w:r>
          <w:r>
            <w:rPr>
              <w:rFonts w:hint="eastAsia" w:ascii="黑体" w:hAnsi="黑体" w:eastAsia="黑体" w:cs="黑体"/>
              <w:bCs w:val="0"/>
              <w:highlight w:val="none"/>
            </w:rPr>
            <w:t>四、</w:t>
          </w:r>
          <w:r>
            <w:rPr>
              <w:rFonts w:hint="eastAsia" w:ascii="黑体" w:hAnsi="黑体" w:eastAsia="黑体" w:cs="黑体"/>
              <w:highlight w:val="none"/>
            </w:rPr>
            <w:t>财</w:t>
          </w:r>
          <w:r>
            <w:rPr>
              <w:rFonts w:hint="eastAsia" w:ascii="黑体" w:hAnsi="黑体" w:eastAsia="黑体" w:cs="黑体"/>
              <w:bCs w:val="0"/>
              <w:highlight w:val="none"/>
            </w:rPr>
            <w:t>政拨款收入支出决算总表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_Toc24189 \h </w:instrText>
          </w:r>
          <w:r>
            <w:rPr>
              <w:rFonts w:hint="eastAsia" w:ascii="黑体" w:hAnsi="黑体" w:eastAsia="黑体" w:cs="黑体"/>
            </w:rPr>
            <w:fldChar w:fldCharType="separate"/>
          </w:r>
          <w:r>
            <w:rPr>
              <w:rFonts w:hint="eastAsia" w:ascii="黑体" w:hAnsi="黑体" w:eastAsia="黑体" w:cs="黑体"/>
            </w:rPr>
            <w:t>30</w:t>
          </w:r>
          <w:r>
            <w:rPr>
              <w:rFonts w:hint="eastAsia" w:ascii="黑体" w:hAnsi="黑体" w:eastAsia="黑体" w:cs="黑体"/>
            </w:rPr>
            <w:fldChar w:fldCharType="end"/>
          </w:r>
          <w:r>
            <w:rPr>
              <w:rFonts w:hint="eastAsia" w:ascii="黑体" w:hAnsi="黑体" w:eastAsia="黑体" w:cs="黑体"/>
              <w:color w:val="auto"/>
              <w:highlight w:val="none"/>
            </w:rPr>
            <w:fldChar w:fldCharType="end"/>
          </w:r>
        </w:p>
        <w:p>
          <w:pPr>
            <w:pStyle w:val="32"/>
            <w:tabs>
              <w:tab w:val="right" w:leader="dot" w:pos="8306"/>
            </w:tabs>
            <w:rPr>
              <w:rFonts w:hint="eastAsia" w:ascii="黑体" w:hAnsi="黑体" w:eastAsia="黑体" w:cs="黑体"/>
            </w:rPr>
          </w:pPr>
          <w:r>
            <w:rPr>
              <w:rFonts w:hint="eastAsia" w:ascii="黑体" w:hAnsi="黑体" w:eastAsia="黑体" w:cs="黑体"/>
              <w:color w:val="auto"/>
              <w:highlight w:val="none"/>
            </w:rPr>
            <w:fldChar w:fldCharType="begin"/>
          </w:r>
          <w:r>
            <w:rPr>
              <w:rFonts w:hint="eastAsia" w:ascii="黑体" w:hAnsi="黑体" w:eastAsia="黑体" w:cs="黑体"/>
              <w:highlight w:val="none"/>
            </w:rPr>
            <w:instrText xml:space="preserve"> HYPERLINK \l _Toc5424 </w:instrText>
          </w:r>
          <w:r>
            <w:rPr>
              <w:rFonts w:hint="eastAsia" w:ascii="黑体" w:hAnsi="黑体" w:eastAsia="黑体" w:cs="黑体"/>
              <w:highlight w:val="none"/>
            </w:rPr>
            <w:fldChar w:fldCharType="separate"/>
          </w:r>
          <w:r>
            <w:rPr>
              <w:rFonts w:hint="eastAsia" w:ascii="黑体" w:hAnsi="黑体" w:eastAsia="黑体" w:cs="黑体"/>
              <w:bCs w:val="0"/>
              <w:highlight w:val="none"/>
            </w:rPr>
            <w:t>五、</w:t>
          </w:r>
          <w:r>
            <w:rPr>
              <w:rFonts w:hint="eastAsia" w:ascii="黑体" w:hAnsi="黑体" w:eastAsia="黑体" w:cs="黑体"/>
              <w:highlight w:val="none"/>
            </w:rPr>
            <w:t>财</w:t>
          </w:r>
          <w:r>
            <w:rPr>
              <w:rFonts w:hint="eastAsia" w:ascii="黑体" w:hAnsi="黑体" w:eastAsia="黑体" w:cs="黑体"/>
              <w:bCs w:val="0"/>
              <w:highlight w:val="none"/>
            </w:rPr>
            <w:t>政拨款支出决算明细表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_Toc5424 \h </w:instrText>
          </w:r>
          <w:r>
            <w:rPr>
              <w:rFonts w:hint="eastAsia" w:ascii="黑体" w:hAnsi="黑体" w:eastAsia="黑体" w:cs="黑体"/>
            </w:rPr>
            <w:fldChar w:fldCharType="separate"/>
          </w:r>
          <w:r>
            <w:rPr>
              <w:rFonts w:hint="eastAsia" w:ascii="黑体" w:hAnsi="黑体" w:eastAsia="黑体" w:cs="黑体"/>
            </w:rPr>
            <w:t>30</w:t>
          </w:r>
          <w:r>
            <w:rPr>
              <w:rFonts w:hint="eastAsia" w:ascii="黑体" w:hAnsi="黑体" w:eastAsia="黑体" w:cs="黑体"/>
            </w:rPr>
            <w:fldChar w:fldCharType="end"/>
          </w:r>
          <w:r>
            <w:rPr>
              <w:rFonts w:hint="eastAsia" w:ascii="黑体" w:hAnsi="黑体" w:eastAsia="黑体" w:cs="黑体"/>
              <w:color w:val="auto"/>
              <w:highlight w:val="none"/>
            </w:rPr>
            <w:fldChar w:fldCharType="end"/>
          </w:r>
        </w:p>
        <w:p>
          <w:pPr>
            <w:pStyle w:val="32"/>
            <w:tabs>
              <w:tab w:val="right" w:leader="dot" w:pos="8306"/>
            </w:tabs>
            <w:rPr>
              <w:rFonts w:hint="eastAsia" w:ascii="黑体" w:hAnsi="黑体" w:eastAsia="黑体" w:cs="黑体"/>
            </w:rPr>
          </w:pPr>
          <w:r>
            <w:rPr>
              <w:rFonts w:hint="eastAsia" w:ascii="黑体" w:hAnsi="黑体" w:eastAsia="黑体" w:cs="黑体"/>
              <w:color w:val="auto"/>
              <w:highlight w:val="none"/>
            </w:rPr>
            <w:fldChar w:fldCharType="begin"/>
          </w:r>
          <w:r>
            <w:rPr>
              <w:rFonts w:hint="eastAsia" w:ascii="黑体" w:hAnsi="黑体" w:eastAsia="黑体" w:cs="黑体"/>
              <w:highlight w:val="none"/>
            </w:rPr>
            <w:instrText xml:space="preserve"> HYPERLINK \l _Toc1856 </w:instrText>
          </w:r>
          <w:r>
            <w:rPr>
              <w:rFonts w:hint="eastAsia" w:ascii="黑体" w:hAnsi="黑体" w:eastAsia="黑体" w:cs="黑体"/>
              <w:highlight w:val="none"/>
            </w:rPr>
            <w:fldChar w:fldCharType="separate"/>
          </w:r>
          <w:r>
            <w:rPr>
              <w:rFonts w:hint="eastAsia" w:ascii="黑体" w:hAnsi="黑体" w:eastAsia="黑体" w:cs="黑体"/>
              <w:bCs w:val="0"/>
              <w:highlight w:val="none"/>
            </w:rPr>
            <w:t>六、</w:t>
          </w:r>
          <w:r>
            <w:rPr>
              <w:rFonts w:hint="eastAsia" w:ascii="黑体" w:hAnsi="黑体" w:eastAsia="黑体" w:cs="黑体"/>
              <w:highlight w:val="none"/>
            </w:rPr>
            <w:t>一</w:t>
          </w:r>
          <w:r>
            <w:rPr>
              <w:rFonts w:hint="eastAsia" w:ascii="黑体" w:hAnsi="黑体" w:eastAsia="黑体" w:cs="黑体"/>
              <w:bCs w:val="0"/>
              <w:highlight w:val="none"/>
            </w:rPr>
            <w:t>般公共预算财政拨款支出决算表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_Toc1856 \h </w:instrText>
          </w:r>
          <w:r>
            <w:rPr>
              <w:rFonts w:hint="eastAsia" w:ascii="黑体" w:hAnsi="黑体" w:eastAsia="黑体" w:cs="黑体"/>
            </w:rPr>
            <w:fldChar w:fldCharType="separate"/>
          </w:r>
          <w:r>
            <w:rPr>
              <w:rFonts w:hint="eastAsia" w:ascii="黑体" w:hAnsi="黑体" w:eastAsia="黑体" w:cs="黑体"/>
            </w:rPr>
            <w:t>30</w:t>
          </w:r>
          <w:r>
            <w:rPr>
              <w:rFonts w:hint="eastAsia" w:ascii="黑体" w:hAnsi="黑体" w:eastAsia="黑体" w:cs="黑体"/>
            </w:rPr>
            <w:fldChar w:fldCharType="end"/>
          </w:r>
          <w:r>
            <w:rPr>
              <w:rFonts w:hint="eastAsia" w:ascii="黑体" w:hAnsi="黑体" w:eastAsia="黑体" w:cs="黑体"/>
              <w:color w:val="auto"/>
              <w:highlight w:val="none"/>
            </w:rPr>
            <w:fldChar w:fldCharType="end"/>
          </w:r>
        </w:p>
        <w:p>
          <w:pPr>
            <w:pStyle w:val="32"/>
            <w:tabs>
              <w:tab w:val="right" w:leader="dot" w:pos="8306"/>
            </w:tabs>
            <w:rPr>
              <w:rFonts w:hint="eastAsia" w:ascii="黑体" w:hAnsi="黑体" w:eastAsia="黑体" w:cs="黑体"/>
            </w:rPr>
          </w:pPr>
          <w:r>
            <w:rPr>
              <w:rFonts w:hint="eastAsia" w:ascii="黑体" w:hAnsi="黑体" w:eastAsia="黑体" w:cs="黑体"/>
              <w:color w:val="auto"/>
              <w:highlight w:val="none"/>
            </w:rPr>
            <w:fldChar w:fldCharType="begin"/>
          </w:r>
          <w:r>
            <w:rPr>
              <w:rFonts w:hint="eastAsia" w:ascii="黑体" w:hAnsi="黑体" w:eastAsia="黑体" w:cs="黑体"/>
              <w:highlight w:val="none"/>
            </w:rPr>
            <w:instrText xml:space="preserve"> HYPERLINK \l _Toc29131 </w:instrText>
          </w:r>
          <w:r>
            <w:rPr>
              <w:rFonts w:hint="eastAsia" w:ascii="黑体" w:hAnsi="黑体" w:eastAsia="黑体" w:cs="黑体"/>
              <w:highlight w:val="none"/>
            </w:rPr>
            <w:fldChar w:fldCharType="separate"/>
          </w:r>
          <w:r>
            <w:rPr>
              <w:rFonts w:hint="eastAsia" w:ascii="黑体" w:hAnsi="黑体" w:eastAsia="黑体" w:cs="黑体"/>
              <w:bCs w:val="0"/>
              <w:highlight w:val="none"/>
            </w:rPr>
            <w:t>七、</w:t>
          </w:r>
          <w:r>
            <w:rPr>
              <w:rFonts w:hint="eastAsia" w:ascii="黑体" w:hAnsi="黑体" w:eastAsia="黑体" w:cs="黑体"/>
              <w:highlight w:val="none"/>
            </w:rPr>
            <w:t>一</w:t>
          </w:r>
          <w:r>
            <w:rPr>
              <w:rFonts w:hint="eastAsia" w:ascii="黑体" w:hAnsi="黑体" w:eastAsia="黑体" w:cs="黑体"/>
              <w:bCs w:val="0"/>
              <w:highlight w:val="none"/>
            </w:rPr>
            <w:t>般公共预算财政拨款支出决算明细表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_Toc29131 \h </w:instrText>
          </w:r>
          <w:r>
            <w:rPr>
              <w:rFonts w:hint="eastAsia" w:ascii="黑体" w:hAnsi="黑体" w:eastAsia="黑体" w:cs="黑体"/>
            </w:rPr>
            <w:fldChar w:fldCharType="separate"/>
          </w:r>
          <w:r>
            <w:rPr>
              <w:rFonts w:hint="eastAsia" w:ascii="黑体" w:hAnsi="黑体" w:eastAsia="黑体" w:cs="黑体"/>
            </w:rPr>
            <w:t>30</w:t>
          </w:r>
          <w:r>
            <w:rPr>
              <w:rFonts w:hint="eastAsia" w:ascii="黑体" w:hAnsi="黑体" w:eastAsia="黑体" w:cs="黑体"/>
            </w:rPr>
            <w:fldChar w:fldCharType="end"/>
          </w:r>
          <w:r>
            <w:rPr>
              <w:rFonts w:hint="eastAsia" w:ascii="黑体" w:hAnsi="黑体" w:eastAsia="黑体" w:cs="黑体"/>
              <w:color w:val="auto"/>
              <w:highlight w:val="none"/>
            </w:rPr>
            <w:fldChar w:fldCharType="end"/>
          </w:r>
        </w:p>
        <w:p>
          <w:pPr>
            <w:pStyle w:val="32"/>
            <w:tabs>
              <w:tab w:val="right" w:leader="dot" w:pos="8306"/>
            </w:tabs>
            <w:rPr>
              <w:rFonts w:hint="eastAsia" w:ascii="黑体" w:hAnsi="黑体" w:eastAsia="黑体" w:cs="黑体"/>
            </w:rPr>
          </w:pPr>
          <w:r>
            <w:rPr>
              <w:rFonts w:hint="eastAsia" w:ascii="黑体" w:hAnsi="黑体" w:eastAsia="黑体" w:cs="黑体"/>
              <w:color w:val="auto"/>
              <w:highlight w:val="none"/>
            </w:rPr>
            <w:fldChar w:fldCharType="begin"/>
          </w:r>
          <w:r>
            <w:rPr>
              <w:rFonts w:hint="eastAsia" w:ascii="黑体" w:hAnsi="黑体" w:eastAsia="黑体" w:cs="黑体"/>
              <w:highlight w:val="none"/>
            </w:rPr>
            <w:instrText xml:space="preserve"> HYPERLINK \l _Toc9832 </w:instrText>
          </w:r>
          <w:r>
            <w:rPr>
              <w:rFonts w:hint="eastAsia" w:ascii="黑体" w:hAnsi="黑体" w:eastAsia="黑体" w:cs="黑体"/>
              <w:highlight w:val="none"/>
            </w:rPr>
            <w:fldChar w:fldCharType="separate"/>
          </w:r>
          <w:r>
            <w:rPr>
              <w:rFonts w:hint="eastAsia" w:ascii="黑体" w:hAnsi="黑体" w:eastAsia="黑体" w:cs="黑体"/>
              <w:bCs w:val="0"/>
              <w:highlight w:val="none"/>
            </w:rPr>
            <w:t>八、</w:t>
          </w:r>
          <w:r>
            <w:rPr>
              <w:rFonts w:hint="eastAsia" w:ascii="黑体" w:hAnsi="黑体" w:eastAsia="黑体" w:cs="黑体"/>
              <w:highlight w:val="none"/>
            </w:rPr>
            <w:t>一</w:t>
          </w:r>
          <w:r>
            <w:rPr>
              <w:rFonts w:hint="eastAsia" w:ascii="黑体" w:hAnsi="黑体" w:eastAsia="黑体" w:cs="黑体"/>
              <w:bCs w:val="0"/>
              <w:highlight w:val="none"/>
            </w:rPr>
            <w:t>般公共预算财政拨款基本支出决算表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_Toc9832 \h </w:instrText>
          </w:r>
          <w:r>
            <w:rPr>
              <w:rFonts w:hint="eastAsia" w:ascii="黑体" w:hAnsi="黑体" w:eastAsia="黑体" w:cs="黑体"/>
            </w:rPr>
            <w:fldChar w:fldCharType="separate"/>
          </w:r>
          <w:r>
            <w:rPr>
              <w:rFonts w:hint="eastAsia" w:ascii="黑体" w:hAnsi="黑体" w:eastAsia="黑体" w:cs="黑体"/>
            </w:rPr>
            <w:t>30</w:t>
          </w:r>
          <w:r>
            <w:rPr>
              <w:rFonts w:hint="eastAsia" w:ascii="黑体" w:hAnsi="黑体" w:eastAsia="黑体" w:cs="黑体"/>
            </w:rPr>
            <w:fldChar w:fldCharType="end"/>
          </w:r>
          <w:r>
            <w:rPr>
              <w:rFonts w:hint="eastAsia" w:ascii="黑体" w:hAnsi="黑体" w:eastAsia="黑体" w:cs="黑体"/>
              <w:color w:val="auto"/>
              <w:highlight w:val="none"/>
            </w:rPr>
            <w:fldChar w:fldCharType="end"/>
          </w:r>
        </w:p>
        <w:p>
          <w:pPr>
            <w:pStyle w:val="32"/>
            <w:tabs>
              <w:tab w:val="right" w:leader="dot" w:pos="8306"/>
            </w:tabs>
            <w:rPr>
              <w:rFonts w:hint="eastAsia" w:ascii="黑体" w:hAnsi="黑体" w:eastAsia="黑体" w:cs="黑体"/>
            </w:rPr>
          </w:pPr>
          <w:r>
            <w:rPr>
              <w:rFonts w:hint="eastAsia" w:ascii="黑体" w:hAnsi="黑体" w:eastAsia="黑体" w:cs="黑体"/>
              <w:color w:val="auto"/>
              <w:highlight w:val="none"/>
            </w:rPr>
            <w:fldChar w:fldCharType="begin"/>
          </w:r>
          <w:r>
            <w:rPr>
              <w:rFonts w:hint="eastAsia" w:ascii="黑体" w:hAnsi="黑体" w:eastAsia="黑体" w:cs="黑体"/>
              <w:highlight w:val="none"/>
            </w:rPr>
            <w:instrText xml:space="preserve"> HYPERLINK \l _Toc18562 </w:instrText>
          </w:r>
          <w:r>
            <w:rPr>
              <w:rFonts w:hint="eastAsia" w:ascii="黑体" w:hAnsi="黑体" w:eastAsia="黑体" w:cs="黑体"/>
              <w:highlight w:val="none"/>
            </w:rPr>
            <w:fldChar w:fldCharType="separate"/>
          </w:r>
          <w:r>
            <w:rPr>
              <w:rFonts w:hint="eastAsia" w:ascii="黑体" w:hAnsi="黑体" w:eastAsia="黑体" w:cs="黑体"/>
              <w:bCs w:val="0"/>
              <w:highlight w:val="none"/>
            </w:rPr>
            <w:t>九、</w:t>
          </w:r>
          <w:r>
            <w:rPr>
              <w:rFonts w:hint="eastAsia" w:ascii="黑体" w:hAnsi="黑体" w:eastAsia="黑体" w:cs="黑体"/>
              <w:highlight w:val="none"/>
            </w:rPr>
            <w:t>一</w:t>
          </w:r>
          <w:r>
            <w:rPr>
              <w:rFonts w:hint="eastAsia" w:ascii="黑体" w:hAnsi="黑体" w:eastAsia="黑体" w:cs="黑体"/>
              <w:bCs w:val="0"/>
              <w:highlight w:val="none"/>
            </w:rPr>
            <w:t>般公共预算财政拨款项目支出决算表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_Toc18562 \h </w:instrText>
          </w:r>
          <w:r>
            <w:rPr>
              <w:rFonts w:hint="eastAsia" w:ascii="黑体" w:hAnsi="黑体" w:eastAsia="黑体" w:cs="黑体"/>
            </w:rPr>
            <w:fldChar w:fldCharType="separate"/>
          </w:r>
          <w:r>
            <w:rPr>
              <w:rFonts w:hint="eastAsia" w:ascii="黑体" w:hAnsi="黑体" w:eastAsia="黑体" w:cs="黑体"/>
            </w:rPr>
            <w:t>30</w:t>
          </w:r>
          <w:r>
            <w:rPr>
              <w:rFonts w:hint="eastAsia" w:ascii="黑体" w:hAnsi="黑体" w:eastAsia="黑体" w:cs="黑体"/>
            </w:rPr>
            <w:fldChar w:fldCharType="end"/>
          </w:r>
          <w:r>
            <w:rPr>
              <w:rFonts w:hint="eastAsia" w:ascii="黑体" w:hAnsi="黑体" w:eastAsia="黑体" w:cs="黑体"/>
              <w:color w:val="auto"/>
              <w:highlight w:val="none"/>
            </w:rPr>
            <w:fldChar w:fldCharType="end"/>
          </w:r>
        </w:p>
        <w:p>
          <w:pPr>
            <w:pStyle w:val="32"/>
            <w:tabs>
              <w:tab w:val="right" w:leader="dot" w:pos="8306"/>
            </w:tabs>
            <w:rPr>
              <w:rFonts w:hint="eastAsia" w:ascii="黑体" w:hAnsi="黑体" w:eastAsia="黑体" w:cs="黑体"/>
            </w:rPr>
          </w:pPr>
          <w:r>
            <w:rPr>
              <w:rFonts w:hint="eastAsia" w:ascii="黑体" w:hAnsi="黑体" w:eastAsia="黑体" w:cs="黑体"/>
              <w:color w:val="auto"/>
              <w:highlight w:val="none"/>
            </w:rPr>
            <w:fldChar w:fldCharType="begin"/>
          </w:r>
          <w:r>
            <w:rPr>
              <w:rFonts w:hint="eastAsia" w:ascii="黑体" w:hAnsi="黑体" w:eastAsia="黑体" w:cs="黑体"/>
              <w:highlight w:val="none"/>
            </w:rPr>
            <w:instrText xml:space="preserve"> HYPERLINK \l _Toc3153 </w:instrText>
          </w:r>
          <w:r>
            <w:rPr>
              <w:rFonts w:hint="eastAsia" w:ascii="黑体" w:hAnsi="黑体" w:eastAsia="黑体" w:cs="黑体"/>
              <w:highlight w:val="none"/>
            </w:rPr>
            <w:fldChar w:fldCharType="separate"/>
          </w:r>
          <w:r>
            <w:rPr>
              <w:rFonts w:hint="eastAsia" w:ascii="黑体" w:hAnsi="黑体" w:eastAsia="黑体" w:cs="黑体"/>
              <w:bCs w:val="0"/>
              <w:highlight w:val="none"/>
            </w:rPr>
            <w:t>十、</w:t>
          </w:r>
          <w:r>
            <w:rPr>
              <w:rFonts w:hint="eastAsia" w:ascii="黑体" w:hAnsi="黑体" w:eastAsia="黑体" w:cs="黑体"/>
              <w:highlight w:val="none"/>
            </w:rPr>
            <w:t>政</w:t>
          </w:r>
          <w:r>
            <w:rPr>
              <w:rFonts w:hint="eastAsia" w:ascii="黑体" w:hAnsi="黑体" w:eastAsia="黑体" w:cs="黑体"/>
              <w:bCs w:val="0"/>
              <w:highlight w:val="none"/>
            </w:rPr>
            <w:t>府性基金预算财政拨款收入支出决算表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_Toc3153 \h </w:instrText>
          </w:r>
          <w:r>
            <w:rPr>
              <w:rFonts w:hint="eastAsia" w:ascii="黑体" w:hAnsi="黑体" w:eastAsia="黑体" w:cs="黑体"/>
            </w:rPr>
            <w:fldChar w:fldCharType="separate"/>
          </w:r>
          <w:r>
            <w:rPr>
              <w:rFonts w:hint="eastAsia" w:ascii="黑体" w:hAnsi="黑体" w:eastAsia="黑体" w:cs="黑体"/>
            </w:rPr>
            <w:t>30</w:t>
          </w:r>
          <w:r>
            <w:rPr>
              <w:rFonts w:hint="eastAsia" w:ascii="黑体" w:hAnsi="黑体" w:eastAsia="黑体" w:cs="黑体"/>
            </w:rPr>
            <w:fldChar w:fldCharType="end"/>
          </w:r>
          <w:r>
            <w:rPr>
              <w:rFonts w:hint="eastAsia" w:ascii="黑体" w:hAnsi="黑体" w:eastAsia="黑体" w:cs="黑体"/>
              <w:color w:val="auto"/>
              <w:highlight w:val="none"/>
            </w:rPr>
            <w:fldChar w:fldCharType="end"/>
          </w:r>
        </w:p>
        <w:p>
          <w:pPr>
            <w:pStyle w:val="32"/>
            <w:tabs>
              <w:tab w:val="right" w:leader="dot" w:pos="8306"/>
            </w:tabs>
            <w:rPr>
              <w:rFonts w:hint="eastAsia" w:ascii="黑体" w:hAnsi="黑体" w:eastAsia="黑体" w:cs="黑体"/>
            </w:rPr>
          </w:pPr>
          <w:r>
            <w:rPr>
              <w:rFonts w:hint="eastAsia" w:ascii="黑体" w:hAnsi="黑体" w:eastAsia="黑体" w:cs="黑体"/>
              <w:color w:val="auto"/>
              <w:highlight w:val="none"/>
            </w:rPr>
            <w:fldChar w:fldCharType="begin"/>
          </w:r>
          <w:r>
            <w:rPr>
              <w:rFonts w:hint="eastAsia" w:ascii="黑体" w:hAnsi="黑体" w:eastAsia="黑体" w:cs="黑体"/>
              <w:highlight w:val="none"/>
            </w:rPr>
            <w:instrText xml:space="preserve"> HYPERLINK \l _Toc17604 </w:instrText>
          </w:r>
          <w:r>
            <w:rPr>
              <w:rFonts w:hint="eastAsia" w:ascii="黑体" w:hAnsi="黑体" w:eastAsia="黑体" w:cs="黑体"/>
              <w:highlight w:val="none"/>
            </w:rPr>
            <w:fldChar w:fldCharType="separate"/>
          </w:r>
          <w:r>
            <w:rPr>
              <w:rFonts w:hint="eastAsia" w:ascii="黑体" w:hAnsi="黑体" w:eastAsia="黑体" w:cs="黑体"/>
              <w:bCs w:val="0"/>
              <w:highlight w:val="none"/>
            </w:rPr>
            <w:t>十一、</w:t>
          </w:r>
          <w:r>
            <w:rPr>
              <w:rFonts w:hint="eastAsia" w:ascii="黑体" w:hAnsi="黑体" w:eastAsia="黑体" w:cs="黑体"/>
              <w:highlight w:val="none"/>
            </w:rPr>
            <w:t>国</w:t>
          </w:r>
          <w:r>
            <w:rPr>
              <w:rFonts w:hint="eastAsia" w:ascii="黑体" w:hAnsi="黑体" w:eastAsia="黑体" w:cs="黑体"/>
              <w:bCs w:val="0"/>
              <w:highlight w:val="none"/>
            </w:rPr>
            <w:t>有资本经营预算</w:t>
          </w:r>
          <w:r>
            <w:rPr>
              <w:rFonts w:hint="eastAsia" w:ascii="黑体" w:hAnsi="黑体" w:eastAsia="黑体" w:cs="黑体"/>
              <w:bCs w:val="0"/>
              <w:highlight w:val="none"/>
              <w:lang w:eastAsia="zh-CN"/>
            </w:rPr>
            <w:t>财政拨款收入</w:t>
          </w:r>
          <w:r>
            <w:rPr>
              <w:rFonts w:hint="eastAsia" w:ascii="黑体" w:hAnsi="黑体" w:eastAsia="黑体" w:cs="黑体"/>
              <w:bCs w:val="0"/>
              <w:highlight w:val="none"/>
            </w:rPr>
            <w:t>支出决算表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_Toc17604 \h </w:instrText>
          </w:r>
          <w:r>
            <w:rPr>
              <w:rFonts w:hint="eastAsia" w:ascii="黑体" w:hAnsi="黑体" w:eastAsia="黑体" w:cs="黑体"/>
            </w:rPr>
            <w:fldChar w:fldCharType="separate"/>
          </w:r>
          <w:r>
            <w:rPr>
              <w:rFonts w:hint="eastAsia" w:ascii="黑体" w:hAnsi="黑体" w:eastAsia="黑体" w:cs="黑体"/>
            </w:rPr>
            <w:t>30</w:t>
          </w:r>
          <w:r>
            <w:rPr>
              <w:rFonts w:hint="eastAsia" w:ascii="黑体" w:hAnsi="黑体" w:eastAsia="黑体" w:cs="黑体"/>
            </w:rPr>
            <w:fldChar w:fldCharType="end"/>
          </w:r>
          <w:r>
            <w:rPr>
              <w:rFonts w:hint="eastAsia" w:ascii="黑体" w:hAnsi="黑体" w:eastAsia="黑体" w:cs="黑体"/>
              <w:color w:val="auto"/>
              <w:highlight w:val="none"/>
            </w:rPr>
            <w:fldChar w:fldCharType="end"/>
          </w:r>
        </w:p>
        <w:p>
          <w:pPr>
            <w:pStyle w:val="32"/>
            <w:tabs>
              <w:tab w:val="right" w:leader="dot" w:pos="8306"/>
            </w:tabs>
            <w:rPr>
              <w:rFonts w:hint="eastAsia" w:ascii="黑体" w:hAnsi="黑体" w:eastAsia="黑体" w:cs="黑体"/>
            </w:rPr>
          </w:pPr>
          <w:r>
            <w:rPr>
              <w:rFonts w:hint="eastAsia" w:ascii="黑体" w:hAnsi="黑体" w:eastAsia="黑体" w:cs="黑体"/>
              <w:color w:val="auto"/>
              <w:highlight w:val="none"/>
            </w:rPr>
            <w:fldChar w:fldCharType="begin"/>
          </w:r>
          <w:r>
            <w:rPr>
              <w:rFonts w:hint="eastAsia" w:ascii="黑体" w:hAnsi="黑体" w:eastAsia="黑体" w:cs="黑体"/>
              <w:highlight w:val="none"/>
            </w:rPr>
            <w:instrText xml:space="preserve"> HYPERLINK \l _Toc18748 </w:instrText>
          </w:r>
          <w:r>
            <w:rPr>
              <w:rFonts w:hint="eastAsia" w:ascii="黑体" w:hAnsi="黑体" w:eastAsia="黑体" w:cs="黑体"/>
              <w:highlight w:val="none"/>
            </w:rPr>
            <w:fldChar w:fldCharType="separate"/>
          </w:r>
          <w:r>
            <w:rPr>
              <w:rFonts w:hint="eastAsia" w:ascii="黑体" w:hAnsi="黑体" w:eastAsia="黑体" w:cs="黑体"/>
              <w:bCs w:val="0"/>
              <w:highlight w:val="none"/>
            </w:rPr>
            <w:t>十二、</w:t>
          </w:r>
          <w:r>
            <w:rPr>
              <w:rFonts w:hint="eastAsia" w:ascii="黑体" w:hAnsi="黑体" w:eastAsia="黑体" w:cs="黑体"/>
              <w:bCs w:val="0"/>
              <w:highlight w:val="none"/>
              <w:lang w:eastAsia="zh-CN"/>
            </w:rPr>
            <w:t>国有资本经营预算财政拨款支出决算表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_Toc18748 \h </w:instrText>
          </w:r>
          <w:r>
            <w:rPr>
              <w:rFonts w:hint="eastAsia" w:ascii="黑体" w:hAnsi="黑体" w:eastAsia="黑体" w:cs="黑体"/>
            </w:rPr>
            <w:fldChar w:fldCharType="separate"/>
          </w:r>
          <w:r>
            <w:rPr>
              <w:rFonts w:hint="eastAsia" w:ascii="黑体" w:hAnsi="黑体" w:eastAsia="黑体" w:cs="黑体"/>
            </w:rPr>
            <w:t>30</w:t>
          </w:r>
          <w:r>
            <w:rPr>
              <w:rFonts w:hint="eastAsia" w:ascii="黑体" w:hAnsi="黑体" w:eastAsia="黑体" w:cs="黑体"/>
            </w:rPr>
            <w:fldChar w:fldCharType="end"/>
          </w:r>
          <w:r>
            <w:rPr>
              <w:rFonts w:hint="eastAsia" w:ascii="黑体" w:hAnsi="黑体" w:eastAsia="黑体" w:cs="黑体"/>
              <w:color w:val="auto"/>
              <w:highlight w:val="none"/>
            </w:rPr>
            <w:fldChar w:fldCharType="end"/>
          </w:r>
        </w:p>
        <w:p>
          <w:pPr>
            <w:pStyle w:val="32"/>
            <w:tabs>
              <w:tab w:val="right" w:leader="dot" w:pos="8306"/>
            </w:tabs>
          </w:pPr>
          <w:r>
            <w:rPr>
              <w:rFonts w:hint="eastAsia" w:ascii="黑体" w:hAnsi="黑体" w:eastAsia="黑体" w:cs="黑体"/>
              <w:color w:val="auto"/>
              <w:highlight w:val="none"/>
            </w:rPr>
            <w:fldChar w:fldCharType="begin"/>
          </w:r>
          <w:r>
            <w:rPr>
              <w:rFonts w:hint="eastAsia" w:ascii="黑体" w:hAnsi="黑体" w:eastAsia="黑体" w:cs="黑体"/>
              <w:highlight w:val="none"/>
            </w:rPr>
            <w:instrText xml:space="preserve"> HYPERLINK \l _Toc17936 </w:instrText>
          </w:r>
          <w:r>
            <w:rPr>
              <w:rFonts w:hint="eastAsia" w:ascii="黑体" w:hAnsi="黑体" w:eastAsia="黑体" w:cs="黑体"/>
              <w:highlight w:val="none"/>
            </w:rPr>
            <w:fldChar w:fldCharType="separate"/>
          </w:r>
          <w:r>
            <w:rPr>
              <w:rFonts w:hint="eastAsia" w:ascii="黑体" w:hAnsi="黑体" w:eastAsia="黑体" w:cs="黑体"/>
              <w:bCs w:val="0"/>
              <w:highlight w:val="none"/>
            </w:rPr>
            <w:t>十三、</w:t>
          </w:r>
          <w:r>
            <w:rPr>
              <w:rFonts w:hint="eastAsia" w:ascii="黑体" w:hAnsi="黑体" w:eastAsia="黑体" w:cs="黑体"/>
              <w:bCs w:val="0"/>
              <w:highlight w:val="none"/>
              <w:lang w:eastAsia="zh-CN"/>
            </w:rPr>
            <w:t>财政拨款“三公”经费支出决算表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_Toc17936 \h </w:instrText>
          </w:r>
          <w:r>
            <w:rPr>
              <w:rFonts w:hint="eastAsia" w:ascii="黑体" w:hAnsi="黑体" w:eastAsia="黑体" w:cs="黑体"/>
            </w:rPr>
            <w:fldChar w:fldCharType="separate"/>
          </w:r>
          <w:r>
            <w:rPr>
              <w:rFonts w:hint="eastAsia" w:ascii="黑体" w:hAnsi="黑体" w:eastAsia="黑体" w:cs="黑体"/>
            </w:rPr>
            <w:t>30</w:t>
          </w:r>
          <w:r>
            <w:rPr>
              <w:rFonts w:hint="eastAsia" w:ascii="黑体" w:hAnsi="黑体" w:eastAsia="黑体" w:cs="黑体"/>
            </w:rPr>
            <w:fldChar w:fldCharType="end"/>
          </w:r>
          <w:r>
            <w:rPr>
              <w:rFonts w:hint="eastAsia" w:ascii="黑体" w:hAnsi="黑体" w:eastAsia="黑体" w:cs="黑体"/>
              <w:color w:val="auto"/>
              <w:highlight w:val="none"/>
            </w:rPr>
            <w:fldChar w:fldCharType="end"/>
          </w:r>
        </w:p>
        <w:p>
          <w:pPr>
            <w:pStyle w:val="3"/>
            <w:jc w:val="both"/>
            <w:outlineLvl w:val="9"/>
            <w:rPr>
              <w:rFonts w:hint="eastAsia" w:ascii="黑体" w:hAnsi="黑体" w:eastAsia="黑体"/>
              <w:b w:val="0"/>
              <w:color w:val="auto"/>
              <w:highlight w:val="none"/>
            </w:rPr>
            <w:sectPr>
              <w:footerReference r:id="rId5" w:type="first"/>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pPr>
          <w:r>
            <w:rPr>
              <w:rFonts w:hint="eastAsia" w:ascii="黑体" w:hAnsi="黑体" w:eastAsia="黑体"/>
              <w:b/>
              <w:color w:val="auto"/>
              <w:highlight w:val="none"/>
            </w:rPr>
            <w:fldChar w:fldCharType="end"/>
          </w:r>
        </w:p>
      </w:sdtContent>
    </w:sdt>
    <w:p>
      <w:pPr>
        <w:pStyle w:val="3"/>
        <w:jc w:val="center"/>
        <w:rPr>
          <w:rStyle w:val="17"/>
          <w:rFonts w:ascii="黑体" w:hAnsi="黑体" w:eastAsia="黑体"/>
          <w:b/>
          <w:bCs w:val="0"/>
          <w:color w:val="auto"/>
          <w:highlight w:val="none"/>
        </w:rPr>
      </w:pPr>
      <w:bookmarkStart w:id="16" w:name="_Toc29355"/>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17"/>
          <w:rFonts w:hint="eastAsia" w:ascii="黑体" w:hAnsi="黑体" w:eastAsia="黑体"/>
          <w:b w:val="0"/>
          <w:bCs w:val="0"/>
          <w:color w:val="auto"/>
          <w:highlight w:val="none"/>
        </w:rPr>
        <w:t>概况</w:t>
      </w:r>
      <w:bookmarkEnd w:id="14"/>
      <w:bookmarkEnd w:id="15"/>
      <w:bookmarkEnd w:id="16"/>
    </w:p>
    <w:p>
      <w:pPr>
        <w:widowControl/>
        <w:jc w:val="left"/>
        <w:rPr>
          <w:rFonts w:ascii="黑体" w:eastAsia="黑体"/>
          <w:color w:val="auto"/>
          <w:sz w:val="32"/>
          <w:szCs w:val="32"/>
          <w:highlight w:val="none"/>
        </w:rPr>
      </w:pPr>
    </w:p>
    <w:p>
      <w:pPr>
        <w:pStyle w:val="4"/>
        <w:numPr>
          <w:ilvl w:val="0"/>
          <w:numId w:val="1"/>
        </w:numPr>
        <w:rPr>
          <w:rStyle w:val="18"/>
          <w:rFonts w:hint="eastAsia" w:ascii="黑体" w:hAnsi="黑体" w:eastAsia="黑体"/>
          <w:b w:val="0"/>
          <w:bCs w:val="0"/>
          <w:color w:val="auto"/>
          <w:highlight w:val="none"/>
          <w:lang w:eastAsia="zh-CN"/>
        </w:rPr>
      </w:pPr>
      <w:bookmarkStart w:id="17" w:name="_Toc3045"/>
      <w:bookmarkStart w:id="18" w:name="_Toc15396600"/>
      <w:bookmarkStart w:id="19" w:name="_Toc15377197"/>
      <w:r>
        <w:rPr>
          <w:rStyle w:val="18"/>
          <w:rFonts w:hint="eastAsia" w:ascii="黑体" w:hAnsi="黑体" w:eastAsia="黑体"/>
          <w:b w:val="0"/>
          <w:bCs w:val="0"/>
          <w:color w:val="auto"/>
          <w:highlight w:val="none"/>
          <w:lang w:eastAsia="zh-CN"/>
        </w:rPr>
        <w:t>主要职责</w:t>
      </w:r>
      <w:bookmarkEnd w:id="17"/>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both"/>
        <w:textAlignment w:val="auto"/>
        <w:rPr>
          <w:rFonts w:hint="eastAsia"/>
          <w:lang w:eastAsia="zh-CN"/>
        </w:rPr>
      </w:pPr>
      <w:r>
        <w:rPr>
          <w:rFonts w:hint="eastAsia" w:ascii="仿宋" w:hAnsi="仿宋" w:eastAsia="仿宋" w:cs="仿宋"/>
          <w:color w:val="000000"/>
          <w:kern w:val="0"/>
          <w:sz w:val="32"/>
          <w:szCs w:val="32"/>
          <w:shd w:val="clear" w:color="auto" w:fill="FFFFFF"/>
          <w:lang w:val="zh-CN"/>
        </w:rPr>
        <w:t>我段2022年度主要</w:t>
      </w:r>
      <w:r>
        <w:rPr>
          <w:rFonts w:hint="eastAsia" w:ascii="仿宋" w:hAnsi="仿宋" w:eastAsia="仿宋" w:cs="仿宋"/>
          <w:color w:val="000000"/>
          <w:kern w:val="0"/>
          <w:sz w:val="32"/>
          <w:szCs w:val="32"/>
          <w:shd w:val="clear" w:color="auto" w:fill="FFFFFF"/>
          <w:lang w:val="en-US" w:eastAsia="zh-CN"/>
        </w:rPr>
        <w:t>承担</w:t>
      </w:r>
      <w:r>
        <w:rPr>
          <w:rFonts w:hint="eastAsia" w:ascii="仿宋" w:hAnsi="仿宋" w:eastAsia="仿宋" w:cs="仿宋"/>
          <w:color w:val="000000"/>
          <w:kern w:val="0"/>
          <w:sz w:val="32"/>
          <w:szCs w:val="32"/>
          <w:shd w:val="clear" w:color="auto" w:fill="FFFFFF"/>
          <w:lang w:val="zh-CN"/>
        </w:rPr>
        <w:t>嘉陵江朝天区对溪至昭化区虎跳邢家河滩（152公里）、白龙江紫兰坝（兰渝输油管线）至昭化区河口滩（13公里）165公里航道的管理</w:t>
      </w:r>
      <w:r>
        <w:rPr>
          <w:rFonts w:hint="eastAsia" w:ascii="仿宋" w:hAnsi="仿宋" w:eastAsia="仿宋" w:cs="仿宋"/>
          <w:color w:val="000000"/>
          <w:kern w:val="0"/>
          <w:sz w:val="32"/>
          <w:szCs w:val="32"/>
          <w:shd w:val="clear" w:color="auto" w:fill="FFFFFF"/>
          <w:lang w:val="en-US" w:eastAsia="zh-CN"/>
        </w:rPr>
        <w:t>及养护任务</w:t>
      </w:r>
      <w:r>
        <w:rPr>
          <w:rFonts w:hint="eastAsia" w:ascii="仿宋" w:hAnsi="仿宋" w:eastAsia="仿宋" w:cs="仿宋"/>
          <w:color w:val="000000"/>
          <w:kern w:val="0"/>
          <w:sz w:val="32"/>
          <w:szCs w:val="32"/>
          <w:shd w:val="clear" w:color="auto" w:fill="FFFFFF"/>
          <w:lang w:val="zh-CN"/>
        </w:rPr>
        <w:t>，涉及朝天、利州、昭化、剑阁四个县区。</w:t>
      </w:r>
    </w:p>
    <w:p>
      <w:pPr>
        <w:pStyle w:val="4"/>
        <w:numPr>
          <w:ilvl w:val="0"/>
          <w:numId w:val="1"/>
        </w:numPr>
        <w:ind w:left="0" w:leftChars="0" w:firstLine="0" w:firstLineChars="0"/>
        <w:rPr>
          <w:rFonts w:hint="eastAsia" w:ascii="黑体" w:hAnsi="黑体" w:eastAsia="黑体"/>
          <w:b w:val="0"/>
          <w:color w:val="auto"/>
          <w:highlight w:val="none"/>
          <w:lang w:val="en-US" w:eastAsia="zh-CN"/>
        </w:rPr>
      </w:pPr>
      <w:bookmarkStart w:id="20" w:name="_Toc31111"/>
      <w:r>
        <w:rPr>
          <w:rFonts w:hint="eastAsia" w:ascii="黑体" w:hAnsi="黑体" w:eastAsia="黑体"/>
          <w:b w:val="0"/>
          <w:color w:val="auto"/>
          <w:highlight w:val="none"/>
          <w:lang w:val="en-US" w:eastAsia="zh-CN"/>
        </w:rPr>
        <w:t>机构设置</w:t>
      </w:r>
      <w:bookmarkEnd w:id="20"/>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both"/>
        <w:textAlignment w:val="auto"/>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我</w:t>
      </w:r>
      <w:r>
        <w:rPr>
          <w:rFonts w:hint="eastAsia" w:ascii="仿宋" w:hAnsi="仿宋" w:eastAsia="仿宋" w:cs="仿宋"/>
          <w:color w:val="000000"/>
          <w:kern w:val="0"/>
          <w:sz w:val="32"/>
          <w:szCs w:val="32"/>
          <w:shd w:val="clear" w:color="auto" w:fill="FFFFFF"/>
          <w:lang w:val="en-US" w:eastAsia="zh-CN"/>
        </w:rPr>
        <w:t>段</w:t>
      </w:r>
      <w:r>
        <w:rPr>
          <w:rFonts w:hint="eastAsia" w:ascii="仿宋" w:hAnsi="仿宋" w:eastAsia="仿宋" w:cs="仿宋"/>
          <w:color w:val="000000"/>
          <w:kern w:val="0"/>
          <w:sz w:val="32"/>
          <w:szCs w:val="32"/>
          <w:shd w:val="clear" w:color="auto" w:fill="FFFFFF"/>
          <w:lang w:val="zh-CN"/>
        </w:rPr>
        <w:t>隶属广元市</w:t>
      </w:r>
      <w:r>
        <w:rPr>
          <w:rFonts w:hint="eastAsia" w:ascii="仿宋" w:hAnsi="仿宋" w:eastAsia="仿宋" w:cs="仿宋"/>
          <w:color w:val="000000"/>
          <w:kern w:val="0"/>
          <w:sz w:val="32"/>
          <w:szCs w:val="32"/>
          <w:shd w:val="clear" w:color="auto" w:fill="FFFFFF"/>
          <w:lang w:val="en-US" w:eastAsia="zh-CN"/>
        </w:rPr>
        <w:t>交通运输局管理的公益一类</w:t>
      </w:r>
      <w:r>
        <w:rPr>
          <w:rFonts w:hint="eastAsia" w:ascii="仿宋" w:hAnsi="仿宋" w:eastAsia="仿宋" w:cs="仿宋"/>
          <w:color w:val="000000"/>
          <w:kern w:val="0"/>
          <w:sz w:val="32"/>
          <w:szCs w:val="32"/>
          <w:shd w:val="clear" w:color="auto" w:fill="FFFFFF"/>
          <w:lang w:val="zh-CN"/>
        </w:rPr>
        <w:t>事业单位，</w:t>
      </w:r>
      <w:r>
        <w:rPr>
          <w:rFonts w:hint="eastAsia" w:ascii="仿宋" w:hAnsi="仿宋" w:eastAsia="仿宋" w:cs="仿宋"/>
          <w:color w:val="000000"/>
          <w:kern w:val="0"/>
          <w:sz w:val="32"/>
          <w:szCs w:val="32"/>
          <w:shd w:val="clear" w:color="auto" w:fill="FFFFFF"/>
          <w:lang w:val="en-US" w:eastAsia="zh-CN"/>
        </w:rPr>
        <w:t>属广元市港航发展中心二级预算单位，实行</w:t>
      </w:r>
      <w:r>
        <w:rPr>
          <w:rFonts w:hint="eastAsia" w:ascii="仿宋" w:hAnsi="仿宋" w:eastAsia="仿宋" w:cs="仿宋"/>
          <w:color w:val="000000"/>
          <w:kern w:val="0"/>
          <w:sz w:val="32"/>
          <w:szCs w:val="32"/>
          <w:shd w:val="clear" w:color="auto" w:fill="FFFFFF"/>
          <w:lang w:val="zh-CN"/>
        </w:rPr>
        <w:t>广元市航务管理局广元航道段（广元港港口管理所）“两块牌子，一套人马”管理体制，下设办公室、财务</w:t>
      </w:r>
      <w:r>
        <w:rPr>
          <w:rFonts w:hint="eastAsia" w:ascii="仿宋" w:hAnsi="仿宋" w:eastAsia="仿宋" w:cs="仿宋"/>
          <w:color w:val="000000"/>
          <w:kern w:val="0"/>
          <w:sz w:val="32"/>
          <w:szCs w:val="32"/>
          <w:shd w:val="clear" w:color="auto" w:fill="FFFFFF"/>
          <w:lang w:val="en-US" w:eastAsia="zh-CN"/>
        </w:rPr>
        <w:t>科</w:t>
      </w:r>
      <w:r>
        <w:rPr>
          <w:rFonts w:hint="eastAsia" w:ascii="仿宋" w:hAnsi="仿宋" w:eastAsia="仿宋" w:cs="仿宋"/>
          <w:color w:val="000000"/>
          <w:kern w:val="0"/>
          <w:sz w:val="32"/>
          <w:szCs w:val="32"/>
          <w:shd w:val="clear" w:color="auto" w:fill="FFFFFF"/>
          <w:lang w:val="zh-CN"/>
        </w:rPr>
        <w:t>、航政</w:t>
      </w:r>
      <w:r>
        <w:rPr>
          <w:rFonts w:hint="eastAsia" w:ascii="仿宋" w:hAnsi="仿宋" w:eastAsia="仿宋" w:cs="仿宋"/>
          <w:color w:val="000000"/>
          <w:kern w:val="0"/>
          <w:sz w:val="32"/>
          <w:szCs w:val="32"/>
          <w:shd w:val="clear" w:color="auto" w:fill="FFFFFF"/>
          <w:lang w:val="en-US" w:eastAsia="zh-CN"/>
        </w:rPr>
        <w:t>科</w:t>
      </w:r>
      <w:r>
        <w:rPr>
          <w:rFonts w:hint="eastAsia" w:ascii="仿宋" w:hAnsi="仿宋" w:eastAsia="仿宋" w:cs="仿宋"/>
          <w:color w:val="000000"/>
          <w:kern w:val="0"/>
          <w:sz w:val="32"/>
          <w:szCs w:val="32"/>
          <w:shd w:val="clear" w:color="auto" w:fill="FFFFFF"/>
          <w:lang w:val="zh-CN"/>
        </w:rPr>
        <w:t>、工程</w:t>
      </w:r>
      <w:r>
        <w:rPr>
          <w:rFonts w:hint="eastAsia" w:ascii="仿宋" w:hAnsi="仿宋" w:eastAsia="仿宋" w:cs="仿宋"/>
          <w:color w:val="000000"/>
          <w:kern w:val="0"/>
          <w:sz w:val="32"/>
          <w:szCs w:val="32"/>
          <w:shd w:val="clear" w:color="auto" w:fill="FFFFFF"/>
          <w:lang w:val="en-US" w:eastAsia="zh-CN"/>
        </w:rPr>
        <w:t>科</w:t>
      </w:r>
      <w:r>
        <w:rPr>
          <w:rFonts w:hint="eastAsia" w:ascii="仿宋" w:hAnsi="仿宋" w:eastAsia="仿宋" w:cs="仿宋"/>
          <w:color w:val="000000"/>
          <w:kern w:val="0"/>
          <w:sz w:val="32"/>
          <w:szCs w:val="32"/>
          <w:shd w:val="clear" w:color="auto" w:fill="FFFFFF"/>
          <w:lang w:val="zh-CN"/>
        </w:rPr>
        <w:t>和3个</w:t>
      </w:r>
      <w:r>
        <w:rPr>
          <w:rFonts w:hint="eastAsia" w:ascii="仿宋" w:hAnsi="仿宋" w:eastAsia="仿宋" w:cs="仿宋"/>
          <w:color w:val="000000"/>
          <w:kern w:val="0"/>
          <w:sz w:val="32"/>
          <w:szCs w:val="32"/>
          <w:shd w:val="clear" w:color="auto" w:fill="FFFFFF"/>
          <w:lang w:val="en-US" w:eastAsia="zh-CN"/>
        </w:rPr>
        <w:t>航标维护</w:t>
      </w:r>
      <w:r>
        <w:rPr>
          <w:rFonts w:hint="eastAsia" w:ascii="仿宋" w:hAnsi="仿宋" w:eastAsia="仿宋" w:cs="仿宋"/>
          <w:color w:val="000000"/>
          <w:kern w:val="0"/>
          <w:sz w:val="32"/>
          <w:szCs w:val="32"/>
          <w:shd w:val="clear" w:color="auto" w:fill="FFFFFF"/>
          <w:lang w:val="zh-CN"/>
        </w:rPr>
        <w:t>班组。</w:t>
      </w:r>
    </w:p>
    <w:p>
      <w:pPr>
        <w:numPr>
          <w:ilvl w:val="0"/>
          <w:numId w:val="0"/>
        </w:numPr>
        <w:ind w:leftChars="0"/>
        <w:rPr>
          <w:rFonts w:hint="eastAsia"/>
          <w:lang w:val="en-US" w:eastAsia="zh-CN"/>
        </w:rPr>
      </w:pPr>
    </w:p>
    <w:bookmarkEnd w:id="18"/>
    <w:bookmarkEnd w:id="19"/>
    <w:p>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3"/>
        <w:ind w:right="440"/>
        <w:jc w:val="center"/>
        <w:rPr>
          <w:rStyle w:val="17"/>
          <w:rFonts w:ascii="黑体" w:hAnsi="黑体" w:eastAsia="黑体"/>
          <w:b w:val="0"/>
          <w:bCs/>
          <w:color w:val="auto"/>
          <w:highlight w:val="none"/>
        </w:rPr>
      </w:pPr>
      <w:bookmarkStart w:id="21" w:name="_Toc18271"/>
      <w:bookmarkStart w:id="22" w:name="_Toc15377204"/>
      <w:bookmarkStart w:id="23" w:name="_Toc15396602"/>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17"/>
          <w:rFonts w:hint="eastAsia" w:ascii="黑体" w:hAnsi="黑体" w:eastAsia="黑体"/>
          <w:b w:val="0"/>
          <w:bCs/>
          <w:color w:val="auto"/>
          <w:highlight w:val="none"/>
          <w:lang w:eastAsia="zh-CN"/>
        </w:rPr>
        <w:t>单位</w:t>
      </w:r>
      <w:r>
        <w:rPr>
          <w:rStyle w:val="17"/>
          <w:rFonts w:hint="eastAsia" w:ascii="黑体" w:hAnsi="黑体" w:eastAsia="黑体"/>
          <w:b w:val="0"/>
          <w:bCs/>
          <w:color w:val="auto"/>
          <w:highlight w:val="none"/>
        </w:rPr>
        <w:t>决算情况说明</w:t>
      </w:r>
      <w:bookmarkEnd w:id="21"/>
      <w:bookmarkEnd w:id="22"/>
      <w:bookmarkEnd w:id="23"/>
    </w:p>
    <w:p>
      <w:pPr>
        <w:rPr>
          <w:color w:val="auto"/>
          <w:highlight w:val="none"/>
        </w:rPr>
      </w:pPr>
    </w:p>
    <w:p>
      <w:pPr>
        <w:pStyle w:val="27"/>
        <w:numPr>
          <w:ilvl w:val="0"/>
          <w:numId w:val="2"/>
        </w:numPr>
        <w:spacing w:line="600" w:lineRule="exact"/>
        <w:ind w:firstLineChars="0"/>
        <w:outlineLvl w:val="1"/>
        <w:rPr>
          <w:rStyle w:val="18"/>
          <w:rFonts w:ascii="黑体" w:hAnsi="黑体" w:eastAsia="黑体"/>
          <w:b w:val="0"/>
          <w:color w:val="auto"/>
          <w:highlight w:val="none"/>
        </w:rPr>
      </w:pPr>
      <w:bookmarkStart w:id="24" w:name="_Toc15377205"/>
      <w:bookmarkStart w:id="25" w:name="_Toc4495"/>
      <w:bookmarkStart w:id="26" w:name="_Toc15396603"/>
      <w:r>
        <w:rPr>
          <w:rFonts w:hint="eastAsia" w:ascii="黑体" w:hAnsi="黑体" w:eastAsia="黑体"/>
          <w:color w:val="auto"/>
          <w:sz w:val="32"/>
          <w:szCs w:val="32"/>
          <w:highlight w:val="none"/>
        </w:rPr>
        <w:t>收</w:t>
      </w:r>
      <w:r>
        <w:rPr>
          <w:rStyle w:val="18"/>
          <w:rFonts w:hint="eastAsia" w:ascii="黑体" w:hAnsi="黑体" w:eastAsia="黑体"/>
          <w:b w:val="0"/>
          <w:color w:val="auto"/>
          <w:highlight w:val="none"/>
        </w:rPr>
        <w:t>入支出决算总体情况说明</w:t>
      </w:r>
      <w:bookmarkEnd w:id="24"/>
      <w:bookmarkEnd w:id="25"/>
      <w:bookmarkEnd w:id="26"/>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1064.90</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年相比，收、支总计各增加</w:t>
      </w:r>
      <w:r>
        <w:rPr>
          <w:rFonts w:hint="eastAsia" w:ascii="仿宋" w:hAnsi="仿宋" w:eastAsia="仿宋"/>
          <w:color w:val="auto"/>
          <w:sz w:val="32"/>
          <w:szCs w:val="32"/>
          <w:highlight w:val="none"/>
          <w:lang w:val="en-US" w:eastAsia="zh-CN"/>
        </w:rPr>
        <w:t>221.41</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26.25</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w:t>
      </w:r>
      <w:r>
        <w:rPr>
          <w:rFonts w:hint="eastAsia" w:ascii="仿宋_GB2312" w:hAnsi="仿宋" w:eastAsia="仿宋_GB2312"/>
          <w:sz w:val="32"/>
          <w:szCs w:val="32"/>
        </w:rPr>
        <w:t>是人员工资调标、补发2</w:t>
      </w:r>
      <w:r>
        <w:rPr>
          <w:rFonts w:hint="eastAsia" w:ascii="仿宋_GB2312" w:hAnsi="仿宋" w:eastAsia="仿宋_GB2312"/>
          <w:sz w:val="32"/>
          <w:szCs w:val="32"/>
          <w:lang w:val="en-US" w:eastAsia="zh-CN"/>
        </w:rPr>
        <w:t>021年度</w:t>
      </w:r>
      <w:r>
        <w:rPr>
          <w:rFonts w:hint="eastAsia" w:ascii="仿宋_GB2312" w:hAnsi="仿宋" w:eastAsia="仿宋_GB2312"/>
          <w:sz w:val="32"/>
          <w:szCs w:val="32"/>
        </w:rPr>
        <w:t>基础绩效奖、</w:t>
      </w:r>
      <w:r>
        <w:rPr>
          <w:rFonts w:hint="eastAsia" w:ascii="仿宋_GB2312" w:hAnsi="仿宋" w:eastAsia="仿宋_GB2312"/>
          <w:sz w:val="32"/>
          <w:szCs w:val="32"/>
          <w:lang w:eastAsia="zh-CN"/>
        </w:rPr>
        <w:t>发放</w:t>
      </w:r>
      <w:r>
        <w:rPr>
          <w:rFonts w:hint="eastAsia" w:ascii="仿宋_GB2312" w:hAnsi="仿宋" w:eastAsia="仿宋_GB2312"/>
          <w:sz w:val="32"/>
          <w:szCs w:val="32"/>
        </w:rPr>
        <w:t>2</w:t>
      </w:r>
      <w:r>
        <w:rPr>
          <w:rFonts w:hint="eastAsia" w:ascii="仿宋_GB2312" w:hAnsi="仿宋" w:eastAsia="仿宋_GB2312"/>
          <w:sz w:val="32"/>
          <w:szCs w:val="32"/>
          <w:lang w:val="en-US" w:eastAsia="zh-CN"/>
        </w:rPr>
        <w:t>022</w:t>
      </w:r>
      <w:r>
        <w:rPr>
          <w:rFonts w:hint="eastAsia" w:ascii="仿宋_GB2312" w:hAnsi="仿宋" w:eastAsia="仿宋_GB2312"/>
          <w:sz w:val="32"/>
          <w:szCs w:val="32"/>
        </w:rPr>
        <w:t>年基础绩效奖及养老保险</w:t>
      </w:r>
      <w:r>
        <w:rPr>
          <w:rFonts w:hint="eastAsia" w:ascii="仿宋_GB2312" w:hAnsi="仿宋" w:eastAsia="仿宋_GB2312"/>
          <w:sz w:val="32"/>
          <w:szCs w:val="32"/>
          <w:lang w:eastAsia="zh-CN"/>
        </w:rPr>
        <w:t>和住房</w:t>
      </w:r>
      <w:r>
        <w:rPr>
          <w:rFonts w:hint="eastAsia" w:ascii="仿宋_GB2312" w:hAnsi="仿宋" w:eastAsia="仿宋_GB2312"/>
          <w:sz w:val="32"/>
          <w:szCs w:val="32"/>
        </w:rPr>
        <w:t>公积金</w:t>
      </w:r>
      <w:r>
        <w:rPr>
          <w:rFonts w:hint="eastAsia" w:ascii="仿宋_GB2312" w:hAnsi="仿宋" w:eastAsia="仿宋_GB2312"/>
          <w:sz w:val="32"/>
          <w:szCs w:val="32"/>
          <w:lang w:eastAsia="zh-CN"/>
        </w:rPr>
        <w:t>缴费基数上调</w:t>
      </w:r>
      <w:r>
        <w:rPr>
          <w:rFonts w:hint="eastAsia" w:ascii="仿宋_GB2312" w:hAnsi="仿宋" w:eastAsia="仿宋_GB2312"/>
          <w:sz w:val="32"/>
          <w:szCs w:val="32"/>
        </w:rPr>
        <w:t>等</w:t>
      </w:r>
      <w:r>
        <w:rPr>
          <w:rFonts w:hint="eastAsia" w:ascii="仿宋" w:hAnsi="仿宋" w:eastAsia="仿宋"/>
          <w:color w:val="auto"/>
          <w:sz w:val="32"/>
          <w:szCs w:val="32"/>
          <w:highlight w:val="none"/>
          <w:lang w:eastAsia="zh-CN"/>
        </w:rPr>
        <w:t>。</w:t>
      </w:r>
    </w:p>
    <w:p>
      <w:pPr>
        <w:spacing w:line="600" w:lineRule="exact"/>
        <w:ind w:firstLine="640" w:firstLineChars="200"/>
        <w:jc w:val="center"/>
        <w:rPr>
          <w:rFonts w:hint="eastAsia" w:ascii="仿宋_GB2312" w:eastAsia="仿宋_GB2312"/>
          <w:color w:val="auto"/>
          <w:sz w:val="32"/>
          <w:szCs w:val="32"/>
          <w:highlight w:val="none"/>
          <w:lang w:eastAsia="zh-CN"/>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pPr>
        <w:rPr>
          <w:rFonts w:hint="eastAsia"/>
          <w:lang w:eastAsia="zh-CN"/>
        </w:rPr>
      </w:pPr>
      <w:r>
        <w:rPr>
          <w:rFonts w:hint="eastAsia" w:ascii="仿宋_GB2312" w:eastAsia="仿宋_GB2312"/>
          <w:color w:val="auto"/>
          <w:sz w:val="32"/>
          <w:szCs w:val="32"/>
          <w:highlight w:val="none"/>
          <w:lang w:eastAsia="zh-CN"/>
        </w:rPr>
        <w:drawing>
          <wp:inline distT="0" distB="0" distL="114300" distR="114300">
            <wp:extent cx="5256530" cy="2988310"/>
            <wp:effectExtent l="5080" t="4445" r="15240" b="171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27"/>
        <w:numPr>
          <w:ilvl w:val="0"/>
          <w:numId w:val="2"/>
        </w:numPr>
        <w:spacing w:line="600" w:lineRule="exact"/>
        <w:ind w:firstLineChars="0"/>
        <w:outlineLvl w:val="1"/>
        <w:rPr>
          <w:rStyle w:val="18"/>
          <w:rFonts w:ascii="黑体" w:hAnsi="黑体" w:eastAsia="黑体"/>
          <w:b w:val="0"/>
          <w:color w:val="auto"/>
          <w:highlight w:val="none"/>
        </w:rPr>
      </w:pPr>
      <w:bookmarkStart w:id="27" w:name="_Toc28678"/>
      <w:bookmarkStart w:id="28" w:name="_Toc15396604"/>
      <w:bookmarkStart w:id="29" w:name="_Toc15377206"/>
      <w:r>
        <w:rPr>
          <w:rFonts w:hint="eastAsia" w:ascii="黑体" w:hAnsi="黑体" w:eastAsia="黑体"/>
          <w:color w:val="auto"/>
          <w:sz w:val="32"/>
          <w:szCs w:val="32"/>
          <w:highlight w:val="none"/>
        </w:rPr>
        <w:t>收</w:t>
      </w:r>
      <w:r>
        <w:rPr>
          <w:rStyle w:val="18"/>
          <w:rFonts w:hint="eastAsia" w:ascii="黑体" w:hAnsi="黑体" w:eastAsia="黑体"/>
          <w:b w:val="0"/>
          <w:color w:val="auto"/>
          <w:highlight w:val="none"/>
        </w:rPr>
        <w:t>入决算情况说明</w:t>
      </w:r>
      <w:bookmarkEnd w:id="27"/>
      <w:bookmarkEnd w:id="28"/>
      <w:bookmarkEnd w:id="29"/>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ascii="仿宋" w:hAnsi="仿宋" w:eastAsia="仿宋"/>
          <w:color w:val="auto"/>
          <w:sz w:val="32"/>
          <w:szCs w:val="32"/>
          <w:highlight w:val="none"/>
        </w:rPr>
      </w:pPr>
      <w:bookmarkStart w:id="30" w:name="_Toc21755"/>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1064.85</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1064.50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99.97</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0.35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30"/>
    </w:p>
    <w:p>
      <w:pPr>
        <w:spacing w:line="600" w:lineRule="exact"/>
        <w:ind w:firstLine="640" w:firstLineChars="200"/>
        <w:jc w:val="center"/>
        <w:rPr>
          <w:rFonts w:ascii="仿宋_GB2312" w:eastAsia="仿宋_GB2312"/>
          <w:color w:val="auto"/>
          <w:sz w:val="32"/>
          <w:szCs w:val="32"/>
          <w:highlight w:val="none"/>
        </w:rPr>
      </w:pPr>
      <w:r>
        <w:rPr>
          <w:rFonts w:hint="eastAsia" w:ascii="仿宋" w:hAnsi="仿宋" w:eastAsia="仿宋"/>
          <w:color w:val="auto"/>
          <w:sz w:val="32"/>
          <w:szCs w:val="32"/>
          <w:highlight w:val="none"/>
        </w:rPr>
        <w:t>（图2：收入决算结构图）（饼状图）</w:t>
      </w:r>
    </w:p>
    <w:p>
      <w:pPr>
        <w:pStyle w:val="2"/>
      </w:pPr>
      <w:r>
        <w:rPr>
          <w:rFonts w:hint="eastAsia" w:ascii="仿宋_GB2312" w:eastAsia="仿宋_GB2312"/>
          <w:color w:val="auto"/>
          <w:sz w:val="32"/>
          <w:szCs w:val="32"/>
          <w:highlight w:val="none"/>
          <w:lang w:eastAsia="zh-CN"/>
        </w:rPr>
        <w:drawing>
          <wp:inline distT="0" distB="0" distL="114300" distR="114300">
            <wp:extent cx="4885690" cy="2379345"/>
            <wp:effectExtent l="4445" t="4445" r="5715" b="1651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27"/>
        <w:numPr>
          <w:ilvl w:val="0"/>
          <w:numId w:val="2"/>
        </w:numPr>
        <w:spacing w:line="600" w:lineRule="exact"/>
        <w:ind w:firstLineChars="0"/>
        <w:outlineLvl w:val="1"/>
        <w:rPr>
          <w:rStyle w:val="18"/>
          <w:rFonts w:ascii="黑体" w:hAnsi="黑体" w:eastAsia="黑体"/>
          <w:b w:val="0"/>
          <w:color w:val="auto"/>
          <w:highlight w:val="none"/>
        </w:rPr>
      </w:pPr>
      <w:bookmarkStart w:id="31" w:name="_Toc15396605"/>
      <w:bookmarkStart w:id="32" w:name="_Toc15377207"/>
      <w:bookmarkStart w:id="33" w:name="_Toc16059"/>
      <w:r>
        <w:rPr>
          <w:rFonts w:hint="eastAsia" w:ascii="黑体" w:hAnsi="黑体" w:eastAsia="黑体"/>
          <w:color w:val="auto"/>
          <w:sz w:val="32"/>
          <w:szCs w:val="32"/>
          <w:highlight w:val="none"/>
        </w:rPr>
        <w:t>支</w:t>
      </w:r>
      <w:r>
        <w:rPr>
          <w:rStyle w:val="18"/>
          <w:rFonts w:hint="eastAsia" w:ascii="黑体" w:hAnsi="黑体" w:eastAsia="黑体"/>
          <w:b w:val="0"/>
          <w:color w:val="auto"/>
          <w:highlight w:val="none"/>
        </w:rPr>
        <w:t>出决算情况说明</w:t>
      </w:r>
      <w:bookmarkEnd w:id="31"/>
      <w:bookmarkEnd w:id="32"/>
      <w:bookmarkEnd w:id="33"/>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ascii="仿宋" w:hAnsi="仿宋" w:eastAsia="仿宋"/>
          <w:color w:val="auto"/>
          <w:sz w:val="32"/>
          <w:szCs w:val="32"/>
          <w:highlight w:val="none"/>
          <w:shd w:val="pct10" w:color="auto" w:fill="FFFFFF"/>
        </w:rPr>
      </w:pPr>
      <w:bookmarkStart w:id="34" w:name="_Toc10891"/>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1064.47</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988.87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92.9</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75.6</w:t>
      </w:r>
      <w:r>
        <w:rPr>
          <w:rFonts w:hint="default"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7.1</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bookmarkEnd w:id="34"/>
    </w:p>
    <w:p>
      <w:pPr>
        <w:spacing w:line="600" w:lineRule="exact"/>
        <w:ind w:firstLine="640" w:firstLineChars="200"/>
        <w:jc w:val="center"/>
        <w:rPr>
          <w:rFonts w:ascii="仿宋_GB2312" w:eastAsia="仿宋_GB2312"/>
          <w:color w:val="auto"/>
          <w:sz w:val="32"/>
          <w:szCs w:val="32"/>
          <w:highlight w:val="none"/>
        </w:rPr>
      </w:pPr>
      <w:r>
        <w:rPr>
          <w:rFonts w:hint="eastAsia" w:ascii="仿宋" w:hAnsi="仿宋" w:eastAsia="仿宋"/>
          <w:color w:val="auto"/>
          <w:sz w:val="32"/>
          <w:szCs w:val="32"/>
          <w:highlight w:val="none"/>
        </w:rPr>
        <w:t>（图3：支出决算结构图）（饼状图）</w:t>
      </w:r>
    </w:p>
    <w:p>
      <w:pPr>
        <w:pStyle w:val="2"/>
      </w:pPr>
      <w:r>
        <w:rPr>
          <w:rFonts w:hint="eastAsia" w:ascii="仿宋_GB2312" w:eastAsia="仿宋_GB2312"/>
          <w:color w:val="auto"/>
          <w:sz w:val="32"/>
          <w:szCs w:val="32"/>
          <w:highlight w:val="none"/>
          <w:lang w:eastAsia="zh-CN"/>
        </w:rPr>
        <w:drawing>
          <wp:inline distT="0" distB="0" distL="114300" distR="114300">
            <wp:extent cx="4705350" cy="2475230"/>
            <wp:effectExtent l="4445" t="4445" r="14605" b="1587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outlineLvl w:val="1"/>
        <w:rPr>
          <w:rStyle w:val="18"/>
          <w:rFonts w:ascii="黑体" w:hAnsi="黑体" w:eastAsia="黑体"/>
          <w:b w:val="0"/>
          <w:color w:val="auto"/>
          <w:highlight w:val="none"/>
        </w:rPr>
      </w:pPr>
      <w:bookmarkStart w:id="35" w:name="_Toc15377208"/>
      <w:bookmarkStart w:id="36" w:name="_Toc21276"/>
      <w:bookmarkStart w:id="37" w:name="_Toc15396606"/>
      <w:r>
        <w:rPr>
          <w:rFonts w:hint="eastAsia" w:ascii="黑体" w:hAnsi="黑体" w:eastAsia="黑体"/>
          <w:color w:val="auto"/>
          <w:sz w:val="32"/>
          <w:szCs w:val="32"/>
          <w:highlight w:val="none"/>
        </w:rPr>
        <w:t>四、财</w:t>
      </w:r>
      <w:r>
        <w:rPr>
          <w:rStyle w:val="18"/>
          <w:rFonts w:hint="eastAsia" w:ascii="黑体" w:hAnsi="黑体" w:eastAsia="黑体"/>
          <w:b w:val="0"/>
          <w:color w:val="auto"/>
          <w:highlight w:val="none"/>
        </w:rPr>
        <w:t>政拨款收入支出决算总体情况说明</w:t>
      </w:r>
      <w:bookmarkEnd w:id="35"/>
      <w:bookmarkEnd w:id="36"/>
      <w:bookmarkEnd w:id="37"/>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1064.55</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年相比，财政拨款收、支总计各增加</w:t>
      </w:r>
      <w:r>
        <w:rPr>
          <w:rFonts w:hint="eastAsia" w:ascii="仿宋" w:hAnsi="仿宋" w:eastAsia="仿宋"/>
          <w:color w:val="auto"/>
          <w:sz w:val="32"/>
          <w:szCs w:val="32"/>
          <w:highlight w:val="none"/>
          <w:lang w:val="en-US" w:eastAsia="zh-CN"/>
        </w:rPr>
        <w:t>221.08</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26.21</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w:t>
      </w:r>
      <w:r>
        <w:rPr>
          <w:rFonts w:hint="eastAsia" w:ascii="仿宋_GB2312" w:hAnsi="仿宋" w:eastAsia="仿宋_GB2312"/>
          <w:sz w:val="32"/>
          <w:szCs w:val="32"/>
        </w:rPr>
        <w:t>是人员工资调标、补发2</w:t>
      </w:r>
      <w:r>
        <w:rPr>
          <w:rFonts w:hint="eastAsia" w:ascii="仿宋_GB2312" w:hAnsi="仿宋" w:eastAsia="仿宋_GB2312"/>
          <w:sz w:val="32"/>
          <w:szCs w:val="32"/>
          <w:lang w:val="en-US" w:eastAsia="zh-CN"/>
        </w:rPr>
        <w:t>021年度</w:t>
      </w:r>
      <w:r>
        <w:rPr>
          <w:rFonts w:hint="eastAsia" w:ascii="仿宋_GB2312" w:hAnsi="仿宋" w:eastAsia="仿宋_GB2312"/>
          <w:sz w:val="32"/>
          <w:szCs w:val="32"/>
        </w:rPr>
        <w:t>基础绩效奖、</w:t>
      </w:r>
      <w:r>
        <w:rPr>
          <w:rFonts w:hint="eastAsia" w:ascii="仿宋_GB2312" w:hAnsi="仿宋" w:eastAsia="仿宋_GB2312"/>
          <w:sz w:val="32"/>
          <w:szCs w:val="32"/>
          <w:lang w:eastAsia="zh-CN"/>
        </w:rPr>
        <w:t>发放</w:t>
      </w:r>
      <w:r>
        <w:rPr>
          <w:rFonts w:hint="eastAsia" w:ascii="仿宋_GB2312" w:hAnsi="仿宋" w:eastAsia="仿宋_GB2312"/>
          <w:sz w:val="32"/>
          <w:szCs w:val="32"/>
        </w:rPr>
        <w:t>2</w:t>
      </w:r>
      <w:r>
        <w:rPr>
          <w:rFonts w:hint="eastAsia" w:ascii="仿宋_GB2312" w:hAnsi="仿宋" w:eastAsia="仿宋_GB2312"/>
          <w:sz w:val="32"/>
          <w:szCs w:val="32"/>
          <w:lang w:val="en-US" w:eastAsia="zh-CN"/>
        </w:rPr>
        <w:t>022</w:t>
      </w:r>
      <w:r>
        <w:rPr>
          <w:rFonts w:hint="eastAsia" w:ascii="仿宋_GB2312" w:hAnsi="仿宋" w:eastAsia="仿宋_GB2312"/>
          <w:sz w:val="32"/>
          <w:szCs w:val="32"/>
        </w:rPr>
        <w:t>年基础绩效奖及养老保险</w:t>
      </w:r>
      <w:r>
        <w:rPr>
          <w:rFonts w:hint="eastAsia" w:ascii="仿宋_GB2312" w:hAnsi="仿宋" w:eastAsia="仿宋_GB2312"/>
          <w:sz w:val="32"/>
          <w:szCs w:val="32"/>
          <w:lang w:eastAsia="zh-CN"/>
        </w:rPr>
        <w:t>和住房</w:t>
      </w:r>
      <w:r>
        <w:rPr>
          <w:rFonts w:hint="eastAsia" w:ascii="仿宋_GB2312" w:hAnsi="仿宋" w:eastAsia="仿宋_GB2312"/>
          <w:sz w:val="32"/>
          <w:szCs w:val="32"/>
        </w:rPr>
        <w:t>公积金</w:t>
      </w:r>
      <w:r>
        <w:rPr>
          <w:rFonts w:hint="eastAsia" w:ascii="仿宋_GB2312" w:hAnsi="仿宋" w:eastAsia="仿宋_GB2312"/>
          <w:sz w:val="32"/>
          <w:szCs w:val="32"/>
          <w:lang w:eastAsia="zh-CN"/>
        </w:rPr>
        <w:t>缴费基数上调</w:t>
      </w:r>
      <w:r>
        <w:rPr>
          <w:rFonts w:hint="eastAsia" w:ascii="仿宋_GB2312" w:hAnsi="仿宋" w:eastAsia="仿宋_GB2312"/>
          <w:sz w:val="32"/>
          <w:szCs w:val="32"/>
        </w:rPr>
        <w:t>等</w:t>
      </w:r>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（图4：财政拨款收、支决算总计变动情况）（柱状图）</w:t>
      </w:r>
    </w:p>
    <w:p>
      <w:pPr>
        <w:pStyle w:val="2"/>
        <w:rPr>
          <w:rFonts w:ascii="仿宋" w:hAnsi="仿宋" w:eastAsia="仿宋"/>
          <w:b/>
          <w:color w:val="auto"/>
          <w:sz w:val="32"/>
          <w:szCs w:val="32"/>
          <w:highlight w:val="none"/>
        </w:rPr>
      </w:pPr>
      <w:r>
        <w:rPr>
          <w:rFonts w:hint="eastAsia" w:ascii="仿宋" w:hAnsi="仿宋" w:eastAsia="仿宋"/>
          <w:color w:val="auto"/>
          <w:sz w:val="32"/>
          <w:szCs w:val="32"/>
          <w:highlight w:val="none"/>
          <w:lang w:eastAsia="zh-CN"/>
        </w:rPr>
        <w:drawing>
          <wp:inline distT="0" distB="0" distL="114300" distR="114300">
            <wp:extent cx="5256530" cy="2988310"/>
            <wp:effectExtent l="5080" t="4445" r="15240" b="1714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firstLineChars="200"/>
        <w:outlineLvl w:val="1"/>
        <w:rPr>
          <w:rStyle w:val="18"/>
          <w:rFonts w:ascii="黑体" w:hAnsi="黑体" w:eastAsia="黑体"/>
          <w:b w:val="0"/>
          <w:color w:val="auto"/>
          <w:highlight w:val="none"/>
        </w:rPr>
      </w:pPr>
      <w:bookmarkStart w:id="38" w:name="_Toc15396607"/>
      <w:bookmarkStart w:id="39" w:name="_Toc15377209"/>
      <w:bookmarkStart w:id="40" w:name="_Toc8155"/>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18"/>
          <w:rFonts w:hint="eastAsia" w:ascii="黑体" w:hAnsi="黑体" w:eastAsia="黑体"/>
          <w:b w:val="0"/>
          <w:color w:val="auto"/>
          <w:highlight w:val="none"/>
        </w:rPr>
        <w:t>般公共预算财政拨款支出决算情况说明</w:t>
      </w:r>
      <w:bookmarkEnd w:id="38"/>
      <w:bookmarkEnd w:id="39"/>
      <w:bookmarkEnd w:id="40"/>
    </w:p>
    <w:p>
      <w:pPr>
        <w:spacing w:line="600" w:lineRule="exact"/>
        <w:ind w:firstLine="643" w:firstLineChars="200"/>
        <w:outlineLvl w:val="2"/>
        <w:rPr>
          <w:rFonts w:ascii="仿宋" w:hAnsi="仿宋" w:eastAsia="仿宋"/>
          <w:b/>
          <w:color w:val="auto"/>
          <w:sz w:val="32"/>
          <w:szCs w:val="32"/>
          <w:highlight w:val="none"/>
        </w:rPr>
      </w:pPr>
      <w:bookmarkStart w:id="41" w:name="_Toc15377210"/>
      <w:r>
        <w:rPr>
          <w:rFonts w:hint="eastAsia" w:ascii="仿宋" w:hAnsi="仿宋" w:eastAsia="仿宋"/>
          <w:b/>
          <w:color w:val="auto"/>
          <w:sz w:val="32"/>
          <w:szCs w:val="32"/>
          <w:highlight w:val="none"/>
        </w:rPr>
        <w:t>（一）一般公共预算财政拨款支出决算总体情况</w:t>
      </w:r>
      <w:bookmarkEnd w:id="41"/>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1064.47</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221.05</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26.21</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_GB2312" w:hAnsi="仿宋" w:eastAsia="仿宋_GB2312"/>
          <w:sz w:val="32"/>
          <w:szCs w:val="32"/>
        </w:rPr>
        <w:t>人员工资调标、补发2</w:t>
      </w:r>
      <w:r>
        <w:rPr>
          <w:rFonts w:hint="eastAsia" w:ascii="仿宋_GB2312" w:hAnsi="仿宋" w:eastAsia="仿宋_GB2312"/>
          <w:sz w:val="32"/>
          <w:szCs w:val="32"/>
          <w:lang w:val="en-US" w:eastAsia="zh-CN"/>
        </w:rPr>
        <w:t>021年度</w:t>
      </w:r>
      <w:r>
        <w:rPr>
          <w:rFonts w:hint="eastAsia" w:ascii="仿宋_GB2312" w:hAnsi="仿宋" w:eastAsia="仿宋_GB2312"/>
          <w:sz w:val="32"/>
          <w:szCs w:val="32"/>
        </w:rPr>
        <w:t>基础绩效奖、</w:t>
      </w:r>
      <w:r>
        <w:rPr>
          <w:rFonts w:hint="eastAsia" w:ascii="仿宋_GB2312" w:hAnsi="仿宋" w:eastAsia="仿宋_GB2312"/>
          <w:sz w:val="32"/>
          <w:szCs w:val="32"/>
          <w:lang w:eastAsia="zh-CN"/>
        </w:rPr>
        <w:t>发放</w:t>
      </w:r>
      <w:r>
        <w:rPr>
          <w:rFonts w:hint="eastAsia" w:ascii="仿宋_GB2312" w:hAnsi="仿宋" w:eastAsia="仿宋_GB2312"/>
          <w:sz w:val="32"/>
          <w:szCs w:val="32"/>
        </w:rPr>
        <w:t>2</w:t>
      </w:r>
      <w:r>
        <w:rPr>
          <w:rFonts w:hint="eastAsia" w:ascii="仿宋_GB2312" w:hAnsi="仿宋" w:eastAsia="仿宋_GB2312"/>
          <w:sz w:val="32"/>
          <w:szCs w:val="32"/>
          <w:lang w:val="en-US" w:eastAsia="zh-CN"/>
        </w:rPr>
        <w:t>022</w:t>
      </w:r>
      <w:r>
        <w:rPr>
          <w:rFonts w:hint="eastAsia" w:ascii="仿宋_GB2312" w:hAnsi="仿宋" w:eastAsia="仿宋_GB2312"/>
          <w:sz w:val="32"/>
          <w:szCs w:val="32"/>
        </w:rPr>
        <w:t>年基础绩效奖及养老保险</w:t>
      </w:r>
      <w:r>
        <w:rPr>
          <w:rFonts w:hint="eastAsia" w:ascii="仿宋_GB2312" w:hAnsi="仿宋" w:eastAsia="仿宋_GB2312"/>
          <w:sz w:val="32"/>
          <w:szCs w:val="32"/>
          <w:lang w:eastAsia="zh-CN"/>
        </w:rPr>
        <w:t>和住房</w:t>
      </w:r>
      <w:r>
        <w:rPr>
          <w:rFonts w:hint="eastAsia" w:ascii="仿宋_GB2312" w:hAnsi="仿宋" w:eastAsia="仿宋_GB2312"/>
          <w:sz w:val="32"/>
          <w:szCs w:val="32"/>
        </w:rPr>
        <w:t>公积金</w:t>
      </w:r>
      <w:r>
        <w:rPr>
          <w:rFonts w:hint="eastAsia" w:ascii="仿宋_GB2312" w:hAnsi="仿宋" w:eastAsia="仿宋_GB2312"/>
          <w:sz w:val="32"/>
          <w:szCs w:val="32"/>
          <w:lang w:eastAsia="zh-CN"/>
        </w:rPr>
        <w:t>缴费基数上调</w:t>
      </w:r>
      <w:r>
        <w:rPr>
          <w:rFonts w:hint="eastAsia" w:ascii="仿宋_GB2312" w:hAnsi="仿宋" w:eastAsia="仿宋_GB2312"/>
          <w:sz w:val="32"/>
          <w:szCs w:val="32"/>
        </w:rPr>
        <w:t>等</w:t>
      </w:r>
      <w:r>
        <w:rPr>
          <w:rFonts w:hint="eastAsia" w:ascii="仿宋_GB2312" w:hAnsi="仿宋" w:eastAsia="仿宋_GB2312"/>
          <w:sz w:val="32"/>
          <w:szCs w:val="32"/>
          <w:lang w:eastAsia="zh-CN"/>
        </w:rPr>
        <w:t>。</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（图5：一般公共预算财政拨款支出决算变动情况）（柱状图）</w:t>
      </w:r>
    </w:p>
    <w:p>
      <w:pPr>
        <w:spacing w:line="600" w:lineRule="exact"/>
        <w:ind w:firstLine="640" w:firstLineChars="200"/>
        <w:rPr>
          <w:rFonts w:hint="eastAsia" w:ascii="仿宋" w:hAnsi="仿宋" w:eastAsia="仿宋"/>
          <w:color w:val="auto"/>
          <w:sz w:val="32"/>
          <w:szCs w:val="32"/>
          <w:highlight w:val="none"/>
          <w:lang w:eastAsia="zh-CN"/>
        </w:rPr>
      </w:pPr>
    </w:p>
    <w:p>
      <w:pPr>
        <w:pStyle w:val="2"/>
      </w:pPr>
      <w:r>
        <w:rPr>
          <w:rFonts w:hint="eastAsia" w:ascii="仿宋" w:hAnsi="仿宋" w:eastAsia="仿宋"/>
          <w:color w:val="auto"/>
          <w:sz w:val="32"/>
          <w:szCs w:val="32"/>
          <w:highlight w:val="none"/>
          <w:lang w:eastAsia="zh-CN"/>
        </w:rPr>
        <w:drawing>
          <wp:inline distT="0" distB="0" distL="114300" distR="114300">
            <wp:extent cx="5256530" cy="2988310"/>
            <wp:effectExtent l="5080" t="4445" r="15240" b="1714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643" w:firstLineChars="200"/>
        <w:outlineLvl w:val="2"/>
        <w:rPr>
          <w:rFonts w:ascii="仿宋" w:hAnsi="仿宋" w:eastAsia="仿宋"/>
          <w:b/>
          <w:color w:val="auto"/>
          <w:sz w:val="32"/>
          <w:szCs w:val="32"/>
          <w:highlight w:val="none"/>
        </w:rPr>
      </w:pPr>
      <w:bookmarkStart w:id="42" w:name="_Toc15377211"/>
      <w:r>
        <w:rPr>
          <w:rFonts w:hint="eastAsia" w:ascii="仿宋" w:hAnsi="仿宋" w:eastAsia="仿宋"/>
          <w:b/>
          <w:color w:val="auto"/>
          <w:sz w:val="32"/>
          <w:szCs w:val="32"/>
          <w:highlight w:val="none"/>
        </w:rPr>
        <w:t>（二）一般公共预算财政拨款支出决算结构情况</w:t>
      </w:r>
      <w:bookmarkEnd w:id="42"/>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1064.47</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val="0"/>
          <w:bCs/>
          <w:color w:val="auto"/>
          <w:sz w:val="32"/>
          <w:szCs w:val="32"/>
          <w:highlight w:val="none"/>
        </w:rPr>
        <w:t>社会保障和就业支出</w:t>
      </w:r>
      <w:r>
        <w:rPr>
          <w:rFonts w:hint="eastAsia" w:ascii="仿宋" w:hAnsi="仿宋" w:eastAsia="仿宋"/>
          <w:b w:val="0"/>
          <w:bCs/>
          <w:color w:val="auto"/>
          <w:sz w:val="32"/>
          <w:szCs w:val="32"/>
          <w:highlight w:val="none"/>
          <w:lang w:val="en-US" w:eastAsia="zh-CN"/>
        </w:rPr>
        <w:t>84.41</w:t>
      </w:r>
      <w:r>
        <w:rPr>
          <w:rFonts w:hint="eastAsia" w:ascii="仿宋" w:hAnsi="仿宋" w:eastAsia="仿宋"/>
          <w:b w:val="0"/>
          <w:bCs/>
          <w:color w:val="auto"/>
          <w:sz w:val="32"/>
          <w:szCs w:val="32"/>
          <w:highlight w:val="none"/>
        </w:rPr>
        <w:t>万元，占</w:t>
      </w:r>
      <w:r>
        <w:rPr>
          <w:rFonts w:hint="eastAsia" w:ascii="仿宋" w:hAnsi="仿宋" w:eastAsia="仿宋"/>
          <w:b w:val="0"/>
          <w:bCs/>
          <w:color w:val="auto"/>
          <w:sz w:val="32"/>
          <w:szCs w:val="32"/>
          <w:highlight w:val="none"/>
          <w:lang w:val="en-US" w:eastAsia="zh-CN"/>
        </w:rPr>
        <w:t>7.93</w:t>
      </w:r>
      <w:r>
        <w:rPr>
          <w:rFonts w:ascii="仿宋" w:hAnsi="仿宋" w:eastAsia="仿宋"/>
          <w:b w:val="0"/>
          <w:bCs/>
          <w:color w:val="auto"/>
          <w:sz w:val="32"/>
          <w:szCs w:val="32"/>
          <w:highlight w:val="none"/>
        </w:rPr>
        <w:t>%</w:t>
      </w:r>
      <w:r>
        <w:rPr>
          <w:rFonts w:hint="eastAsia" w:ascii="仿宋" w:hAnsi="仿宋" w:eastAsia="仿宋"/>
          <w:b w:val="0"/>
          <w:bCs/>
          <w:color w:val="auto"/>
          <w:sz w:val="32"/>
          <w:szCs w:val="32"/>
          <w:highlight w:val="none"/>
        </w:rPr>
        <w:t>；卫生健康支出</w:t>
      </w:r>
      <w:r>
        <w:rPr>
          <w:rFonts w:hint="eastAsia" w:ascii="仿宋" w:hAnsi="仿宋" w:eastAsia="仿宋"/>
          <w:b w:val="0"/>
          <w:bCs/>
          <w:color w:val="auto"/>
          <w:sz w:val="32"/>
          <w:szCs w:val="32"/>
          <w:highlight w:val="none"/>
          <w:lang w:val="en-US" w:eastAsia="zh-CN"/>
        </w:rPr>
        <w:t>29.47</w:t>
      </w:r>
      <w:r>
        <w:rPr>
          <w:rFonts w:hint="eastAsia" w:ascii="仿宋" w:hAnsi="仿宋" w:eastAsia="仿宋"/>
          <w:b w:val="0"/>
          <w:bCs/>
          <w:color w:val="auto"/>
          <w:sz w:val="32"/>
          <w:szCs w:val="32"/>
          <w:highlight w:val="none"/>
        </w:rPr>
        <w:t>万元，占</w:t>
      </w:r>
      <w:r>
        <w:rPr>
          <w:rFonts w:hint="eastAsia" w:ascii="仿宋" w:hAnsi="仿宋" w:eastAsia="仿宋"/>
          <w:b w:val="0"/>
          <w:bCs/>
          <w:color w:val="auto"/>
          <w:sz w:val="32"/>
          <w:szCs w:val="32"/>
          <w:highlight w:val="none"/>
          <w:lang w:val="en-US" w:eastAsia="zh-CN"/>
        </w:rPr>
        <w:t>2.77</w:t>
      </w:r>
      <w:r>
        <w:rPr>
          <w:rFonts w:ascii="仿宋" w:hAnsi="仿宋" w:eastAsia="仿宋"/>
          <w:b w:val="0"/>
          <w:bCs/>
          <w:color w:val="auto"/>
          <w:sz w:val="32"/>
          <w:szCs w:val="32"/>
          <w:highlight w:val="none"/>
        </w:rPr>
        <w:t>%</w:t>
      </w:r>
      <w:r>
        <w:rPr>
          <w:rFonts w:hint="eastAsia" w:ascii="仿宋" w:hAnsi="仿宋" w:eastAsia="仿宋"/>
          <w:b w:val="0"/>
          <w:bCs/>
          <w:color w:val="auto"/>
          <w:sz w:val="32"/>
          <w:szCs w:val="32"/>
          <w:highlight w:val="none"/>
        </w:rPr>
        <w:t>；</w:t>
      </w:r>
      <w:r>
        <w:rPr>
          <w:rFonts w:hint="eastAsia" w:ascii="仿宋" w:hAnsi="仿宋" w:eastAsia="仿宋"/>
          <w:b w:val="0"/>
          <w:bCs/>
          <w:color w:val="auto"/>
          <w:sz w:val="32"/>
          <w:szCs w:val="32"/>
          <w:highlight w:val="none"/>
          <w:lang w:eastAsia="zh-CN"/>
        </w:rPr>
        <w:t>交通运输支出</w:t>
      </w:r>
      <w:r>
        <w:rPr>
          <w:rFonts w:hint="eastAsia" w:ascii="仿宋" w:hAnsi="仿宋" w:eastAsia="仿宋"/>
          <w:b w:val="0"/>
          <w:bCs/>
          <w:color w:val="auto"/>
          <w:sz w:val="32"/>
          <w:szCs w:val="32"/>
          <w:highlight w:val="none"/>
          <w:lang w:val="en-US" w:eastAsia="zh-CN"/>
        </w:rPr>
        <w:t>878.04万元，占82.49%；</w:t>
      </w:r>
      <w:r>
        <w:rPr>
          <w:rFonts w:hint="eastAsia" w:ascii="仿宋" w:hAnsi="仿宋" w:eastAsia="仿宋"/>
          <w:b w:val="0"/>
          <w:bCs/>
          <w:color w:val="auto"/>
          <w:sz w:val="32"/>
          <w:szCs w:val="32"/>
          <w:highlight w:val="none"/>
        </w:rPr>
        <w:t>住房保障支出</w:t>
      </w:r>
      <w:r>
        <w:rPr>
          <w:rFonts w:hint="eastAsia" w:ascii="仿宋" w:hAnsi="仿宋" w:eastAsia="仿宋"/>
          <w:b w:val="0"/>
          <w:bCs/>
          <w:color w:val="auto"/>
          <w:sz w:val="32"/>
          <w:szCs w:val="32"/>
          <w:highlight w:val="none"/>
          <w:lang w:val="en-US" w:eastAsia="zh-CN"/>
        </w:rPr>
        <w:t>72.55</w:t>
      </w:r>
      <w:r>
        <w:rPr>
          <w:rFonts w:hint="eastAsia" w:ascii="仿宋" w:hAnsi="仿宋" w:eastAsia="仿宋"/>
          <w:b w:val="0"/>
          <w:bCs/>
          <w:color w:val="auto"/>
          <w:sz w:val="32"/>
          <w:szCs w:val="32"/>
          <w:highlight w:val="none"/>
        </w:rPr>
        <w:t>万元，占</w:t>
      </w:r>
      <w:r>
        <w:rPr>
          <w:rFonts w:hint="eastAsia" w:ascii="仿宋" w:hAnsi="仿宋" w:eastAsia="仿宋"/>
          <w:b w:val="0"/>
          <w:bCs/>
          <w:color w:val="auto"/>
          <w:sz w:val="32"/>
          <w:szCs w:val="32"/>
          <w:highlight w:val="none"/>
          <w:lang w:val="en-US" w:eastAsia="zh-CN"/>
        </w:rPr>
        <w:t>6.81</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w:t>
      </w:r>
    </w:p>
    <w:p>
      <w:pPr>
        <w:spacing w:line="600" w:lineRule="exact"/>
        <w:ind w:firstLine="640" w:firstLineChars="200"/>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（图6：一般公共预算财政拨款支出决算结构）（饼状图）</w:t>
      </w:r>
    </w:p>
    <w:p>
      <w:pPr>
        <w:pStyle w:val="2"/>
      </w:pPr>
      <w:r>
        <w:rPr>
          <w:rFonts w:hint="eastAsia" w:ascii="仿宋" w:hAnsi="仿宋" w:eastAsia="仿宋"/>
          <w:color w:val="auto"/>
          <w:sz w:val="32"/>
          <w:szCs w:val="32"/>
          <w:highlight w:val="none"/>
          <w:lang w:eastAsia="zh-CN"/>
        </w:rPr>
        <w:drawing>
          <wp:inline distT="0" distB="0" distL="114300" distR="114300">
            <wp:extent cx="4942840" cy="2445385"/>
            <wp:effectExtent l="4445" t="4445" r="5715" b="762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600" w:lineRule="exact"/>
        <w:ind w:firstLine="643" w:firstLineChars="200"/>
        <w:outlineLvl w:val="2"/>
        <w:rPr>
          <w:rFonts w:ascii="仿宋" w:hAnsi="仿宋" w:eastAsia="仿宋"/>
          <w:b/>
          <w:color w:val="auto"/>
          <w:sz w:val="32"/>
          <w:szCs w:val="32"/>
          <w:highlight w:val="none"/>
        </w:rPr>
      </w:pPr>
      <w:bookmarkStart w:id="43" w:name="_Toc15377212"/>
      <w:r>
        <w:rPr>
          <w:rFonts w:hint="eastAsia" w:ascii="仿宋" w:hAnsi="仿宋" w:eastAsia="仿宋"/>
          <w:b/>
          <w:color w:val="auto"/>
          <w:sz w:val="32"/>
          <w:szCs w:val="32"/>
          <w:highlight w:val="none"/>
        </w:rPr>
        <w:t>（三）一般公共预算财政拨款支出决算具体情况</w:t>
      </w:r>
      <w:bookmarkEnd w:id="43"/>
    </w:p>
    <w:p>
      <w:pPr>
        <w:spacing w:line="600" w:lineRule="exact"/>
        <w:ind w:firstLine="640" w:firstLineChars="200"/>
        <w:outlineLvl w:val="2"/>
        <w:rPr>
          <w:rFonts w:ascii="仿宋" w:hAnsi="仿宋" w:eastAsia="仿宋"/>
          <w:b w:val="0"/>
          <w:bCs/>
          <w:color w:val="auto"/>
          <w:sz w:val="32"/>
          <w:szCs w:val="32"/>
          <w:highlight w:val="none"/>
        </w:rPr>
      </w:pPr>
      <w:bookmarkStart w:id="44" w:name="_Toc15377213"/>
      <w:bookmarkStart w:id="45" w:name="_Toc15378460"/>
      <w:bookmarkStart w:id="46" w:name="_Toc15377444"/>
      <w:r>
        <w:rPr>
          <w:rFonts w:hint="eastAsia" w:ascii="仿宋" w:hAnsi="仿宋" w:eastAsia="仿宋"/>
          <w:b w:val="0"/>
          <w:bCs/>
          <w:color w:val="auto"/>
          <w:sz w:val="32"/>
          <w:szCs w:val="32"/>
          <w:highlight w:val="none"/>
        </w:rPr>
        <w:t>20</w:t>
      </w:r>
      <w:r>
        <w:rPr>
          <w:rFonts w:hint="eastAsia" w:ascii="仿宋" w:hAnsi="仿宋" w:eastAsia="仿宋"/>
          <w:b w:val="0"/>
          <w:bCs/>
          <w:color w:val="auto"/>
          <w:sz w:val="32"/>
          <w:szCs w:val="32"/>
          <w:highlight w:val="none"/>
          <w:lang w:val="en-US" w:eastAsia="zh-CN"/>
        </w:rPr>
        <w:t>22</w:t>
      </w:r>
      <w:r>
        <w:rPr>
          <w:rFonts w:hint="eastAsia" w:ascii="仿宋" w:hAnsi="仿宋" w:eastAsia="仿宋"/>
          <w:b w:val="0"/>
          <w:bCs/>
          <w:color w:val="auto"/>
          <w:sz w:val="32"/>
          <w:szCs w:val="32"/>
          <w:highlight w:val="none"/>
        </w:rPr>
        <w:t>年</w:t>
      </w:r>
      <w:r>
        <w:rPr>
          <w:rFonts w:hint="eastAsia" w:ascii="仿宋" w:hAnsi="仿宋" w:eastAsia="仿宋"/>
          <w:b w:val="0"/>
          <w:bCs/>
          <w:color w:val="auto"/>
          <w:sz w:val="32"/>
          <w:szCs w:val="32"/>
          <w:highlight w:val="none"/>
          <w:lang w:eastAsia="zh-CN"/>
        </w:rPr>
        <w:t>一</w:t>
      </w:r>
      <w:r>
        <w:rPr>
          <w:rFonts w:hint="eastAsia" w:ascii="仿宋" w:hAnsi="仿宋" w:eastAsia="仿宋"/>
          <w:b w:val="0"/>
          <w:bCs/>
          <w:color w:val="auto"/>
          <w:sz w:val="32"/>
          <w:szCs w:val="32"/>
          <w:highlight w:val="none"/>
        </w:rPr>
        <w:t>般公共预算支出决算数为</w:t>
      </w:r>
      <w:r>
        <w:rPr>
          <w:rFonts w:hint="eastAsia" w:ascii="仿宋" w:hAnsi="仿宋" w:eastAsia="仿宋"/>
          <w:b w:val="0"/>
          <w:bCs/>
          <w:color w:val="auto"/>
          <w:sz w:val="32"/>
          <w:szCs w:val="32"/>
          <w:highlight w:val="none"/>
          <w:lang w:val="en-US" w:eastAsia="zh-CN"/>
        </w:rPr>
        <w:t>1064.47万元</w:t>
      </w:r>
      <w:r>
        <w:rPr>
          <w:rFonts w:hint="eastAsia"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完成预算</w:t>
      </w:r>
      <w:r>
        <w:rPr>
          <w:rStyle w:val="15"/>
          <w:rFonts w:hint="eastAsia" w:ascii="仿宋" w:hAnsi="仿宋" w:eastAsia="仿宋"/>
          <w:b w:val="0"/>
          <w:bCs/>
          <w:color w:val="auto"/>
          <w:sz w:val="32"/>
          <w:szCs w:val="32"/>
          <w:highlight w:val="none"/>
          <w:lang w:val="en-US" w:eastAsia="zh-CN"/>
        </w:rPr>
        <w:t>99.99</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。其中：</w:t>
      </w:r>
      <w:bookmarkEnd w:id="44"/>
      <w:bookmarkEnd w:id="45"/>
      <w:bookmarkEnd w:id="46"/>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b/>
          <w:color w:val="auto"/>
          <w:sz w:val="32"/>
          <w:szCs w:val="32"/>
          <w:highlight w:val="none"/>
        </w:rPr>
      </w:pPr>
      <w:r>
        <w:rPr>
          <w:rStyle w:val="15"/>
          <w:rFonts w:hint="eastAsia" w:ascii="仿宋" w:hAnsi="仿宋" w:eastAsia="仿宋"/>
          <w:b w:val="0"/>
          <w:bCs w:val="0"/>
          <w:color w:val="auto"/>
          <w:sz w:val="32"/>
          <w:szCs w:val="32"/>
          <w:highlight w:val="none"/>
          <w:lang w:val="en-US" w:eastAsia="zh-CN"/>
        </w:rPr>
        <w:t>1</w:t>
      </w:r>
      <w:r>
        <w:rPr>
          <w:rStyle w:val="15"/>
          <w:rFonts w:ascii="仿宋" w:hAnsi="仿宋" w:eastAsia="仿宋"/>
          <w:b w:val="0"/>
          <w:bCs w:val="0"/>
          <w:color w:val="auto"/>
          <w:sz w:val="32"/>
          <w:szCs w:val="32"/>
          <w:highlight w:val="none"/>
        </w:rPr>
        <w:t>.</w:t>
      </w:r>
      <w:r>
        <w:rPr>
          <w:rFonts w:hint="eastAsia" w:ascii="仿宋" w:eastAsia="仿宋" w:cs="仿宋"/>
          <w:kern w:val="2"/>
          <w:sz w:val="32"/>
          <w:szCs w:val="32"/>
          <w:lang w:eastAsia="zh-CN" w:bidi="ar-SA"/>
        </w:rPr>
        <w:t>社会保障和就业支出（类）行政事业单位养老支出（款）事业单位离退休（项）:</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1.05</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b/>
          <w:color w:val="auto"/>
          <w:sz w:val="32"/>
          <w:szCs w:val="32"/>
          <w:highlight w:val="none"/>
        </w:rPr>
      </w:pPr>
      <w:r>
        <w:rPr>
          <w:rStyle w:val="15"/>
          <w:rFonts w:hint="eastAsia" w:ascii="仿宋" w:hAnsi="仿宋" w:eastAsia="仿宋"/>
          <w:b w:val="0"/>
          <w:bCs w:val="0"/>
          <w:color w:val="auto"/>
          <w:sz w:val="32"/>
          <w:szCs w:val="32"/>
          <w:highlight w:val="none"/>
          <w:lang w:val="en-US" w:eastAsia="zh-CN"/>
        </w:rPr>
        <w:t>2</w:t>
      </w:r>
      <w:r>
        <w:rPr>
          <w:rStyle w:val="15"/>
          <w:rFonts w:ascii="仿宋" w:hAnsi="仿宋" w:eastAsia="仿宋"/>
          <w:b w:val="0"/>
          <w:bCs w:val="0"/>
          <w:color w:val="auto"/>
          <w:sz w:val="32"/>
          <w:szCs w:val="32"/>
          <w:highlight w:val="none"/>
        </w:rPr>
        <w:t>.</w:t>
      </w:r>
      <w:r>
        <w:rPr>
          <w:rFonts w:hint="eastAsia" w:ascii="仿宋" w:eastAsia="仿宋" w:cs="仿宋"/>
          <w:kern w:val="2"/>
          <w:sz w:val="32"/>
          <w:szCs w:val="32"/>
          <w:lang w:eastAsia="zh-CN" w:bidi="ar-SA"/>
        </w:rPr>
        <w:t>社会保障和就业支出（类）行政事业单位养老支出（款）机关事业单位基本养老保险缴费支出（项）:</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72.40</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eastAsia="仿宋" w:cs="仿宋"/>
          <w:kern w:val="2"/>
          <w:sz w:val="32"/>
          <w:szCs w:val="32"/>
          <w:lang w:val="en-US" w:eastAsia="zh-CN" w:bidi="ar-SA"/>
        </w:rPr>
      </w:pPr>
      <w:r>
        <w:rPr>
          <w:rFonts w:hint="eastAsia" w:ascii="仿宋" w:hAnsi="仿宋" w:eastAsia="仿宋"/>
          <w:b w:val="0"/>
          <w:bCs/>
          <w:color w:val="auto"/>
          <w:sz w:val="32"/>
          <w:szCs w:val="32"/>
          <w:highlight w:val="none"/>
          <w:lang w:val="en-US" w:eastAsia="zh-CN"/>
        </w:rPr>
        <w:t>3.</w:t>
      </w:r>
      <w:r>
        <w:rPr>
          <w:rFonts w:hint="eastAsia" w:ascii="仿宋" w:eastAsia="仿宋" w:cs="仿宋"/>
          <w:kern w:val="2"/>
          <w:sz w:val="32"/>
          <w:szCs w:val="32"/>
          <w:lang w:eastAsia="zh-CN" w:bidi="ar-SA"/>
        </w:rPr>
        <w:t>社会保障和就业支出（类）行政事业单位养老支出（款）机关事业单位职业年金缴费支出（项）：支出决算为</w:t>
      </w:r>
      <w:r>
        <w:rPr>
          <w:rFonts w:hint="eastAsia" w:ascii="仿宋" w:eastAsia="仿宋" w:cs="仿宋"/>
          <w:kern w:val="2"/>
          <w:sz w:val="32"/>
          <w:szCs w:val="32"/>
          <w:lang w:val="en-US" w:eastAsia="zh-CN" w:bidi="ar-SA"/>
        </w:rPr>
        <w:t>4.80万元，完成预算 100%。</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eastAsia="仿宋" w:cs="仿宋"/>
          <w:kern w:val="2"/>
          <w:sz w:val="32"/>
          <w:szCs w:val="32"/>
          <w:lang w:val="en-US" w:eastAsia="zh-CN" w:bidi="ar-SA"/>
        </w:rPr>
      </w:pPr>
      <w:r>
        <w:rPr>
          <w:rFonts w:hint="eastAsia" w:ascii="仿宋" w:eastAsia="仿宋" w:cs="仿宋"/>
          <w:kern w:val="2"/>
          <w:sz w:val="32"/>
          <w:szCs w:val="32"/>
          <w:lang w:val="en-US" w:eastAsia="zh-CN" w:bidi="ar-SA"/>
        </w:rPr>
        <w:t>4.</w:t>
      </w:r>
      <w:r>
        <w:rPr>
          <w:rFonts w:hint="eastAsia" w:ascii="仿宋" w:eastAsia="仿宋" w:cs="仿宋"/>
          <w:kern w:val="2"/>
          <w:sz w:val="32"/>
          <w:szCs w:val="32"/>
          <w:lang w:eastAsia="zh-CN" w:bidi="ar-SA"/>
        </w:rPr>
        <w:t>社会保障和就业支出（类）其他社会保障和就业</w:t>
      </w:r>
      <w:r>
        <w:rPr>
          <w:rFonts w:hint="eastAsia" w:ascii="仿宋" w:eastAsia="仿宋" w:cs="仿宋"/>
          <w:kern w:val="2"/>
          <w:sz w:val="32"/>
          <w:szCs w:val="32"/>
          <w:lang w:val="en-US" w:eastAsia="zh-CN" w:bidi="ar-SA"/>
        </w:rPr>
        <w:t>支出（款）其他社会保障和就业支出（项）：支出决算为6.16万元，完成预算100%。</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eastAsia="仿宋" w:cs="仿宋"/>
          <w:kern w:val="2"/>
          <w:sz w:val="32"/>
          <w:szCs w:val="32"/>
          <w:lang w:val="en-US" w:eastAsia="zh-CN" w:bidi="ar-SA"/>
        </w:rPr>
      </w:pPr>
      <w:r>
        <w:rPr>
          <w:rFonts w:hint="eastAsia" w:ascii="仿宋" w:eastAsia="仿宋" w:cs="仿宋"/>
          <w:kern w:val="2"/>
          <w:sz w:val="32"/>
          <w:szCs w:val="32"/>
          <w:lang w:val="en-US" w:eastAsia="zh-CN" w:bidi="ar-SA"/>
        </w:rPr>
        <w:t>5.</w:t>
      </w:r>
      <w:r>
        <w:rPr>
          <w:rFonts w:hint="eastAsia" w:ascii="仿宋" w:eastAsia="仿宋" w:cs="仿宋"/>
          <w:kern w:val="2"/>
          <w:sz w:val="32"/>
          <w:szCs w:val="32"/>
          <w:lang w:eastAsia="zh-CN" w:bidi="ar-SA"/>
        </w:rPr>
        <w:t>卫生健康支出（类）行政事业单位医疗（款）事业单位医疗（项）:支出决算为</w:t>
      </w:r>
      <w:r>
        <w:rPr>
          <w:rFonts w:hint="eastAsia" w:ascii="仿宋" w:eastAsia="仿宋" w:cs="仿宋"/>
          <w:kern w:val="2"/>
          <w:sz w:val="32"/>
          <w:szCs w:val="32"/>
          <w:lang w:val="en-US" w:eastAsia="zh-CN" w:bidi="ar-SA"/>
        </w:rPr>
        <w:t>29.47万元，完成预算100%。</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eastAsia="仿宋" w:cs="仿宋"/>
          <w:kern w:val="2"/>
          <w:sz w:val="32"/>
          <w:szCs w:val="32"/>
          <w:lang w:eastAsia="zh-CN" w:bidi="ar-SA"/>
        </w:rPr>
      </w:pPr>
      <w:r>
        <w:rPr>
          <w:rFonts w:hint="eastAsia" w:ascii="仿宋" w:eastAsia="仿宋" w:cs="仿宋"/>
          <w:kern w:val="2"/>
          <w:sz w:val="32"/>
          <w:szCs w:val="32"/>
          <w:lang w:val="en-US" w:eastAsia="zh-CN" w:bidi="ar-SA"/>
        </w:rPr>
        <w:t>6.</w:t>
      </w:r>
      <w:r>
        <w:rPr>
          <w:rFonts w:hint="eastAsia" w:ascii="仿宋" w:eastAsia="仿宋" w:cs="仿宋"/>
          <w:kern w:val="2"/>
          <w:sz w:val="32"/>
          <w:szCs w:val="32"/>
          <w:lang w:eastAsia="zh-CN" w:bidi="ar-SA"/>
        </w:rPr>
        <w:t>交通运输支出（类）公路水路运输（款）航道维护（项）：支出决算为</w:t>
      </w:r>
      <w:r>
        <w:rPr>
          <w:rFonts w:hint="eastAsia" w:ascii="仿宋" w:eastAsia="仿宋" w:cs="仿宋"/>
          <w:kern w:val="2"/>
          <w:sz w:val="32"/>
          <w:szCs w:val="32"/>
          <w:lang w:val="en-US" w:eastAsia="zh-CN" w:bidi="ar-SA"/>
        </w:rPr>
        <w:t xml:space="preserve"> 809.08万元，完成预算99.99%。</w:t>
      </w:r>
      <w:r>
        <w:rPr>
          <w:rFonts w:hint="eastAsia" w:ascii="仿宋" w:eastAsia="仿宋" w:cs="仿宋"/>
          <w:kern w:val="2"/>
          <w:sz w:val="32"/>
          <w:szCs w:val="32"/>
          <w:lang w:eastAsia="zh-CN" w:bidi="ar-SA"/>
        </w:rPr>
        <w:t>决算数小于预算数的主要原因是公用经费</w:t>
      </w:r>
      <w:r>
        <w:rPr>
          <w:rFonts w:hint="eastAsia" w:ascii="仿宋" w:eastAsia="仿宋" w:cs="仿宋"/>
          <w:kern w:val="2"/>
          <w:sz w:val="32"/>
          <w:szCs w:val="32"/>
          <w:highlight w:val="none"/>
          <w:lang w:eastAsia="zh-CN" w:bidi="ar-SA"/>
        </w:rPr>
        <w:t>结余</w:t>
      </w:r>
      <w:r>
        <w:rPr>
          <w:rFonts w:hint="eastAsia" w:ascii="仿宋" w:eastAsia="仿宋" w:cs="仿宋"/>
          <w:kern w:val="2"/>
          <w:sz w:val="32"/>
          <w:szCs w:val="32"/>
          <w:highlight w:val="none"/>
          <w:lang w:val="en-US" w:eastAsia="zh-CN" w:bidi="ar-SA"/>
        </w:rPr>
        <w:t>0.08万</w:t>
      </w:r>
      <w:r>
        <w:rPr>
          <w:rFonts w:hint="eastAsia" w:ascii="仿宋" w:eastAsia="仿宋" w:cs="仿宋"/>
          <w:kern w:val="2"/>
          <w:sz w:val="32"/>
          <w:szCs w:val="32"/>
          <w:lang w:val="en-US" w:eastAsia="zh-CN" w:bidi="ar-SA"/>
        </w:rPr>
        <w:t>元</w:t>
      </w:r>
      <w:r>
        <w:rPr>
          <w:rFonts w:hint="eastAsia" w:ascii="仿宋" w:eastAsia="仿宋" w:cs="仿宋"/>
          <w:kern w:val="2"/>
          <w:sz w:val="32"/>
          <w:szCs w:val="32"/>
          <w:lang w:eastAsia="zh-CN" w:bidi="ar-SA"/>
        </w:rPr>
        <w:t>。</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eastAsia="仿宋" w:cs="仿宋"/>
          <w:kern w:val="2"/>
          <w:sz w:val="32"/>
          <w:szCs w:val="32"/>
          <w:lang w:val="en-US" w:eastAsia="zh-CN" w:bidi="ar-SA"/>
        </w:rPr>
      </w:pPr>
      <w:r>
        <w:rPr>
          <w:rFonts w:hint="eastAsia" w:ascii="仿宋" w:eastAsia="仿宋" w:cs="仿宋"/>
          <w:kern w:val="2"/>
          <w:sz w:val="32"/>
          <w:szCs w:val="32"/>
          <w:lang w:val="en-US" w:eastAsia="zh-CN" w:bidi="ar-SA"/>
        </w:rPr>
        <w:t>7.</w:t>
      </w:r>
      <w:r>
        <w:rPr>
          <w:rFonts w:hint="eastAsia" w:ascii="仿宋" w:eastAsia="仿宋" w:cs="仿宋"/>
          <w:kern w:val="2"/>
          <w:sz w:val="32"/>
          <w:szCs w:val="32"/>
          <w:lang w:eastAsia="zh-CN" w:bidi="ar-SA"/>
        </w:rPr>
        <w:t>交通运输支出（类）公路水路运输（款）其他公路水路运输支出（项）：支出决算为</w:t>
      </w:r>
      <w:r>
        <w:rPr>
          <w:rFonts w:hint="eastAsia" w:ascii="仿宋" w:eastAsia="仿宋" w:cs="仿宋"/>
          <w:kern w:val="2"/>
          <w:sz w:val="32"/>
          <w:szCs w:val="32"/>
          <w:lang w:val="en-US" w:eastAsia="zh-CN" w:bidi="ar-SA"/>
        </w:rPr>
        <w:t>68.96万元，完成预算100%。</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b/>
          <w:color w:val="auto"/>
          <w:sz w:val="32"/>
          <w:szCs w:val="32"/>
          <w:highlight w:val="none"/>
        </w:rPr>
      </w:pPr>
      <w:r>
        <w:rPr>
          <w:rFonts w:hint="eastAsia" w:ascii="仿宋" w:eastAsia="仿宋" w:cs="仿宋"/>
          <w:kern w:val="2"/>
          <w:sz w:val="32"/>
          <w:szCs w:val="32"/>
          <w:lang w:val="en-US" w:eastAsia="zh-CN" w:bidi="ar-SA"/>
        </w:rPr>
        <w:t>8.</w:t>
      </w:r>
      <w:r>
        <w:rPr>
          <w:rFonts w:hint="eastAsia" w:ascii="仿宋" w:eastAsia="仿宋" w:cs="仿宋"/>
          <w:kern w:val="2"/>
          <w:sz w:val="32"/>
          <w:szCs w:val="32"/>
          <w:lang w:eastAsia="zh-CN" w:bidi="ar-SA"/>
        </w:rPr>
        <w:t>住房保障支出（类）住房改革支出（款）住房公积金（项）：支出决算为</w:t>
      </w:r>
      <w:r>
        <w:rPr>
          <w:rFonts w:hint="eastAsia" w:ascii="仿宋" w:eastAsia="仿宋" w:cs="仿宋"/>
          <w:kern w:val="2"/>
          <w:sz w:val="32"/>
          <w:szCs w:val="32"/>
          <w:lang w:val="en-US" w:eastAsia="zh-CN" w:bidi="ar-SA"/>
        </w:rPr>
        <w:t>72.55</w:t>
      </w:r>
      <w:r>
        <w:rPr>
          <w:rFonts w:hint="eastAsia" w:ascii="仿宋" w:eastAsia="仿宋" w:cs="仿宋"/>
          <w:kern w:val="2"/>
          <w:sz w:val="32"/>
          <w:szCs w:val="32"/>
          <w:lang w:eastAsia="zh-CN" w:bidi="ar-SA"/>
        </w:rPr>
        <w:t>万元，完成预算100%。</w:t>
      </w:r>
    </w:p>
    <w:p>
      <w:pPr>
        <w:tabs>
          <w:tab w:val="right" w:pos="8306"/>
        </w:tabs>
        <w:spacing w:line="600" w:lineRule="exact"/>
        <w:ind w:firstLine="640"/>
        <w:outlineLvl w:val="1"/>
        <w:rPr>
          <w:rStyle w:val="18"/>
          <w:color w:val="auto"/>
          <w:highlight w:val="none"/>
        </w:rPr>
      </w:pPr>
      <w:bookmarkStart w:id="47" w:name="_Toc15396608"/>
      <w:bookmarkStart w:id="48" w:name="_Toc15377214"/>
      <w:bookmarkStart w:id="49" w:name="_Toc1786"/>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18"/>
          <w:rFonts w:hint="eastAsia" w:ascii="黑体" w:hAnsi="黑体" w:eastAsia="黑体"/>
          <w:b w:val="0"/>
          <w:color w:val="auto"/>
          <w:highlight w:val="none"/>
        </w:rPr>
        <w:t>般公共预算财政拨款基本支出决算情况说明</w:t>
      </w:r>
      <w:bookmarkEnd w:id="47"/>
      <w:bookmarkEnd w:id="48"/>
      <w:bookmarkEnd w:id="49"/>
      <w:r>
        <w:rPr>
          <w:rStyle w:val="18"/>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988.87</w:t>
      </w:r>
      <w:r>
        <w:rPr>
          <w:rFonts w:hint="eastAsia" w:ascii="仿宋" w:hAnsi="仿宋" w:eastAsia="仿宋"/>
          <w:color w:val="auto"/>
          <w:sz w:val="32"/>
          <w:szCs w:val="32"/>
          <w:highlight w:val="none"/>
        </w:rPr>
        <w:t>万元，其中：</w:t>
      </w:r>
    </w:p>
    <w:p>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910.87</w:t>
      </w:r>
      <w:r>
        <w:rPr>
          <w:rFonts w:hint="eastAsia" w:ascii="仿宋" w:hAnsi="仿宋" w:eastAsia="仿宋"/>
          <w:color w:val="auto"/>
          <w:sz w:val="32"/>
          <w:szCs w:val="32"/>
          <w:highlight w:val="none"/>
        </w:rPr>
        <w:t>万元，主要包括：基本工资、津贴补贴、奖金、绩效工资、机关事业单位基本养老保险缴费、职业年金缴费、职工基本医疗保险缴费</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其他社会保障缴费、住房公积金</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生活补助、奖励金、其他对个人和家庭的补助支出。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78.01</w:t>
      </w:r>
      <w:r>
        <w:rPr>
          <w:rFonts w:hint="eastAsia" w:ascii="仿宋" w:hAnsi="仿宋" w:eastAsia="仿宋"/>
          <w:color w:val="auto"/>
          <w:sz w:val="32"/>
          <w:szCs w:val="32"/>
          <w:highlight w:val="none"/>
        </w:rPr>
        <w:t>万元，主要包括：办公费、水费、电费、邮电费、物业管理费、差旅费、维修（护）费、公务接待费、劳务费、工会经费、福利费、公务用车运行维护费、其他交通费</w:t>
      </w:r>
      <w:r>
        <w:rPr>
          <w:rFonts w:hint="eastAsia" w:ascii="仿宋" w:hAnsi="仿宋" w:eastAsia="仿宋"/>
          <w:color w:val="auto"/>
          <w:sz w:val="32"/>
          <w:szCs w:val="32"/>
          <w:highlight w:val="none"/>
          <w:lang w:val="en-US" w:eastAsia="zh-CN"/>
        </w:rPr>
        <w:t>用</w:t>
      </w:r>
      <w:r>
        <w:rPr>
          <w:rFonts w:hint="eastAsia" w:ascii="仿宋" w:hAnsi="仿宋" w:eastAsia="仿宋"/>
          <w:color w:val="auto"/>
          <w:sz w:val="32"/>
          <w:szCs w:val="32"/>
          <w:highlight w:val="none"/>
        </w:rPr>
        <w:t>、其他商品和服务支出</w:t>
      </w:r>
      <w:r>
        <w:rPr>
          <w:rFonts w:hint="eastAsia" w:ascii="仿宋" w:hAnsi="仿宋" w:eastAsia="仿宋"/>
          <w:color w:val="auto"/>
          <w:sz w:val="32"/>
          <w:szCs w:val="32"/>
          <w:highlight w:val="none"/>
          <w:lang w:eastAsia="zh-CN"/>
        </w:rPr>
        <w:t>。</w:t>
      </w:r>
    </w:p>
    <w:p>
      <w:pPr>
        <w:spacing w:line="600" w:lineRule="exact"/>
        <w:ind w:firstLine="640"/>
        <w:outlineLvl w:val="1"/>
        <w:rPr>
          <w:rStyle w:val="18"/>
          <w:rFonts w:ascii="黑体" w:hAnsi="黑体" w:eastAsia="黑体"/>
          <w:b w:val="0"/>
          <w:color w:val="auto"/>
          <w:highlight w:val="none"/>
        </w:rPr>
      </w:pPr>
      <w:bookmarkStart w:id="50" w:name="_Toc15377215"/>
      <w:bookmarkStart w:id="51" w:name="_Toc15396609"/>
      <w:bookmarkStart w:id="52" w:name="_Toc18289"/>
      <w:r>
        <w:rPr>
          <w:rFonts w:hint="eastAsia" w:ascii="黑体" w:eastAsia="黑体"/>
          <w:color w:val="auto"/>
          <w:sz w:val="32"/>
          <w:szCs w:val="32"/>
          <w:highlight w:val="none"/>
        </w:rPr>
        <w:t>七、</w:t>
      </w:r>
      <w:r>
        <w:rPr>
          <w:rStyle w:val="18"/>
          <w:rFonts w:hint="eastAsia" w:ascii="黑体" w:hAnsi="黑体" w:eastAsia="黑体"/>
          <w:b w:val="0"/>
          <w:color w:val="auto"/>
          <w:highlight w:val="none"/>
        </w:rPr>
        <w:t>财政拨款</w:t>
      </w:r>
      <w:r>
        <w:rPr>
          <w:rStyle w:val="18"/>
          <w:rFonts w:hint="eastAsia" w:ascii="黑体" w:hAnsi="黑体" w:eastAsia="黑体"/>
          <w:color w:val="auto"/>
          <w:highlight w:val="none"/>
        </w:rPr>
        <w:t>“</w:t>
      </w:r>
      <w:r>
        <w:rPr>
          <w:rStyle w:val="18"/>
          <w:rFonts w:hint="eastAsia" w:ascii="黑体" w:hAnsi="黑体" w:eastAsia="黑体"/>
          <w:b w:val="0"/>
          <w:color w:val="auto"/>
          <w:highlight w:val="none"/>
        </w:rPr>
        <w:t>三公”经费支出决算情况说明</w:t>
      </w:r>
      <w:bookmarkEnd w:id="50"/>
      <w:bookmarkEnd w:id="51"/>
      <w:bookmarkEnd w:id="52"/>
    </w:p>
    <w:p>
      <w:pPr>
        <w:spacing w:line="600" w:lineRule="exact"/>
        <w:ind w:firstLine="640"/>
        <w:outlineLvl w:val="2"/>
        <w:rPr>
          <w:rFonts w:ascii="仿宋" w:hAnsi="仿宋" w:eastAsia="仿宋"/>
          <w:b/>
          <w:color w:val="auto"/>
          <w:sz w:val="32"/>
          <w:szCs w:val="32"/>
          <w:highlight w:val="none"/>
        </w:rPr>
      </w:pPr>
      <w:bookmarkStart w:id="53" w:name="_Toc15377216"/>
      <w:r>
        <w:rPr>
          <w:rFonts w:hint="eastAsia" w:ascii="仿宋" w:hAnsi="仿宋" w:eastAsia="仿宋"/>
          <w:b/>
          <w:color w:val="auto"/>
          <w:sz w:val="32"/>
          <w:szCs w:val="32"/>
          <w:highlight w:val="none"/>
        </w:rPr>
        <w:t>（一）“三公”经费财政拨款支出决算总体情况说明</w:t>
      </w:r>
      <w:bookmarkEnd w:id="53"/>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2.21</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81.55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较上年</w:t>
      </w:r>
      <w:r>
        <w:rPr>
          <w:rFonts w:hint="eastAsia" w:ascii="仿宋" w:hAnsi="仿宋" w:eastAsia="仿宋"/>
          <w:color w:val="auto"/>
          <w:sz w:val="32"/>
          <w:szCs w:val="32"/>
          <w:highlight w:val="none"/>
          <w:lang w:val="en-US" w:eastAsia="zh-CN"/>
        </w:rPr>
        <w:t>减少0.06万元，下降2.64%。</w:t>
      </w:r>
      <w:r>
        <w:rPr>
          <w:rFonts w:hint="eastAsia" w:ascii="仿宋" w:hAnsi="仿宋" w:eastAsia="仿宋"/>
          <w:color w:val="auto"/>
          <w:sz w:val="32"/>
          <w:szCs w:val="32"/>
          <w:highlight w:val="none"/>
        </w:rPr>
        <w:t>决算数小于预算数的主要原因是进一步认真贯彻落实中央“八项规定”，严格落实市级部门单位“过紧日子”十三条措施</w:t>
      </w:r>
      <w:r>
        <w:rPr>
          <w:rFonts w:hint="eastAsia" w:ascii="仿宋" w:hAnsi="仿宋" w:eastAsia="仿宋"/>
          <w:color w:val="auto"/>
          <w:sz w:val="32"/>
          <w:szCs w:val="32"/>
          <w:highlight w:val="none"/>
          <w:lang w:eastAsia="zh-CN"/>
        </w:rPr>
        <w:t>。</w:t>
      </w:r>
    </w:p>
    <w:p>
      <w:pPr>
        <w:spacing w:line="600" w:lineRule="exact"/>
        <w:ind w:firstLine="640"/>
        <w:outlineLvl w:val="2"/>
        <w:rPr>
          <w:rFonts w:ascii="仿宋" w:hAnsi="仿宋" w:eastAsia="仿宋"/>
          <w:b/>
          <w:color w:val="auto"/>
          <w:sz w:val="32"/>
          <w:szCs w:val="32"/>
          <w:highlight w:val="none"/>
        </w:rPr>
      </w:pPr>
      <w:bookmarkStart w:id="54" w:name="_Toc15377217"/>
      <w:r>
        <w:rPr>
          <w:rFonts w:hint="eastAsia" w:ascii="仿宋" w:hAnsi="仿宋" w:eastAsia="仿宋"/>
          <w:b/>
          <w:color w:val="auto"/>
          <w:sz w:val="32"/>
          <w:szCs w:val="32"/>
          <w:highlight w:val="none"/>
        </w:rPr>
        <w:t>（二）“三公”经费财政拨款支出决算具体情况说明</w:t>
      </w:r>
      <w:bookmarkEnd w:id="54"/>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highlight w:val="red"/>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2.16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97.74</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0.05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2.26</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spacing w:line="600" w:lineRule="exact"/>
        <w:ind w:firstLine="64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（图7：“三公”经费财政拨款支出结构）（饼状图）</w:t>
      </w:r>
    </w:p>
    <w:p>
      <w:pPr>
        <w:pStyle w:val="2"/>
      </w:pPr>
      <w:r>
        <w:rPr>
          <w:rFonts w:hint="eastAsia" w:ascii="仿宋" w:hAnsi="仿宋" w:eastAsia="仿宋"/>
          <w:color w:val="auto"/>
          <w:sz w:val="32"/>
          <w:szCs w:val="32"/>
          <w:highlight w:val="none"/>
          <w:lang w:eastAsia="zh-CN"/>
        </w:rPr>
        <w:drawing>
          <wp:inline distT="0" distB="0" distL="114300" distR="114300">
            <wp:extent cx="5142230" cy="2578735"/>
            <wp:effectExtent l="4445" t="4445" r="15875" b="762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pacing w:line="600" w:lineRule="exact"/>
        <w:ind w:firstLine="640"/>
        <w:rPr>
          <w:rFonts w:hint="eastAsia" w:ascii="仿宋_GB2312" w:eastAsia="仿宋_GB2312"/>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val="0"/>
          <w:bCs/>
          <w:color w:val="auto"/>
          <w:sz w:val="32"/>
          <w:szCs w:val="32"/>
          <w:highlight w:val="none"/>
        </w:rPr>
        <w:t>因公出国（境）经费支出0万元，年初未安排预算</w:t>
      </w:r>
      <w:r>
        <w:rPr>
          <w:rStyle w:val="15"/>
          <w:rFonts w:hint="eastAsia" w:ascii="仿宋" w:hAnsi="仿宋" w:eastAsia="仿宋"/>
          <w:b w:val="0"/>
          <w:bCs/>
          <w:color w:val="auto"/>
          <w:sz w:val="32"/>
          <w:szCs w:val="32"/>
          <w:highlight w:val="none"/>
        </w:rPr>
        <w:t>。因公出国（境）支出决算较202</w:t>
      </w:r>
      <w:r>
        <w:rPr>
          <w:rStyle w:val="15"/>
          <w:rFonts w:hint="default" w:ascii="仿宋" w:hAnsi="仿宋" w:eastAsia="仿宋"/>
          <w:b w:val="0"/>
          <w:bCs/>
          <w:color w:val="auto"/>
          <w:sz w:val="32"/>
          <w:szCs w:val="32"/>
          <w:highlight w:val="none"/>
        </w:rPr>
        <w:t>1</w:t>
      </w:r>
      <w:r>
        <w:rPr>
          <w:rStyle w:val="15"/>
          <w:rFonts w:hint="eastAsia" w:ascii="仿宋" w:hAnsi="仿宋" w:eastAsia="仿宋"/>
          <w:b w:val="0"/>
          <w:bCs/>
          <w:color w:val="auto"/>
          <w:sz w:val="32"/>
          <w:szCs w:val="32"/>
          <w:highlight w:val="none"/>
        </w:rPr>
        <w:t>年无变化</w:t>
      </w:r>
      <w:r>
        <w:rPr>
          <w:rStyle w:val="15"/>
          <w:rFonts w:hint="eastAsia" w:ascii="仿宋" w:hAnsi="仿宋" w:eastAsia="仿宋"/>
          <w:b w:val="0"/>
          <w:bCs/>
          <w:color w:val="auto"/>
          <w:sz w:val="32"/>
          <w:szCs w:val="32"/>
          <w:highlight w:val="none"/>
          <w:lang w:eastAsia="zh-CN"/>
        </w:rPr>
        <w:t>。</w:t>
      </w:r>
    </w:p>
    <w:p>
      <w:pPr>
        <w:spacing w:line="600" w:lineRule="exact"/>
        <w:ind w:firstLine="640"/>
        <w:rPr>
          <w:rFonts w:ascii="仿宋_GB2312" w:eastAsia="仿宋_GB2312"/>
          <w:b/>
          <w:color w:val="auto"/>
          <w:sz w:val="32"/>
          <w:szCs w:val="32"/>
          <w:highlight w:val="none"/>
        </w:rPr>
      </w:pPr>
      <w:r>
        <w:rPr>
          <w:rFonts w:ascii="仿宋_GB2312" w:eastAsia="仿宋_GB2312"/>
          <w:b w:val="0"/>
          <w:bCs/>
          <w:color w:val="auto"/>
          <w:sz w:val="32"/>
          <w:szCs w:val="32"/>
          <w:highlight w:val="none"/>
        </w:rPr>
        <w:t>2.</w:t>
      </w:r>
      <w:r>
        <w:rPr>
          <w:rFonts w:hint="eastAsia" w:ascii="仿宋_GB2312" w:eastAsia="仿宋_GB2312"/>
          <w:b w:val="0"/>
          <w:bCs/>
          <w:color w:val="auto"/>
          <w:sz w:val="32"/>
          <w:szCs w:val="32"/>
          <w:highlight w:val="none"/>
        </w:rPr>
        <w:t>公务用车购置及运行维护费支出</w:t>
      </w:r>
      <w:r>
        <w:rPr>
          <w:rFonts w:hint="eastAsia" w:ascii="仿宋_GB2312" w:eastAsia="仿宋_GB2312"/>
          <w:b w:val="0"/>
          <w:bCs/>
          <w:color w:val="auto"/>
          <w:sz w:val="32"/>
          <w:szCs w:val="32"/>
          <w:highlight w:val="none"/>
          <w:lang w:val="en-US" w:eastAsia="zh-CN"/>
        </w:rPr>
        <w:t>2.16</w:t>
      </w:r>
      <w:r>
        <w:rPr>
          <w:rFonts w:hint="eastAsia" w:ascii="仿宋_GB2312" w:eastAsia="仿宋_GB2312"/>
          <w:color w:val="auto"/>
          <w:sz w:val="32"/>
          <w:szCs w:val="32"/>
          <w:highlight w:val="none"/>
        </w:rPr>
        <w:t>万元,</w:t>
      </w:r>
      <w:r>
        <w:rPr>
          <w:rStyle w:val="15"/>
          <w:rFonts w:hint="eastAsia" w:ascii="仿宋" w:hAnsi="仿宋" w:eastAsia="仿宋"/>
          <w:b w:val="0"/>
          <w:bCs/>
          <w:color w:val="auto"/>
          <w:sz w:val="32"/>
          <w:szCs w:val="32"/>
          <w:highlight w:val="none"/>
        </w:rPr>
        <w:t>完成预算</w:t>
      </w:r>
      <w:r>
        <w:rPr>
          <w:rStyle w:val="15"/>
          <w:rFonts w:hint="eastAsia" w:ascii="仿宋" w:hAnsi="仿宋" w:eastAsia="仿宋"/>
          <w:b w:val="0"/>
          <w:bCs/>
          <w:color w:val="auto"/>
          <w:sz w:val="32"/>
          <w:szCs w:val="32"/>
          <w:highlight w:val="none"/>
          <w:lang w:val="en-US" w:eastAsia="zh-CN"/>
        </w:rPr>
        <w:t>98.63</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val="en-US" w:eastAsia="zh-CN"/>
        </w:rPr>
        <w:t>0.07</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3.35</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w:t>
      </w:r>
      <w:r>
        <w:rPr>
          <w:rFonts w:hint="eastAsia" w:ascii="仿宋_GB2312" w:eastAsia="仿宋_GB2312"/>
          <w:color w:val="auto"/>
          <w:sz w:val="32"/>
          <w:szCs w:val="32"/>
          <w:highlight w:val="none"/>
          <w:lang w:eastAsia="zh-CN"/>
        </w:rPr>
        <w:t>是车辆使用年代较久，维护费增加</w:t>
      </w:r>
      <w:r>
        <w:rPr>
          <w:rFonts w:hint="eastAsia" w:ascii="仿宋_GB2312" w:eastAsia="仿宋_GB2312"/>
          <w:color w:val="auto"/>
          <w:sz w:val="32"/>
          <w:szCs w:val="32"/>
          <w:highlight w:val="none"/>
        </w:rPr>
        <w:t>。</w:t>
      </w:r>
    </w:p>
    <w:p>
      <w:pPr>
        <w:spacing w:line="600" w:lineRule="exact"/>
        <w:ind w:firstLine="640" w:firstLineChars="200"/>
        <w:rPr>
          <w:rFonts w:hint="eastAsia" w:ascii="仿宋_GB2312" w:eastAsia="仿宋_GB2312"/>
          <w:b/>
          <w:color w:val="auto"/>
          <w:sz w:val="32"/>
          <w:szCs w:val="32"/>
          <w:highlight w:val="none"/>
          <w:lang w:val="en-US" w:eastAsia="zh-CN"/>
        </w:rPr>
      </w:pPr>
      <w:r>
        <w:rPr>
          <w:rFonts w:hint="eastAsia" w:ascii="仿宋_GB2312" w:eastAsia="仿宋_GB2312"/>
          <w:color w:val="auto"/>
          <w:sz w:val="32"/>
          <w:szCs w:val="32"/>
          <w:highlight w:val="none"/>
        </w:rPr>
        <w:t>其中：</w:t>
      </w:r>
      <w:r>
        <w:rPr>
          <w:rFonts w:hint="eastAsia" w:ascii="仿宋_GB2312" w:eastAsia="仿宋_GB2312"/>
          <w:b w:val="0"/>
          <w:bCs/>
          <w:color w:val="auto"/>
          <w:sz w:val="32"/>
          <w:szCs w:val="32"/>
          <w:highlight w:val="none"/>
        </w:rPr>
        <w:t>公务用车购置支出</w:t>
      </w:r>
      <w:r>
        <w:rPr>
          <w:rFonts w:hint="eastAsia" w:ascii="仿宋_GB2312" w:eastAsia="仿宋_GB2312"/>
          <w:b w:val="0"/>
          <w:bCs/>
          <w:color w:val="auto"/>
          <w:sz w:val="32"/>
          <w:szCs w:val="32"/>
          <w:highlight w:val="none"/>
          <w:lang w:val="en-US" w:eastAsia="zh-CN"/>
        </w:rPr>
        <w:t>0</w:t>
      </w:r>
      <w:r>
        <w:rPr>
          <w:rFonts w:hint="eastAsia" w:ascii="仿宋_GB2312" w:eastAsia="仿宋_GB2312"/>
          <w:color w:val="auto"/>
          <w:sz w:val="32"/>
          <w:szCs w:val="32"/>
          <w:highlight w:val="none"/>
        </w:rPr>
        <w:t>万元。截至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车辆类型为其他用车，用途为设置航标。</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b w:val="0"/>
          <w:bCs/>
          <w:color w:val="auto"/>
          <w:sz w:val="32"/>
          <w:szCs w:val="32"/>
          <w:highlight w:val="none"/>
        </w:rPr>
        <w:t>公务用车运行维护费支出</w:t>
      </w:r>
      <w:r>
        <w:rPr>
          <w:rFonts w:hint="eastAsia" w:ascii="仿宋_GB2312" w:eastAsia="仿宋_GB2312"/>
          <w:b w:val="0"/>
          <w:bCs/>
          <w:color w:val="auto"/>
          <w:sz w:val="32"/>
          <w:szCs w:val="32"/>
          <w:highlight w:val="none"/>
          <w:lang w:val="en-US" w:eastAsia="zh-CN"/>
        </w:rPr>
        <w:t>2.16</w:t>
      </w:r>
      <w:r>
        <w:rPr>
          <w:rFonts w:hint="eastAsia" w:ascii="仿宋_GB2312" w:eastAsia="仿宋_GB2312"/>
          <w:color w:val="auto"/>
          <w:sz w:val="32"/>
          <w:szCs w:val="32"/>
          <w:highlight w:val="none"/>
        </w:rPr>
        <w:t>万元。主要用</w:t>
      </w:r>
      <w:r>
        <w:rPr>
          <w:rFonts w:hint="eastAsia" w:ascii="仿宋_GB2312" w:eastAsia="仿宋_GB2312"/>
          <w:color w:val="auto"/>
          <w:sz w:val="32"/>
          <w:szCs w:val="32"/>
          <w:highlight w:val="none"/>
          <w:lang w:eastAsia="zh-CN"/>
        </w:rPr>
        <w:t>于为航道畅通提供维护保障</w:t>
      </w:r>
      <w:r>
        <w:rPr>
          <w:rFonts w:hint="eastAsia" w:ascii="仿宋_GB2312" w:eastAsia="仿宋_GB2312"/>
          <w:color w:val="auto"/>
          <w:sz w:val="32"/>
          <w:szCs w:val="32"/>
          <w:highlight w:val="none"/>
        </w:rPr>
        <w:t>等所需的公务用车燃料费、维修费、过路过桥费、保险费等支出。</w:t>
      </w:r>
    </w:p>
    <w:p>
      <w:pPr>
        <w:spacing w:line="600" w:lineRule="exact"/>
        <w:ind w:firstLine="640"/>
        <w:rPr>
          <w:rFonts w:ascii="仿宋_GB2312" w:eastAsia="仿宋_GB2312"/>
          <w:color w:val="auto"/>
          <w:sz w:val="32"/>
          <w:szCs w:val="32"/>
          <w:highlight w:val="none"/>
        </w:rPr>
      </w:pPr>
      <w:r>
        <w:rPr>
          <w:rFonts w:ascii="仿宋_GB2312" w:eastAsia="仿宋_GB2312"/>
          <w:b w:val="0"/>
          <w:bCs/>
          <w:color w:val="auto"/>
          <w:sz w:val="32"/>
          <w:szCs w:val="32"/>
          <w:highlight w:val="none"/>
        </w:rPr>
        <w:t>3.</w:t>
      </w:r>
      <w:r>
        <w:rPr>
          <w:rFonts w:hint="eastAsia" w:ascii="仿宋_GB2312" w:eastAsia="仿宋_GB2312"/>
          <w:b w:val="0"/>
          <w:bCs/>
          <w:color w:val="auto"/>
          <w:sz w:val="32"/>
          <w:szCs w:val="32"/>
          <w:highlight w:val="none"/>
        </w:rPr>
        <w:t>公务接待费支出</w:t>
      </w:r>
      <w:r>
        <w:rPr>
          <w:rFonts w:hint="eastAsia" w:ascii="仿宋_GB2312" w:eastAsia="仿宋_GB2312"/>
          <w:b w:val="0"/>
          <w:bCs/>
          <w:color w:val="auto"/>
          <w:sz w:val="32"/>
          <w:szCs w:val="32"/>
          <w:highlight w:val="none"/>
          <w:lang w:val="en-US" w:eastAsia="zh-CN"/>
        </w:rPr>
        <w:t>0.05</w:t>
      </w:r>
      <w:r>
        <w:rPr>
          <w:rFonts w:hint="eastAsia" w:ascii="仿宋_GB2312" w:eastAsia="仿宋_GB2312"/>
          <w:color w:val="auto"/>
          <w:sz w:val="32"/>
          <w:szCs w:val="32"/>
          <w:highlight w:val="none"/>
        </w:rPr>
        <w:t>万元，</w:t>
      </w:r>
      <w:r>
        <w:rPr>
          <w:rStyle w:val="15"/>
          <w:rFonts w:hint="eastAsia" w:ascii="仿宋" w:hAnsi="仿宋" w:eastAsia="仿宋"/>
          <w:b w:val="0"/>
          <w:bCs/>
          <w:color w:val="auto"/>
          <w:sz w:val="32"/>
          <w:szCs w:val="32"/>
          <w:highlight w:val="none"/>
        </w:rPr>
        <w:t>完成预算</w:t>
      </w:r>
      <w:r>
        <w:rPr>
          <w:rStyle w:val="15"/>
          <w:rFonts w:hint="eastAsia" w:ascii="仿宋" w:hAnsi="仿宋" w:eastAsia="仿宋"/>
          <w:b w:val="0"/>
          <w:bCs/>
          <w:color w:val="auto"/>
          <w:sz w:val="32"/>
          <w:szCs w:val="32"/>
          <w:highlight w:val="none"/>
          <w:lang w:val="en-US" w:eastAsia="zh-CN"/>
        </w:rPr>
        <w:t>10.77</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0.13</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72.22</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减少公务接待，</w:t>
      </w:r>
      <w:r>
        <w:rPr>
          <w:rFonts w:hint="eastAsia" w:ascii="仿宋_GB2312" w:eastAsia="仿宋_GB2312"/>
          <w:color w:val="000000" w:themeColor="text1"/>
          <w:sz w:val="32"/>
          <w:szCs w:val="32"/>
          <w:highlight w:val="none"/>
          <w:lang w:eastAsia="zh-CN"/>
          <w14:textFill>
            <w14:solidFill>
              <w14:schemeClr w14:val="tx1"/>
            </w14:solidFill>
          </w14:textFill>
        </w:rPr>
        <w:t>厉行节约</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auto"/>
          <w:sz w:val="32"/>
          <w:szCs w:val="32"/>
          <w:highlight w:val="none"/>
        </w:rPr>
        <w:t>其中：</w:t>
      </w:r>
    </w:p>
    <w:p>
      <w:pPr>
        <w:spacing w:line="600" w:lineRule="exact"/>
        <w:ind w:firstLine="640"/>
        <w:rPr>
          <w:rFonts w:ascii="仿宋_GB2312" w:eastAsia="仿宋_GB2312"/>
          <w:color w:val="auto"/>
          <w:sz w:val="32"/>
          <w:szCs w:val="32"/>
          <w:highlight w:val="none"/>
        </w:rPr>
      </w:pPr>
      <w:r>
        <w:rPr>
          <w:rFonts w:hint="eastAsia" w:ascii="仿宋" w:hAnsi="仿宋" w:eastAsia="仿宋"/>
          <w:b w:val="0"/>
          <w:bCs/>
          <w:color w:val="auto"/>
          <w:sz w:val="32"/>
          <w:szCs w:val="32"/>
          <w:highlight w:val="none"/>
        </w:rPr>
        <w:t>国内公务接待支出</w:t>
      </w:r>
      <w:r>
        <w:rPr>
          <w:rFonts w:hint="eastAsia" w:ascii="仿宋" w:hAnsi="仿宋" w:eastAsia="仿宋"/>
          <w:b w:val="0"/>
          <w:bCs/>
          <w:color w:val="auto"/>
          <w:sz w:val="32"/>
          <w:szCs w:val="32"/>
          <w:highlight w:val="none"/>
          <w:lang w:val="en-US" w:eastAsia="zh-CN"/>
        </w:rPr>
        <w:t>0.06</w:t>
      </w:r>
      <w:r>
        <w:rPr>
          <w:rFonts w:hint="eastAsia" w:ascii="仿宋_GB2312" w:eastAsia="仿宋_GB2312"/>
          <w:color w:val="auto"/>
          <w:sz w:val="32"/>
          <w:szCs w:val="32"/>
          <w:highlight w:val="none"/>
        </w:rPr>
        <w:t>万元，主要</w:t>
      </w:r>
      <w:r>
        <w:rPr>
          <w:rFonts w:hint="eastAsia" w:ascii="仿宋_GB2312" w:eastAsia="仿宋_GB2312"/>
          <w:color w:val="auto"/>
          <w:sz w:val="32"/>
          <w:szCs w:val="32"/>
          <w:highlight w:val="none"/>
          <w:lang w:eastAsia="zh-CN"/>
        </w:rPr>
        <w:t>用于省航务海事中心检查环保工作用餐</w:t>
      </w:r>
      <w:r>
        <w:rPr>
          <w:rFonts w:hint="eastAsia" w:ascii="仿宋_GB2312" w:eastAsia="仿宋_GB2312"/>
          <w:color w:val="auto"/>
          <w:sz w:val="32"/>
          <w:szCs w:val="32"/>
          <w:highlight w:val="none"/>
        </w:rPr>
        <w:t>。国内公务接待</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批次，</w:t>
      </w:r>
      <w:r>
        <w:rPr>
          <w:rFonts w:hint="eastAsia" w:ascii="仿宋_GB2312" w:eastAsia="仿宋_GB2312"/>
          <w:color w:val="000000" w:themeColor="text1"/>
          <w:sz w:val="32"/>
          <w:szCs w:val="32"/>
          <w:highlight w:val="none"/>
          <w:lang w:val="en-US" w:eastAsia="zh-CN"/>
          <w14:textFill>
            <w14:solidFill>
              <w14:schemeClr w14:val="tx1"/>
            </w14:solidFill>
          </w14:textFill>
        </w:rPr>
        <w:t>7</w:t>
      </w:r>
      <w:r>
        <w:rPr>
          <w:rFonts w:hint="eastAsia" w:ascii="仿宋_GB2312" w:eastAsia="仿宋_GB2312"/>
          <w:color w:val="000000" w:themeColor="text1"/>
          <w:sz w:val="32"/>
          <w:szCs w:val="32"/>
          <w:highlight w:val="none"/>
          <w14:textFill>
            <w14:solidFill>
              <w14:schemeClr w14:val="tx1"/>
            </w14:solidFill>
          </w14:textFill>
        </w:rPr>
        <w:t>人次（不包括陪同人员）</w:t>
      </w:r>
      <w:r>
        <w:rPr>
          <w:rFonts w:hint="eastAsia" w:ascii="仿宋_GB2312" w:eastAsia="仿宋_GB2312"/>
          <w:color w:val="auto"/>
          <w:sz w:val="32"/>
          <w:szCs w:val="32"/>
          <w:highlight w:val="none"/>
        </w:rPr>
        <w:t>，共计支出</w:t>
      </w:r>
      <w:r>
        <w:rPr>
          <w:rFonts w:hint="eastAsia" w:ascii="仿宋_GB2312" w:eastAsia="仿宋_GB2312"/>
          <w:color w:val="auto"/>
          <w:sz w:val="32"/>
          <w:szCs w:val="32"/>
          <w:highlight w:val="none"/>
          <w:lang w:val="en-US" w:eastAsia="zh-CN"/>
        </w:rPr>
        <w:t>0.06</w:t>
      </w:r>
      <w:r>
        <w:rPr>
          <w:rFonts w:hint="eastAsia" w:ascii="仿宋_GB2312" w:eastAsia="仿宋_GB2312"/>
          <w:color w:val="auto"/>
          <w:sz w:val="32"/>
          <w:szCs w:val="32"/>
          <w:highlight w:val="none"/>
        </w:rPr>
        <w:t>万元，具体内容包括：</w:t>
      </w:r>
      <w:r>
        <w:rPr>
          <w:rFonts w:hint="eastAsia" w:ascii="仿宋_GB2312" w:eastAsia="仿宋_GB2312"/>
          <w:color w:val="auto"/>
          <w:sz w:val="32"/>
          <w:szCs w:val="32"/>
          <w:highlight w:val="none"/>
          <w:lang w:eastAsia="zh-CN"/>
        </w:rPr>
        <w:t>省航务海事中心开展嘉陵江、渠江流域水路交通领域环保工作后用餐支出</w:t>
      </w:r>
      <w:r>
        <w:rPr>
          <w:rFonts w:hint="eastAsia" w:ascii="仿宋_GB2312" w:eastAsia="仿宋_GB2312"/>
          <w:color w:val="auto"/>
          <w:sz w:val="32"/>
          <w:szCs w:val="32"/>
          <w:highlight w:val="none"/>
          <w:lang w:val="en-US" w:eastAsia="zh-CN"/>
        </w:rPr>
        <w:t>0.06万元</w:t>
      </w:r>
      <w:r>
        <w:rPr>
          <w:rFonts w:hint="eastAsia" w:ascii="仿宋_GB2312" w:eastAsia="仿宋_GB2312"/>
          <w:color w:val="auto"/>
          <w:sz w:val="32"/>
          <w:szCs w:val="32"/>
          <w:highlight w:val="none"/>
        </w:rPr>
        <w:t>。</w:t>
      </w:r>
    </w:p>
    <w:p>
      <w:pPr>
        <w:spacing w:line="600" w:lineRule="exact"/>
        <w:ind w:firstLine="640" w:firstLineChars="200"/>
        <w:rPr>
          <w:rFonts w:hint="eastAsia" w:ascii="仿宋_GB2312" w:eastAsia="仿宋_GB2312"/>
          <w:color w:val="auto"/>
          <w:sz w:val="32"/>
          <w:szCs w:val="32"/>
          <w:highlight w:val="none"/>
          <w:lang w:eastAsia="zh-CN"/>
        </w:rPr>
      </w:pPr>
      <w:r>
        <w:rPr>
          <w:rFonts w:hint="eastAsia" w:ascii="仿宋" w:hAnsi="仿宋" w:eastAsia="仿宋"/>
          <w:b w:val="0"/>
          <w:bCs/>
          <w:color w:val="auto"/>
          <w:sz w:val="32"/>
          <w:szCs w:val="32"/>
          <w:highlight w:val="none"/>
        </w:rPr>
        <w:t>外事接待支出</w:t>
      </w:r>
      <w:r>
        <w:rPr>
          <w:rFonts w:hint="eastAsia" w:ascii="仿宋" w:hAnsi="仿宋" w:eastAsia="仿宋"/>
          <w:b w:val="0"/>
          <w:bCs/>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p>
    <w:p>
      <w:pPr>
        <w:spacing w:line="600" w:lineRule="exact"/>
        <w:ind w:firstLine="640"/>
        <w:outlineLvl w:val="1"/>
        <w:rPr>
          <w:rStyle w:val="18"/>
          <w:rFonts w:ascii="黑体" w:hAnsi="黑体" w:eastAsia="黑体"/>
          <w:color w:val="auto"/>
          <w:highlight w:val="none"/>
        </w:rPr>
      </w:pPr>
      <w:bookmarkStart w:id="55" w:name="_Toc19137"/>
      <w:bookmarkStart w:id="56" w:name="_Toc15396610"/>
      <w:bookmarkStart w:id="57" w:name="_Toc15377218"/>
      <w:r>
        <w:rPr>
          <w:rFonts w:hint="eastAsia" w:ascii="黑体" w:eastAsia="黑体"/>
          <w:color w:val="auto"/>
          <w:sz w:val="32"/>
          <w:szCs w:val="32"/>
          <w:highlight w:val="none"/>
        </w:rPr>
        <w:t>八、</w:t>
      </w:r>
      <w:r>
        <w:rPr>
          <w:rStyle w:val="18"/>
          <w:rFonts w:hint="eastAsia" w:ascii="黑体" w:hAnsi="黑体" w:eastAsia="黑体"/>
          <w:b w:val="0"/>
          <w:color w:val="auto"/>
          <w:highlight w:val="none"/>
        </w:rPr>
        <w:t>政府性基金预算支出决算情况说明</w:t>
      </w:r>
      <w:bookmarkEnd w:id="55"/>
      <w:bookmarkEnd w:id="56"/>
      <w:bookmarkEnd w:id="57"/>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 w:eastAsia="仿宋" w:cs="仿宋"/>
          <w:kern w:val="2"/>
          <w:sz w:val="32"/>
          <w:szCs w:val="32"/>
          <w:lang w:eastAsia="zh-CN" w:bidi="ar-SA"/>
        </w:rPr>
        <w:t>与去年持平。</w:t>
      </w:r>
    </w:p>
    <w:p>
      <w:pPr>
        <w:numPr>
          <w:ilvl w:val="0"/>
          <w:numId w:val="3"/>
        </w:numPr>
        <w:spacing w:line="600" w:lineRule="exact"/>
        <w:ind w:firstLine="640"/>
        <w:outlineLvl w:val="1"/>
        <w:rPr>
          <w:rStyle w:val="18"/>
          <w:rFonts w:ascii="黑体" w:hAnsi="黑体" w:eastAsia="黑体"/>
          <w:b w:val="0"/>
          <w:color w:val="auto"/>
          <w:highlight w:val="none"/>
        </w:rPr>
      </w:pPr>
      <w:bookmarkStart w:id="58" w:name="_Toc15377219"/>
      <w:bookmarkStart w:id="59" w:name="_Toc15396611"/>
      <w:bookmarkStart w:id="60" w:name="_Toc16421"/>
      <w:r>
        <w:rPr>
          <w:rStyle w:val="18"/>
          <w:rFonts w:hint="eastAsia" w:ascii="黑体" w:hAnsi="黑体" w:eastAsia="黑体"/>
          <w:b w:val="0"/>
          <w:color w:val="auto"/>
          <w:highlight w:val="none"/>
        </w:rPr>
        <w:t>国有资本经营预算支出决算情况说明</w:t>
      </w:r>
      <w:bookmarkEnd w:id="58"/>
      <w:bookmarkEnd w:id="59"/>
      <w:bookmarkEnd w:id="60"/>
    </w:p>
    <w:p>
      <w:pPr>
        <w:spacing w:line="600" w:lineRule="exact"/>
        <w:ind w:firstLine="640"/>
        <w:rPr>
          <w:rFonts w:ascii="方正小标宋简体" w:hAnsi="方正小标宋简体" w:eastAsia="方正小标宋简体" w:cs="方正小标宋简体"/>
          <w:color w:val="auto"/>
          <w:sz w:val="44"/>
          <w:szCs w:val="44"/>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 w:eastAsia="仿宋" w:cs="仿宋"/>
          <w:kern w:val="2"/>
          <w:sz w:val="32"/>
          <w:szCs w:val="32"/>
          <w:lang w:eastAsia="zh-CN" w:bidi="ar-SA"/>
        </w:rPr>
        <w:t>与去年持平</w:t>
      </w:r>
      <w:r>
        <w:rPr>
          <w:rFonts w:hint="eastAsia" w:ascii="仿宋_GB2312" w:eastAsia="仿宋_GB2312"/>
          <w:color w:val="auto"/>
          <w:sz w:val="32"/>
          <w:szCs w:val="32"/>
          <w:highlight w:val="none"/>
        </w:rPr>
        <w:t>。</w:t>
      </w:r>
    </w:p>
    <w:p>
      <w:pPr>
        <w:numPr>
          <w:ilvl w:val="0"/>
          <w:numId w:val="3"/>
        </w:numPr>
        <w:spacing w:line="600" w:lineRule="exact"/>
        <w:ind w:firstLine="640"/>
        <w:outlineLvl w:val="1"/>
        <w:rPr>
          <w:rStyle w:val="18"/>
          <w:rFonts w:hint="eastAsia" w:ascii="黑体" w:hAnsi="黑体" w:eastAsia="黑体"/>
          <w:b w:val="0"/>
          <w:color w:val="auto"/>
          <w:highlight w:val="none"/>
        </w:rPr>
      </w:pPr>
      <w:bookmarkStart w:id="61" w:name="_Toc15396612"/>
      <w:bookmarkStart w:id="62" w:name="_Toc14771"/>
      <w:bookmarkStart w:id="63" w:name="_Toc15377221"/>
      <w:r>
        <w:rPr>
          <w:rStyle w:val="18"/>
          <w:rFonts w:hint="eastAsia" w:ascii="黑体" w:hAnsi="黑体" w:eastAsia="黑体"/>
          <w:b w:val="0"/>
          <w:color w:val="auto"/>
          <w:highlight w:val="none"/>
        </w:rPr>
        <w:t>其他重要事项的情况说明</w:t>
      </w:r>
      <w:bookmarkEnd w:id="61"/>
      <w:bookmarkEnd w:id="62"/>
      <w:bookmarkEnd w:id="63"/>
    </w:p>
    <w:p>
      <w:pPr>
        <w:spacing w:line="600" w:lineRule="exact"/>
        <w:ind w:firstLine="643" w:firstLineChars="200"/>
        <w:outlineLvl w:val="2"/>
        <w:rPr>
          <w:rFonts w:ascii="仿宋" w:hAnsi="仿宋" w:eastAsia="仿宋"/>
          <w:color w:val="auto"/>
          <w:sz w:val="32"/>
          <w:szCs w:val="32"/>
          <w:highlight w:val="none"/>
        </w:rPr>
      </w:pPr>
      <w:bookmarkStart w:id="64" w:name="_Toc15377222"/>
      <w:r>
        <w:rPr>
          <w:rFonts w:hint="eastAsia" w:ascii="仿宋" w:hAnsi="仿宋" w:eastAsia="仿宋"/>
          <w:b/>
          <w:color w:val="auto"/>
          <w:sz w:val="32"/>
          <w:szCs w:val="32"/>
          <w:highlight w:val="none"/>
        </w:rPr>
        <w:t>（一）机关运行经费支出情况</w:t>
      </w:r>
      <w:bookmarkEnd w:id="64"/>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未发生</w:t>
      </w:r>
      <w:r>
        <w:rPr>
          <w:rFonts w:hint="eastAsia" w:ascii="仿宋" w:eastAsia="仿宋"/>
          <w:color w:val="000000"/>
          <w:sz w:val="32"/>
          <w:szCs w:val="32"/>
          <w:lang w:eastAsia="zh-CN"/>
        </w:rPr>
        <w:t>机关运行经费支出，</w:t>
      </w:r>
      <w:r>
        <w:rPr>
          <w:rFonts w:hint="eastAsia" w:ascii="仿宋" w:eastAsia="仿宋" w:cs="黑体"/>
          <w:sz w:val="32"/>
          <w:szCs w:val="32"/>
          <w:lang w:eastAsia="zh-CN" w:bidi="ar-SA"/>
        </w:rPr>
        <w:t>与</w:t>
      </w:r>
      <w:r>
        <w:rPr>
          <w:rFonts w:hint="eastAsia" w:ascii="仿宋" w:eastAsia="仿宋" w:cs="黑体"/>
          <w:sz w:val="32"/>
          <w:szCs w:val="32"/>
          <w:lang w:val="en-US" w:eastAsia="zh-CN" w:bidi="ar-SA"/>
        </w:rPr>
        <w:t>2021年决算数</w:t>
      </w:r>
      <w:r>
        <w:rPr>
          <w:rFonts w:hint="eastAsia" w:ascii="仿宋" w:eastAsia="仿宋" w:cs="黑体"/>
          <w:sz w:val="32"/>
          <w:szCs w:val="32"/>
          <w:lang w:eastAsia="zh-CN" w:bidi="ar-SA"/>
        </w:rPr>
        <w:t>持平</w:t>
      </w:r>
      <w:r>
        <w:rPr>
          <w:rFonts w:hint="eastAsia" w:ascii="仿宋" w:eastAsia="仿宋" w:cs="黑体"/>
          <w:color w:val="000000"/>
          <w:sz w:val="32"/>
          <w:szCs w:val="32"/>
          <w:lang w:eastAsia="zh-CN" w:bidi="ar-SA"/>
        </w:rPr>
        <w:t>。主要原因是本单位属于事业单位，不产生机关运行经费。</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65" w:name="_Toc15377223"/>
      <w:r>
        <w:rPr>
          <w:rFonts w:hint="eastAsia" w:ascii="仿宋" w:hAnsi="仿宋" w:eastAsia="仿宋"/>
          <w:b/>
          <w:color w:val="auto"/>
          <w:sz w:val="32"/>
          <w:szCs w:val="32"/>
          <w:highlight w:val="none"/>
        </w:rPr>
        <w:t>（二）政府采购支出情况</w:t>
      </w:r>
      <w:bookmarkEnd w:id="65"/>
    </w:p>
    <w:p>
      <w:pPr>
        <w:spacing w:line="600" w:lineRule="exact"/>
        <w:ind w:firstLine="640" w:firstLineChars="200"/>
        <w:rPr>
          <w:rFonts w:ascii="仿宋" w:hAnsi="仿宋" w:eastAsia="仿宋"/>
          <w:b/>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本单位</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val="en-US" w:eastAsia="zh-CN"/>
        </w:rPr>
        <w:t>与去年持平。</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66" w:name="_Toc15377224"/>
      <w:r>
        <w:rPr>
          <w:rFonts w:hint="eastAsia" w:ascii="仿宋" w:hAnsi="仿宋" w:eastAsia="仿宋"/>
          <w:b/>
          <w:color w:val="auto"/>
          <w:sz w:val="32"/>
          <w:szCs w:val="32"/>
          <w:highlight w:val="none"/>
        </w:rPr>
        <w:t>（三）国有资产占有使用情况</w:t>
      </w:r>
      <w:bookmarkEnd w:id="66"/>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eastAsia="zh-CN"/>
        </w:rPr>
        <w:t>本单位</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辆，其中：其他用车</w:t>
      </w:r>
      <w:r>
        <w:rPr>
          <w:rFonts w:hint="eastAsia" w:ascii="仿宋_GB2312" w:eastAsia="仿宋_GB2312"/>
          <w:color w:val="auto"/>
          <w:sz w:val="32"/>
          <w:szCs w:val="32"/>
          <w:highlight w:val="none"/>
          <w:lang w:val="en-US" w:eastAsia="zh-CN"/>
        </w:rPr>
        <w:t>1辆。</w:t>
      </w:r>
      <w:r>
        <w:rPr>
          <w:rFonts w:hint="eastAsia" w:ascii="仿宋_GB2312" w:eastAsia="仿宋_GB2312"/>
          <w:color w:val="auto"/>
          <w:sz w:val="32"/>
          <w:szCs w:val="32"/>
          <w:highlight w:val="none"/>
        </w:rPr>
        <w:t>其他用车主要是用于</w:t>
      </w:r>
      <w:r>
        <w:rPr>
          <w:rFonts w:hint="eastAsia" w:ascii="仿宋" w:eastAsia="仿宋"/>
          <w:sz w:val="32"/>
          <w:szCs w:val="32"/>
          <w:lang w:eastAsia="zh-CN"/>
        </w:rPr>
        <w:t>水上应急抢险、航标设置维护。</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台（套）</w:t>
      </w:r>
      <w:r>
        <w:rPr>
          <w:rFonts w:hint="eastAsia" w:ascii="仿宋_GB2312" w:eastAsia="仿宋_GB2312"/>
          <w:color w:val="auto"/>
          <w:sz w:val="32"/>
          <w:szCs w:val="32"/>
          <w:highlight w:val="none"/>
          <w:lang w:eastAsia="zh-CN"/>
        </w:rPr>
        <w:t>，设备为船舶</w:t>
      </w:r>
      <w:r>
        <w:rPr>
          <w:rFonts w:hint="eastAsia" w:ascii="仿宋_GB2312" w:eastAsia="仿宋_GB2312"/>
          <w:color w:val="auto"/>
          <w:sz w:val="32"/>
          <w:szCs w:val="32"/>
          <w:highlight w:val="none"/>
        </w:rPr>
        <w:t>。</w:t>
      </w:r>
    </w:p>
    <w:p>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pPr>
        <w:pStyle w:val="6"/>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根据预算绩效管理要求，本单位在202</w:t>
      </w:r>
      <w:r>
        <w:rPr>
          <w:rFonts w:hint="eastAsia"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年度预算编制阶段，组织对</w:t>
      </w:r>
      <w:r>
        <w:rPr>
          <w:rFonts w:hint="eastAsia" w:hAnsi="仿宋_GB2312" w:cs="仿宋_GB2312"/>
          <w:color w:val="auto"/>
          <w:sz w:val="32"/>
          <w:szCs w:val="32"/>
          <w:highlight w:val="none"/>
          <w:lang w:eastAsia="zh-CN"/>
        </w:rPr>
        <w:t>乡村振兴、上石盘库区航道航标维护费用、省级2021年结转交通专项资金</w:t>
      </w:r>
      <w:r>
        <w:rPr>
          <w:rFonts w:hint="eastAsia"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个项目开展了预算事前绩效评估，对</w:t>
      </w:r>
      <w:r>
        <w:rPr>
          <w:rFonts w:hint="eastAsia"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个项目编制了绩效目标，预算执行过程中，选取</w:t>
      </w:r>
      <w:r>
        <w:rPr>
          <w:rFonts w:hint="eastAsia" w:hAnsi="仿宋_GB2312" w:cs="仿宋_GB2312"/>
          <w:color w:val="auto"/>
          <w:sz w:val="32"/>
          <w:szCs w:val="32"/>
          <w:highlight w:val="none"/>
          <w:lang w:val="en-US" w:eastAsia="zh-CN"/>
        </w:rPr>
        <w:t>3</w:t>
      </w:r>
      <w:r>
        <w:rPr>
          <w:rFonts w:hint="eastAsia" w:ascii="仿宋_GB2312" w:hAnsi="仿宋_GB2312" w:eastAsia="仿宋_GB2312" w:cs="仿宋_GB2312"/>
          <w:color w:val="000000" w:themeColor="text1"/>
          <w:sz w:val="32"/>
          <w:szCs w:val="32"/>
          <w:highlight w:val="none"/>
          <w14:textFill>
            <w14:solidFill>
              <w14:schemeClr w14:val="tx1"/>
            </w14:solidFill>
          </w14:textFill>
        </w:rPr>
        <w:t>个</w:t>
      </w:r>
      <w:r>
        <w:rPr>
          <w:rFonts w:hint="eastAsia" w:ascii="仿宋_GB2312" w:hAnsi="仿宋_GB2312" w:eastAsia="仿宋_GB2312" w:cs="仿宋_GB2312"/>
          <w:color w:val="auto"/>
          <w:sz w:val="32"/>
          <w:szCs w:val="32"/>
          <w:highlight w:val="none"/>
        </w:rPr>
        <w:t>项目开展绩效监控，组织对</w:t>
      </w:r>
      <w:r>
        <w:rPr>
          <w:rFonts w:hint="eastAsia"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个项目开展绩效自评，绩效自评表详见</w:t>
      </w:r>
      <w:r>
        <w:rPr>
          <w:rFonts w:hint="eastAsia" w:hAnsi="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附件。</w:t>
      </w: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4"/>
        </w:numPr>
        <w:spacing w:line="600" w:lineRule="exact"/>
        <w:ind w:firstLine="660" w:firstLineChars="150"/>
        <w:jc w:val="center"/>
        <w:outlineLvl w:val="0"/>
        <w:rPr>
          <w:rStyle w:val="17"/>
          <w:rFonts w:ascii="黑体" w:hAnsi="黑体" w:eastAsia="黑体"/>
          <w:b w:val="0"/>
          <w:color w:val="auto"/>
          <w:highlight w:val="none"/>
        </w:rPr>
      </w:pPr>
      <w:bookmarkStart w:id="67" w:name="_Toc15396613"/>
      <w:bookmarkStart w:id="68" w:name="_Toc30924"/>
      <w:bookmarkStart w:id="69" w:name="_Toc15377225"/>
      <w:r>
        <w:rPr>
          <w:rFonts w:hint="eastAsia" w:ascii="黑体" w:hAnsi="黑体" w:eastAsia="黑体"/>
          <w:color w:val="auto"/>
          <w:sz w:val="44"/>
          <w:szCs w:val="44"/>
          <w:highlight w:val="none"/>
        </w:rPr>
        <w:t>名</w:t>
      </w:r>
      <w:r>
        <w:rPr>
          <w:rStyle w:val="17"/>
          <w:rFonts w:hint="eastAsia" w:ascii="黑体" w:hAnsi="黑体" w:eastAsia="黑体"/>
          <w:b w:val="0"/>
          <w:color w:val="auto"/>
          <w:highlight w:val="none"/>
        </w:rPr>
        <w:t>词解释</w:t>
      </w:r>
      <w:bookmarkEnd w:id="67"/>
      <w:bookmarkEnd w:id="68"/>
      <w:bookmarkEnd w:id="69"/>
    </w:p>
    <w:p>
      <w:pPr>
        <w:spacing w:line="600" w:lineRule="exact"/>
        <w:jc w:val="left"/>
        <w:rPr>
          <w:rFonts w:ascii="宋体"/>
          <w:b/>
          <w:color w:val="auto"/>
          <w:sz w:val="44"/>
          <w:szCs w:val="44"/>
          <w:highlight w:val="none"/>
        </w:rPr>
      </w:pPr>
    </w:p>
    <w:p>
      <w:pPr>
        <w:pStyle w:val="26"/>
        <w:keepNext w:val="0"/>
        <w:keepLines w:val="0"/>
        <w:pageBreakBefore w:val="0"/>
        <w:widowControl w:val="0"/>
        <w:numPr>
          <w:ilvl w:val="0"/>
          <w:numId w:val="5"/>
        </w:numPr>
        <w:kinsoku/>
        <w:wordWrap/>
        <w:overflowPunct/>
        <w:topLinePunct w:val="0"/>
        <w:bidi w:val="0"/>
        <w:snapToGrid/>
        <w:spacing w:line="600" w:lineRule="exact"/>
        <w:ind w:left="0" w:leftChars="0" w:firstLine="400" w:firstLineChars="0"/>
        <w:jc w:val="both"/>
        <w:textAlignment w:val="auto"/>
        <w:rPr>
          <w:rFonts w:ascii="仿宋_GB2312" w:eastAsia="仿宋_GB2312"/>
          <w:color w:val="auto"/>
          <w:sz w:val="32"/>
          <w:szCs w:val="32"/>
          <w:highlight w:val="none"/>
        </w:rPr>
      </w:pPr>
      <w:bookmarkStart w:id="70" w:name="_Toc15377226"/>
      <w:r>
        <w:rPr>
          <w:rFonts w:hint="eastAsia" w:ascii="仿宋_GB2312" w:eastAsia="仿宋_GB2312"/>
          <w:color w:val="auto"/>
          <w:sz w:val="32"/>
          <w:szCs w:val="32"/>
          <w:highlight w:val="none"/>
        </w:rPr>
        <w:t>财政拨款收入：指单位从同级财政部门取得的财政预算资金。</w:t>
      </w:r>
    </w:p>
    <w:p>
      <w:pPr>
        <w:pStyle w:val="26"/>
        <w:keepNext w:val="0"/>
        <w:keepLines w:val="0"/>
        <w:pageBreakBefore w:val="0"/>
        <w:widowControl w:val="0"/>
        <w:numPr>
          <w:ilvl w:val="0"/>
          <w:numId w:val="5"/>
        </w:numPr>
        <w:kinsoku/>
        <w:wordWrap/>
        <w:overflowPunct/>
        <w:topLinePunct w:val="0"/>
        <w:bidi w:val="0"/>
        <w:snapToGrid/>
        <w:spacing w:line="600" w:lineRule="exact"/>
        <w:ind w:left="0" w:leftChars="0" w:firstLine="400" w:firstLineChars="0"/>
        <w:jc w:val="both"/>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其他收入：指单位取得的除上述收入以外的各项收入。主要</w:t>
      </w:r>
      <w:r>
        <w:rPr>
          <w:rFonts w:hint="eastAsia" w:ascii="仿宋_GB2312" w:eastAsia="仿宋_GB2312"/>
          <w:color w:val="auto"/>
          <w:sz w:val="32"/>
          <w:szCs w:val="32"/>
          <w:highlight w:val="none"/>
          <w:lang w:eastAsia="zh-CN"/>
        </w:rPr>
        <w:t>是银行存款利息收入</w:t>
      </w:r>
      <w:r>
        <w:rPr>
          <w:rFonts w:hint="eastAsia" w:ascii="仿宋_GB2312" w:eastAsia="仿宋_GB2312"/>
          <w:color w:val="auto"/>
          <w:sz w:val="32"/>
          <w:szCs w:val="32"/>
          <w:highlight w:val="none"/>
        </w:rPr>
        <w:t>。</w:t>
      </w:r>
      <w:r>
        <w:rPr>
          <w:rFonts w:ascii="仿宋_GB2312" w:eastAsia="仿宋_GB2312"/>
          <w:color w:val="auto"/>
          <w:sz w:val="32"/>
          <w:szCs w:val="32"/>
          <w:highlight w:val="none"/>
        </w:rPr>
        <w:t xml:space="preserve">  </w:t>
      </w:r>
    </w:p>
    <w:p>
      <w:pPr>
        <w:pStyle w:val="26"/>
        <w:keepNext w:val="0"/>
        <w:keepLines w:val="0"/>
        <w:pageBreakBefore w:val="0"/>
        <w:widowControl w:val="0"/>
        <w:numPr>
          <w:ilvl w:val="0"/>
          <w:numId w:val="5"/>
        </w:numPr>
        <w:kinsoku/>
        <w:wordWrap/>
        <w:overflowPunct/>
        <w:topLinePunct w:val="0"/>
        <w:bidi w:val="0"/>
        <w:snapToGrid/>
        <w:spacing w:line="600" w:lineRule="exact"/>
        <w:ind w:left="0" w:leftChars="0" w:firstLine="400" w:firstLineChars="0"/>
        <w:jc w:val="both"/>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26"/>
        <w:keepNext w:val="0"/>
        <w:keepLines w:val="0"/>
        <w:pageBreakBefore w:val="0"/>
        <w:widowControl w:val="0"/>
        <w:numPr>
          <w:ilvl w:val="0"/>
          <w:numId w:val="5"/>
        </w:numPr>
        <w:kinsoku/>
        <w:wordWrap/>
        <w:overflowPunct/>
        <w:topLinePunct w:val="0"/>
        <w:bidi w:val="0"/>
        <w:snapToGrid/>
        <w:spacing w:line="600" w:lineRule="exact"/>
        <w:ind w:left="0" w:leftChars="0" w:firstLine="400" w:firstLineChars="0"/>
        <w:jc w:val="both"/>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结余分配：指事业单位按照会计制度缴纳的所得税，提取的专用结余以及转入非财政拨款结余的金额等。</w:t>
      </w:r>
    </w:p>
    <w:p>
      <w:pPr>
        <w:pStyle w:val="26"/>
        <w:keepNext w:val="0"/>
        <w:keepLines w:val="0"/>
        <w:pageBreakBefore w:val="0"/>
        <w:widowControl w:val="0"/>
        <w:numPr>
          <w:ilvl w:val="0"/>
          <w:numId w:val="5"/>
        </w:numPr>
        <w:kinsoku/>
        <w:wordWrap/>
        <w:overflowPunct/>
        <w:topLinePunct w:val="0"/>
        <w:bidi w:val="0"/>
        <w:snapToGrid/>
        <w:spacing w:line="600" w:lineRule="exact"/>
        <w:ind w:left="0" w:leftChars="0" w:firstLine="400" w:firstLineChars="0"/>
        <w:jc w:val="both"/>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年末结转和结余：指单位按有关规定结转到下年或以后年度继续使用的资金。</w:t>
      </w:r>
    </w:p>
    <w:p>
      <w:pPr>
        <w:keepNext w:val="0"/>
        <w:keepLines w:val="0"/>
        <w:pageBreakBefore w:val="0"/>
        <w:widowControl w:val="0"/>
        <w:numPr>
          <w:ilvl w:val="0"/>
          <w:numId w:val="5"/>
        </w:numPr>
        <w:kinsoku/>
        <w:wordWrap/>
        <w:overflowPunct/>
        <w:topLinePunct w:val="0"/>
        <w:bidi w:val="0"/>
        <w:snapToGrid/>
        <w:spacing w:after="0" w:line="600" w:lineRule="exact"/>
        <w:ind w:left="0" w:leftChars="0" w:firstLine="400" w:firstLineChars="0"/>
        <w:jc w:val="both"/>
        <w:textAlignment w:val="auto"/>
        <w:rPr>
          <w:rFonts w:hint="eastAsia" w:ascii="仿宋" w:eastAsia="仿宋"/>
          <w:color w:val="000000"/>
          <w:kern w:val="2"/>
          <w:sz w:val="32"/>
          <w:szCs w:val="32"/>
          <w:lang w:eastAsia="zh-CN" w:bidi="ar-SA"/>
        </w:rPr>
      </w:pPr>
      <w:r>
        <w:rPr>
          <w:rFonts w:hint="eastAsia" w:ascii="仿宋" w:eastAsia="仿宋"/>
          <w:color w:val="000000"/>
          <w:kern w:val="2"/>
          <w:sz w:val="32"/>
          <w:szCs w:val="32"/>
          <w:lang w:eastAsia="zh-CN" w:bidi="ar-SA"/>
        </w:rPr>
        <w:t>社会保障和就业支出（类）行政事业单位养老支出（款）事业单位离退休（项）：反映事业单位开支的离退休经费。</w:t>
      </w:r>
    </w:p>
    <w:p>
      <w:pPr>
        <w:keepNext w:val="0"/>
        <w:keepLines w:val="0"/>
        <w:pageBreakBefore w:val="0"/>
        <w:widowControl w:val="0"/>
        <w:numPr>
          <w:ilvl w:val="0"/>
          <w:numId w:val="5"/>
        </w:numPr>
        <w:kinsoku/>
        <w:wordWrap/>
        <w:overflowPunct/>
        <w:topLinePunct w:val="0"/>
        <w:bidi w:val="0"/>
        <w:snapToGrid/>
        <w:spacing w:after="0" w:line="600" w:lineRule="exact"/>
        <w:ind w:left="0" w:leftChars="0" w:firstLine="400" w:firstLineChars="0"/>
        <w:jc w:val="both"/>
        <w:textAlignment w:val="auto"/>
        <w:rPr>
          <w:rFonts w:hint="eastAsia" w:ascii="仿宋" w:eastAsia="仿宋"/>
          <w:color w:val="000000"/>
          <w:kern w:val="2"/>
          <w:sz w:val="32"/>
          <w:szCs w:val="32"/>
          <w:lang w:eastAsia="zh-CN" w:bidi="ar-SA"/>
        </w:rPr>
      </w:pPr>
      <w:r>
        <w:rPr>
          <w:rFonts w:hint="eastAsia" w:ascii="仿宋" w:eastAsia="仿宋"/>
          <w:color w:val="000000"/>
          <w:kern w:val="2"/>
          <w:sz w:val="32"/>
          <w:szCs w:val="32"/>
          <w:lang w:eastAsia="zh-CN" w:bidi="ar-SA"/>
        </w:rPr>
        <w:t>社会保障和就业支出（类）行政事业单位养老支出（款）机关事业单位基本养老保险缴费支出（项）：反映财政部门集中安排的行政事业单位基本养老保险缴费经费。</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leftChars="0" w:firstLine="400" w:firstLineChars="0"/>
        <w:jc w:val="both"/>
        <w:textAlignment w:val="auto"/>
        <w:rPr>
          <w:rFonts w:hint="eastAsia" w:eastAsia="仿宋"/>
          <w:lang w:val="en-US" w:eastAsia="zh-CN"/>
        </w:rPr>
      </w:pPr>
      <w:r>
        <w:rPr>
          <w:rFonts w:hint="eastAsia" w:ascii="仿宋" w:eastAsia="仿宋"/>
          <w:color w:val="000000"/>
          <w:kern w:val="2"/>
          <w:sz w:val="32"/>
          <w:szCs w:val="32"/>
          <w:lang w:eastAsia="zh-CN" w:bidi="ar-SA"/>
        </w:rPr>
        <w:t>社会保障和就业支出（类）行政事业单位养老支出（款）行政事业单位职业年金缴费支出（项）：反映机关事业单位实施养老保险制度由单位实际缴纳的职业年金支出。</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leftChars="0" w:firstLine="400" w:firstLineChars="0"/>
        <w:jc w:val="both"/>
        <w:textAlignment w:val="auto"/>
        <w:rPr>
          <w:rFonts w:hint="eastAsia" w:ascii="仿宋" w:eastAsia="仿宋"/>
          <w:color w:val="000000"/>
          <w:kern w:val="2"/>
          <w:sz w:val="32"/>
          <w:szCs w:val="32"/>
          <w:lang w:eastAsia="zh-CN" w:bidi="ar-SA"/>
        </w:rPr>
      </w:pPr>
      <w:r>
        <w:rPr>
          <w:rFonts w:hint="eastAsia" w:ascii="仿宋" w:eastAsia="仿宋"/>
          <w:color w:val="000000"/>
          <w:kern w:val="2"/>
          <w:sz w:val="32"/>
          <w:szCs w:val="32"/>
          <w:lang w:eastAsia="zh-CN" w:bidi="ar-SA"/>
        </w:rPr>
        <w:t>社会保障和就业支出（类）其他社会保障和就业支出（款）其他社会保障和就业支出（项）：反映其他用于社会保障和就业方面的支出。</w:t>
      </w:r>
    </w:p>
    <w:p>
      <w:pPr>
        <w:keepNext w:val="0"/>
        <w:keepLines w:val="0"/>
        <w:pageBreakBefore w:val="0"/>
        <w:widowControl w:val="0"/>
        <w:numPr>
          <w:ilvl w:val="0"/>
          <w:numId w:val="5"/>
        </w:numPr>
        <w:kinsoku/>
        <w:wordWrap/>
        <w:overflowPunct/>
        <w:topLinePunct w:val="0"/>
        <w:bidi w:val="0"/>
        <w:snapToGrid/>
        <w:spacing w:after="0" w:line="600" w:lineRule="exact"/>
        <w:ind w:left="0" w:leftChars="0" w:firstLine="400" w:firstLineChars="0"/>
        <w:jc w:val="both"/>
        <w:textAlignment w:val="auto"/>
        <w:rPr>
          <w:rFonts w:hint="default"/>
          <w:lang w:val="en-US" w:eastAsia="zh-CN"/>
        </w:rPr>
      </w:pPr>
      <w:r>
        <w:rPr>
          <w:rFonts w:hint="eastAsia" w:ascii="仿宋" w:eastAsia="仿宋"/>
          <w:color w:val="000000"/>
          <w:kern w:val="2"/>
          <w:sz w:val="32"/>
          <w:szCs w:val="32"/>
          <w:lang w:eastAsia="zh-CN" w:bidi="ar-SA"/>
        </w:rPr>
        <w:t>卫生健康支出（类）行政事业单位医疗（款）事业单位医疗（项）：</w:t>
      </w:r>
      <w:r>
        <w:rPr>
          <w:rFonts w:hint="eastAsia" w:ascii="仿宋" w:eastAsia="仿宋"/>
          <w:color w:val="000000"/>
          <w:kern w:val="2"/>
          <w:sz w:val="32"/>
          <w:szCs w:val="32"/>
          <w:highlight w:val="none"/>
          <w:lang w:eastAsia="zh-CN" w:bidi="ar-SA"/>
        </w:rPr>
        <w:t>反映财政部门安排的事业单位基本医疗保险缴费经费</w:t>
      </w:r>
      <w:r>
        <w:rPr>
          <w:rFonts w:hint="eastAsia" w:ascii="仿宋" w:eastAsia="仿宋"/>
          <w:color w:val="000000"/>
          <w:kern w:val="2"/>
          <w:sz w:val="32"/>
          <w:szCs w:val="32"/>
          <w:lang w:eastAsia="zh-CN" w:bidi="ar-SA"/>
        </w:rPr>
        <w:t>。</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leftChars="0" w:firstLine="400" w:firstLineChars="0"/>
        <w:jc w:val="both"/>
        <w:textAlignment w:val="auto"/>
        <w:rPr>
          <w:rFonts w:hint="eastAsia" w:ascii="仿宋_GB2312" w:eastAsia="仿宋_GB2312"/>
          <w:color w:val="auto"/>
          <w:sz w:val="32"/>
          <w:szCs w:val="32"/>
          <w:highlight w:val="none"/>
        </w:rPr>
      </w:pPr>
      <w:r>
        <w:rPr>
          <w:rFonts w:hint="eastAsia" w:ascii="仿宋" w:eastAsia="仿宋"/>
          <w:color w:val="000000"/>
          <w:kern w:val="2"/>
          <w:sz w:val="32"/>
          <w:szCs w:val="32"/>
          <w:lang w:eastAsia="zh-CN" w:bidi="ar-SA"/>
        </w:rPr>
        <w:t>交通运输支出（类）公路水路运输（款）航道维护（项）：反映内河航道整治、维护方面的支出</w:t>
      </w:r>
      <w:r>
        <w:rPr>
          <w:rFonts w:hint="eastAsia" w:ascii="仿宋_GB2312" w:eastAsia="仿宋_GB2312"/>
          <w:color w:val="auto"/>
          <w:sz w:val="32"/>
          <w:szCs w:val="32"/>
          <w:highlight w:val="none"/>
        </w:rPr>
        <w:t>。</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leftChars="0" w:firstLine="400" w:firstLineChars="0"/>
        <w:jc w:val="both"/>
        <w:textAlignment w:val="auto"/>
      </w:pPr>
      <w:r>
        <w:rPr>
          <w:rFonts w:hint="eastAsia" w:ascii="仿宋" w:eastAsia="仿宋"/>
          <w:color w:val="000000"/>
          <w:kern w:val="2"/>
          <w:sz w:val="32"/>
          <w:szCs w:val="32"/>
          <w:lang w:eastAsia="zh-CN" w:bidi="ar-SA"/>
        </w:rPr>
        <w:t>交通运输支出（类）公路水路运输（款）其他公路水路运输支出（项）：反映其他用于公路水路运输方面的支出。</w:t>
      </w:r>
    </w:p>
    <w:p>
      <w:pPr>
        <w:keepNext w:val="0"/>
        <w:keepLines w:val="0"/>
        <w:pageBreakBefore w:val="0"/>
        <w:widowControl w:val="0"/>
        <w:numPr>
          <w:ilvl w:val="0"/>
          <w:numId w:val="5"/>
        </w:numPr>
        <w:kinsoku/>
        <w:wordWrap/>
        <w:overflowPunct/>
        <w:topLinePunct w:val="0"/>
        <w:bidi w:val="0"/>
        <w:snapToGrid/>
        <w:spacing w:after="0" w:line="600" w:lineRule="exact"/>
        <w:ind w:left="0" w:leftChars="0" w:firstLine="400" w:firstLineChars="0"/>
        <w:jc w:val="both"/>
        <w:textAlignment w:val="auto"/>
        <w:rPr>
          <w:rFonts w:ascii="仿宋_GB2312" w:eastAsia="仿宋_GB2312"/>
          <w:color w:val="auto"/>
          <w:sz w:val="32"/>
          <w:szCs w:val="32"/>
          <w:highlight w:val="none"/>
        </w:rPr>
      </w:pPr>
      <w:r>
        <w:rPr>
          <w:rFonts w:hint="eastAsia" w:ascii="仿宋" w:eastAsia="仿宋"/>
          <w:color w:val="000000"/>
          <w:kern w:val="2"/>
          <w:sz w:val="32"/>
          <w:szCs w:val="32"/>
          <w:lang w:eastAsia="zh-CN" w:bidi="ar-SA"/>
        </w:rPr>
        <w:t>住房保障支出（类）住房改革支出（款）住房公积金（项）：反映行政事业单位按人力资源和社会保障部、财政部规定的基本工资和津贴补贴以及规定比例为职工缴纳的住房公积金。</w:t>
      </w:r>
    </w:p>
    <w:p>
      <w:pPr>
        <w:keepNext w:val="0"/>
        <w:keepLines w:val="0"/>
        <w:pageBreakBefore w:val="0"/>
        <w:widowControl w:val="0"/>
        <w:numPr>
          <w:ilvl w:val="0"/>
          <w:numId w:val="5"/>
        </w:numPr>
        <w:kinsoku/>
        <w:wordWrap/>
        <w:overflowPunct/>
        <w:topLinePunct w:val="0"/>
        <w:bidi w:val="0"/>
        <w:snapToGrid/>
        <w:spacing w:line="600" w:lineRule="exact"/>
        <w:ind w:left="0" w:leftChars="0" w:firstLine="400" w:firstLineChars="0"/>
        <w:jc w:val="both"/>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基本支出：指为保障机构正常运转、完成日常工作任务而发生的人员支出和公用支出。</w:t>
      </w:r>
    </w:p>
    <w:p>
      <w:pPr>
        <w:keepNext w:val="0"/>
        <w:keepLines w:val="0"/>
        <w:pageBreakBefore w:val="0"/>
        <w:widowControl w:val="0"/>
        <w:numPr>
          <w:ilvl w:val="0"/>
          <w:numId w:val="5"/>
        </w:numPr>
        <w:kinsoku/>
        <w:wordWrap/>
        <w:overflowPunct/>
        <w:topLinePunct w:val="0"/>
        <w:bidi w:val="0"/>
        <w:snapToGrid/>
        <w:spacing w:line="600" w:lineRule="exact"/>
        <w:ind w:left="0" w:leftChars="0" w:firstLine="400" w:firstLineChars="0"/>
        <w:jc w:val="both"/>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pStyle w:val="26"/>
        <w:keepNext w:val="0"/>
        <w:keepLines w:val="0"/>
        <w:pageBreakBefore w:val="0"/>
        <w:widowControl w:val="0"/>
        <w:numPr>
          <w:ilvl w:val="0"/>
          <w:numId w:val="5"/>
        </w:numPr>
        <w:kinsoku/>
        <w:wordWrap/>
        <w:overflowPunct/>
        <w:topLinePunct w:val="0"/>
        <w:bidi w:val="0"/>
        <w:snapToGrid/>
        <w:spacing w:line="600" w:lineRule="exact"/>
        <w:ind w:left="0" w:leftChars="0" w:firstLine="400" w:firstLineChars="0"/>
        <w:jc w:val="both"/>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leftChars="0" w:firstLine="400" w:firstLineChars="0"/>
        <w:jc w:val="both"/>
        <w:textAlignment w:val="auto"/>
        <w:outlineLvl w:val="2"/>
        <w:rPr>
          <w:rStyle w:val="17"/>
          <w:rFonts w:ascii="黑体" w:hAnsi="黑体" w:eastAsia="黑体"/>
          <w:b w:val="0"/>
          <w:color w:val="auto"/>
          <w:highlight w:val="none"/>
        </w:rPr>
      </w:pPr>
      <w:r>
        <w:rPr>
          <w:rFonts w:hint="eastAsia" w:ascii="仿宋_GB2312" w:eastAsia="仿宋_GB2312"/>
          <w:color w:val="auto"/>
          <w:sz w:val="32"/>
          <w:szCs w:val="32"/>
          <w:highlight w:val="none"/>
        </w:rPr>
        <w:t>机关运行经费：为保障行政单位（含参照公务员法管理的事业单位）运行用于购买货物和服务的各项资金</w:t>
      </w:r>
      <w:r>
        <w:rPr>
          <w:rFonts w:hint="eastAsia" w:ascii="仿宋_GB2312" w:eastAsia="仿宋_GB2312"/>
          <w:color w:val="auto"/>
          <w:sz w:val="32"/>
          <w:szCs w:val="32"/>
          <w:highlight w:val="none"/>
          <w:lang w:eastAsia="zh-CN"/>
        </w:rPr>
        <w:t>，</w:t>
      </w:r>
      <w:r>
        <w:rPr>
          <w:rFonts w:hint="eastAsia" w:ascii="仿宋_GB2312" w:eastAsia="仿宋_GB2312"/>
          <w:sz w:val="32"/>
          <w:szCs w:val="32"/>
          <w:lang w:eastAsia="zh-CN"/>
        </w:rPr>
        <w:t>因本单位属于事业单位，无机关运行经费</w:t>
      </w:r>
      <w:r>
        <w:rPr>
          <w:rFonts w:hint="eastAsia" w:ascii="仿宋_GB2312" w:eastAsia="仿宋_GB2312"/>
          <w:sz w:val="32"/>
          <w:szCs w:val="32"/>
        </w:rPr>
        <w:t>。</w:t>
      </w:r>
      <w:r>
        <w:rPr>
          <w:rFonts w:ascii="宋体"/>
          <w:b/>
          <w:color w:val="auto"/>
          <w:sz w:val="44"/>
          <w:szCs w:val="44"/>
          <w:highlight w:val="none"/>
        </w:rPr>
        <w:br w:type="page"/>
      </w:r>
      <w:bookmarkStart w:id="71" w:name="_Toc15396614"/>
      <w:r>
        <w:rPr>
          <w:rFonts w:hint="eastAsia" w:ascii="宋体"/>
          <w:b/>
          <w:color w:val="auto"/>
          <w:sz w:val="44"/>
          <w:szCs w:val="44"/>
          <w:highlight w:val="none"/>
          <w:lang w:val="en-US" w:eastAsia="zh-CN"/>
        </w:rPr>
        <w:t xml:space="preserve">           </w:t>
      </w:r>
      <w:r>
        <w:rPr>
          <w:rFonts w:hint="eastAsia" w:ascii="黑体" w:hAnsi="黑体" w:eastAsia="黑体"/>
          <w:color w:val="auto"/>
          <w:sz w:val="44"/>
          <w:szCs w:val="44"/>
          <w:highlight w:val="none"/>
        </w:rPr>
        <w:t>第</w:t>
      </w:r>
      <w:r>
        <w:rPr>
          <w:rStyle w:val="17"/>
          <w:rFonts w:hint="eastAsia" w:ascii="黑体" w:hAnsi="黑体" w:eastAsia="黑体"/>
          <w:b w:val="0"/>
          <w:color w:val="auto"/>
          <w:highlight w:val="none"/>
        </w:rPr>
        <w:t>四部分 附件</w:t>
      </w:r>
      <w:bookmarkEnd w:id="71"/>
    </w:p>
    <w:p>
      <w:pPr>
        <w:keepNext w:val="0"/>
        <w:keepLines w:val="0"/>
        <w:pageBreakBefore w:val="0"/>
        <w:kinsoku/>
        <w:wordWrap/>
        <w:overflowPunct/>
        <w:topLinePunct w:val="0"/>
        <w:autoSpaceDE/>
        <w:autoSpaceDN/>
        <w:bidi w:val="0"/>
        <w:spacing w:line="572" w:lineRule="exact"/>
        <w:jc w:val="left"/>
        <w:textAlignment w:val="auto"/>
        <w:outlineLvl w:val="9"/>
        <w:rPr>
          <w:rFonts w:ascii="仿宋_GB2312" w:hAnsi="仿宋_GB2312" w:eastAsia="仿宋_GB2312" w:cs="仿宋_GB2312"/>
          <w:color w:val="auto"/>
          <w:sz w:val="32"/>
          <w:szCs w:val="32"/>
          <w:highlight w:val="none"/>
        </w:rPr>
      </w:pPr>
    </w:p>
    <w:p>
      <w:pPr>
        <w:spacing w:line="600" w:lineRule="exact"/>
        <w:jc w:val="center"/>
        <w:outlineLvl w:val="1"/>
        <w:rPr>
          <w:rFonts w:hint="eastAsia" w:ascii="宋体" w:hAnsi="宋体" w:eastAsia="宋体" w:cs="宋体"/>
          <w:color w:val="auto"/>
          <w:kern w:val="0"/>
          <w:sz w:val="32"/>
          <w:szCs w:val="32"/>
          <w:highlight w:val="none"/>
          <w:lang w:val="en-US" w:eastAsia="zh-CN" w:bidi="ar-SA"/>
        </w:rPr>
      </w:pPr>
      <w:bookmarkStart w:id="72" w:name="_Toc19814"/>
      <w:bookmarkStart w:id="73" w:name="_Toc15396618"/>
      <w:r>
        <w:rPr>
          <w:rFonts w:hint="eastAsia" w:ascii="宋体" w:hAnsi="宋体" w:eastAsia="宋体" w:cs="宋体"/>
          <w:color w:val="auto"/>
          <w:kern w:val="0"/>
          <w:sz w:val="32"/>
          <w:szCs w:val="32"/>
          <w:highlight w:val="none"/>
          <w:lang w:val="en-US" w:eastAsia="zh-CN" w:bidi="ar-SA"/>
        </w:rPr>
        <w:t>部门预算项目支出绩效自评表（2022年度）</w:t>
      </w:r>
      <w:bookmarkEnd w:id="72"/>
    </w:p>
    <w:tbl>
      <w:tblPr>
        <w:tblStyle w:val="13"/>
        <w:tblW w:w="502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760"/>
        <w:gridCol w:w="756"/>
        <w:gridCol w:w="1003"/>
        <w:gridCol w:w="470"/>
        <w:gridCol w:w="583"/>
        <w:gridCol w:w="470"/>
        <w:gridCol w:w="1208"/>
        <w:gridCol w:w="576"/>
        <w:gridCol w:w="576"/>
        <w:gridCol w:w="15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21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51000021R000000019951-工资性支出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7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91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广元市港航发展中心部门</w:t>
            </w:r>
          </w:p>
        </w:tc>
        <w:tc>
          <w:tcPr>
            <w:tcW w:w="704"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6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广元市航务管理局广元航道段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191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30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1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230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w:t>
            </w:r>
            <w:r>
              <w:rPr>
                <w:rFonts w:hint="eastAsia" w:ascii="宋体" w:hAnsi="宋体" w:cs="宋体"/>
                <w:i w:val="0"/>
                <w:iCs w:val="0"/>
                <w:color w:val="000000"/>
                <w:kern w:val="0"/>
                <w:sz w:val="18"/>
                <w:szCs w:val="18"/>
                <w:u w:val="none"/>
                <w:lang w:val="en-US" w:eastAsia="zh-CN" w:bidi="ar"/>
              </w:rPr>
              <w:t>无</w:t>
            </w:r>
            <w:r>
              <w:rPr>
                <w:rFonts w:ascii="宋体" w:hAnsi="宋体" w:eastAsia="宋体" w:cs="宋体"/>
                <w:i w:val="0"/>
                <w:iCs w:val="0"/>
                <w:color w:val="000000"/>
                <w:kern w:val="0"/>
                <w:sz w:val="18"/>
                <w:szCs w:val="18"/>
                <w:u w:val="none"/>
                <w:lang w:val="en-US" w:eastAsia="zh-CN" w:bidi="ar"/>
              </w:rPr>
              <w:t>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21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做到严格执行相关政策，保障工资及时足额发放，各类保险、住房公积金及时足额缴纳。预算编制科学合理，无结余资金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8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246.44</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394.80</w:t>
            </w:r>
          </w:p>
        </w:tc>
        <w:tc>
          <w:tcPr>
            <w:tcW w:w="8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394.80</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9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246.44</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394.80</w:t>
            </w:r>
          </w:p>
        </w:tc>
        <w:tc>
          <w:tcPr>
            <w:tcW w:w="8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394.80</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3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3399"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合计</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iCs/>
                <w:color w:val="000000"/>
                <w:kern w:val="0"/>
                <w:sz w:val="16"/>
                <w:szCs w:val="16"/>
                <w:u w:val="none"/>
                <w:lang w:val="en-US" w:eastAsia="zh-CN" w:bidi="ar"/>
              </w:rPr>
            </w:pPr>
            <w:r>
              <w:rPr>
                <w:rFonts w:hint="eastAsia" w:ascii="微软雅黑" w:hAnsi="微软雅黑" w:eastAsia="微软雅黑" w:cs="微软雅黑"/>
                <w:i/>
                <w:iCs/>
                <w:color w:val="000000"/>
                <w:kern w:val="0"/>
                <w:sz w:val="16"/>
                <w:szCs w:val="16"/>
                <w:u w:val="none"/>
                <w:lang w:val="en-US" w:eastAsia="zh-CN" w:bidi="ar"/>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iCs/>
                <w:color w:val="000000"/>
                <w:kern w:val="0"/>
                <w:sz w:val="16"/>
                <w:szCs w:val="16"/>
                <w:u w:val="none"/>
                <w:lang w:val="en-US" w:eastAsia="zh-CN" w:bidi="ar"/>
              </w:rPr>
            </w:pPr>
            <w:r>
              <w:rPr>
                <w:rFonts w:hint="eastAsia" w:ascii="微软雅黑" w:hAnsi="微软雅黑" w:eastAsia="微软雅黑" w:cs="微软雅黑"/>
                <w:i/>
                <w:iCs/>
                <w:color w:val="000000"/>
                <w:kern w:val="0"/>
                <w:sz w:val="16"/>
                <w:szCs w:val="16"/>
                <w:u w:val="none"/>
                <w:lang w:val="en-US" w:eastAsia="zh-CN" w:bidi="ar"/>
              </w:rPr>
              <w:t>100</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Theme="minorEastAsia" w:hAnsiTheme="minorEastAsia" w:eastAsiaTheme="minorEastAsia" w:cstheme="minorEastAsia"/>
                <w:i/>
                <w:color w:val="000000"/>
                <w:kern w:val="0"/>
                <w:sz w:val="18"/>
                <w:szCs w:val="18"/>
                <w:highlight w:val="none"/>
                <w:u w:val="none"/>
                <w:lang w:val="en-US" w:eastAsia="zh-CN" w:bidi="ar"/>
              </w:rPr>
              <w:t>该项目规划科学，决策依据充分，程序合法合规、资金到位及时拨付规范。项目支出绩效自评得分100分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8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项目负责人：王洪</w:t>
            </w:r>
          </w:p>
        </w:tc>
        <w:tc>
          <w:tcPr>
            <w:tcW w:w="291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财务负责人：余天鹏</w:t>
            </w:r>
          </w:p>
        </w:tc>
      </w:tr>
    </w:tbl>
    <w:p>
      <w:pPr>
        <w:pStyle w:val="2"/>
        <w:ind w:left="0" w:leftChars="0" w:firstLine="0" w:firstLineChars="0"/>
        <w:rPr>
          <w:rFonts w:hint="eastAsia"/>
          <w:lang w:val="en-US" w:eastAsia="zh-CN"/>
        </w:rPr>
      </w:pPr>
      <w:r>
        <w:rPr>
          <w:rFonts w:hint="eastAsia"/>
          <w:lang w:val="en-US" w:eastAsia="zh-CN"/>
        </w:rPr>
        <w:t xml:space="preserve">   </w:t>
      </w: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033"/>
        <w:gridCol w:w="863"/>
        <w:gridCol w:w="1158"/>
        <w:gridCol w:w="396"/>
        <w:gridCol w:w="782"/>
        <w:gridCol w:w="396"/>
        <w:gridCol w:w="847"/>
        <w:gridCol w:w="577"/>
        <w:gridCol w:w="577"/>
        <w:gridCol w:w="13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4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51080022R000000267546-工资性支出（事业）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9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17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广元市港航发展中心部门</w:t>
            </w:r>
          </w:p>
        </w:tc>
        <w:tc>
          <w:tcPr>
            <w:tcW w:w="496"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3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广元市航务管理局广元航道段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17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86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17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186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w:t>
            </w:r>
            <w:r>
              <w:rPr>
                <w:rFonts w:hint="eastAsia" w:ascii="宋体" w:hAnsi="宋体" w:cs="宋体"/>
                <w:i w:val="0"/>
                <w:iCs w:val="0"/>
                <w:color w:val="000000"/>
                <w:kern w:val="0"/>
                <w:sz w:val="18"/>
                <w:szCs w:val="18"/>
                <w:u w:val="none"/>
                <w:lang w:val="en-US" w:eastAsia="zh-CN" w:bidi="ar"/>
              </w:rPr>
              <w:t>无</w:t>
            </w:r>
            <w:r>
              <w:rPr>
                <w:rFonts w:ascii="宋体" w:hAnsi="宋体" w:eastAsia="宋体" w:cs="宋体"/>
                <w:i w:val="0"/>
                <w:iCs w:val="0"/>
                <w:color w:val="000000"/>
                <w:kern w:val="0"/>
                <w:sz w:val="18"/>
                <w:szCs w:val="18"/>
                <w:u w:val="none"/>
                <w:lang w:val="en-US" w:eastAsia="zh-CN" w:bidi="ar"/>
              </w:rPr>
              <w:t>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4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w:t>
            </w:r>
            <w:r>
              <w:rPr>
                <w:rFonts w:hint="eastAsia" w:ascii="宋体" w:hAnsi="宋体" w:cs="宋体"/>
                <w:i w:val="0"/>
                <w:iCs w:val="0"/>
                <w:color w:val="000000"/>
                <w:kern w:val="0"/>
                <w:sz w:val="18"/>
                <w:szCs w:val="18"/>
                <w:u w:val="none"/>
                <w:lang w:val="en-US" w:eastAsia="zh-CN" w:bidi="ar"/>
              </w:rPr>
              <w:t>无</w:t>
            </w:r>
            <w:r>
              <w:rPr>
                <w:rFonts w:ascii="宋体" w:hAnsi="宋体" w:eastAsia="宋体" w:cs="宋体"/>
                <w:i w:val="0"/>
                <w:iCs w:val="0"/>
                <w:color w:val="000000"/>
                <w:kern w:val="0"/>
                <w:sz w:val="18"/>
                <w:szCs w:val="18"/>
                <w:u w:val="none"/>
                <w:lang w:val="en-US" w:eastAsia="zh-CN" w:bidi="ar"/>
              </w:rPr>
              <w:t>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335.75</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361.44</w:t>
            </w:r>
          </w:p>
        </w:tc>
        <w:tc>
          <w:tcPr>
            <w:tcW w:w="9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361.44</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8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335.75</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361.44</w:t>
            </w:r>
          </w:p>
        </w:tc>
        <w:tc>
          <w:tcPr>
            <w:tcW w:w="9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361.44</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2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color w:val="000000"/>
                <w:kern w:val="0"/>
                <w:sz w:val="16"/>
                <w:szCs w:val="16"/>
                <w:highlight w:val="none"/>
                <w:u w:val="none"/>
                <w:lang w:val="en-US" w:eastAsia="zh-CN" w:bidi="ar"/>
              </w:rPr>
              <w:t>该项目规划科学，决策依据充分，程序合法合规、资金到位及时拨付规范。项目支出绩效自评得分100分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项目负责人：王洪</w:t>
            </w:r>
          </w:p>
        </w:tc>
        <w:tc>
          <w:tcPr>
            <w:tcW w:w="258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财务负责人：余天鹏</w:t>
            </w:r>
          </w:p>
        </w:tc>
      </w:tr>
    </w:tbl>
    <w:p>
      <w:pPr>
        <w:rPr>
          <w:rFonts w:hint="eastAsia"/>
          <w:lang w:val="en-US" w:eastAsia="zh-CN"/>
        </w:rPr>
      </w:pP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015"/>
        <w:gridCol w:w="834"/>
        <w:gridCol w:w="1137"/>
        <w:gridCol w:w="423"/>
        <w:gridCol w:w="781"/>
        <w:gridCol w:w="416"/>
        <w:gridCol w:w="850"/>
        <w:gridCol w:w="617"/>
        <w:gridCol w:w="617"/>
        <w:gridCol w:w="12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6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51080022R000006850233-财政全额供养“退休中人”一次性补贴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9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1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广元市港航发展中心部门</w:t>
            </w:r>
          </w:p>
        </w:tc>
        <w:tc>
          <w:tcPr>
            <w:tcW w:w="498"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4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广元市航务管理局广元航道段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1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95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1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highlight w:val="none"/>
                <w:u w:val="none"/>
                <w:lang w:val="en-US" w:eastAsia="zh-CN" w:bidi="ar"/>
              </w:rPr>
              <w:t>按要求及时足额发放</w:t>
            </w:r>
            <w:r>
              <w:rPr>
                <w:rFonts w:ascii="宋体" w:hAnsi="宋体" w:eastAsia="宋体" w:cs="宋体"/>
                <w:i w:val="0"/>
                <w:iCs w:val="0"/>
                <w:color w:val="000000"/>
                <w:kern w:val="0"/>
                <w:sz w:val="18"/>
                <w:szCs w:val="18"/>
                <w:u w:val="none"/>
                <w:lang w:val="en-US" w:eastAsia="zh-CN" w:bidi="ar"/>
              </w:rPr>
              <w:t>财政全额供养“退休中人”一次性补贴</w:t>
            </w:r>
          </w:p>
        </w:tc>
        <w:tc>
          <w:tcPr>
            <w:tcW w:w="195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宋体" w:hAnsi="宋体" w:eastAsia="宋体" w:cs="宋体"/>
                <w:i w:val="0"/>
                <w:color w:val="000000"/>
                <w:kern w:val="0"/>
                <w:sz w:val="18"/>
                <w:szCs w:val="18"/>
                <w:highlight w:val="none"/>
                <w:u w:val="none"/>
                <w:lang w:val="en-US" w:eastAsia="zh-CN" w:bidi="ar"/>
              </w:rPr>
              <w:t>按要求及时足额发放</w:t>
            </w:r>
            <w:r>
              <w:rPr>
                <w:rFonts w:ascii="宋体" w:hAnsi="宋体" w:eastAsia="宋体" w:cs="宋体"/>
                <w:i w:val="0"/>
                <w:iCs w:val="0"/>
                <w:color w:val="000000"/>
                <w:kern w:val="0"/>
                <w:sz w:val="18"/>
                <w:szCs w:val="18"/>
                <w:u w:val="none"/>
                <w:lang w:val="en-US" w:eastAsia="zh-CN" w:bidi="ar"/>
              </w:rPr>
              <w:t>财政全额供养“退休中人”一次性补贴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6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highlight w:val="none"/>
                <w:u w:val="none"/>
                <w:lang w:val="en-US" w:eastAsia="zh-CN" w:bidi="ar"/>
              </w:rPr>
              <w:t>按要求及时足额发放</w:t>
            </w:r>
            <w:r>
              <w:rPr>
                <w:rFonts w:ascii="宋体" w:hAnsi="宋体" w:eastAsia="宋体" w:cs="宋体"/>
                <w:i w:val="0"/>
                <w:iCs w:val="0"/>
                <w:color w:val="000000"/>
                <w:kern w:val="0"/>
                <w:sz w:val="18"/>
                <w:szCs w:val="18"/>
                <w:u w:val="none"/>
                <w:lang w:val="en-US" w:eastAsia="zh-CN" w:bidi="ar"/>
              </w:rPr>
              <w:t>财政全额供养“退休中人”一次性补贴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4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3.63</w:t>
            </w:r>
          </w:p>
        </w:tc>
        <w:tc>
          <w:tcPr>
            <w:tcW w:w="94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7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3.63</w:t>
            </w:r>
          </w:p>
        </w:tc>
        <w:tc>
          <w:tcPr>
            <w:tcW w:w="94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4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4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4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37"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337"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5"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产出指标</w:t>
            </w:r>
          </w:p>
        </w:tc>
        <w:tc>
          <w:tcPr>
            <w:tcW w:w="490"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数量指标</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足额保障率</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100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100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22.5</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22.5</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337"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5"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科目调整次数</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10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次</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宋体" w:hAnsi="宋体" w:eastAsia="宋体" w:cs="宋体"/>
                <w:i/>
                <w:color w:val="000000"/>
                <w:kern w:val="2"/>
                <w:sz w:val="18"/>
                <w:szCs w:val="18"/>
                <w:highlight w:val="none"/>
                <w:u w:val="none"/>
                <w:lang w:val="en-US" w:eastAsia="zh-CN" w:bidi="ar-SA"/>
              </w:rPr>
            </w:pPr>
            <w:r>
              <w:rPr>
                <w:rFonts w:hint="eastAsia" w:ascii="宋体" w:hAnsi="宋体" w:eastAsia="宋体" w:cs="宋体"/>
                <w:i/>
                <w:color w:val="000000"/>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22.5</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22.5</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337"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5"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时效指标</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按时发放率</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100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100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22.5</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22.5</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337"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效益指标</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经济效益指标</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结余率（计算方法为：结余数/预算数）</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5</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宋体" w:hAnsi="宋体" w:eastAsia="宋体" w:cs="宋体"/>
                <w:i/>
                <w:color w:val="000000"/>
                <w:kern w:val="2"/>
                <w:sz w:val="18"/>
                <w:szCs w:val="18"/>
                <w:highlight w:val="none"/>
                <w:u w:val="none"/>
                <w:lang w:val="en-US" w:eastAsia="zh-CN" w:bidi="ar-SA"/>
              </w:rPr>
            </w:pPr>
            <w:r>
              <w:rPr>
                <w:rFonts w:hint="eastAsia" w:ascii="宋体" w:hAnsi="宋体" w:eastAsia="宋体" w:cs="宋体"/>
                <w:i/>
                <w:color w:val="000000"/>
                <w:kern w:val="0"/>
                <w:sz w:val="18"/>
                <w:szCs w:val="18"/>
                <w:highlight w:val="none"/>
                <w:u w:val="none"/>
                <w:lang w:val="en-US" w:eastAsia="zh-CN" w:bidi="ar"/>
              </w:rPr>
              <w:t>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22.5</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22.5</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39"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val="0"/>
                <w:color w:val="000000"/>
                <w:kern w:val="0"/>
                <w:sz w:val="16"/>
                <w:szCs w:val="16"/>
                <w:highlight w:val="none"/>
                <w:u w:val="none"/>
                <w:lang w:val="en-US" w:eastAsia="zh-CN" w:bidi="ar"/>
              </w:rPr>
              <w:t>该项目规划科学，决策依据充分，程序合法合规、资金到位及时拨付规范。项目支出绩效自评得分100分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val="0"/>
                <w:color w:val="000000"/>
                <w:kern w:val="0"/>
                <w:sz w:val="16"/>
                <w:szCs w:val="16"/>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3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项目负责人：王洪</w:t>
            </w:r>
          </w:p>
        </w:tc>
        <w:tc>
          <w:tcPr>
            <w:tcW w:w="266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财务负责人：余天鹏</w:t>
            </w:r>
          </w:p>
        </w:tc>
      </w:tr>
    </w:tbl>
    <w:p>
      <w:pPr>
        <w:pStyle w:val="2"/>
        <w:ind w:left="0" w:leftChars="0" w:firstLine="0" w:firstLineChars="0"/>
        <w:rPr>
          <w:rFonts w:hint="eastAsia"/>
          <w:lang w:val="en-US" w:eastAsia="zh-CN"/>
        </w:rPr>
      </w:pPr>
    </w:p>
    <w:p>
      <w:pPr>
        <w:rPr>
          <w:rFonts w:hint="eastAsia"/>
          <w:lang w:val="en-US" w:eastAsia="zh-CN"/>
        </w:rPr>
      </w:pP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033"/>
        <w:gridCol w:w="863"/>
        <w:gridCol w:w="1158"/>
        <w:gridCol w:w="396"/>
        <w:gridCol w:w="782"/>
        <w:gridCol w:w="396"/>
        <w:gridCol w:w="847"/>
        <w:gridCol w:w="577"/>
        <w:gridCol w:w="577"/>
        <w:gridCol w:w="13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4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51000021R000000019956-离退休费支出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9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17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广元市港航发展中心部门</w:t>
            </w:r>
          </w:p>
        </w:tc>
        <w:tc>
          <w:tcPr>
            <w:tcW w:w="496"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3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广元市航务管理局广元航道段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17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86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17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186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w:t>
            </w:r>
            <w:r>
              <w:rPr>
                <w:rFonts w:hint="eastAsia" w:ascii="宋体" w:hAnsi="宋体" w:cs="宋体"/>
                <w:i w:val="0"/>
                <w:iCs w:val="0"/>
                <w:color w:val="000000"/>
                <w:kern w:val="0"/>
                <w:sz w:val="18"/>
                <w:szCs w:val="18"/>
                <w:u w:val="none"/>
                <w:lang w:val="en-US" w:eastAsia="zh-CN" w:bidi="ar"/>
              </w:rPr>
              <w:t>无</w:t>
            </w:r>
            <w:r>
              <w:rPr>
                <w:rFonts w:ascii="宋体" w:hAnsi="宋体" w:eastAsia="宋体" w:cs="宋体"/>
                <w:i w:val="0"/>
                <w:iCs w:val="0"/>
                <w:color w:val="000000"/>
                <w:kern w:val="0"/>
                <w:sz w:val="18"/>
                <w:szCs w:val="18"/>
                <w:u w:val="none"/>
                <w:lang w:val="en-US" w:eastAsia="zh-CN" w:bidi="ar"/>
              </w:rPr>
              <w:t>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4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w:t>
            </w:r>
            <w:r>
              <w:rPr>
                <w:rFonts w:hint="eastAsia" w:ascii="宋体" w:hAnsi="宋体" w:cs="宋体"/>
                <w:i w:val="0"/>
                <w:iCs w:val="0"/>
                <w:color w:val="000000"/>
                <w:kern w:val="0"/>
                <w:sz w:val="18"/>
                <w:szCs w:val="18"/>
                <w:u w:val="none"/>
                <w:lang w:val="en-US" w:eastAsia="zh-CN" w:bidi="ar"/>
              </w:rPr>
              <w:t>无</w:t>
            </w:r>
            <w:r>
              <w:rPr>
                <w:rFonts w:ascii="宋体" w:hAnsi="宋体" w:eastAsia="宋体" w:cs="宋体"/>
                <w:i w:val="0"/>
                <w:iCs w:val="0"/>
                <w:color w:val="000000"/>
                <w:kern w:val="0"/>
                <w:sz w:val="18"/>
                <w:szCs w:val="18"/>
                <w:u w:val="none"/>
                <w:lang w:val="en-US" w:eastAsia="zh-CN" w:bidi="ar"/>
              </w:rPr>
              <w:t>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46.20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46.20</w:t>
            </w:r>
          </w:p>
        </w:tc>
        <w:tc>
          <w:tcPr>
            <w:tcW w:w="9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46.20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8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46.20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46.20</w:t>
            </w:r>
          </w:p>
        </w:tc>
        <w:tc>
          <w:tcPr>
            <w:tcW w:w="9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46.20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2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color w:val="000000"/>
                <w:kern w:val="0"/>
                <w:sz w:val="16"/>
                <w:szCs w:val="16"/>
                <w:highlight w:val="none"/>
                <w:u w:val="none"/>
                <w:lang w:val="en-US" w:eastAsia="zh-CN" w:bidi="ar"/>
              </w:rPr>
              <w:t>该项目规划科学，决策依据充分，程序合法合规、资金到位及时拨付规范。项目支出绩效自评得分100分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项目负责人：王洪</w:t>
            </w:r>
          </w:p>
        </w:tc>
        <w:tc>
          <w:tcPr>
            <w:tcW w:w="258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财务负责人：余天鹏</w:t>
            </w:r>
          </w:p>
        </w:tc>
      </w:tr>
    </w:tbl>
    <w:p>
      <w:pPr>
        <w:rPr>
          <w:rFonts w:hint="eastAsia"/>
          <w:lang w:val="en-US" w:eastAsia="zh-CN"/>
        </w:rPr>
      </w:pP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033"/>
        <w:gridCol w:w="863"/>
        <w:gridCol w:w="1158"/>
        <w:gridCol w:w="396"/>
        <w:gridCol w:w="782"/>
        <w:gridCol w:w="396"/>
        <w:gridCol w:w="847"/>
        <w:gridCol w:w="577"/>
        <w:gridCol w:w="577"/>
        <w:gridCol w:w="13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4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51000021R000000019958-其他支出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9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17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广元市港航发展中心部门</w:t>
            </w:r>
          </w:p>
        </w:tc>
        <w:tc>
          <w:tcPr>
            <w:tcW w:w="496"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3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广元市航务管理局广元航道段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17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86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17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186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w:t>
            </w:r>
            <w:r>
              <w:rPr>
                <w:rFonts w:hint="eastAsia" w:ascii="宋体" w:hAnsi="宋体" w:cs="宋体"/>
                <w:i w:val="0"/>
                <w:iCs w:val="0"/>
                <w:color w:val="000000"/>
                <w:kern w:val="0"/>
                <w:sz w:val="18"/>
                <w:szCs w:val="18"/>
                <w:u w:val="none"/>
                <w:lang w:val="en-US" w:eastAsia="zh-CN" w:bidi="ar"/>
              </w:rPr>
              <w:t>，无</w:t>
            </w:r>
            <w:r>
              <w:rPr>
                <w:rFonts w:ascii="宋体" w:hAnsi="宋体" w:eastAsia="宋体" w:cs="宋体"/>
                <w:i w:val="0"/>
                <w:iCs w:val="0"/>
                <w:color w:val="000000"/>
                <w:kern w:val="0"/>
                <w:sz w:val="18"/>
                <w:szCs w:val="18"/>
                <w:u w:val="none"/>
                <w:lang w:val="en-US" w:eastAsia="zh-CN" w:bidi="ar"/>
              </w:rPr>
              <w:t>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4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w:t>
            </w:r>
            <w:r>
              <w:rPr>
                <w:rFonts w:hint="eastAsia" w:ascii="宋体" w:hAnsi="宋体" w:cs="宋体"/>
                <w:i w:val="0"/>
                <w:iCs w:val="0"/>
                <w:color w:val="000000"/>
                <w:kern w:val="0"/>
                <w:sz w:val="18"/>
                <w:szCs w:val="18"/>
                <w:u w:val="none"/>
                <w:lang w:val="en-US" w:eastAsia="zh-CN" w:bidi="ar"/>
              </w:rPr>
              <w:t>，无</w:t>
            </w:r>
            <w:r>
              <w:rPr>
                <w:rFonts w:ascii="宋体" w:hAnsi="宋体" w:eastAsia="宋体" w:cs="宋体"/>
                <w:i w:val="0"/>
                <w:iCs w:val="0"/>
                <w:color w:val="000000"/>
                <w:kern w:val="0"/>
                <w:sz w:val="18"/>
                <w:szCs w:val="18"/>
                <w:u w:val="none"/>
                <w:lang w:val="en-US" w:eastAsia="zh-CN" w:bidi="ar"/>
              </w:rPr>
              <w:t>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12.61</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12.61</w:t>
            </w:r>
          </w:p>
        </w:tc>
        <w:tc>
          <w:tcPr>
            <w:tcW w:w="9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12.61</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8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12.61</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12.61</w:t>
            </w:r>
          </w:p>
        </w:tc>
        <w:tc>
          <w:tcPr>
            <w:tcW w:w="9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12.61</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2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color w:val="000000"/>
                <w:kern w:val="0"/>
                <w:sz w:val="16"/>
                <w:szCs w:val="16"/>
                <w:highlight w:val="none"/>
                <w:u w:val="none"/>
                <w:lang w:val="en-US" w:eastAsia="zh-CN" w:bidi="ar"/>
              </w:rPr>
              <w:t>该项目规划科学，决策依据充分，程序合法合规、资金到位及时拨付规范。项目支出绩效自评得分100分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项目负责人：王洪</w:t>
            </w:r>
          </w:p>
        </w:tc>
        <w:tc>
          <w:tcPr>
            <w:tcW w:w="258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财务负责人：余天鹏</w:t>
            </w:r>
          </w:p>
        </w:tc>
      </w:tr>
    </w:tbl>
    <w:p>
      <w:pPr>
        <w:pStyle w:val="2"/>
        <w:ind w:left="0" w:leftChars="0" w:firstLine="0" w:firstLineChars="0"/>
        <w:rPr>
          <w:rFonts w:hint="eastAsia"/>
          <w:lang w:val="en-US" w:eastAsia="zh-CN"/>
        </w:rPr>
      </w:pP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023"/>
        <w:gridCol w:w="851"/>
        <w:gridCol w:w="1206"/>
        <w:gridCol w:w="396"/>
        <w:gridCol w:w="740"/>
        <w:gridCol w:w="396"/>
        <w:gridCol w:w="847"/>
        <w:gridCol w:w="577"/>
        <w:gridCol w:w="577"/>
        <w:gridCol w:w="13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6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51080021Y000000176770-其他公用经费（福利、工会、公车补贴、党建、退休活动）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9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10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广元市港航发展中心部门</w:t>
            </w:r>
          </w:p>
        </w:tc>
        <w:tc>
          <w:tcPr>
            <w:tcW w:w="496"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4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广元市航务管理局广元航道段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10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95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10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c>
          <w:tcPr>
            <w:tcW w:w="195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w:t>
            </w:r>
            <w:r>
              <w:rPr>
                <w:rFonts w:hint="eastAsia" w:ascii="宋体" w:hAnsi="宋体" w:cs="宋体"/>
                <w:i w:val="0"/>
                <w:iCs w:val="0"/>
                <w:color w:val="000000"/>
                <w:kern w:val="0"/>
                <w:sz w:val="18"/>
                <w:szCs w:val="18"/>
                <w:u w:val="none"/>
                <w:lang w:val="en-US" w:eastAsia="zh-CN" w:bidi="ar"/>
              </w:rPr>
              <w:t>正常</w:t>
            </w:r>
            <w:r>
              <w:rPr>
                <w:rFonts w:ascii="宋体" w:hAnsi="宋体" w:eastAsia="宋体" w:cs="宋体"/>
                <w:i w:val="0"/>
                <w:iCs w:val="0"/>
                <w:color w:val="000000"/>
                <w:kern w:val="0"/>
                <w:sz w:val="18"/>
                <w:szCs w:val="18"/>
                <w:u w:val="none"/>
                <w:lang w:val="en-US" w:eastAsia="zh-CN" w:bidi="ar"/>
              </w:rPr>
              <w:t>运转，预算编制质量</w:t>
            </w:r>
            <w:r>
              <w:rPr>
                <w:rFonts w:hint="eastAsia" w:ascii="宋体" w:hAnsi="宋体" w:cs="宋体"/>
                <w:i w:val="0"/>
                <w:iCs w:val="0"/>
                <w:color w:val="000000"/>
                <w:kern w:val="0"/>
                <w:sz w:val="18"/>
                <w:szCs w:val="18"/>
                <w:u w:val="none"/>
                <w:lang w:val="en-US" w:eastAsia="zh-CN" w:bidi="ar"/>
              </w:rPr>
              <w:t>高</w:t>
            </w:r>
            <w:r>
              <w:rPr>
                <w:rFonts w:ascii="宋体" w:hAnsi="宋体" w:eastAsia="宋体" w:cs="宋体"/>
                <w:i w:val="0"/>
                <w:iCs w:val="0"/>
                <w:color w:val="000000"/>
                <w:kern w:val="0"/>
                <w:sz w:val="18"/>
                <w:szCs w:val="18"/>
                <w:u w:val="none"/>
                <w:lang w:val="en-US" w:eastAsia="zh-CN" w:bidi="ar"/>
              </w:rPr>
              <w:t>，严格执行预算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6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21.41</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21.41</w:t>
            </w:r>
          </w:p>
        </w:tc>
        <w:tc>
          <w:tcPr>
            <w:tcW w:w="9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21.41</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7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21.41</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21.41</w:t>
            </w:r>
          </w:p>
        </w:tc>
        <w:tc>
          <w:tcPr>
            <w:tcW w:w="9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21.41</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23"/>
              </w:tabs>
              <w:jc w:val="left"/>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eastAsia="zh-CN"/>
              </w:rPr>
              <w:tab/>
            </w:r>
            <w:r>
              <w:rPr>
                <w:rFonts w:hint="eastAsia" w:ascii="微软雅黑" w:hAnsi="微软雅黑" w:eastAsia="微软雅黑" w:cs="微软雅黑"/>
                <w:i/>
                <w:iCs/>
                <w:color w:val="000000"/>
                <w:sz w:val="16"/>
                <w:szCs w:val="16"/>
                <w:u w:val="none"/>
                <w:lang w:val="en-US" w:eastAsia="zh-CN"/>
              </w:rPr>
              <w:t>81.85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4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color w:val="000000"/>
                <w:kern w:val="0"/>
                <w:sz w:val="16"/>
                <w:szCs w:val="16"/>
                <w:highlight w:val="none"/>
                <w:u w:val="none"/>
                <w:lang w:val="en-US" w:eastAsia="zh-CN" w:bidi="ar"/>
              </w:rPr>
              <w:t>该项目规划科学，决策依据充分，程序合法合规、资金到位及时拨付规范。项目支出绩效自评得分100分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7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项目负责人：王洪</w:t>
            </w:r>
          </w:p>
        </w:tc>
        <w:tc>
          <w:tcPr>
            <w:tcW w:w="262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财务负责人：余天鹏</w:t>
            </w:r>
          </w:p>
        </w:tc>
      </w:tr>
    </w:tbl>
    <w:p>
      <w:pPr>
        <w:pStyle w:val="2"/>
        <w:ind w:left="0" w:leftChars="0" w:firstLine="0" w:firstLineChars="0"/>
        <w:rPr>
          <w:rFonts w:hint="eastAsia"/>
          <w:lang w:val="en-US" w:eastAsia="zh-CN"/>
        </w:rPr>
      </w:pP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033"/>
        <w:gridCol w:w="863"/>
        <w:gridCol w:w="1206"/>
        <w:gridCol w:w="396"/>
        <w:gridCol w:w="762"/>
        <w:gridCol w:w="396"/>
        <w:gridCol w:w="847"/>
        <w:gridCol w:w="577"/>
        <w:gridCol w:w="577"/>
        <w:gridCol w:w="12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4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51080022Y000000267568-定额公用经费（事业）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9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17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广元市港航发展中心部门</w:t>
            </w:r>
          </w:p>
        </w:tc>
        <w:tc>
          <w:tcPr>
            <w:tcW w:w="496"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37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广元市航务管理局广元航道段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17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8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17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c>
          <w:tcPr>
            <w:tcW w:w="18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w:t>
            </w:r>
            <w:r>
              <w:rPr>
                <w:rFonts w:hint="eastAsia" w:ascii="宋体" w:hAnsi="宋体" w:cs="宋体"/>
                <w:i w:val="0"/>
                <w:iCs w:val="0"/>
                <w:color w:val="000000"/>
                <w:kern w:val="0"/>
                <w:sz w:val="18"/>
                <w:szCs w:val="18"/>
                <w:u w:val="none"/>
                <w:lang w:val="en-US" w:eastAsia="zh-CN" w:bidi="ar"/>
              </w:rPr>
              <w:t>正常</w:t>
            </w:r>
            <w:r>
              <w:rPr>
                <w:rFonts w:ascii="宋体" w:hAnsi="宋体" w:eastAsia="宋体" w:cs="宋体"/>
                <w:i w:val="0"/>
                <w:iCs w:val="0"/>
                <w:color w:val="000000"/>
                <w:kern w:val="0"/>
                <w:sz w:val="18"/>
                <w:szCs w:val="18"/>
                <w:u w:val="none"/>
                <w:lang w:val="en-US" w:eastAsia="zh-CN" w:bidi="ar"/>
              </w:rPr>
              <w:t>运转，预算编制质量</w:t>
            </w:r>
            <w:r>
              <w:rPr>
                <w:rFonts w:hint="eastAsia" w:ascii="宋体" w:hAnsi="宋体" w:cs="宋体"/>
                <w:i w:val="0"/>
                <w:iCs w:val="0"/>
                <w:color w:val="000000"/>
                <w:kern w:val="0"/>
                <w:sz w:val="18"/>
                <w:szCs w:val="18"/>
                <w:u w:val="none"/>
                <w:lang w:val="en-US" w:eastAsia="zh-CN" w:bidi="ar"/>
              </w:rPr>
              <w:t>高</w:t>
            </w:r>
            <w:r>
              <w:rPr>
                <w:rFonts w:ascii="宋体" w:hAnsi="宋体" w:eastAsia="宋体" w:cs="宋体"/>
                <w:i w:val="0"/>
                <w:iCs w:val="0"/>
                <w:color w:val="000000"/>
                <w:kern w:val="0"/>
                <w:sz w:val="18"/>
                <w:szCs w:val="18"/>
                <w:u w:val="none"/>
                <w:lang w:val="en-US" w:eastAsia="zh-CN" w:bidi="ar"/>
              </w:rPr>
              <w:t>，严格执行预算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4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58.61</w:t>
            </w:r>
          </w:p>
        </w:tc>
        <w:tc>
          <w:tcPr>
            <w:tcW w:w="9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58.61</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7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58.61</w:t>
            </w:r>
          </w:p>
        </w:tc>
        <w:tc>
          <w:tcPr>
            <w:tcW w:w="9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58.61</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5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81.85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29"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color w:val="000000"/>
                <w:kern w:val="0"/>
                <w:sz w:val="16"/>
                <w:szCs w:val="16"/>
                <w:highlight w:val="none"/>
                <w:u w:val="none"/>
                <w:lang w:val="en-US" w:eastAsia="zh-CN" w:bidi="ar"/>
              </w:rPr>
              <w:t>该项目规划科学，决策依据充分，程序合法合规、资金到位及时拨付规范。项目支出绩效自评得分100分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2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项目负责人：王洪</w:t>
            </w:r>
          </w:p>
        </w:tc>
        <w:tc>
          <w:tcPr>
            <w:tcW w:w="257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财务负责人：余天鹏</w:t>
            </w:r>
          </w:p>
        </w:tc>
      </w:tr>
    </w:tbl>
    <w:p>
      <w:pPr>
        <w:pStyle w:val="2"/>
        <w:ind w:left="0" w:leftChars="0" w:firstLine="0" w:firstLineChars="0"/>
        <w:rPr>
          <w:rFonts w:hint="eastAsia"/>
          <w:lang w:val="en-US" w:eastAsia="zh-CN"/>
        </w:rPr>
      </w:pP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015"/>
        <w:gridCol w:w="834"/>
        <w:gridCol w:w="1137"/>
        <w:gridCol w:w="423"/>
        <w:gridCol w:w="781"/>
        <w:gridCol w:w="416"/>
        <w:gridCol w:w="850"/>
        <w:gridCol w:w="617"/>
        <w:gridCol w:w="617"/>
        <w:gridCol w:w="12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6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51080023R000007612345-规范后市级基础绩效奖及生活补助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9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1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广元市港航发展中心部门</w:t>
            </w:r>
          </w:p>
        </w:tc>
        <w:tc>
          <w:tcPr>
            <w:tcW w:w="498"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4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广元市航务管理局广元航道段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1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95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1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w:t>
            </w:r>
            <w:r>
              <w:rPr>
                <w:rFonts w:hint="eastAsia" w:ascii="宋体" w:hAnsi="宋体" w:eastAsia="宋体" w:cs="宋体"/>
                <w:i w:val="0"/>
                <w:iCs w:val="0"/>
                <w:color w:val="000000"/>
                <w:kern w:val="0"/>
                <w:sz w:val="18"/>
                <w:szCs w:val="18"/>
                <w:u w:val="none"/>
                <w:lang w:val="en-US" w:eastAsia="zh-CN" w:bidi="ar"/>
              </w:rPr>
              <w:t>保障</w:t>
            </w:r>
            <w:r>
              <w:rPr>
                <w:rFonts w:ascii="宋体" w:hAnsi="宋体" w:eastAsia="宋体" w:cs="宋体"/>
                <w:i w:val="0"/>
                <w:iCs w:val="0"/>
                <w:color w:val="000000"/>
                <w:kern w:val="0"/>
                <w:sz w:val="18"/>
                <w:szCs w:val="18"/>
                <w:u w:val="none"/>
                <w:lang w:val="en-US" w:eastAsia="zh-CN" w:bidi="ar"/>
              </w:rPr>
              <w:t>基础绩效奖及生活补助</w:t>
            </w:r>
            <w:r>
              <w:rPr>
                <w:rFonts w:hint="eastAsia" w:ascii="宋体" w:hAnsi="宋体" w:eastAsia="宋体" w:cs="宋体"/>
                <w:i w:val="0"/>
                <w:iCs w:val="0"/>
                <w:color w:val="000000"/>
                <w:kern w:val="0"/>
                <w:sz w:val="18"/>
                <w:szCs w:val="18"/>
                <w:u w:val="none"/>
                <w:lang w:val="en-US" w:eastAsia="zh-CN" w:bidi="ar"/>
              </w:rPr>
              <w:t>发放到位</w:t>
            </w:r>
          </w:p>
        </w:tc>
        <w:tc>
          <w:tcPr>
            <w:tcW w:w="195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严格执行相关政策，基础绩效奖及生活补助</w:t>
            </w:r>
            <w:r>
              <w:rPr>
                <w:rFonts w:hint="eastAsia" w:ascii="宋体" w:hAnsi="宋体" w:eastAsia="宋体" w:cs="宋体"/>
                <w:i w:val="0"/>
                <w:iCs w:val="0"/>
                <w:color w:val="000000"/>
                <w:kern w:val="0"/>
                <w:sz w:val="18"/>
                <w:szCs w:val="18"/>
                <w:u w:val="none"/>
                <w:lang w:val="en-US" w:eastAsia="zh-CN" w:bidi="ar"/>
              </w:rPr>
              <w:t>发放到位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6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w:t>
            </w:r>
            <w:r>
              <w:rPr>
                <w:rFonts w:hint="eastAsia" w:ascii="宋体" w:hAnsi="宋体" w:eastAsia="宋体" w:cs="宋体"/>
                <w:i w:val="0"/>
                <w:iCs w:val="0"/>
                <w:color w:val="000000"/>
                <w:kern w:val="0"/>
                <w:sz w:val="18"/>
                <w:szCs w:val="18"/>
                <w:u w:val="none"/>
                <w:lang w:val="en-US" w:eastAsia="zh-CN" w:bidi="ar"/>
              </w:rPr>
              <w:t>保障</w:t>
            </w:r>
            <w:r>
              <w:rPr>
                <w:rFonts w:ascii="宋体" w:hAnsi="宋体" w:eastAsia="宋体" w:cs="宋体"/>
                <w:i w:val="0"/>
                <w:iCs w:val="0"/>
                <w:color w:val="000000"/>
                <w:kern w:val="0"/>
                <w:sz w:val="18"/>
                <w:szCs w:val="18"/>
                <w:u w:val="none"/>
                <w:lang w:val="en-US" w:eastAsia="zh-CN" w:bidi="ar"/>
              </w:rPr>
              <w:t>基础绩效奖及生活补助</w:t>
            </w:r>
            <w:r>
              <w:rPr>
                <w:rFonts w:hint="eastAsia" w:ascii="宋体" w:hAnsi="宋体" w:eastAsia="宋体" w:cs="宋体"/>
                <w:i w:val="0"/>
                <w:iCs w:val="0"/>
                <w:color w:val="000000"/>
                <w:kern w:val="0"/>
                <w:sz w:val="18"/>
                <w:szCs w:val="18"/>
                <w:u w:val="none"/>
                <w:lang w:val="en-US" w:eastAsia="zh-CN" w:bidi="ar"/>
              </w:rPr>
              <w:t>发放到位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4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90.21</w:t>
            </w:r>
          </w:p>
        </w:tc>
        <w:tc>
          <w:tcPr>
            <w:tcW w:w="94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90.21</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7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90.21</w:t>
            </w:r>
          </w:p>
        </w:tc>
        <w:tc>
          <w:tcPr>
            <w:tcW w:w="94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90.21</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4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4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4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37"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37"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595"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产出指标</w:t>
            </w:r>
          </w:p>
        </w:tc>
        <w:tc>
          <w:tcPr>
            <w:tcW w:w="490"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数量指标</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足额保障率</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100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100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22.5</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22.5</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337"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5"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科目调整次数</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10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次</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宋体" w:hAnsi="宋体" w:eastAsia="宋体" w:cs="宋体"/>
                <w:i/>
                <w:color w:val="000000"/>
                <w:kern w:val="2"/>
                <w:sz w:val="18"/>
                <w:szCs w:val="18"/>
                <w:highlight w:val="none"/>
                <w:u w:val="none"/>
                <w:lang w:val="en-US" w:eastAsia="zh-CN" w:bidi="ar-SA"/>
              </w:rPr>
            </w:pPr>
            <w:r>
              <w:rPr>
                <w:rFonts w:hint="eastAsia" w:ascii="宋体" w:hAnsi="宋体" w:eastAsia="宋体" w:cs="宋体"/>
                <w:i/>
                <w:color w:val="000000"/>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22.5</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22.5</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337"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5"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效益指标</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时效指标</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按时发放率</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100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100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22.5</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22.5</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337"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5"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经济效益指标</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结余率（计算方法为：结余数/预算数）</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5</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宋体" w:hAnsi="宋体" w:eastAsia="宋体" w:cs="宋体"/>
                <w:i/>
                <w:color w:val="000000"/>
                <w:kern w:val="2"/>
                <w:sz w:val="18"/>
                <w:szCs w:val="18"/>
                <w:highlight w:val="none"/>
                <w:u w:val="none"/>
                <w:lang w:val="en-US" w:eastAsia="zh-CN" w:bidi="ar-SA"/>
              </w:rPr>
            </w:pPr>
            <w:r>
              <w:rPr>
                <w:rFonts w:hint="eastAsia" w:ascii="宋体" w:hAnsi="宋体" w:eastAsia="宋体" w:cs="宋体"/>
                <w:i/>
                <w:color w:val="000000"/>
                <w:kern w:val="0"/>
                <w:sz w:val="18"/>
                <w:szCs w:val="18"/>
                <w:highlight w:val="none"/>
                <w:u w:val="none"/>
                <w:lang w:val="en-US" w:eastAsia="zh-CN" w:bidi="ar"/>
              </w:rPr>
              <w:t>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22.5</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22.5</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39"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仿宋_GB2312" w:hAnsi="宋体" w:eastAsia="仿宋_GB2312" w:cs="仿宋_GB2312"/>
                <w:i/>
                <w:color w:val="000000"/>
                <w:kern w:val="0"/>
                <w:sz w:val="20"/>
                <w:szCs w:val="20"/>
                <w:highlight w:val="none"/>
                <w:u w:val="none"/>
                <w:lang w:val="en-US" w:eastAsia="zh-CN" w:bidi="ar"/>
              </w:rPr>
              <w:t>该项目规划科学，决策依据充分，程序合法合规、资金到位及时拨付规范。项目支出绩效自评得分100分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3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项目负责人：王洪</w:t>
            </w:r>
          </w:p>
        </w:tc>
        <w:tc>
          <w:tcPr>
            <w:tcW w:w="266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财务负责人：余天鹏</w:t>
            </w:r>
          </w:p>
        </w:tc>
      </w:tr>
    </w:tbl>
    <w:p>
      <w:pPr>
        <w:pStyle w:val="2"/>
        <w:ind w:left="0" w:leftChars="0" w:firstLine="0" w:firstLineChars="0"/>
        <w:rPr>
          <w:rFonts w:hint="eastAsia"/>
          <w:lang w:val="en-US" w:eastAsia="zh-CN"/>
        </w:rPr>
      </w:pPr>
    </w:p>
    <w:p>
      <w:pPr>
        <w:rPr>
          <w:rFonts w:hint="default"/>
          <w:lang w:val="en-US" w:eastAsia="zh-CN"/>
        </w:rPr>
      </w:pPr>
    </w:p>
    <w:tbl>
      <w:tblPr>
        <w:tblStyle w:val="13"/>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9"/>
        <w:gridCol w:w="904"/>
        <w:gridCol w:w="1302"/>
        <w:gridCol w:w="1030"/>
        <w:gridCol w:w="108"/>
        <w:gridCol w:w="431"/>
        <w:gridCol w:w="667"/>
        <w:gridCol w:w="397"/>
        <w:gridCol w:w="350"/>
        <w:gridCol w:w="548"/>
        <w:gridCol w:w="506"/>
        <w:gridCol w:w="641"/>
        <w:gridCol w:w="7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1" w:hRule="atLeast"/>
        </w:trPr>
        <w:tc>
          <w:tcPr>
            <w:tcW w:w="8429"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kern w:val="0"/>
                <w:sz w:val="30"/>
                <w:szCs w:val="30"/>
                <w:u w:val="none"/>
                <w:lang w:val="en-US" w:eastAsia="zh-CN" w:bidi="ar"/>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43"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项目名称</w:t>
            </w:r>
          </w:p>
        </w:tc>
        <w:tc>
          <w:tcPr>
            <w:tcW w:w="6686" w:type="dxa"/>
            <w:gridSpan w:val="11"/>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51080022T000004930489-乡村振兴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7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主管部门（盖章）</w:t>
            </w:r>
          </w:p>
        </w:tc>
        <w:tc>
          <w:tcPr>
            <w:tcW w:w="39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广元市港航发展中心</w:t>
            </w:r>
          </w:p>
        </w:tc>
        <w:tc>
          <w:tcPr>
            <w:tcW w:w="8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实施单位 （盖章）</w:t>
            </w:r>
          </w:p>
        </w:tc>
        <w:tc>
          <w:tcPr>
            <w:tcW w:w="1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广元市航务管理局广元行道段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项目基本情况</w:t>
            </w:r>
          </w:p>
        </w:tc>
        <w:tc>
          <w:tcPr>
            <w:tcW w:w="9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1.项目年度目标完成情况</w:t>
            </w:r>
          </w:p>
        </w:tc>
        <w:tc>
          <w:tcPr>
            <w:tcW w:w="39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项目年度目标</w:t>
            </w:r>
          </w:p>
        </w:tc>
        <w:tc>
          <w:tcPr>
            <w:tcW w:w="27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000000"/>
                <w:sz w:val="18"/>
                <w:szCs w:val="18"/>
                <w:u w:val="none"/>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000000"/>
                <w:sz w:val="18"/>
                <w:szCs w:val="18"/>
                <w:u w:val="none"/>
              </w:rPr>
            </w:pPr>
          </w:p>
        </w:tc>
        <w:tc>
          <w:tcPr>
            <w:tcW w:w="39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按照中央部署、省委市委安排，做好2022年度乡村振兴工作。</w:t>
            </w:r>
          </w:p>
        </w:tc>
        <w:tc>
          <w:tcPr>
            <w:tcW w:w="27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2022年度按省市乡村振兴工作要求，2名驻村队员脱产驻村及时规范完善乡村振兴工作的相关资料，协助帮扶村做好日常工作，完成堡坎项目，道路硬化，厕所革命及垃圾处理项目进一步提升了村民生活质量，保障道路交通安全。2名驻村队员生活补助及时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000000"/>
                <w:sz w:val="18"/>
                <w:szCs w:val="18"/>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2.项目实施内容及过程概述</w:t>
            </w:r>
          </w:p>
        </w:tc>
        <w:tc>
          <w:tcPr>
            <w:tcW w:w="668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协调落实了交通道路补助资金20万（县交通局），用于整治村组道路滑坡地段；2.完成乡村振兴局下达的50万整合资金的道路硬化任务；3.协调落实厕所改造及垃圾处理项目30万，用于改造了142户群众家庭和新建10个垃圾池；4.持续推进土地增减挂钩项目工作，做好农户思想工作，及时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8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预算执行情况（10分）</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年度预算数（万元）</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年初预算</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调整后预算数</w:t>
            </w:r>
          </w:p>
        </w:tc>
        <w:tc>
          <w:tcPr>
            <w:tcW w:w="1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预算执行数</w:t>
            </w:r>
          </w:p>
        </w:tc>
        <w:tc>
          <w:tcPr>
            <w:tcW w:w="8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预算执行率</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权重%</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部门自评得分</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总额</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3.64</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3.64</w:t>
            </w:r>
          </w:p>
        </w:tc>
        <w:tc>
          <w:tcPr>
            <w:tcW w:w="1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3.64</w:t>
            </w:r>
          </w:p>
        </w:tc>
        <w:tc>
          <w:tcPr>
            <w:tcW w:w="8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其中：财政资金</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3.64</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3.64</w:t>
            </w:r>
          </w:p>
        </w:tc>
        <w:tc>
          <w:tcPr>
            <w:tcW w:w="1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3.64</w:t>
            </w:r>
          </w:p>
        </w:tc>
        <w:tc>
          <w:tcPr>
            <w:tcW w:w="8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财政专户管理资金</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单位资金</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其他资金</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绩效指标（90分）</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一级指标</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二级指标</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三级指标</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指标性质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指标值</w:t>
            </w:r>
          </w:p>
        </w:tc>
        <w:tc>
          <w:tcPr>
            <w:tcW w:w="7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度量单位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完成值</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权重</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部门自评得分</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2022年度完成相应工作</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期/年</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工作经费1万元</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万元/村</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驻村队员2名生活补助2.64万元</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26400</w:t>
            </w:r>
          </w:p>
        </w:tc>
        <w:tc>
          <w:tcPr>
            <w:tcW w:w="7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元/年</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26400</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扎实抓好乡村振兴工作，保障工作经费、队员生活补助落实</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联系苍溪县高坡镇柳溪村1个村</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个（套）</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落实国家政策、服务乡村</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驻村队员2名</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人数</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帮扶对象满意度指标</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帮扶村群众满意度</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95</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7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b w:val="0"/>
                <w:bCs w:val="0"/>
                <w:i w:val="0"/>
                <w:iCs w:val="0"/>
                <w:color w:val="000000"/>
                <w:kern w:val="0"/>
                <w:sz w:val="18"/>
                <w:szCs w:val="18"/>
                <w:u w:val="none"/>
                <w:lang w:val="en-US" w:eastAsia="zh-CN" w:bidi="ar"/>
              </w:rPr>
              <w:t>合计</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100</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100</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59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本项目通过自评，得分为100分。1.我单位高度重视帮扶工作，多次召开专题会议研究部署柳溪村帮扶工作。单位主要领导先后4次调研柳溪村帮扶工作，带队指导，明确帮扶责任，先后解决了村上8个急需的问题。2.从巩固脱贫成果与乡村振兴的大局出发，结合柳溪村实际，积极协调各方力量，倾情倾力，强力推进帮扶工作，制定了5年巩固脱贫成果与乡村振兴规划。3.督促驻村工作队认真履行四大职责，落实好全脱产驻村和吃住在村的有关要求，今年又筹集5000元资金，解决驻村工作队的食宿问题，让驻村队员安心工作，严格遵守驻村管理有关规定，树立交通系统职工的良好形象，力所能及为老百姓办事，解决群众急需急盼的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59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一是抓巩固脱贫成果同乡村振兴有效衔接工作的方法和经验不足；二是全村还没有‘一村一品’特色产业，村集体经济发展滞后。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59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我们将认真学习二十大精神，继续按照市委市政府的工作部署和要求，以高度的政治责任感和使命担当，紧紧围绕‘产业兴旺，生态宜居，乡风文明，治理有效，生活富裕’的总体思路，盯住关键，形成合力，真帮实干，夯实责任，大力弘扬脱贫攻坚精神，持续巩固拓展柳溪村脱贫攻坚成果与全面推进乡村振兴有效衔接，为满足全村人民更高质量的美好生活而继续努力奋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单位项目负责人：</w:t>
            </w:r>
            <w:r>
              <w:rPr>
                <w:rFonts w:hint="eastAsia" w:ascii="宋体" w:hAnsi="宋体" w:cs="宋体"/>
                <w:i w:val="0"/>
                <w:iCs w:val="0"/>
                <w:color w:val="000000"/>
                <w:kern w:val="0"/>
                <w:sz w:val="18"/>
                <w:szCs w:val="18"/>
                <w:u w:val="none"/>
                <w:lang w:val="en-US" w:eastAsia="zh-CN" w:bidi="ar"/>
              </w:rPr>
              <w:t>罗晓红</w:t>
            </w:r>
          </w:p>
        </w:tc>
        <w:tc>
          <w:tcPr>
            <w:tcW w:w="43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单位财务负责人：</w:t>
            </w:r>
            <w:r>
              <w:rPr>
                <w:rFonts w:hint="eastAsia" w:ascii="宋体" w:hAnsi="宋体" w:cs="宋体"/>
                <w:i w:val="0"/>
                <w:iCs w:val="0"/>
                <w:color w:val="000000"/>
                <w:kern w:val="0"/>
                <w:sz w:val="18"/>
                <w:szCs w:val="18"/>
                <w:u w:val="none"/>
                <w:lang w:val="en-US" w:eastAsia="zh-CN" w:bidi="ar"/>
              </w:rPr>
              <w:t>余天鹏</w:t>
            </w:r>
          </w:p>
        </w:tc>
      </w:tr>
    </w:tbl>
    <w:p>
      <w:pPr>
        <w:pStyle w:val="6"/>
        <w:rPr>
          <w:rFonts w:hint="eastAsia" w:ascii="仿宋_GB2312" w:hAnsi="Calibri" w:eastAsia="仿宋_GB2312" w:cs="仿宋"/>
          <w:color w:val="auto"/>
          <w:kern w:val="0"/>
          <w:sz w:val="32"/>
          <w:szCs w:val="32"/>
          <w:highlight w:val="none"/>
          <w:lang w:val="en-US" w:eastAsia="zh-CN" w:bidi="ar-SA"/>
        </w:rPr>
      </w:pPr>
    </w:p>
    <w:tbl>
      <w:tblPr>
        <w:tblStyle w:val="13"/>
        <w:tblW w:w="505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7"/>
        <w:gridCol w:w="180"/>
        <w:gridCol w:w="809"/>
        <w:gridCol w:w="720"/>
        <w:gridCol w:w="961"/>
        <w:gridCol w:w="764"/>
        <w:gridCol w:w="1"/>
        <w:gridCol w:w="315"/>
        <w:gridCol w:w="194"/>
        <w:gridCol w:w="226"/>
        <w:gridCol w:w="824"/>
        <w:gridCol w:w="655"/>
        <w:gridCol w:w="462"/>
        <w:gridCol w:w="663"/>
        <w:gridCol w:w="113"/>
        <w:gridCol w:w="8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00" w:type="pct"/>
            <w:gridSpan w:val="1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b w:val="0"/>
                <w:bCs w:val="0"/>
                <w:i w:val="0"/>
                <w:iCs w:val="0"/>
                <w:color w:val="000000"/>
                <w:sz w:val="40"/>
                <w:szCs w:val="4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项目名称</w:t>
            </w:r>
          </w:p>
        </w:tc>
        <w:tc>
          <w:tcPr>
            <w:tcW w:w="4363"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51080022T000004931983-上石盘库区航道航标维护费用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主管部门（盖章）</w:t>
            </w:r>
          </w:p>
        </w:tc>
        <w:tc>
          <w:tcPr>
            <w:tcW w:w="14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广元市港航发展中心</w:t>
            </w:r>
          </w:p>
        </w:tc>
        <w:tc>
          <w:tcPr>
            <w:tcW w:w="6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实施单位 （盖章）</w:t>
            </w:r>
          </w:p>
        </w:tc>
        <w:tc>
          <w:tcPr>
            <w:tcW w:w="2293"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广元市航务管理局广元航道段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项目基本情况</w:t>
            </w:r>
          </w:p>
        </w:tc>
        <w:tc>
          <w:tcPr>
            <w:tcW w:w="57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1.项目年度目标完成情况</w:t>
            </w:r>
          </w:p>
        </w:tc>
        <w:tc>
          <w:tcPr>
            <w:tcW w:w="16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项目年度目标</w:t>
            </w:r>
          </w:p>
        </w:tc>
        <w:tc>
          <w:tcPr>
            <w:tcW w:w="2293" w:type="pct"/>
            <w:gridSpan w:val="8"/>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000000"/>
                <w:sz w:val="18"/>
                <w:szCs w:val="18"/>
                <w:u w:val="none"/>
              </w:rPr>
            </w:pPr>
          </w:p>
        </w:tc>
        <w:tc>
          <w:tcPr>
            <w:tcW w:w="57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000000"/>
                <w:sz w:val="18"/>
                <w:szCs w:val="18"/>
                <w:u w:val="none"/>
              </w:rPr>
            </w:pPr>
          </w:p>
        </w:tc>
        <w:tc>
          <w:tcPr>
            <w:tcW w:w="16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2022年度对上石盘电站大坝至老城铁桥计13公里四级航道进行二类维护、航标一级配布，对库区航道内的34座太阳能航标灯记汛期用34座钢质航标进行移设、清洗、除锈、检修及航标更新、补缺等，使库区航道达到夜航标准。</w:t>
            </w:r>
          </w:p>
        </w:tc>
        <w:tc>
          <w:tcPr>
            <w:tcW w:w="2293"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该项目整体绩效目标完成情况较好，达到预期，完成了对库区航道设置的34座太阳能航标灯、34座钢质浮鼓航标进行移设、检修及更新补缺，库区航道达到夜航标准。严格按照项目实施进度支付资金。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4" w:hRule="atLeast"/>
        </w:trPr>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000000"/>
                <w:sz w:val="18"/>
                <w:szCs w:val="18"/>
                <w:u w:val="none"/>
              </w:rPr>
            </w:pPr>
          </w:p>
        </w:tc>
        <w:tc>
          <w:tcPr>
            <w:tcW w:w="5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2.项目实施内容及过程概述</w:t>
            </w:r>
          </w:p>
        </w:tc>
        <w:tc>
          <w:tcPr>
            <w:tcW w:w="3894"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对上石盘电站大坝至老城铁桥计13公里四级航道进行二类维护、航标一级配布。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5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预算执行情况（10分）</w:t>
            </w:r>
          </w:p>
        </w:tc>
        <w:tc>
          <w:tcPr>
            <w:tcW w:w="5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年度预算数（万元）</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年初预算</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调整后预算数</w:t>
            </w:r>
          </w:p>
        </w:tc>
        <w:tc>
          <w:tcPr>
            <w:tcW w:w="73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预算执行数</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预算执行率</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权重%</w:t>
            </w:r>
          </w:p>
        </w:tc>
        <w:tc>
          <w:tcPr>
            <w:tcW w:w="6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部门自评得分</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总额</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3.00</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73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3.00</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100.00%</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w:t>
            </w:r>
          </w:p>
        </w:tc>
        <w:tc>
          <w:tcPr>
            <w:tcW w:w="6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其中：财政资金</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3.00</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73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3.00</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100.00%</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6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40" w:type="pct"/>
            <w:gridSpan w:val="2"/>
            <w:vMerge w:val="restart"/>
            <w:tcBorders>
              <w:top w:val="single" w:color="000000" w:sz="4" w:space="0"/>
              <w:left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财政专户管理资金</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73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6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4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单位资金</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73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6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4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其他资金</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6"/>
                <w:szCs w:val="16"/>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6"/>
                <w:szCs w:val="16"/>
                <w:u w:val="none"/>
              </w:rPr>
            </w:pPr>
          </w:p>
        </w:tc>
        <w:tc>
          <w:tcPr>
            <w:tcW w:w="73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6"/>
                <w:szCs w:val="16"/>
                <w:u w:val="none"/>
              </w:rPr>
            </w:pP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6"/>
                <w:szCs w:val="16"/>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6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4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绩效指标（90分）</w:t>
            </w:r>
          </w:p>
        </w:tc>
        <w:tc>
          <w:tcPr>
            <w:tcW w:w="5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一级指标</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二级指标</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三级指标</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指标性质</w:t>
            </w:r>
          </w:p>
        </w:tc>
        <w:tc>
          <w:tcPr>
            <w:tcW w:w="4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指标值</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度量单位</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完成值</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权重</w:t>
            </w:r>
          </w:p>
        </w:tc>
        <w:tc>
          <w:tcPr>
            <w:tcW w:w="4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部门自评得分</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产出指标</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时效指标</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完成时间</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c>
          <w:tcPr>
            <w:tcW w:w="42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期/年</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w:t>
            </w:r>
          </w:p>
        </w:tc>
        <w:tc>
          <w:tcPr>
            <w:tcW w:w="4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产出指标</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数量指标</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13公里航道二级维护、航标一级配布</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c>
          <w:tcPr>
            <w:tcW w:w="42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13</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公里</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13</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w:t>
            </w:r>
          </w:p>
        </w:tc>
        <w:tc>
          <w:tcPr>
            <w:tcW w:w="4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成本指标</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经济成本指标</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34座太阳能航标及34座钢质浮鼓航标日常维护管理</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c>
          <w:tcPr>
            <w:tcW w:w="42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468.75</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元/户（套）</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468.75</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w:t>
            </w:r>
          </w:p>
        </w:tc>
        <w:tc>
          <w:tcPr>
            <w:tcW w:w="4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产出指标</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数量指标</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对库区航道设置的34座太阳能航标灯、34座钢质浮鼓航标进行移设、检修及更新补缺</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c>
          <w:tcPr>
            <w:tcW w:w="42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68</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座（处）</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68</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w:t>
            </w:r>
          </w:p>
        </w:tc>
        <w:tc>
          <w:tcPr>
            <w:tcW w:w="4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8</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指标与实际实施有所偏离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效益指标</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社会效益指标</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库区航道达到夜航标准</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c>
          <w:tcPr>
            <w:tcW w:w="42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100</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30</w:t>
            </w:r>
          </w:p>
        </w:tc>
        <w:tc>
          <w:tcPr>
            <w:tcW w:w="4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30</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产出指标</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质量指标</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保障34座太阳能航标34座钢质浮鼓航标正常使用</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c>
          <w:tcPr>
            <w:tcW w:w="42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100</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w:t>
            </w:r>
          </w:p>
        </w:tc>
        <w:tc>
          <w:tcPr>
            <w:tcW w:w="4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满意度指标</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服务对象满意度指标</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船舶经营者、航道使用者满意度</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c>
          <w:tcPr>
            <w:tcW w:w="42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95</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95</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w:t>
            </w:r>
          </w:p>
        </w:tc>
        <w:tc>
          <w:tcPr>
            <w:tcW w:w="4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807"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合计</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cs="宋体"/>
                <w:b w:val="0"/>
                <w:bCs w:val="0"/>
                <w:i w:val="0"/>
                <w:iCs w:val="0"/>
                <w:color w:val="000000"/>
                <w:kern w:val="0"/>
                <w:sz w:val="18"/>
                <w:szCs w:val="18"/>
                <w:u w:val="none"/>
                <w:lang w:val="en-US" w:eastAsia="zh-CN" w:bidi="ar"/>
              </w:rPr>
              <w:t>98</w:t>
            </w:r>
          </w:p>
        </w:tc>
        <w:tc>
          <w:tcPr>
            <w:tcW w:w="4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cs="宋体"/>
                <w:b w:val="0"/>
                <w:bCs w:val="0"/>
                <w:i w:val="0"/>
                <w:iCs w:val="0"/>
                <w:color w:val="000000"/>
                <w:kern w:val="0"/>
                <w:sz w:val="18"/>
                <w:szCs w:val="18"/>
                <w:u w:val="none"/>
                <w:lang w:val="en-US" w:eastAsia="zh-CN" w:bidi="ar"/>
              </w:rPr>
              <w:t>98</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cs="宋体"/>
                <w:b w:val="0"/>
                <w:bCs w:val="0"/>
                <w:i w:val="0"/>
                <w:iCs w:val="0"/>
                <w:color w:val="000000"/>
                <w:kern w:val="0"/>
                <w:sz w:val="18"/>
                <w:szCs w:val="18"/>
                <w:u w:val="none"/>
                <w:lang w:val="en-US" w:eastAsia="zh-CN" w:bidi="ar"/>
              </w:rPr>
              <w:t>评价</w:t>
            </w:r>
            <w:r>
              <w:rPr>
                <w:rFonts w:hint="eastAsia" w:ascii="宋体" w:hAnsi="宋体" w:eastAsia="宋体" w:cs="宋体"/>
                <w:b w:val="0"/>
                <w:bCs w:val="0"/>
                <w:i w:val="0"/>
                <w:iCs w:val="0"/>
                <w:color w:val="000000"/>
                <w:kern w:val="0"/>
                <w:sz w:val="18"/>
                <w:szCs w:val="18"/>
                <w:u w:val="none"/>
                <w:lang w:val="en-US" w:eastAsia="zh-CN" w:bidi="ar"/>
              </w:rPr>
              <w:t>结论</w:t>
            </w:r>
          </w:p>
        </w:tc>
        <w:tc>
          <w:tcPr>
            <w:tcW w:w="4468" w:type="pct"/>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微软雅黑" w:hAnsi="微软雅黑" w:eastAsia="微软雅黑" w:cs="微软雅黑"/>
                <w:b w:val="0"/>
                <w:bCs w:val="0"/>
                <w:i/>
                <w:iCs/>
                <w:color w:val="000000"/>
                <w:sz w:val="16"/>
                <w:szCs w:val="16"/>
                <w:u w:val="none"/>
              </w:rPr>
            </w:pPr>
            <w:r>
              <w:rPr>
                <w:rFonts w:hint="eastAsia" w:ascii="微软雅黑" w:hAnsi="微软雅黑" w:eastAsia="微软雅黑" w:cs="微软雅黑"/>
                <w:b w:val="0"/>
                <w:bCs w:val="0"/>
                <w:i/>
                <w:iCs/>
                <w:color w:val="000000"/>
                <w:kern w:val="0"/>
                <w:sz w:val="16"/>
                <w:szCs w:val="16"/>
                <w:u w:val="none"/>
                <w:lang w:val="en-US" w:eastAsia="zh-CN" w:bidi="ar"/>
              </w:rPr>
              <w:t>本项目通过自评，得分为98分，。该项目实施后，项目决策方面，符合省委、省政府重大决策部署，与项目年度目标一致。项目实施方面，项目资金分配结果与规划计划一致，按规定及时分配专项预算资金，配套预算到位率100%。航道安全通航，达到预期设定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存在问题</w:t>
            </w:r>
          </w:p>
        </w:tc>
        <w:tc>
          <w:tcPr>
            <w:tcW w:w="4468" w:type="pct"/>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微软雅黑" w:hAnsi="微软雅黑" w:eastAsia="微软雅黑" w:cs="微软雅黑"/>
                <w:b w:val="0"/>
                <w:bCs w:val="0"/>
                <w:i/>
                <w:iCs/>
                <w:color w:val="000000"/>
                <w:sz w:val="16"/>
                <w:szCs w:val="16"/>
                <w:u w:val="none"/>
              </w:rPr>
            </w:pPr>
            <w:r>
              <w:rPr>
                <w:rFonts w:hint="eastAsia" w:ascii="微软雅黑" w:hAnsi="微软雅黑" w:eastAsia="微软雅黑" w:cs="微软雅黑"/>
                <w:b w:val="0"/>
                <w:bCs w:val="0"/>
                <w:i/>
                <w:iCs/>
                <w:color w:val="000000"/>
                <w:kern w:val="0"/>
                <w:sz w:val="16"/>
                <w:szCs w:val="16"/>
                <w:u w:val="none"/>
                <w:lang w:val="en-US" w:eastAsia="zh-CN" w:bidi="ar"/>
              </w:rPr>
              <w:t>项目绩效目标设定不够精细准确，与实际实施效果存在小范围的偏离，项目绩效评价结果应用情况有待提升。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改进措施</w:t>
            </w:r>
          </w:p>
        </w:tc>
        <w:tc>
          <w:tcPr>
            <w:tcW w:w="4468" w:type="pct"/>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微软雅黑" w:hAnsi="微软雅黑" w:eastAsia="微软雅黑" w:cs="微软雅黑"/>
                <w:b w:val="0"/>
                <w:bCs w:val="0"/>
                <w:i/>
                <w:iCs/>
                <w:color w:val="000000"/>
                <w:sz w:val="16"/>
                <w:szCs w:val="16"/>
                <w:u w:val="none"/>
              </w:rPr>
            </w:pPr>
            <w:r>
              <w:rPr>
                <w:rFonts w:hint="eastAsia" w:ascii="微软雅黑" w:hAnsi="微软雅黑" w:eastAsia="微软雅黑" w:cs="微软雅黑"/>
                <w:b w:val="0"/>
                <w:bCs w:val="0"/>
                <w:i/>
                <w:iCs/>
                <w:color w:val="000000"/>
                <w:kern w:val="0"/>
                <w:sz w:val="16"/>
                <w:szCs w:val="16"/>
                <w:u w:val="none"/>
                <w:lang w:val="en-US" w:eastAsia="zh-CN" w:bidi="ar"/>
              </w:rPr>
              <w:t>加强项目绩效目标设置工作，总结前期工作，使绩效目标设定更加准确精细，进一步强化项目绩效评价结果应用。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23"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单位项目负责人：</w:t>
            </w:r>
            <w:r>
              <w:rPr>
                <w:rFonts w:hint="eastAsia" w:ascii="宋体" w:hAnsi="宋体" w:cs="宋体"/>
                <w:b w:val="0"/>
                <w:bCs w:val="0"/>
                <w:i w:val="0"/>
                <w:iCs w:val="0"/>
                <w:color w:val="000000"/>
                <w:kern w:val="0"/>
                <w:sz w:val="18"/>
                <w:szCs w:val="18"/>
                <w:u w:val="none"/>
                <w:lang w:val="en-US" w:eastAsia="zh-CN" w:bidi="ar"/>
              </w:rPr>
              <w:t>崔玲红</w:t>
            </w:r>
          </w:p>
        </w:tc>
        <w:tc>
          <w:tcPr>
            <w:tcW w:w="247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单位财务负责人：</w:t>
            </w:r>
            <w:r>
              <w:rPr>
                <w:rFonts w:hint="eastAsia" w:ascii="宋体" w:hAnsi="宋体" w:cs="宋体"/>
                <w:b w:val="0"/>
                <w:bCs w:val="0"/>
                <w:i w:val="0"/>
                <w:iCs w:val="0"/>
                <w:color w:val="000000"/>
                <w:kern w:val="0"/>
                <w:sz w:val="18"/>
                <w:szCs w:val="18"/>
                <w:u w:val="none"/>
                <w:lang w:val="en-US" w:eastAsia="zh-CN" w:bidi="ar"/>
              </w:rPr>
              <w:t>余天鹏</w:t>
            </w:r>
          </w:p>
        </w:tc>
      </w:tr>
    </w:tbl>
    <w:p>
      <w:pPr>
        <w:pStyle w:val="6"/>
        <w:rPr>
          <w:rFonts w:hint="eastAsia" w:ascii="仿宋_GB2312" w:hAnsi="Calibri" w:eastAsia="仿宋_GB2312" w:cs="仿宋"/>
          <w:color w:val="auto"/>
          <w:kern w:val="0"/>
          <w:sz w:val="32"/>
          <w:szCs w:val="32"/>
          <w:highlight w:val="none"/>
          <w:lang w:val="en-US" w:eastAsia="zh-CN" w:bidi="ar-SA"/>
        </w:rPr>
      </w:pPr>
    </w:p>
    <w:tbl>
      <w:tblPr>
        <w:tblStyle w:val="13"/>
        <w:tblW w:w="506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1"/>
        <w:gridCol w:w="450"/>
        <w:gridCol w:w="135"/>
        <w:gridCol w:w="420"/>
        <w:gridCol w:w="270"/>
        <w:gridCol w:w="915"/>
        <w:gridCol w:w="660"/>
        <w:gridCol w:w="105"/>
        <w:gridCol w:w="750"/>
        <w:gridCol w:w="735"/>
        <w:gridCol w:w="120"/>
        <w:gridCol w:w="476"/>
        <w:gridCol w:w="24"/>
        <w:gridCol w:w="400"/>
        <w:gridCol w:w="311"/>
        <w:gridCol w:w="615"/>
        <w:gridCol w:w="148"/>
        <w:gridCol w:w="111"/>
        <w:gridCol w:w="1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00" w:type="pct"/>
            <w:gridSpan w:val="1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b w:val="0"/>
                <w:bCs w:val="0"/>
                <w:i w:val="0"/>
                <w:iCs w:val="0"/>
                <w:color w:val="000000"/>
                <w:sz w:val="40"/>
                <w:szCs w:val="40"/>
                <w:u w:val="none"/>
              </w:rPr>
            </w:pPr>
            <w:r>
              <w:rPr>
                <w:rFonts w:hint="eastAsia" w:ascii="黑体" w:hAnsi="宋体" w:eastAsia="黑体" w:cs="黑体"/>
                <w:b w:val="0"/>
                <w:bCs w:val="0"/>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34"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项目名称</w:t>
            </w:r>
          </w:p>
        </w:tc>
        <w:tc>
          <w:tcPr>
            <w:tcW w:w="4565" w:type="pct"/>
            <w:gridSpan w:val="18"/>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51080022T000006811889-省级2021年结转交通专项资金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主管部门（盖章）</w:t>
            </w:r>
          </w:p>
        </w:tc>
        <w:tc>
          <w:tcPr>
            <w:tcW w:w="263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广元市港航发展中心</w:t>
            </w:r>
          </w:p>
        </w:tc>
        <w:tc>
          <w:tcPr>
            <w:tcW w:w="114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实施单位 （盖章）</w:t>
            </w:r>
          </w:p>
        </w:tc>
        <w:tc>
          <w:tcPr>
            <w:tcW w:w="7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广元市航务管理局广元航道段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项目基本情况</w:t>
            </w:r>
          </w:p>
        </w:tc>
        <w:tc>
          <w:tcPr>
            <w:tcW w:w="581"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1.项目年度目标完成情况</w:t>
            </w:r>
          </w:p>
        </w:tc>
        <w:tc>
          <w:tcPr>
            <w:tcW w:w="2057" w:type="pct"/>
            <w:gridSpan w:val="7"/>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项目年度目标</w:t>
            </w:r>
          </w:p>
        </w:tc>
        <w:tc>
          <w:tcPr>
            <w:tcW w:w="1925"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000000"/>
                <w:sz w:val="18"/>
                <w:szCs w:val="18"/>
                <w:u w:val="none"/>
              </w:rPr>
            </w:pPr>
          </w:p>
        </w:tc>
        <w:tc>
          <w:tcPr>
            <w:tcW w:w="58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000000"/>
                <w:sz w:val="18"/>
                <w:szCs w:val="18"/>
                <w:u w:val="none"/>
              </w:rPr>
            </w:pPr>
          </w:p>
        </w:tc>
        <w:tc>
          <w:tcPr>
            <w:tcW w:w="2057"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嘉陵江朝天对溪至昭化虎跳段152公里航道进行航标、桥涵标、岸标维护维修，防汛抢险船舶、航标工作船舶维修保养，确保航道正常通航，防汛抢险船舶、航标工作船舶随时正常运转使用。</w:t>
            </w:r>
          </w:p>
        </w:tc>
        <w:tc>
          <w:tcPr>
            <w:tcW w:w="1925"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2022年7月30日，按照广元市财政局广元市交通运输局《关于下达2021年结转省级交通专项应急资金（公路水路灾毁应急保障资金市本级部分）的通知》广财建〔2022〕78号的通知要求，下拨我段防汛抢险及航道设施灾毁修复资金70万元。其中对抢险船舶维护及应急物资设备采买使用35.3万余元，于2022年12月中旬支付完毕；对灾毁航道设施修复使用34.7万元，除暂留灾毁修复工程质保金1.04万元，已支付完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000000"/>
                <w:sz w:val="18"/>
                <w:szCs w:val="18"/>
                <w:u w:val="none"/>
              </w:rPr>
            </w:pPr>
          </w:p>
        </w:tc>
        <w:tc>
          <w:tcPr>
            <w:tcW w:w="5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2.项目实施内容及过程概述</w:t>
            </w:r>
          </w:p>
        </w:tc>
        <w:tc>
          <w:tcPr>
            <w:tcW w:w="3983" w:type="pct"/>
            <w:gridSpan w:val="15"/>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2022年7月30日，下拨我段防汛抢险及航道设施灾毁修复资金70万元。设备采买资金：353000.46元，于2022年12月中旬支付完毕；航道灾毁设施修复方面：2022年12月12日，支付合同约定的合同价款30%预付款104100元。2022年12月19日，支付该项目剩余工程款：232490元，暂留灾毁修复工程质保金：10410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4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预算执行情况（10分）</w:t>
            </w:r>
          </w:p>
        </w:tc>
        <w:tc>
          <w:tcPr>
            <w:tcW w:w="5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年度预算数（万元）</w:t>
            </w: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年初预算</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调整后预算数</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预算执行数</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预算执行率</w:t>
            </w:r>
          </w:p>
        </w:tc>
        <w:tc>
          <w:tcPr>
            <w:tcW w:w="59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权重%</w:t>
            </w:r>
          </w:p>
        </w:tc>
        <w:tc>
          <w:tcPr>
            <w:tcW w:w="6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部门自评得分</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总额</w:t>
            </w: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70.00</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70.00</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68.96</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98.51%</w:t>
            </w:r>
          </w:p>
        </w:tc>
        <w:tc>
          <w:tcPr>
            <w:tcW w:w="59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w:t>
            </w:r>
          </w:p>
        </w:tc>
        <w:tc>
          <w:tcPr>
            <w:tcW w:w="6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w:t>
            </w:r>
          </w:p>
        </w:tc>
        <w:tc>
          <w:tcPr>
            <w:tcW w:w="7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其中：财政资金</w:t>
            </w: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70.00</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70.00</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68.96</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98.51%</w:t>
            </w:r>
          </w:p>
        </w:tc>
        <w:tc>
          <w:tcPr>
            <w:tcW w:w="59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w:t>
            </w:r>
          </w:p>
        </w:tc>
        <w:tc>
          <w:tcPr>
            <w:tcW w:w="6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财政专户管理资金</w:t>
            </w: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9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6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单位资金</w:t>
            </w: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9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6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其他资金</w:t>
            </w: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6"/>
                <w:szCs w:val="16"/>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6"/>
                <w:szCs w:val="16"/>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6"/>
                <w:szCs w:val="16"/>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6"/>
                <w:szCs w:val="16"/>
                <w:u w:val="none"/>
              </w:rPr>
            </w:pPr>
          </w:p>
        </w:tc>
        <w:tc>
          <w:tcPr>
            <w:tcW w:w="59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6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绩效指标（90分）</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一级指标</w:t>
            </w:r>
          </w:p>
        </w:tc>
        <w:tc>
          <w:tcPr>
            <w:tcW w:w="3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二级指标</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三级指标</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指标性质</w:t>
            </w:r>
          </w:p>
        </w:tc>
        <w:tc>
          <w:tcPr>
            <w:tcW w:w="4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指标值</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度量单位</w:t>
            </w:r>
          </w:p>
        </w:tc>
        <w:tc>
          <w:tcPr>
            <w:tcW w:w="3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完成值</w:t>
            </w:r>
          </w:p>
        </w:tc>
        <w:tc>
          <w:tcPr>
            <w:tcW w:w="4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权重</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部门自评得分</w:t>
            </w:r>
          </w:p>
        </w:tc>
        <w:tc>
          <w:tcPr>
            <w:tcW w:w="8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产出指标</w:t>
            </w:r>
          </w:p>
        </w:tc>
        <w:tc>
          <w:tcPr>
            <w:tcW w:w="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数量指标</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航道桥涵标、岸标维护</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c>
          <w:tcPr>
            <w:tcW w:w="4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152</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公里</w:t>
            </w:r>
          </w:p>
        </w:tc>
        <w:tc>
          <w:tcPr>
            <w:tcW w:w="3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152公里</w:t>
            </w:r>
          </w:p>
        </w:tc>
        <w:tc>
          <w:tcPr>
            <w:tcW w:w="42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w:t>
            </w:r>
          </w:p>
        </w:tc>
        <w:tc>
          <w:tcPr>
            <w:tcW w:w="8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产出指标</w:t>
            </w:r>
          </w:p>
        </w:tc>
        <w:tc>
          <w:tcPr>
            <w:tcW w:w="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时效指标</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2022年</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c>
          <w:tcPr>
            <w:tcW w:w="4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年</w:t>
            </w:r>
          </w:p>
        </w:tc>
        <w:tc>
          <w:tcPr>
            <w:tcW w:w="3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1年</w:t>
            </w:r>
          </w:p>
        </w:tc>
        <w:tc>
          <w:tcPr>
            <w:tcW w:w="42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w:t>
            </w:r>
          </w:p>
        </w:tc>
        <w:tc>
          <w:tcPr>
            <w:tcW w:w="8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产出指标</w:t>
            </w:r>
          </w:p>
        </w:tc>
        <w:tc>
          <w:tcPr>
            <w:tcW w:w="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数量指标</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灯标船维护</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c>
          <w:tcPr>
            <w:tcW w:w="4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个/艘</w:t>
            </w:r>
          </w:p>
        </w:tc>
        <w:tc>
          <w:tcPr>
            <w:tcW w:w="3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30个</w:t>
            </w:r>
          </w:p>
        </w:tc>
        <w:tc>
          <w:tcPr>
            <w:tcW w:w="42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w:t>
            </w:r>
          </w:p>
        </w:tc>
        <w:tc>
          <w:tcPr>
            <w:tcW w:w="8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产出指标</w:t>
            </w:r>
          </w:p>
        </w:tc>
        <w:tc>
          <w:tcPr>
            <w:tcW w:w="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数量指标</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对讲机</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c>
          <w:tcPr>
            <w:tcW w:w="4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个</w:t>
            </w:r>
          </w:p>
        </w:tc>
        <w:tc>
          <w:tcPr>
            <w:tcW w:w="3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10个</w:t>
            </w:r>
          </w:p>
        </w:tc>
        <w:tc>
          <w:tcPr>
            <w:tcW w:w="42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w:t>
            </w:r>
          </w:p>
        </w:tc>
        <w:tc>
          <w:tcPr>
            <w:tcW w:w="8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产出指标</w:t>
            </w:r>
          </w:p>
        </w:tc>
        <w:tc>
          <w:tcPr>
            <w:tcW w:w="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数量指标</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救生圈、救生衣</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c>
          <w:tcPr>
            <w:tcW w:w="4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70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件</w:t>
            </w:r>
          </w:p>
        </w:tc>
        <w:tc>
          <w:tcPr>
            <w:tcW w:w="3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42件</w:t>
            </w:r>
          </w:p>
        </w:tc>
        <w:tc>
          <w:tcPr>
            <w:tcW w:w="42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w:t>
            </w:r>
          </w:p>
        </w:tc>
        <w:tc>
          <w:tcPr>
            <w:tcW w:w="8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绩效目标设置不够精确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产出指标</w:t>
            </w:r>
          </w:p>
        </w:tc>
        <w:tc>
          <w:tcPr>
            <w:tcW w:w="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数量指标</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浮鼓</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c>
          <w:tcPr>
            <w:tcW w:w="4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12</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只</w:t>
            </w:r>
          </w:p>
        </w:tc>
        <w:tc>
          <w:tcPr>
            <w:tcW w:w="3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6只</w:t>
            </w:r>
          </w:p>
        </w:tc>
        <w:tc>
          <w:tcPr>
            <w:tcW w:w="42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w:t>
            </w:r>
          </w:p>
        </w:tc>
        <w:tc>
          <w:tcPr>
            <w:tcW w:w="8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绩效目标设置不够精确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产出指标</w:t>
            </w:r>
          </w:p>
        </w:tc>
        <w:tc>
          <w:tcPr>
            <w:tcW w:w="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数量指标</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船型标</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c>
          <w:tcPr>
            <w:tcW w:w="4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个/艘</w:t>
            </w:r>
          </w:p>
        </w:tc>
        <w:tc>
          <w:tcPr>
            <w:tcW w:w="3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3个</w:t>
            </w:r>
          </w:p>
        </w:tc>
        <w:tc>
          <w:tcPr>
            <w:tcW w:w="42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w:t>
            </w:r>
          </w:p>
        </w:tc>
        <w:tc>
          <w:tcPr>
            <w:tcW w:w="8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产出指标</w:t>
            </w:r>
          </w:p>
        </w:tc>
        <w:tc>
          <w:tcPr>
            <w:tcW w:w="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质量指标</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航道恢复（达到适航标准）</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c>
          <w:tcPr>
            <w:tcW w:w="4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152</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公里</w:t>
            </w:r>
          </w:p>
        </w:tc>
        <w:tc>
          <w:tcPr>
            <w:tcW w:w="3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152公里</w:t>
            </w:r>
          </w:p>
        </w:tc>
        <w:tc>
          <w:tcPr>
            <w:tcW w:w="42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w:t>
            </w:r>
          </w:p>
        </w:tc>
        <w:tc>
          <w:tcPr>
            <w:tcW w:w="8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效益指标</w:t>
            </w:r>
          </w:p>
        </w:tc>
        <w:tc>
          <w:tcPr>
            <w:tcW w:w="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社会效益指标</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航道通航率</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c>
          <w:tcPr>
            <w:tcW w:w="4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98</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c>
          <w:tcPr>
            <w:tcW w:w="3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98%</w:t>
            </w:r>
          </w:p>
        </w:tc>
        <w:tc>
          <w:tcPr>
            <w:tcW w:w="42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20</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20</w:t>
            </w:r>
          </w:p>
        </w:tc>
        <w:tc>
          <w:tcPr>
            <w:tcW w:w="8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满意度指标</w:t>
            </w:r>
          </w:p>
        </w:tc>
        <w:tc>
          <w:tcPr>
            <w:tcW w:w="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服务对象满意度指标</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航标用户满意度</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c>
          <w:tcPr>
            <w:tcW w:w="4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95</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c>
          <w:tcPr>
            <w:tcW w:w="3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95%</w:t>
            </w:r>
          </w:p>
        </w:tc>
        <w:tc>
          <w:tcPr>
            <w:tcW w:w="42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w:t>
            </w:r>
          </w:p>
        </w:tc>
        <w:tc>
          <w:tcPr>
            <w:tcW w:w="8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成本指标</w:t>
            </w:r>
          </w:p>
        </w:tc>
        <w:tc>
          <w:tcPr>
            <w:tcW w:w="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经济成本指标</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航道灾毁修复资金</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c>
          <w:tcPr>
            <w:tcW w:w="4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70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万元</w:t>
            </w:r>
          </w:p>
        </w:tc>
        <w:tc>
          <w:tcPr>
            <w:tcW w:w="3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70 万元</w:t>
            </w:r>
          </w:p>
        </w:tc>
        <w:tc>
          <w:tcPr>
            <w:tcW w:w="42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w:t>
            </w:r>
          </w:p>
        </w:tc>
        <w:tc>
          <w:tcPr>
            <w:tcW w:w="8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9"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合计</w:t>
            </w:r>
          </w:p>
        </w:tc>
        <w:tc>
          <w:tcPr>
            <w:tcW w:w="4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w:t>
            </w:r>
            <w:r>
              <w:rPr>
                <w:rFonts w:hint="eastAsia" w:ascii="宋体" w:hAnsi="宋体" w:cs="宋体"/>
                <w:b w:val="0"/>
                <w:bCs w:val="0"/>
                <w:i w:val="0"/>
                <w:iCs w:val="0"/>
                <w:color w:val="000000"/>
                <w:kern w:val="0"/>
                <w:sz w:val="18"/>
                <w:szCs w:val="18"/>
                <w:u w:val="none"/>
                <w:lang w:val="en-US" w:eastAsia="zh-CN" w:bidi="ar"/>
              </w:rPr>
              <w:t>7</w:t>
            </w:r>
            <w:r>
              <w:rPr>
                <w:rFonts w:hint="eastAsia" w:ascii="宋体" w:hAnsi="宋体" w:eastAsia="宋体" w:cs="宋体"/>
                <w:b w:val="0"/>
                <w:bCs w:val="0"/>
                <w:i w:val="0"/>
                <w:iCs w:val="0"/>
                <w:color w:val="000000"/>
                <w:kern w:val="0"/>
                <w:sz w:val="18"/>
                <w:szCs w:val="18"/>
                <w:u w:val="none"/>
                <w:lang w:val="en-US" w:eastAsia="zh-CN" w:bidi="ar"/>
              </w:rPr>
              <w:t xml:space="preserve"> </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97</w:t>
            </w:r>
          </w:p>
        </w:tc>
        <w:tc>
          <w:tcPr>
            <w:tcW w:w="8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部门（单位）自评结论</w:t>
            </w:r>
          </w:p>
        </w:tc>
        <w:tc>
          <w:tcPr>
            <w:tcW w:w="4304"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val="0"/>
                <w:bCs w:val="0"/>
                <w:i/>
                <w:iCs/>
                <w:color w:val="000000"/>
                <w:sz w:val="16"/>
                <w:szCs w:val="16"/>
                <w:u w:val="none"/>
              </w:rPr>
            </w:pPr>
            <w:r>
              <w:rPr>
                <w:rFonts w:hint="eastAsia" w:ascii="微软雅黑" w:hAnsi="微软雅黑" w:eastAsia="微软雅黑" w:cs="微软雅黑"/>
                <w:b w:val="0"/>
                <w:bCs w:val="0"/>
                <w:i/>
                <w:iCs/>
                <w:color w:val="000000"/>
                <w:kern w:val="0"/>
                <w:sz w:val="16"/>
                <w:szCs w:val="16"/>
                <w:u w:val="none"/>
                <w:lang w:val="en-US" w:eastAsia="zh-CN" w:bidi="ar"/>
              </w:rPr>
              <w:t>本项目通过自评，得分为97分。通过我段防汛抢险及航道设施灾毁修复工程的完工，提升了应急抢险设施设备的功能，恢复了部分助导航设施设备的作业，维护了辖区航道良好通航功能，保障了辖区船舶航行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6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部门（单位）自评存在问题</w:t>
            </w:r>
          </w:p>
        </w:tc>
        <w:tc>
          <w:tcPr>
            <w:tcW w:w="4304"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val="0"/>
                <w:bCs w:val="0"/>
                <w:i/>
                <w:iCs/>
                <w:color w:val="000000"/>
                <w:sz w:val="16"/>
                <w:szCs w:val="16"/>
                <w:u w:val="none"/>
              </w:rPr>
            </w:pPr>
            <w:r>
              <w:rPr>
                <w:rFonts w:hint="eastAsia" w:ascii="微软雅黑" w:hAnsi="微软雅黑" w:eastAsia="微软雅黑" w:cs="微软雅黑"/>
                <w:b w:val="0"/>
                <w:bCs w:val="0"/>
                <w:i/>
                <w:iCs/>
                <w:color w:val="000000"/>
                <w:kern w:val="0"/>
                <w:sz w:val="16"/>
                <w:szCs w:val="16"/>
                <w:u w:val="none"/>
                <w:lang w:val="en-US" w:eastAsia="zh-CN" w:bidi="ar"/>
              </w:rPr>
              <w:t>因对2022年新冠疫情防控的突然性预估不足，结合冬季多雨雪霜冻天气较多等不利因素叠加，存在后期项目实施进度与资金拨付中时间冲突。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6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部门（单位）自评改进措施</w:t>
            </w:r>
          </w:p>
        </w:tc>
        <w:tc>
          <w:tcPr>
            <w:tcW w:w="4304"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val="0"/>
                <w:bCs w:val="0"/>
                <w:i/>
                <w:iCs/>
                <w:color w:val="000000"/>
                <w:sz w:val="16"/>
                <w:szCs w:val="16"/>
                <w:u w:val="none"/>
              </w:rPr>
            </w:pPr>
            <w:r>
              <w:rPr>
                <w:rFonts w:hint="eastAsia" w:ascii="微软雅黑" w:hAnsi="微软雅黑" w:eastAsia="微软雅黑" w:cs="微软雅黑"/>
                <w:b w:val="0"/>
                <w:bCs w:val="0"/>
                <w:i/>
                <w:iCs/>
                <w:color w:val="000000"/>
                <w:kern w:val="0"/>
                <w:sz w:val="16"/>
                <w:szCs w:val="16"/>
                <w:u w:val="none"/>
                <w:lang w:val="en-US" w:eastAsia="zh-CN" w:bidi="ar"/>
              </w:rPr>
              <w:t>合理规划项目实施进度，预估项目实施的重要难点及节点，持续优化工艺和工序，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63"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单位项目负责人：</w:t>
            </w:r>
            <w:r>
              <w:rPr>
                <w:rFonts w:hint="eastAsia" w:ascii="宋体" w:hAnsi="宋体" w:cs="宋体"/>
                <w:b w:val="0"/>
                <w:bCs w:val="0"/>
                <w:i w:val="0"/>
                <w:iCs w:val="0"/>
                <w:color w:val="000000"/>
                <w:kern w:val="0"/>
                <w:sz w:val="18"/>
                <w:szCs w:val="18"/>
                <w:u w:val="none"/>
                <w:lang w:val="en-US" w:eastAsia="zh-CN" w:bidi="ar"/>
              </w:rPr>
              <w:t>赵俊</w:t>
            </w:r>
          </w:p>
        </w:tc>
        <w:tc>
          <w:tcPr>
            <w:tcW w:w="163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单位财务负责人：</w:t>
            </w:r>
            <w:r>
              <w:rPr>
                <w:rFonts w:hint="eastAsia" w:ascii="宋体" w:hAnsi="宋体" w:cs="宋体"/>
                <w:b w:val="0"/>
                <w:bCs w:val="0"/>
                <w:i w:val="0"/>
                <w:iCs w:val="0"/>
                <w:color w:val="000000"/>
                <w:kern w:val="0"/>
                <w:sz w:val="18"/>
                <w:szCs w:val="18"/>
                <w:u w:val="none"/>
                <w:lang w:val="en-US" w:eastAsia="zh-CN" w:bidi="ar"/>
              </w:rPr>
              <w:t>余天鹏</w:t>
            </w:r>
          </w:p>
        </w:tc>
      </w:tr>
    </w:tbl>
    <w:p>
      <w:pPr>
        <w:spacing w:line="600" w:lineRule="exact"/>
        <w:jc w:val="center"/>
        <w:outlineLvl w:val="0"/>
        <w:rPr>
          <w:rFonts w:hint="eastAsia" w:ascii="仿宋" w:hAnsi="仿宋" w:eastAsia="仿宋"/>
          <w:b w:val="0"/>
          <w:color w:val="auto"/>
          <w:highlight w:val="none"/>
        </w:rPr>
      </w:pPr>
      <w:bookmarkStart w:id="74" w:name="_Toc6744"/>
      <w:r>
        <w:rPr>
          <w:rFonts w:hint="eastAsia" w:ascii="黑体" w:hAnsi="黑体" w:eastAsia="黑体"/>
          <w:color w:val="auto"/>
          <w:sz w:val="44"/>
          <w:szCs w:val="44"/>
          <w:highlight w:val="none"/>
        </w:rPr>
        <w:t>第</w:t>
      </w:r>
      <w:r>
        <w:rPr>
          <w:rStyle w:val="17"/>
          <w:rFonts w:hint="eastAsia" w:ascii="黑体" w:hAnsi="黑体" w:eastAsia="黑体"/>
          <w:b w:val="0"/>
          <w:color w:val="auto"/>
          <w:highlight w:val="none"/>
        </w:rPr>
        <w:t>五部分 附表</w:t>
      </w:r>
      <w:bookmarkEnd w:id="70"/>
      <w:bookmarkEnd w:id="73"/>
      <w:bookmarkEnd w:id="74"/>
      <w:bookmarkStart w:id="75" w:name="_Toc15396619"/>
    </w:p>
    <w:p>
      <w:pPr>
        <w:pStyle w:val="4"/>
        <w:rPr>
          <w:rFonts w:ascii="仿宋" w:hAnsi="仿宋" w:eastAsia="仿宋"/>
          <w:color w:val="auto"/>
          <w:highlight w:val="none"/>
        </w:rPr>
      </w:pPr>
      <w:bookmarkStart w:id="76" w:name="_Toc4594"/>
      <w:r>
        <w:rPr>
          <w:rFonts w:hint="eastAsia" w:ascii="仿宋" w:hAnsi="仿宋" w:eastAsia="仿宋"/>
          <w:b w:val="0"/>
          <w:color w:val="auto"/>
          <w:highlight w:val="none"/>
        </w:rPr>
        <w:t>一、收</w:t>
      </w:r>
      <w:r>
        <w:rPr>
          <w:rStyle w:val="18"/>
          <w:rFonts w:hint="eastAsia" w:ascii="仿宋" w:hAnsi="仿宋" w:eastAsia="仿宋"/>
          <w:b w:val="0"/>
          <w:bCs w:val="0"/>
          <w:color w:val="auto"/>
          <w:highlight w:val="none"/>
        </w:rPr>
        <w:t>入支出决算总表</w:t>
      </w:r>
      <w:bookmarkEnd w:id="75"/>
      <w:bookmarkEnd w:id="76"/>
    </w:p>
    <w:p>
      <w:pPr>
        <w:pStyle w:val="4"/>
        <w:rPr>
          <w:rFonts w:ascii="仿宋" w:hAnsi="仿宋" w:eastAsia="仿宋"/>
          <w:color w:val="auto"/>
          <w:highlight w:val="none"/>
        </w:rPr>
      </w:pPr>
      <w:bookmarkStart w:id="77" w:name="_Toc15396620"/>
      <w:bookmarkStart w:id="78" w:name="_Toc5059"/>
      <w:r>
        <w:rPr>
          <w:rFonts w:hint="eastAsia" w:ascii="仿宋" w:hAnsi="仿宋" w:eastAsia="仿宋"/>
          <w:b w:val="0"/>
          <w:color w:val="auto"/>
          <w:highlight w:val="none"/>
        </w:rPr>
        <w:t>二、收</w:t>
      </w:r>
      <w:r>
        <w:rPr>
          <w:rStyle w:val="18"/>
          <w:rFonts w:hint="eastAsia" w:ascii="仿宋" w:hAnsi="仿宋" w:eastAsia="仿宋"/>
          <w:b w:val="0"/>
          <w:bCs w:val="0"/>
          <w:color w:val="auto"/>
          <w:highlight w:val="none"/>
        </w:rPr>
        <w:t>入决算表</w:t>
      </w:r>
      <w:bookmarkEnd w:id="77"/>
      <w:bookmarkEnd w:id="78"/>
    </w:p>
    <w:p>
      <w:pPr>
        <w:pStyle w:val="4"/>
        <w:rPr>
          <w:rFonts w:ascii="仿宋" w:hAnsi="仿宋" w:eastAsia="仿宋"/>
          <w:color w:val="auto"/>
          <w:highlight w:val="none"/>
        </w:rPr>
      </w:pPr>
      <w:bookmarkStart w:id="79" w:name="_Toc2211"/>
      <w:bookmarkStart w:id="80" w:name="_Toc15396621"/>
      <w:r>
        <w:rPr>
          <w:rStyle w:val="18"/>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18"/>
          <w:rFonts w:hint="eastAsia" w:ascii="仿宋" w:hAnsi="仿宋" w:eastAsia="仿宋"/>
          <w:b w:val="0"/>
          <w:bCs w:val="0"/>
          <w:color w:val="auto"/>
          <w:highlight w:val="none"/>
        </w:rPr>
        <w:t>出决算表</w:t>
      </w:r>
      <w:bookmarkEnd w:id="79"/>
      <w:bookmarkEnd w:id="80"/>
    </w:p>
    <w:p>
      <w:pPr>
        <w:pStyle w:val="4"/>
        <w:rPr>
          <w:rFonts w:ascii="仿宋" w:hAnsi="仿宋" w:eastAsia="仿宋"/>
          <w:b w:val="0"/>
          <w:color w:val="auto"/>
          <w:highlight w:val="none"/>
        </w:rPr>
      </w:pPr>
      <w:bookmarkStart w:id="81" w:name="_Toc15396622"/>
      <w:bookmarkStart w:id="82" w:name="_Toc24189"/>
      <w:r>
        <w:rPr>
          <w:rStyle w:val="18"/>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18"/>
          <w:rFonts w:hint="eastAsia" w:ascii="仿宋" w:hAnsi="仿宋" w:eastAsia="仿宋"/>
          <w:b w:val="0"/>
          <w:bCs w:val="0"/>
          <w:color w:val="auto"/>
          <w:highlight w:val="none"/>
        </w:rPr>
        <w:t>政拨款收入支出决算总表</w:t>
      </w:r>
      <w:bookmarkEnd w:id="81"/>
      <w:bookmarkEnd w:id="82"/>
    </w:p>
    <w:p>
      <w:pPr>
        <w:pStyle w:val="4"/>
        <w:rPr>
          <w:rStyle w:val="18"/>
          <w:rFonts w:ascii="仿宋" w:hAnsi="仿宋" w:eastAsia="仿宋"/>
          <w:b w:val="0"/>
          <w:bCs w:val="0"/>
          <w:color w:val="auto"/>
          <w:highlight w:val="none"/>
        </w:rPr>
      </w:pPr>
      <w:bookmarkStart w:id="83" w:name="_Toc5424"/>
      <w:bookmarkStart w:id="84" w:name="_Toc15396623"/>
      <w:r>
        <w:rPr>
          <w:rStyle w:val="18"/>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18"/>
          <w:rFonts w:hint="eastAsia" w:ascii="仿宋" w:hAnsi="仿宋" w:eastAsia="仿宋"/>
          <w:b w:val="0"/>
          <w:bCs w:val="0"/>
          <w:color w:val="auto"/>
          <w:highlight w:val="none"/>
        </w:rPr>
        <w:t>政拨款支出决算明细表</w:t>
      </w:r>
      <w:bookmarkEnd w:id="83"/>
      <w:bookmarkEnd w:id="84"/>
      <w:bookmarkStart w:id="85" w:name="_Toc15396624"/>
    </w:p>
    <w:p>
      <w:pPr>
        <w:pStyle w:val="4"/>
        <w:rPr>
          <w:rFonts w:ascii="仿宋" w:hAnsi="仿宋" w:eastAsia="仿宋"/>
          <w:color w:val="auto"/>
          <w:highlight w:val="none"/>
        </w:rPr>
      </w:pPr>
      <w:bookmarkStart w:id="86" w:name="_Toc1856"/>
      <w:r>
        <w:rPr>
          <w:rStyle w:val="18"/>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18"/>
          <w:rFonts w:hint="eastAsia" w:ascii="仿宋" w:hAnsi="仿宋" w:eastAsia="仿宋"/>
          <w:b w:val="0"/>
          <w:bCs w:val="0"/>
          <w:color w:val="auto"/>
          <w:highlight w:val="none"/>
        </w:rPr>
        <w:t>般公共预算财政拨款支出决算表</w:t>
      </w:r>
      <w:bookmarkEnd w:id="85"/>
      <w:bookmarkEnd w:id="86"/>
    </w:p>
    <w:p>
      <w:pPr>
        <w:pStyle w:val="4"/>
        <w:rPr>
          <w:rFonts w:ascii="仿宋" w:hAnsi="仿宋" w:eastAsia="仿宋"/>
          <w:color w:val="auto"/>
          <w:highlight w:val="none"/>
        </w:rPr>
      </w:pPr>
      <w:bookmarkStart w:id="87" w:name="_Toc29131"/>
      <w:bookmarkStart w:id="88" w:name="_Toc15396625"/>
      <w:r>
        <w:rPr>
          <w:rStyle w:val="18"/>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18"/>
          <w:rFonts w:hint="eastAsia" w:ascii="仿宋" w:hAnsi="仿宋" w:eastAsia="仿宋"/>
          <w:b w:val="0"/>
          <w:bCs w:val="0"/>
          <w:color w:val="auto"/>
          <w:highlight w:val="none"/>
        </w:rPr>
        <w:t>般公共预算财政拨款支出决算明细表</w:t>
      </w:r>
      <w:bookmarkEnd w:id="87"/>
      <w:bookmarkEnd w:id="88"/>
    </w:p>
    <w:p>
      <w:pPr>
        <w:pStyle w:val="4"/>
        <w:rPr>
          <w:rFonts w:ascii="仿宋" w:hAnsi="仿宋" w:eastAsia="仿宋"/>
          <w:color w:val="auto"/>
          <w:highlight w:val="none"/>
        </w:rPr>
      </w:pPr>
      <w:bookmarkStart w:id="89" w:name="_Toc15396626"/>
      <w:bookmarkStart w:id="90" w:name="_Toc9832"/>
      <w:r>
        <w:rPr>
          <w:rStyle w:val="18"/>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18"/>
          <w:rFonts w:hint="eastAsia" w:ascii="仿宋" w:hAnsi="仿宋" w:eastAsia="仿宋"/>
          <w:b w:val="0"/>
          <w:bCs w:val="0"/>
          <w:color w:val="auto"/>
          <w:highlight w:val="none"/>
        </w:rPr>
        <w:t>般公共预算财政拨款基本支出决算表</w:t>
      </w:r>
      <w:bookmarkEnd w:id="89"/>
      <w:bookmarkEnd w:id="90"/>
    </w:p>
    <w:p>
      <w:pPr>
        <w:pStyle w:val="4"/>
        <w:rPr>
          <w:rFonts w:ascii="仿宋" w:hAnsi="仿宋" w:eastAsia="仿宋"/>
          <w:color w:val="auto"/>
          <w:highlight w:val="none"/>
        </w:rPr>
      </w:pPr>
      <w:bookmarkStart w:id="91" w:name="_Toc18562"/>
      <w:bookmarkStart w:id="92" w:name="_Toc15396627"/>
      <w:r>
        <w:rPr>
          <w:rStyle w:val="18"/>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18"/>
          <w:rFonts w:hint="eastAsia" w:ascii="仿宋" w:hAnsi="仿宋" w:eastAsia="仿宋"/>
          <w:b w:val="0"/>
          <w:bCs w:val="0"/>
          <w:color w:val="auto"/>
          <w:highlight w:val="none"/>
        </w:rPr>
        <w:t>般公共预算财政拨款项目支出决算表</w:t>
      </w:r>
      <w:bookmarkEnd w:id="91"/>
      <w:bookmarkEnd w:id="92"/>
    </w:p>
    <w:p>
      <w:pPr>
        <w:pStyle w:val="4"/>
        <w:rPr>
          <w:rFonts w:ascii="仿宋" w:hAnsi="仿宋" w:eastAsia="仿宋"/>
          <w:color w:val="auto"/>
          <w:highlight w:val="none"/>
        </w:rPr>
      </w:pPr>
      <w:bookmarkStart w:id="93" w:name="_Toc15396628"/>
      <w:bookmarkStart w:id="94" w:name="_Toc3153"/>
      <w:r>
        <w:rPr>
          <w:rStyle w:val="18"/>
          <w:rFonts w:hint="eastAsia" w:ascii="仿宋" w:hAnsi="仿宋" w:eastAsia="仿宋"/>
          <w:b w:val="0"/>
          <w:bCs w:val="0"/>
          <w:color w:val="auto"/>
          <w:highlight w:val="none"/>
        </w:rPr>
        <w:t>十、</w:t>
      </w:r>
      <w:bookmarkEnd w:id="93"/>
      <w:r>
        <w:rPr>
          <w:rFonts w:hint="eastAsia" w:ascii="仿宋" w:hAnsi="仿宋" w:eastAsia="仿宋"/>
          <w:b w:val="0"/>
          <w:color w:val="auto"/>
          <w:highlight w:val="none"/>
        </w:rPr>
        <w:t>政</w:t>
      </w:r>
      <w:r>
        <w:rPr>
          <w:rStyle w:val="18"/>
          <w:rFonts w:hint="eastAsia" w:ascii="仿宋" w:hAnsi="仿宋" w:eastAsia="仿宋"/>
          <w:b w:val="0"/>
          <w:bCs w:val="0"/>
          <w:color w:val="auto"/>
          <w:highlight w:val="none"/>
        </w:rPr>
        <w:t>府性基金预算财政拨款收入支出决算表</w:t>
      </w:r>
      <w:bookmarkEnd w:id="94"/>
    </w:p>
    <w:p>
      <w:pPr>
        <w:pStyle w:val="4"/>
        <w:rPr>
          <w:rFonts w:ascii="仿宋" w:hAnsi="仿宋" w:eastAsia="仿宋"/>
          <w:color w:val="auto"/>
          <w:highlight w:val="none"/>
        </w:rPr>
      </w:pPr>
      <w:bookmarkStart w:id="95" w:name="_Toc15396629"/>
      <w:bookmarkStart w:id="96" w:name="_Toc17604"/>
      <w:r>
        <w:rPr>
          <w:rStyle w:val="18"/>
          <w:rFonts w:hint="eastAsia" w:ascii="仿宋" w:hAnsi="仿宋" w:eastAsia="仿宋"/>
          <w:b w:val="0"/>
          <w:bCs w:val="0"/>
          <w:color w:val="auto"/>
          <w:highlight w:val="none"/>
        </w:rPr>
        <w:t>十一、</w:t>
      </w:r>
      <w:bookmarkEnd w:id="95"/>
      <w:r>
        <w:rPr>
          <w:rFonts w:hint="eastAsia" w:ascii="仿宋" w:hAnsi="仿宋" w:eastAsia="仿宋"/>
          <w:b w:val="0"/>
          <w:color w:val="auto"/>
          <w:highlight w:val="none"/>
        </w:rPr>
        <w:t>国</w:t>
      </w:r>
      <w:r>
        <w:rPr>
          <w:rStyle w:val="18"/>
          <w:rFonts w:hint="eastAsia" w:ascii="仿宋" w:hAnsi="仿宋" w:eastAsia="仿宋"/>
          <w:b w:val="0"/>
          <w:bCs w:val="0"/>
          <w:color w:val="auto"/>
          <w:highlight w:val="none"/>
        </w:rPr>
        <w:t>有资本经营预算</w:t>
      </w:r>
      <w:r>
        <w:rPr>
          <w:rStyle w:val="18"/>
          <w:rFonts w:hint="eastAsia" w:ascii="仿宋" w:hAnsi="仿宋" w:eastAsia="仿宋"/>
          <w:b w:val="0"/>
          <w:bCs w:val="0"/>
          <w:color w:val="auto"/>
          <w:highlight w:val="none"/>
          <w:lang w:eastAsia="zh-CN"/>
        </w:rPr>
        <w:t>财政拨款收入</w:t>
      </w:r>
      <w:r>
        <w:rPr>
          <w:rStyle w:val="18"/>
          <w:rFonts w:hint="eastAsia" w:ascii="仿宋" w:hAnsi="仿宋" w:eastAsia="仿宋"/>
          <w:b w:val="0"/>
          <w:bCs w:val="0"/>
          <w:color w:val="auto"/>
          <w:highlight w:val="none"/>
        </w:rPr>
        <w:t>支出决算表</w:t>
      </w:r>
      <w:bookmarkEnd w:id="96"/>
    </w:p>
    <w:p>
      <w:pPr>
        <w:pStyle w:val="4"/>
        <w:rPr>
          <w:rFonts w:ascii="仿宋" w:hAnsi="仿宋" w:eastAsia="仿宋"/>
          <w:color w:val="auto"/>
          <w:highlight w:val="none"/>
        </w:rPr>
      </w:pPr>
      <w:bookmarkStart w:id="97" w:name="_Toc15396630"/>
      <w:bookmarkStart w:id="98" w:name="_Toc18748"/>
      <w:r>
        <w:rPr>
          <w:rStyle w:val="18"/>
          <w:rFonts w:hint="eastAsia" w:ascii="仿宋" w:hAnsi="仿宋" w:eastAsia="仿宋"/>
          <w:b w:val="0"/>
          <w:bCs w:val="0"/>
          <w:color w:val="auto"/>
          <w:highlight w:val="none"/>
        </w:rPr>
        <w:t>十二、</w:t>
      </w:r>
      <w:bookmarkEnd w:id="97"/>
      <w:r>
        <w:rPr>
          <w:rStyle w:val="18"/>
          <w:rFonts w:hint="eastAsia" w:ascii="仿宋" w:hAnsi="仿宋" w:eastAsia="仿宋"/>
          <w:b w:val="0"/>
          <w:bCs w:val="0"/>
          <w:color w:val="auto"/>
          <w:highlight w:val="none"/>
          <w:lang w:eastAsia="zh-CN"/>
        </w:rPr>
        <w:t>国有资本经营预算财政拨款支出决算表</w:t>
      </w:r>
      <w:bookmarkEnd w:id="98"/>
    </w:p>
    <w:p>
      <w:pPr>
        <w:pStyle w:val="4"/>
        <w:rPr>
          <w:rFonts w:hint="eastAsia" w:eastAsia="仿宋"/>
          <w:color w:val="auto"/>
          <w:highlight w:val="none"/>
          <w:lang w:eastAsia="zh-CN"/>
        </w:rPr>
      </w:pPr>
      <w:bookmarkStart w:id="99" w:name="_Toc15396631"/>
      <w:bookmarkStart w:id="100" w:name="_Toc17936"/>
      <w:r>
        <w:rPr>
          <w:rStyle w:val="18"/>
          <w:rFonts w:hint="eastAsia" w:ascii="仿宋" w:hAnsi="仿宋" w:eastAsia="仿宋"/>
          <w:b w:val="0"/>
          <w:bCs w:val="0"/>
          <w:color w:val="auto"/>
          <w:highlight w:val="none"/>
        </w:rPr>
        <w:t>十三、</w:t>
      </w:r>
      <w:bookmarkEnd w:id="99"/>
      <w:r>
        <w:rPr>
          <w:rStyle w:val="18"/>
          <w:rFonts w:hint="eastAsia" w:ascii="仿宋" w:hAnsi="仿宋" w:eastAsia="仿宋"/>
          <w:b w:val="0"/>
          <w:bCs w:val="0"/>
          <w:color w:val="auto"/>
          <w:highlight w:val="none"/>
          <w:lang w:eastAsia="zh-CN"/>
        </w:rPr>
        <w:t>财政拨款“三公”经费支出决算表</w:t>
      </w:r>
      <w:bookmarkEnd w:id="100"/>
    </w:p>
    <w:sectPr>
      <w:footerReference r:id="rId7" w:type="first"/>
      <w:footerReference r:id="rId6" w:type="default"/>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F0D12155-92A1-4E5C-8CB0-99BB0A9DC01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5630B5F1-DADC-4793-9565-FF4D82D0D5B6}"/>
  </w:font>
  <w:font w:name="Cambria">
    <w:panose1 w:val="02040503050406030204"/>
    <w:charset w:val="00"/>
    <w:family w:val="roman"/>
    <w:pitch w:val="default"/>
    <w:sig w:usb0="E00002FF" w:usb1="400004FF" w:usb2="00000000" w:usb3="00000000" w:csb0="2000019F" w:csb1="00000000"/>
    <w:embedRegular r:id="rId3" w:fontKey="{CCC5FF06-12BA-44D0-A3B0-5281CC5DA1EE}"/>
  </w:font>
  <w:font w:name="仿宋_GB2312">
    <w:panose1 w:val="02010609030101010101"/>
    <w:charset w:val="86"/>
    <w:family w:val="modern"/>
    <w:pitch w:val="default"/>
    <w:sig w:usb0="00000001" w:usb1="080E0000" w:usb2="00000000" w:usb3="00000000" w:csb0="00040000" w:csb1="00000000"/>
    <w:embedRegular r:id="rId4" w:fontKey="{866958DC-2FF1-401E-AEB0-78D1144A46BD}"/>
  </w:font>
  <w:font w:name="仿宋">
    <w:panose1 w:val="02010609060101010101"/>
    <w:charset w:val="86"/>
    <w:family w:val="auto"/>
    <w:pitch w:val="default"/>
    <w:sig w:usb0="800002BF" w:usb1="38CF7CFA" w:usb2="00000016" w:usb3="00000000" w:csb0="00040001" w:csb1="00000000"/>
    <w:embedRegular r:id="rId5" w:fontKey="{E4E698B0-145D-4D0A-8020-8CD6E08885DF}"/>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embedRegular r:id="rId6" w:fontKey="{E9794195-5B9C-4D6C-BD71-7963F07020D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w:t>
                    </w:r>
                    <w:r>
                      <w:fldChar w:fldCharType="end"/>
                    </w:r>
                  </w:p>
                </w:txbxContent>
              </v:textbox>
            </v:shape>
          </w:pict>
        </mc:Fallback>
      </mc:AlternateContent>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D3555616"/>
    <w:multiLevelType w:val="singleLevel"/>
    <w:tmpl w:val="D3555616"/>
    <w:lvl w:ilvl="0" w:tentative="0">
      <w:start w:val="1"/>
      <w:numFmt w:val="decimal"/>
      <w:suff w:val="nothing"/>
      <w:lvlText w:val="%1．"/>
      <w:lvlJc w:val="left"/>
      <w:pPr>
        <w:ind w:left="0" w:firstLine="400"/>
      </w:pPr>
      <w:rPr>
        <w:rFonts w:hint="default"/>
        <w:b w:val="0"/>
        <w:bCs w:val="0"/>
        <w:sz w:val="32"/>
        <w:szCs w:val="32"/>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3818A09A"/>
    <w:multiLevelType w:val="singleLevel"/>
    <w:tmpl w:val="3818A09A"/>
    <w:lvl w:ilvl="0" w:tentative="0">
      <w:start w:val="1"/>
      <w:numFmt w:val="chineseCounting"/>
      <w:suff w:val="nothing"/>
      <w:lvlText w:val="%1、"/>
      <w:lvlJc w:val="left"/>
      <w:rPr>
        <w:rFonts w:hint="eastAsia"/>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1ZjcwZmRlMjVkNjhmNDIyMzlmZTQwODY3MGVjMzA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37E6"/>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0FD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BC1AB4"/>
    <w:rsid w:val="03CE1686"/>
    <w:rsid w:val="04691584"/>
    <w:rsid w:val="053A62B5"/>
    <w:rsid w:val="065F2600"/>
    <w:rsid w:val="067D59FE"/>
    <w:rsid w:val="086504F8"/>
    <w:rsid w:val="088C6F96"/>
    <w:rsid w:val="08E21B49"/>
    <w:rsid w:val="092869E0"/>
    <w:rsid w:val="099C357D"/>
    <w:rsid w:val="0A2032A3"/>
    <w:rsid w:val="0B8A37D8"/>
    <w:rsid w:val="0BBF2615"/>
    <w:rsid w:val="0BFE313E"/>
    <w:rsid w:val="0C290DC5"/>
    <w:rsid w:val="10C055FF"/>
    <w:rsid w:val="10FB7C4C"/>
    <w:rsid w:val="118107EC"/>
    <w:rsid w:val="11DD6519"/>
    <w:rsid w:val="1254758B"/>
    <w:rsid w:val="12673EBC"/>
    <w:rsid w:val="126E269F"/>
    <w:rsid w:val="12A5715C"/>
    <w:rsid w:val="14364F5E"/>
    <w:rsid w:val="1548367B"/>
    <w:rsid w:val="16BB723D"/>
    <w:rsid w:val="17B62B1E"/>
    <w:rsid w:val="18015F3F"/>
    <w:rsid w:val="18A14E91"/>
    <w:rsid w:val="1BE8440E"/>
    <w:rsid w:val="1D155CEE"/>
    <w:rsid w:val="1D9E208B"/>
    <w:rsid w:val="1D9E7C3F"/>
    <w:rsid w:val="1F2760B0"/>
    <w:rsid w:val="20337402"/>
    <w:rsid w:val="20BF5AA4"/>
    <w:rsid w:val="20F57F95"/>
    <w:rsid w:val="21700ACA"/>
    <w:rsid w:val="21D72533"/>
    <w:rsid w:val="21E12E8E"/>
    <w:rsid w:val="228C5F60"/>
    <w:rsid w:val="22D447A0"/>
    <w:rsid w:val="240371BF"/>
    <w:rsid w:val="25711CC6"/>
    <w:rsid w:val="25C741E6"/>
    <w:rsid w:val="25D52D09"/>
    <w:rsid w:val="27842671"/>
    <w:rsid w:val="28767424"/>
    <w:rsid w:val="28AA222B"/>
    <w:rsid w:val="29000B11"/>
    <w:rsid w:val="29B81DBD"/>
    <w:rsid w:val="29FD04D3"/>
    <w:rsid w:val="2ABE7A3E"/>
    <w:rsid w:val="2AE17A5A"/>
    <w:rsid w:val="2B7E32B5"/>
    <w:rsid w:val="2BB56619"/>
    <w:rsid w:val="2CA234A8"/>
    <w:rsid w:val="2D1259F8"/>
    <w:rsid w:val="2D14044A"/>
    <w:rsid w:val="2EFA178C"/>
    <w:rsid w:val="2FB4573E"/>
    <w:rsid w:val="30B46D73"/>
    <w:rsid w:val="319F7F4E"/>
    <w:rsid w:val="31D245A1"/>
    <w:rsid w:val="322B1B09"/>
    <w:rsid w:val="32A63A63"/>
    <w:rsid w:val="32BF68D3"/>
    <w:rsid w:val="345C1524"/>
    <w:rsid w:val="369574AD"/>
    <w:rsid w:val="383D272C"/>
    <w:rsid w:val="38E3083D"/>
    <w:rsid w:val="39171238"/>
    <w:rsid w:val="39812B34"/>
    <w:rsid w:val="39AE70AB"/>
    <w:rsid w:val="39FF3A59"/>
    <w:rsid w:val="3A080B60"/>
    <w:rsid w:val="3B1B2B15"/>
    <w:rsid w:val="3BDA2B5B"/>
    <w:rsid w:val="3C0C0783"/>
    <w:rsid w:val="3D411B14"/>
    <w:rsid w:val="3D825EA5"/>
    <w:rsid w:val="3DCB54D0"/>
    <w:rsid w:val="3F9F3A96"/>
    <w:rsid w:val="41085755"/>
    <w:rsid w:val="4162324B"/>
    <w:rsid w:val="42503CCD"/>
    <w:rsid w:val="42937435"/>
    <w:rsid w:val="42C13FA2"/>
    <w:rsid w:val="42C341BE"/>
    <w:rsid w:val="442474D4"/>
    <w:rsid w:val="44867251"/>
    <w:rsid w:val="44AB18FE"/>
    <w:rsid w:val="44D228F4"/>
    <w:rsid w:val="45790B64"/>
    <w:rsid w:val="46340F2E"/>
    <w:rsid w:val="472745EF"/>
    <w:rsid w:val="482F5E51"/>
    <w:rsid w:val="48907CC8"/>
    <w:rsid w:val="48A506F0"/>
    <w:rsid w:val="48BF60AB"/>
    <w:rsid w:val="493C27E9"/>
    <w:rsid w:val="496F39ED"/>
    <w:rsid w:val="497B7973"/>
    <w:rsid w:val="49FF41D3"/>
    <w:rsid w:val="4BE068DB"/>
    <w:rsid w:val="4BF6002B"/>
    <w:rsid w:val="4C3B3017"/>
    <w:rsid w:val="4D203FBB"/>
    <w:rsid w:val="4D313C3B"/>
    <w:rsid w:val="4D8F462F"/>
    <w:rsid w:val="4ECE2238"/>
    <w:rsid w:val="507375BC"/>
    <w:rsid w:val="50F80838"/>
    <w:rsid w:val="517B62E1"/>
    <w:rsid w:val="51DB4B86"/>
    <w:rsid w:val="54EF4833"/>
    <w:rsid w:val="55333C3E"/>
    <w:rsid w:val="571B73B5"/>
    <w:rsid w:val="57396626"/>
    <w:rsid w:val="57EE0EDB"/>
    <w:rsid w:val="580525A2"/>
    <w:rsid w:val="5A521942"/>
    <w:rsid w:val="5AF36C4F"/>
    <w:rsid w:val="5B12588A"/>
    <w:rsid w:val="5B2630E4"/>
    <w:rsid w:val="5C105359"/>
    <w:rsid w:val="5CB17CAA"/>
    <w:rsid w:val="5D1F428F"/>
    <w:rsid w:val="5EA36BFC"/>
    <w:rsid w:val="5EF446F3"/>
    <w:rsid w:val="5F161B2A"/>
    <w:rsid w:val="5F615F3B"/>
    <w:rsid w:val="61625A1B"/>
    <w:rsid w:val="61C471B3"/>
    <w:rsid w:val="627110E9"/>
    <w:rsid w:val="63043D0B"/>
    <w:rsid w:val="6425732E"/>
    <w:rsid w:val="64CA39A1"/>
    <w:rsid w:val="64E80E78"/>
    <w:rsid w:val="650A3B2D"/>
    <w:rsid w:val="65FA31A3"/>
    <w:rsid w:val="66430FEE"/>
    <w:rsid w:val="669F3BDF"/>
    <w:rsid w:val="68A85647"/>
    <w:rsid w:val="69630ADE"/>
    <w:rsid w:val="6B637A3C"/>
    <w:rsid w:val="6C4A05C8"/>
    <w:rsid w:val="6C912A78"/>
    <w:rsid w:val="6D3B1A89"/>
    <w:rsid w:val="6E8151DA"/>
    <w:rsid w:val="6EBD07B4"/>
    <w:rsid w:val="6F6873CF"/>
    <w:rsid w:val="6FA91941"/>
    <w:rsid w:val="6FAB21CF"/>
    <w:rsid w:val="70EB475C"/>
    <w:rsid w:val="71BF4EC2"/>
    <w:rsid w:val="71FA3967"/>
    <w:rsid w:val="71FB17C3"/>
    <w:rsid w:val="72734D90"/>
    <w:rsid w:val="7412278C"/>
    <w:rsid w:val="747A5269"/>
    <w:rsid w:val="75161006"/>
    <w:rsid w:val="7590142E"/>
    <w:rsid w:val="75B73335"/>
    <w:rsid w:val="76944F4E"/>
    <w:rsid w:val="774D5D80"/>
    <w:rsid w:val="77A56C97"/>
    <w:rsid w:val="7904082E"/>
    <w:rsid w:val="79E7B28D"/>
    <w:rsid w:val="7ABE49F4"/>
    <w:rsid w:val="7C190FDC"/>
    <w:rsid w:val="7C311D86"/>
    <w:rsid w:val="7CEA58C8"/>
    <w:rsid w:val="7D7628C1"/>
    <w:rsid w:val="7DF2712A"/>
    <w:rsid w:val="7F5578B1"/>
    <w:rsid w:val="7F9F20EE"/>
    <w:rsid w:val="7FE20888"/>
    <w:rsid w:val="9E3A10E2"/>
    <w:rsid w:val="AFB73D66"/>
    <w:rsid w:val="F2E1F9D4"/>
    <w:rsid w:val="F7880819"/>
    <w:rsid w:val="FEAFECE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style>
  <w:style w:type="paragraph" w:styleId="6">
    <w:name w:val="Body Text"/>
    <w:basedOn w:val="1"/>
    <w:link w:val="25"/>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9"/>
    <w:semiHidden/>
    <w:unhideWhenUsed/>
    <w:qFormat/>
    <w:uiPriority w:val="99"/>
    <w:rPr>
      <w:sz w:val="18"/>
      <w:szCs w:val="18"/>
    </w:rPr>
  </w:style>
  <w:style w:type="paragraph" w:styleId="9">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标题 1 Char"/>
    <w:basedOn w:val="14"/>
    <w:link w:val="3"/>
    <w:qFormat/>
    <w:uiPriority w:val="9"/>
    <w:rPr>
      <w:rFonts w:ascii="Times New Roman" w:hAnsi="Times New Roman"/>
      <w:b/>
      <w:bCs/>
      <w:kern w:val="44"/>
      <w:sz w:val="44"/>
      <w:szCs w:val="44"/>
    </w:rPr>
  </w:style>
  <w:style w:type="character" w:customStyle="1" w:styleId="18">
    <w:name w:val="标题 2 Char"/>
    <w:basedOn w:val="14"/>
    <w:link w:val="4"/>
    <w:qFormat/>
    <w:uiPriority w:val="9"/>
    <w:rPr>
      <w:rFonts w:asciiTheme="majorHAnsi" w:hAnsiTheme="majorHAnsi" w:eastAsiaTheme="majorEastAsia" w:cstheme="majorBidi"/>
      <w:b/>
      <w:bCs/>
      <w:kern w:val="2"/>
      <w:sz w:val="32"/>
      <w:szCs w:val="32"/>
    </w:rPr>
  </w:style>
  <w:style w:type="character" w:customStyle="1" w:styleId="19">
    <w:name w:val="标题 3 Char"/>
    <w:basedOn w:val="14"/>
    <w:link w:val="5"/>
    <w:qFormat/>
    <w:uiPriority w:val="9"/>
    <w:rPr>
      <w:rFonts w:ascii="Times New Roman" w:hAnsi="Times New Roman"/>
      <w:b/>
      <w:bCs/>
      <w:kern w:val="2"/>
      <w:sz w:val="32"/>
      <w:szCs w:val="32"/>
    </w:rPr>
  </w:style>
  <w:style w:type="character" w:customStyle="1" w:styleId="20">
    <w:name w:val="Header Char"/>
    <w:basedOn w:val="14"/>
    <w:semiHidden/>
    <w:qFormat/>
    <w:uiPriority w:val="99"/>
    <w:rPr>
      <w:rFonts w:ascii="Times New Roman" w:hAnsi="Times New Roman"/>
      <w:sz w:val="18"/>
      <w:szCs w:val="18"/>
    </w:rPr>
  </w:style>
  <w:style w:type="character" w:customStyle="1" w:styleId="21">
    <w:name w:val="页眉 Char"/>
    <w:link w:val="10"/>
    <w:semiHidden/>
    <w:qFormat/>
    <w:locked/>
    <w:uiPriority w:val="99"/>
    <w:rPr>
      <w:sz w:val="18"/>
    </w:rPr>
  </w:style>
  <w:style w:type="character" w:customStyle="1" w:styleId="22">
    <w:name w:val="Footer Char"/>
    <w:basedOn w:val="14"/>
    <w:semiHidden/>
    <w:qFormat/>
    <w:uiPriority w:val="99"/>
    <w:rPr>
      <w:rFonts w:ascii="Times New Roman" w:hAnsi="Times New Roman"/>
      <w:sz w:val="18"/>
      <w:szCs w:val="18"/>
    </w:rPr>
  </w:style>
  <w:style w:type="character" w:customStyle="1" w:styleId="23">
    <w:name w:val="页脚 Char"/>
    <w:link w:val="9"/>
    <w:qFormat/>
    <w:locked/>
    <w:uiPriority w:val="99"/>
    <w:rPr>
      <w:sz w:val="18"/>
    </w:rPr>
  </w:style>
  <w:style w:type="character" w:customStyle="1" w:styleId="24">
    <w:name w:val="Body Text Char"/>
    <w:basedOn w:val="14"/>
    <w:semiHidden/>
    <w:qFormat/>
    <w:uiPriority w:val="99"/>
    <w:rPr>
      <w:rFonts w:ascii="Times New Roman" w:hAnsi="Times New Roman"/>
      <w:szCs w:val="24"/>
    </w:rPr>
  </w:style>
  <w:style w:type="character" w:customStyle="1" w:styleId="25">
    <w:name w:val="正文文本 Char"/>
    <w:link w:val="6"/>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4"/>
    <w:link w:val="8"/>
    <w:semiHidden/>
    <w:qFormat/>
    <w:uiPriority w:val="99"/>
    <w:rPr>
      <w:rFonts w:ascii="Times New Roman" w:hAnsi="Times New Roman"/>
      <w:kern w:val="2"/>
      <w:sz w:val="18"/>
      <w:szCs w:val="18"/>
    </w:rPr>
  </w:style>
  <w:style w:type="paragraph" w:customStyle="1" w:styleId="30">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1">
    <w:name w:val="WPSOffice手动目录 1"/>
    <w:qFormat/>
    <w:uiPriority w:val="0"/>
    <w:pPr>
      <w:ind w:leftChars="0"/>
    </w:pPr>
    <w:rPr>
      <w:rFonts w:ascii="Times New Roman" w:hAnsi="Times New Roman" w:eastAsia="宋体" w:cs="Times New Roman"/>
      <w:sz w:val="20"/>
      <w:szCs w:val="20"/>
    </w:rPr>
  </w:style>
  <w:style w:type="paragraph" w:customStyle="1" w:styleId="32">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7.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收支决算总计对比</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2021年</c:v>
                </c:pt>
                <c:pt idx="1">
                  <c:v>2022年</c:v>
                </c:pt>
              </c:strCache>
            </c:strRef>
          </c:cat>
          <c:val>
            <c:numRef>
              <c:f>Sheet1!$B$2:$B$3</c:f>
              <c:numCache>
                <c:formatCode>General</c:formatCode>
                <c:ptCount val="2"/>
                <c:pt idx="0">
                  <c:v>843.49</c:v>
                </c:pt>
                <c:pt idx="1">
                  <c:v>1064.9</c:v>
                </c:pt>
              </c:numCache>
            </c:numRef>
          </c:val>
        </c:ser>
        <c:dLbls>
          <c:showLegendKey val="0"/>
          <c:showVal val="1"/>
          <c:showCatName val="0"/>
          <c:showSerName val="0"/>
          <c:showPercent val="0"/>
          <c:showBubbleSize val="0"/>
        </c:dLbls>
        <c:gapWidth val="246"/>
        <c:overlap val="-28"/>
        <c:axId val="138314481"/>
        <c:axId val="152792666"/>
      </c:barChart>
      <c:catAx>
        <c:axId val="13831448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2792666"/>
        <c:crosses val="autoZero"/>
        <c:auto val="1"/>
        <c:lblAlgn val="ctr"/>
        <c:lblOffset val="100"/>
        <c:noMultiLvlLbl val="0"/>
      </c:catAx>
      <c:valAx>
        <c:axId val="152792666"/>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831448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manualLayout>
          <c:layoutTarget val="inner"/>
          <c:xMode val="edge"/>
          <c:yMode val="edge"/>
          <c:x val="0.119473302730128"/>
          <c:y val="0.280705482362941"/>
          <c:w val="0.350809374244987"/>
          <c:h val="0.617084572885678"/>
        </c:manualLayout>
      </c:layout>
      <c:pieChart>
        <c:varyColors val="1"/>
        <c:ser>
          <c:idx val="0"/>
          <c:order val="0"/>
          <c:tx>
            <c:strRef>
              <c:f>Sheet1!$B$1</c:f>
              <c:strCache>
                <c:ptCount val="1"/>
                <c:pt idx="0">
                  <c:v>本年收入</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一般公共预算财政拨款收入</c:v>
                </c:pt>
                <c:pt idx="1">
                  <c:v>其他收入</c:v>
                </c:pt>
              </c:strCache>
            </c:strRef>
          </c:cat>
          <c:val>
            <c:numRef>
              <c:f>Sheet1!$B$2:$B$3</c:f>
              <c:numCache>
                <c:formatCode>General</c:formatCode>
                <c:ptCount val="2"/>
                <c:pt idx="0">
                  <c:v>1064.5</c:v>
                </c:pt>
                <c:pt idx="1">
                  <c:v>0.35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本年支出</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988.87</c:v>
                </c:pt>
                <c:pt idx="1">
                  <c:v>75.6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财政拨款收支决算总计对比</a:t>
            </a:r>
            <a:endParaRPr lang="en-US" altLang="zh-CN"/>
          </a:p>
        </c:rich>
      </c:tx>
      <c:layout/>
      <c:overlay val="0"/>
      <c:spPr>
        <a:noFill/>
        <a:ln>
          <a:noFill/>
        </a:ln>
        <a:effectLst/>
      </c:spPr>
    </c:title>
    <c:autoTitleDeleted val="0"/>
    <c:plotArea>
      <c:layout>
        <c:manualLayout>
          <c:layoutTarget val="inner"/>
          <c:xMode val="edge"/>
          <c:yMode val="edge"/>
          <c:x val="0.0613191592172022"/>
          <c:y val="0.161920951976201"/>
          <c:w val="0.913916404928727"/>
          <c:h val="0.638631534211645"/>
        </c:manualLayout>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2021年</c:v>
                </c:pt>
                <c:pt idx="1">
                  <c:v>2022年</c:v>
                </c:pt>
              </c:strCache>
            </c:strRef>
          </c:cat>
          <c:val>
            <c:numRef>
              <c:f>Sheet1!$B$2:$B$3</c:f>
              <c:numCache>
                <c:formatCode>General</c:formatCode>
                <c:ptCount val="2"/>
                <c:pt idx="0">
                  <c:v>843.47</c:v>
                </c:pt>
                <c:pt idx="1">
                  <c:v>1064.55</c:v>
                </c:pt>
              </c:numCache>
            </c:numRef>
          </c:val>
        </c:ser>
        <c:dLbls>
          <c:showLegendKey val="0"/>
          <c:showVal val="0"/>
          <c:showCatName val="0"/>
          <c:showSerName val="0"/>
          <c:showPercent val="0"/>
          <c:showBubbleSize val="0"/>
        </c:dLbls>
        <c:gapWidth val="246"/>
        <c:overlap val="-28"/>
        <c:axId val="156204470"/>
        <c:axId val="234312734"/>
        <c:extLst>
          <c:ext xmlns:c15="http://schemas.microsoft.com/office/drawing/2012/chart" uri="{02D57815-91ED-43cb-92C2-25804820EDAC}">
            <c15:filteredBarSeries>
              <c15:ser>
                <c:idx val="1"/>
                <c:order val="1"/>
                <c:tx>
                  <c:strRef>
                    <c:extLst>
                      <c:ext uri="{02D57815-91ED-43cb-92C2-25804820EDAC}">
                        <c15:formulaRef>
                          <c15:sqref>Sheet1!#REF!</c15:sqref>
                        </c15:formulaRef>
                      </c:ext>
                    </c:extLst>
                    <c:strCache>
                      <c:ptCount val="1"/>
                      <c:pt idx="0">
                        <c:v/>
                      </c:pt>
                    </c:strCache>
                  </c:strRef>
                </c:tx>
                <c:spPr>
                  <a:solidFill>
                    <a:schemeClr val="accent2"/>
                  </a:solidFill>
                  <a:ln>
                    <a:noFill/>
                  </a:ln>
                  <a:effectLst/>
                </c:spPr>
                <c:invertIfNegative val="0"/>
                <c:dLbls>
                  <c:delete val="1"/>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delete val="1"/>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15620447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4312734"/>
        <c:crosses val="autoZero"/>
        <c:auto val="1"/>
        <c:lblAlgn val="ctr"/>
        <c:lblOffset val="100"/>
        <c:noMultiLvlLbl val="0"/>
      </c:catAx>
      <c:valAx>
        <c:axId val="234312734"/>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620447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一般公共预算财政拨款支出决算对比</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2021年</c:v>
                </c:pt>
                <c:pt idx="1">
                  <c:v>2022年</c:v>
                </c:pt>
              </c:strCache>
            </c:strRef>
          </c:cat>
          <c:val>
            <c:numRef>
              <c:f>Sheet1!$B$2:$B$3</c:f>
              <c:numCache>
                <c:formatCode>General</c:formatCode>
                <c:ptCount val="2"/>
                <c:pt idx="0">
                  <c:v>843.42</c:v>
                </c:pt>
                <c:pt idx="1">
                  <c:v>1064.47</c:v>
                </c:pt>
              </c:numCache>
            </c:numRef>
          </c:val>
        </c:ser>
        <c:dLbls>
          <c:showLegendKey val="0"/>
          <c:showVal val="0"/>
          <c:showCatName val="0"/>
          <c:showSerName val="0"/>
          <c:showPercent val="0"/>
          <c:showBubbleSize val="0"/>
        </c:dLbls>
        <c:gapWidth val="246"/>
        <c:overlap val="-28"/>
        <c:axId val="845543374"/>
        <c:axId val="728902749"/>
      </c:barChart>
      <c:catAx>
        <c:axId val="84554337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8902749"/>
        <c:crosses val="autoZero"/>
        <c:auto val="1"/>
        <c:lblAlgn val="ctr"/>
        <c:lblOffset val="100"/>
        <c:noMultiLvlLbl val="0"/>
      </c:catAx>
      <c:valAx>
        <c:axId val="728902749"/>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4554337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社会保障和就业支出</c:v>
                </c:pt>
                <c:pt idx="1">
                  <c:v>卫生健康支出</c:v>
                </c:pt>
                <c:pt idx="2">
                  <c:v>交通运输支出</c:v>
                </c:pt>
                <c:pt idx="3">
                  <c:v>住房保障支出</c:v>
                </c:pt>
              </c:strCache>
            </c:strRef>
          </c:cat>
          <c:val>
            <c:numRef>
              <c:f>Sheet1!$B$2:$B$5</c:f>
              <c:numCache>
                <c:formatCode>General</c:formatCode>
                <c:ptCount val="4"/>
                <c:pt idx="0">
                  <c:v>84.41</c:v>
                </c:pt>
                <c:pt idx="1">
                  <c:v>29.47</c:v>
                </c:pt>
                <c:pt idx="2">
                  <c:v>878.04</c:v>
                </c:pt>
                <c:pt idx="3">
                  <c:v>72.55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
</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dLblPos val="bestFit"/>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0.0</a:t>
                    </a:r>
                    <a:r>
                      <a:rPr lang="en-US" altLang="zh-CN"/>
                      <a:t>5</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公务用车购置及运行维护费</c:v>
                </c:pt>
                <c:pt idx="1">
                  <c:v>公务接待费</c:v>
                </c:pt>
              </c:strCache>
            </c:strRef>
          </c:cat>
          <c:val>
            <c:numRef>
              <c:f>Sheet1!$B$2:$B$3</c:f>
              <c:numCache>
                <c:formatCode>General</c:formatCode>
                <c:ptCount val="2"/>
                <c:pt idx="0">
                  <c:v>2.16</c:v>
                </c:pt>
                <c:pt idx="1">
                  <c:v>0.06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四川省财政厅</Company>
  <Pages>32</Pages>
  <Words>12648</Words>
  <Characters>14637</Characters>
  <Lines>61</Lines>
  <Paragraphs>17</Paragraphs>
  <TotalTime>8</TotalTime>
  <ScaleCrop>false</ScaleCrop>
  <LinksUpToDate>false</LinksUpToDate>
  <CharactersWithSpaces>14780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2020-08-05T17:49:00Z</dcterms:created>
  <dc:creator>曹颖</dc:creator>
  <cp:lastModifiedBy>dada ==</cp:lastModifiedBy>
  <cp:lastPrinted>2023-07-31T18:35:00Z</cp:lastPrinted>
  <dcterms:modified xsi:type="dcterms:W3CDTF">2023-10-26T02:21:06Z</dcterms:modified>
  <dc:title>四川省***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3E0B1E845CDC4956BB7CDD0C1DB2DC08_13</vt:lpwstr>
  </property>
</Properties>
</file>