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广元市港航发展中心（部门）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80" w:lineRule="atLeast"/>
        <w:ind w:left="0" w:right="0" w:firstLine="0"/>
        <w:jc w:val="cente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highlight w:val="none"/>
          <w:shd w:val="clear" w:color="auto" w:fill="FFFFFF"/>
          <w:lang w:val="en-US" w:eastAsia="zh-CN" w:bidi="ar"/>
          <w14:textFill>
            <w14:solidFill>
              <w14:schemeClr w14:val="tx1"/>
            </w14:solidFill>
          </w14:textFill>
        </w:rPr>
        <w:t>2024年部门预算编制说明</w:t>
      </w:r>
    </w:p>
    <w:p>
      <w:pPr>
        <w:jc w:val="center"/>
        <w:rPr>
          <w:rFonts w:hint="eastAsia" w:ascii="黑体" w:hAnsi="黑体" w:eastAsia="黑体" w:cs="黑体"/>
          <w:b/>
          <w:bCs/>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pPr>
      <w:r>
        <w:rPr>
          <w:rFonts w:hint="eastAsia" w:ascii="黑体" w:hAnsi="黑体" w:eastAsia="黑体" w:cs="黑体"/>
          <w:b w:val="0"/>
          <w:bCs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目   录</w:t>
      </w:r>
    </w:p>
    <w:sdt>
      <w:sdtPr>
        <w:rPr>
          <w:rFonts w:ascii="宋体" w:hAnsi="宋体" w:eastAsia="宋体" w:cs="Times New Roman"/>
          <w:color w:val="auto"/>
          <w:kern w:val="2"/>
          <w:sz w:val="21"/>
          <w:szCs w:val="24"/>
          <w:lang w:val="en-US" w:eastAsia="zh-CN" w:bidi="ar-SA"/>
        </w:rPr>
        <w:id w:val="147465980"/>
        <w15:color w:val="DBDBDB"/>
        <w:docPartObj>
          <w:docPartGallery w:val="Table of Contents"/>
          <w:docPartUnique/>
        </w:docPartObj>
      </w:sdtPr>
      <w:sdtEndPr>
        <w:rPr>
          <w:rFonts w:hint="eastAsia" w:ascii="宋体" w:hAnsi="宋体" w:eastAsia="宋体" w:cs="宋体"/>
          <w:b/>
          <w:i w:val="0"/>
          <w:caps w:val="0"/>
          <w:color w:val="000000" w:themeColor="text1"/>
          <w:spacing w:val="0"/>
          <w:kern w:val="0"/>
          <w:sz w:val="24"/>
          <w:szCs w:val="28"/>
          <w:highlight w:val="none"/>
          <w:shd w:val="clear" w:color="auto" w:fill="FFFFFF"/>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pPr>
        </w:p>
        <w:p>
          <w:pPr>
            <w:pStyle w:val="6"/>
            <w:tabs>
              <w:tab w:val="right" w:leader="dot" w:pos="8845"/>
            </w:tabs>
          </w:pP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instrText xml:space="preserve">TOC \o "1-2" \h \u </w:instrText>
          </w:r>
          <w:r>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fldChar w:fldCharType="separate"/>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_Toc24823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一、基本职能及主要工作</w:t>
          </w:r>
          <w:r>
            <w:tab/>
          </w:r>
          <w:r>
            <w:fldChar w:fldCharType="begin"/>
          </w:r>
          <w:r>
            <w:instrText xml:space="preserve"> PAGEREF _Toc24823 \h </w:instrText>
          </w:r>
          <w:r>
            <w:fldChar w:fldCharType="separate"/>
          </w:r>
          <w:r>
            <w:t>2</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_Toc27487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方正楷体_GB2312" w:hAnsi="方正楷体_GB2312" w:eastAsia="方正楷体_GB2312" w:cs="方正楷体_GB2312"/>
              <w:bCs w:val="0"/>
              <w:i w:val="0"/>
              <w:caps w:val="0"/>
              <w:spacing w:val="0"/>
              <w:szCs w:val="32"/>
              <w:shd w:val="clear" w:color="auto" w:fill="FFFFFF"/>
              <w:lang w:eastAsia="zh-CN"/>
            </w:rPr>
            <w:t>（</w:t>
          </w:r>
          <w:r>
            <w:rPr>
              <w:rFonts w:hint="eastAsia" w:ascii="方正楷体_GB2312" w:hAnsi="方正楷体_GB2312" w:eastAsia="方正楷体_GB2312" w:cs="方正楷体_GB2312"/>
              <w:bCs w:val="0"/>
              <w:i w:val="0"/>
              <w:caps w:val="0"/>
              <w:spacing w:val="0"/>
              <w:szCs w:val="32"/>
              <w:shd w:val="clear" w:color="auto" w:fill="FFFFFF"/>
              <w:lang w:val="en-US" w:eastAsia="zh-CN"/>
            </w:rPr>
            <w:t>一</w:t>
          </w:r>
          <w:r>
            <w:rPr>
              <w:rFonts w:hint="eastAsia" w:ascii="方正楷体_GB2312" w:hAnsi="方正楷体_GB2312" w:eastAsia="方正楷体_GB2312" w:cs="方正楷体_GB2312"/>
              <w:bCs w:val="0"/>
              <w:i w:val="0"/>
              <w:caps w:val="0"/>
              <w:spacing w:val="0"/>
              <w:szCs w:val="32"/>
              <w:shd w:val="clear" w:color="auto" w:fill="FFFFFF"/>
              <w:lang w:eastAsia="zh-CN"/>
            </w:rPr>
            <w:t>）</w:t>
          </w:r>
          <w:r>
            <w:rPr>
              <w:rFonts w:hint="eastAsia" w:ascii="方正楷体_GB2312" w:hAnsi="方正楷体_GB2312" w:eastAsia="方正楷体_GB2312" w:cs="方正楷体_GB2312"/>
              <w:bCs w:val="0"/>
              <w:i w:val="0"/>
              <w:caps w:val="0"/>
              <w:spacing w:val="0"/>
              <w:szCs w:val="32"/>
              <w:shd w:val="clear" w:color="auto" w:fill="FFFFFF"/>
            </w:rPr>
            <w:t>广元市港航发展中心</w:t>
          </w:r>
          <w:r>
            <w:rPr>
              <w:rFonts w:hint="eastAsia" w:ascii="方正楷体_GB2312" w:hAnsi="方正楷体_GB2312" w:eastAsia="方正楷体_GB2312" w:cs="方正楷体_GB2312"/>
              <w:bCs w:val="0"/>
              <w:i w:val="0"/>
              <w:caps w:val="0"/>
              <w:spacing w:val="0"/>
              <w:szCs w:val="32"/>
              <w:shd w:val="clear" w:color="auto" w:fill="FFFFFF"/>
              <w:lang w:val="en-US" w:eastAsia="zh-CN"/>
            </w:rPr>
            <w:t>（部门）</w:t>
          </w:r>
          <w:r>
            <w:rPr>
              <w:rFonts w:hint="eastAsia" w:ascii="方正楷体_GB2312" w:hAnsi="方正楷体_GB2312" w:eastAsia="方正楷体_GB2312" w:cs="方正楷体_GB2312"/>
              <w:bCs w:val="0"/>
              <w:i w:val="0"/>
              <w:caps w:val="0"/>
              <w:spacing w:val="0"/>
              <w:szCs w:val="32"/>
              <w:shd w:val="clear" w:color="auto" w:fill="FFFFFF"/>
            </w:rPr>
            <w:t>职能简介</w:t>
          </w:r>
          <w:r>
            <w:tab/>
          </w:r>
          <w:r>
            <w:fldChar w:fldCharType="begin"/>
          </w:r>
          <w:r>
            <w:instrText xml:space="preserve"> PAGEREF _Toc27487 \h </w:instrText>
          </w:r>
          <w:r>
            <w:fldChar w:fldCharType="separate"/>
          </w:r>
          <w:r>
            <w:t>2</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_Toc13487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方正楷体_GB2312" w:hAnsi="方正楷体_GB2312" w:eastAsia="方正楷体_GB2312" w:cs="方正楷体_GB2312"/>
              <w:bCs w:val="0"/>
              <w:i w:val="0"/>
              <w:caps w:val="0"/>
              <w:spacing w:val="0"/>
              <w:szCs w:val="32"/>
              <w:shd w:val="clear" w:color="auto" w:fill="FFFFFF"/>
              <w:lang w:eastAsia="zh-CN"/>
            </w:rPr>
            <w:t>（</w:t>
          </w:r>
          <w:r>
            <w:rPr>
              <w:rFonts w:hint="eastAsia" w:ascii="方正楷体_GB2312" w:hAnsi="方正楷体_GB2312" w:eastAsia="方正楷体_GB2312" w:cs="方正楷体_GB2312"/>
              <w:bCs w:val="0"/>
              <w:i w:val="0"/>
              <w:caps w:val="0"/>
              <w:spacing w:val="0"/>
              <w:szCs w:val="32"/>
              <w:shd w:val="clear" w:color="auto" w:fill="FFFFFF"/>
              <w:lang w:val="en-US" w:eastAsia="zh-CN"/>
            </w:rPr>
            <w:t>二</w:t>
          </w:r>
          <w:r>
            <w:rPr>
              <w:rFonts w:hint="eastAsia" w:ascii="方正楷体_GB2312" w:hAnsi="方正楷体_GB2312" w:eastAsia="方正楷体_GB2312" w:cs="方正楷体_GB2312"/>
              <w:bCs w:val="0"/>
              <w:i w:val="0"/>
              <w:caps w:val="0"/>
              <w:spacing w:val="0"/>
              <w:szCs w:val="32"/>
              <w:shd w:val="clear" w:color="auto" w:fill="FFFFFF"/>
              <w:lang w:eastAsia="zh-CN"/>
            </w:rPr>
            <w:t>）</w:t>
          </w:r>
          <w:r>
            <w:rPr>
              <w:rFonts w:hint="eastAsia" w:ascii="方正楷体_GB2312" w:hAnsi="方正楷体_GB2312" w:eastAsia="方正楷体_GB2312" w:cs="方正楷体_GB2312"/>
              <w:bCs w:val="0"/>
              <w:i w:val="0"/>
              <w:caps w:val="0"/>
              <w:spacing w:val="0"/>
              <w:szCs w:val="32"/>
              <w:shd w:val="clear" w:color="auto" w:fill="FFFFFF"/>
            </w:rPr>
            <w:t>广元市港航发展中心</w:t>
          </w:r>
          <w:r>
            <w:rPr>
              <w:rFonts w:hint="eastAsia" w:ascii="楷体_GB2312" w:hAnsi="楷体_GB2312" w:eastAsia="楷体_GB2312" w:cs="楷体_GB2312"/>
              <w:szCs w:val="32"/>
              <w:lang w:val="en-US" w:eastAsia="zh-CN"/>
            </w:rPr>
            <w:t>（部门）</w:t>
          </w:r>
          <w:r>
            <w:rPr>
              <w:rFonts w:hint="eastAsia" w:ascii="楷体_GB2312" w:hAnsi="楷体_GB2312" w:eastAsia="楷体_GB2312" w:cs="楷体_GB2312"/>
              <w:szCs w:val="32"/>
              <w:lang w:val="en-US"/>
            </w:rPr>
            <w:t>2024</w:t>
          </w:r>
          <w:r>
            <w:rPr>
              <w:rFonts w:hint="eastAsia" w:ascii="楷体_GB2312" w:hAnsi="楷体_GB2312" w:eastAsia="楷体_GB2312" w:cs="楷体_GB2312"/>
              <w:szCs w:val="32"/>
            </w:rPr>
            <w:t>年重点工作</w:t>
          </w:r>
          <w:r>
            <w:tab/>
          </w:r>
          <w:r>
            <w:fldChar w:fldCharType="begin"/>
          </w:r>
          <w:r>
            <w:instrText xml:space="preserve"> PAGEREF _Toc13487 \h </w:instrText>
          </w:r>
          <w:r>
            <w:fldChar w:fldCharType="separate"/>
          </w:r>
          <w:r>
            <w:t>3</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_Toc16152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二、部门预算单位构成</w:t>
          </w:r>
          <w:r>
            <w:tab/>
          </w:r>
          <w:r>
            <w:fldChar w:fldCharType="begin"/>
          </w:r>
          <w:r>
            <w:instrText xml:space="preserve"> PAGEREF _Toc16152 \h </w:instrText>
          </w:r>
          <w:r>
            <w:fldChar w:fldCharType="separate"/>
          </w:r>
          <w:r>
            <w:t>5</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_Toc19710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三、收支预算情况说明</w:t>
          </w:r>
          <w:r>
            <w:tab/>
          </w:r>
          <w:r>
            <w:fldChar w:fldCharType="begin"/>
          </w:r>
          <w:r>
            <w:instrText xml:space="preserve"> PAGEREF _Toc19710 \h </w:instrText>
          </w:r>
          <w:r>
            <w:fldChar w:fldCharType="separate"/>
          </w:r>
          <w:r>
            <w:t>5</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_Toc15194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（一）收入预算情况</w:t>
          </w:r>
          <w:r>
            <w:tab/>
          </w:r>
          <w:r>
            <w:fldChar w:fldCharType="begin"/>
          </w:r>
          <w:r>
            <w:instrText xml:space="preserve"> PAGEREF _Toc15194 \h </w:instrText>
          </w:r>
          <w:r>
            <w:fldChar w:fldCharType="separate"/>
          </w:r>
          <w:r>
            <w:t>6</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_Toc2511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（二）支出预算情况</w:t>
          </w:r>
          <w:r>
            <w:tab/>
          </w:r>
          <w:r>
            <w:fldChar w:fldCharType="begin"/>
          </w:r>
          <w:r>
            <w:instrText xml:space="preserve"> PAGEREF _Toc2511 \h </w:instrText>
          </w:r>
          <w:r>
            <w:fldChar w:fldCharType="separate"/>
          </w:r>
          <w:r>
            <w:t>6</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_Toc27843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四、财政拨款收支预算情况说明</w:t>
          </w:r>
          <w:r>
            <w:tab/>
          </w:r>
          <w:r>
            <w:fldChar w:fldCharType="begin"/>
          </w:r>
          <w:r>
            <w:instrText xml:space="preserve"> PAGEREF _Toc27843 \h </w:instrText>
          </w:r>
          <w:r>
            <w:fldChar w:fldCharType="separate"/>
          </w:r>
          <w:r>
            <w:t>6</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_Toc18463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五、一般公共预算当年拨款情况说明</w:t>
          </w:r>
          <w:r>
            <w:tab/>
          </w:r>
          <w:r>
            <w:fldChar w:fldCharType="begin"/>
          </w:r>
          <w:r>
            <w:instrText xml:space="preserve"> PAGEREF _Toc18463 \h </w:instrText>
          </w:r>
          <w:r>
            <w:fldChar w:fldCharType="separate"/>
          </w:r>
          <w:r>
            <w:t>6</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_Toc7118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（一）一般公共预算当年拨款规模变化情况</w:t>
          </w:r>
          <w:r>
            <w:tab/>
          </w:r>
          <w:r>
            <w:fldChar w:fldCharType="begin"/>
          </w:r>
          <w:r>
            <w:instrText xml:space="preserve"> PAGEREF _Toc7118 \h </w:instrText>
          </w:r>
          <w:r>
            <w:fldChar w:fldCharType="separate"/>
          </w:r>
          <w:r>
            <w:t>6</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_Toc22570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（二）一般公共预算当年拨款结构情况</w:t>
          </w:r>
          <w:r>
            <w:tab/>
          </w:r>
          <w:r>
            <w:fldChar w:fldCharType="begin"/>
          </w:r>
          <w:r>
            <w:instrText xml:space="preserve"> PAGEREF _Toc22570 \h </w:instrText>
          </w:r>
          <w:r>
            <w:fldChar w:fldCharType="separate"/>
          </w:r>
          <w:r>
            <w:t>7</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_Toc716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（三）一般公共预算当年拨款具体使用情况</w:t>
          </w:r>
          <w:r>
            <w:tab/>
          </w:r>
          <w:r>
            <w:fldChar w:fldCharType="begin"/>
          </w:r>
          <w:r>
            <w:instrText xml:space="preserve"> PAGEREF _Toc716 \h </w:instrText>
          </w:r>
          <w:r>
            <w:fldChar w:fldCharType="separate"/>
          </w:r>
          <w:r>
            <w:t>7</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_Toc4597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六、一般公共预算基本支出情况说明</w:t>
          </w:r>
          <w:r>
            <w:tab/>
          </w:r>
          <w:r>
            <w:fldChar w:fldCharType="begin"/>
          </w:r>
          <w:r>
            <w:instrText xml:space="preserve"> PAGEREF _Toc4597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_Toc27838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七、 “三公”经费财政拨款预算安排情况说明</w:t>
          </w:r>
          <w:r>
            <w:tab/>
          </w:r>
          <w:r>
            <w:fldChar w:fldCharType="begin"/>
          </w:r>
          <w:r>
            <w:instrText xml:space="preserve"> PAGEREF _Toc27838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_Toc25414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仿宋_GB2312" w:hAnsi="仿宋_GB2312" w:eastAsia="仿宋_GB2312" w:cs="仿宋_GB2312"/>
              <w:kern w:val="2"/>
              <w:szCs w:val="32"/>
              <w:lang w:val="en-US" w:eastAsia="zh-CN" w:bidi="ar-SA"/>
            </w:rPr>
            <w:t>（一）</w:t>
          </w:r>
          <w:r>
            <w:rPr>
              <w:rFonts w:hint="eastAsia" w:ascii="楷体_GB2312" w:hAnsi="楷体_GB2312" w:eastAsia="楷体_GB2312" w:cs="楷体_GB2312"/>
              <w:szCs w:val="32"/>
              <w:lang w:val="en-US" w:eastAsia="zh-CN"/>
            </w:rPr>
            <w:t>公务接待费</w:t>
          </w:r>
          <w:r>
            <w:tab/>
          </w:r>
          <w:r>
            <w:fldChar w:fldCharType="begin"/>
          </w:r>
          <w:r>
            <w:instrText xml:space="preserve"> PAGEREF _Toc25414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_Toc19443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kern w:val="2"/>
              <w:szCs w:val="32"/>
              <w:lang w:val="en-US" w:eastAsia="zh-CN" w:bidi="ar-SA"/>
            </w:rPr>
            <w:t>（二）</w:t>
          </w:r>
          <w:r>
            <w:rPr>
              <w:rFonts w:hint="eastAsia" w:ascii="楷体_GB2312" w:hAnsi="楷体_GB2312" w:eastAsia="楷体_GB2312" w:cs="楷体_GB2312"/>
              <w:szCs w:val="32"/>
              <w:lang w:val="en-US" w:eastAsia="zh-CN"/>
            </w:rPr>
            <w:t>公务用车购置及运行维护费</w:t>
          </w:r>
          <w:r>
            <w:tab/>
          </w:r>
          <w:r>
            <w:fldChar w:fldCharType="begin"/>
          </w:r>
          <w:r>
            <w:instrText xml:space="preserve"> PAGEREF _Toc19443 \h </w:instrText>
          </w:r>
          <w:r>
            <w:fldChar w:fldCharType="separate"/>
          </w:r>
          <w:r>
            <w:t>9</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_Toc19021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仿宋_GB2312" w:hAnsi="仿宋_GB2312" w:eastAsia="仿宋_GB2312" w:cs="仿宋_GB2312"/>
              <w:szCs w:val="32"/>
              <w:lang w:val="en-US" w:eastAsia="zh-CN"/>
            </w:rPr>
            <w:t>（</w:t>
          </w:r>
          <w:r>
            <w:rPr>
              <w:rFonts w:hint="eastAsia" w:ascii="楷体_GB2312" w:hAnsi="楷体_GB2312" w:eastAsia="楷体_GB2312" w:cs="楷体_GB2312"/>
              <w:szCs w:val="32"/>
              <w:lang w:val="en-US" w:eastAsia="zh-CN"/>
            </w:rPr>
            <w:t>三）因公出国（境）经费</w:t>
          </w:r>
          <w:r>
            <w:tab/>
          </w:r>
          <w:r>
            <w:fldChar w:fldCharType="begin"/>
          </w:r>
          <w:r>
            <w:instrText xml:space="preserve"> PAGEREF _Toc19021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_Toc3729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八、政府性基金预算支出情况说明</w:t>
          </w:r>
          <w:r>
            <w:tab/>
          </w:r>
          <w:r>
            <w:fldChar w:fldCharType="begin"/>
          </w:r>
          <w:r>
            <w:instrText xml:space="preserve"> PAGEREF _Toc3729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_Toc2687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九、国有资本经营预算支出情况说明</w:t>
          </w:r>
          <w:r>
            <w:tab/>
          </w:r>
          <w:r>
            <w:fldChar w:fldCharType="begin"/>
          </w:r>
          <w:r>
            <w:instrText xml:space="preserve"> PAGEREF _Toc2687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_Toc26742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十、其他重要事项的情况说明</w:t>
          </w:r>
          <w:r>
            <w:tab/>
          </w:r>
          <w:r>
            <w:fldChar w:fldCharType="begin"/>
          </w:r>
          <w:r>
            <w:instrText xml:space="preserve"> PAGEREF _Toc26742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_Toc5501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（一）机关运行经费</w:t>
          </w:r>
          <w:r>
            <w:tab/>
          </w:r>
          <w:r>
            <w:fldChar w:fldCharType="begin"/>
          </w:r>
          <w:r>
            <w:instrText xml:space="preserve"> PAGEREF _Toc5501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_Toc17685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（二）政府采购情况</w:t>
          </w:r>
          <w:r>
            <w:tab/>
          </w:r>
          <w:r>
            <w:fldChar w:fldCharType="begin"/>
          </w:r>
          <w:r>
            <w:instrText xml:space="preserve"> PAGEREF _Toc17685 \h </w:instrText>
          </w:r>
          <w:r>
            <w:fldChar w:fldCharType="separate"/>
          </w:r>
          <w:r>
            <w:t>10</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_Toc12281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（三）国有资产占有使用情况</w:t>
          </w:r>
          <w:r>
            <w:tab/>
          </w:r>
          <w:r>
            <w:fldChar w:fldCharType="begin"/>
          </w:r>
          <w:r>
            <w:instrText xml:space="preserve"> PAGEREF _Toc12281 \h </w:instrText>
          </w:r>
          <w:r>
            <w:fldChar w:fldCharType="separate"/>
          </w:r>
          <w:r>
            <w:t>11</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8"/>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_Toc26933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楷体_GB2312" w:hAnsi="楷体_GB2312" w:eastAsia="楷体_GB2312" w:cs="楷体_GB2312"/>
              <w:szCs w:val="32"/>
              <w:lang w:val="en-US" w:eastAsia="zh-CN"/>
            </w:rPr>
            <w:t>（四）绩效目标设置情况</w:t>
          </w:r>
          <w:r>
            <w:tab/>
          </w:r>
          <w:r>
            <w:fldChar w:fldCharType="begin"/>
          </w:r>
          <w:r>
            <w:instrText xml:space="preserve"> PAGEREF _Toc26933 \h </w:instrText>
          </w:r>
          <w:r>
            <w:fldChar w:fldCharType="separate"/>
          </w:r>
          <w:r>
            <w:t>11</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6"/>
            <w:tabs>
              <w:tab w:val="right" w:leader="dot" w:pos="8845"/>
            </w:tabs>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begin"/>
          </w:r>
          <w:r>
            <w:rPr>
              <w:rFonts w:hint="eastAsia" w:ascii="宋体" w:hAnsi="宋体" w:eastAsia="宋体" w:cs="宋体"/>
              <w:i w:val="0"/>
              <w:caps w:val="0"/>
              <w:spacing w:val="0"/>
              <w:kern w:val="0"/>
              <w:szCs w:val="28"/>
              <w:highlight w:val="none"/>
              <w:shd w:val="clear" w:color="auto" w:fill="FFFFFF"/>
              <w:lang w:val="en-US" w:eastAsia="zh-CN" w:bidi="ar"/>
            </w:rPr>
            <w:instrText xml:space="preserve"> HYPERLINK \l _Toc23287 </w:instrText>
          </w:r>
          <w:r>
            <w:rPr>
              <w:rFonts w:hint="eastAsia" w:ascii="宋体" w:hAnsi="宋体" w:eastAsia="宋体" w:cs="宋体"/>
              <w:i w:val="0"/>
              <w:caps w:val="0"/>
              <w:spacing w:val="0"/>
              <w:kern w:val="0"/>
              <w:szCs w:val="28"/>
              <w:highlight w:val="none"/>
              <w:shd w:val="clear" w:color="auto" w:fill="FFFFFF"/>
              <w:lang w:val="en-US" w:eastAsia="zh-CN" w:bidi="ar"/>
            </w:rPr>
            <w:fldChar w:fldCharType="separate"/>
          </w:r>
          <w:r>
            <w:rPr>
              <w:rFonts w:hint="eastAsia" w:ascii="黑体" w:hAnsi="黑体" w:eastAsia="黑体" w:cs="黑体"/>
              <w:szCs w:val="32"/>
              <w:lang w:val="en-US" w:eastAsia="zh-CN"/>
            </w:rPr>
            <w:t>十一、名词解释</w:t>
          </w:r>
          <w:r>
            <w:tab/>
          </w:r>
          <w:r>
            <w:fldChar w:fldCharType="begin"/>
          </w:r>
          <w:r>
            <w:instrText xml:space="preserve"> PAGEREF _Toc23287 \h </w:instrText>
          </w:r>
          <w:r>
            <w:fldChar w:fldCharType="separate"/>
          </w:r>
          <w:r>
            <w:t>11</w:t>
          </w:r>
          <w:r>
            <w:fldChar w:fldCharType="end"/>
          </w: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48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caps w:val="0"/>
              <w:color w:val="000000" w:themeColor="text1"/>
              <w:spacing w:val="0"/>
              <w:kern w:val="0"/>
              <w:szCs w:val="28"/>
              <w:highlight w:val="none"/>
              <w:shd w:val="clear" w:color="auto" w:fill="FFFFFF"/>
              <w:lang w:val="en-US" w:eastAsia="zh-CN" w:bidi="ar"/>
              <w14:textFill>
                <w14:solidFill>
                  <w14:schemeClr w14:val="tx1"/>
                </w14:solidFill>
              </w14:textFill>
            </w:rPr>
            <w:fldChar w:fldCharType="end"/>
          </w:r>
        </w:p>
      </w:sdtContent>
    </w:sdt>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0" w:beforeAutospacing="0" w:after="0" w:afterAutospacing="0" w:line="580" w:lineRule="atLeast"/>
        <w:ind w:left="0" w:right="0" w:firstLine="560" w:firstLineChars="200"/>
        <w:jc w:val="both"/>
        <w:rPr>
          <w:rFonts w:hint="eastAsia" w:ascii="宋体" w:hAnsi="宋体" w:eastAsia="宋体" w:cs="宋体"/>
          <w:i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0" w:name="_Toc24823"/>
      <w:r>
        <w:rPr>
          <w:rFonts w:hint="eastAsia" w:ascii="黑体" w:hAnsi="黑体" w:eastAsia="黑体" w:cs="黑体"/>
          <w:sz w:val="32"/>
          <w:szCs w:val="32"/>
          <w:lang w:val="en-US" w:eastAsia="zh-CN"/>
        </w:rPr>
        <w:t>一、基本职能及主要工作</w:t>
      </w:r>
      <w:bookmarkEnd w:id="0"/>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1"/>
        <w:rPr>
          <w:rFonts w:hint="eastAsia" w:ascii="方正楷体_GB2312" w:hAnsi="方正楷体_GB2312" w:eastAsia="方正楷体_GB2312" w:cs="方正楷体_GB2312"/>
          <w:b w:val="0"/>
          <w:bCs w:val="0"/>
          <w:i w:val="0"/>
          <w:caps w:val="0"/>
          <w:color w:val="333333"/>
          <w:spacing w:val="0"/>
          <w:sz w:val="32"/>
          <w:szCs w:val="32"/>
          <w:shd w:val="clear" w:color="auto" w:fill="FFFFFF"/>
        </w:rPr>
      </w:pPr>
      <w:bookmarkStart w:id="1" w:name="_Toc27487"/>
      <w:bookmarkStart w:id="2" w:name="_Toc31075"/>
      <w:r>
        <w:rPr>
          <w:rFonts w:hint="eastAsia" w:ascii="方正楷体_GB2312" w:hAnsi="方正楷体_GB2312" w:eastAsia="方正楷体_GB2312" w:cs="方正楷体_GB2312"/>
          <w:b w:val="0"/>
          <w:bCs w:val="0"/>
          <w:i w:val="0"/>
          <w:caps w:val="0"/>
          <w:color w:val="333333"/>
          <w:spacing w:val="0"/>
          <w:sz w:val="32"/>
          <w:szCs w:val="32"/>
          <w:shd w:val="clear" w:color="auto" w:fill="FFFFFF"/>
          <w:lang w:eastAsia="zh-CN"/>
        </w:rPr>
        <w:t>（</w:t>
      </w:r>
      <w:r>
        <w:rPr>
          <w:rFonts w:hint="eastAsia" w:ascii="方正楷体_GB2312" w:hAnsi="方正楷体_GB2312" w:eastAsia="方正楷体_GB2312" w:cs="方正楷体_GB2312"/>
          <w:b w:val="0"/>
          <w:bCs w:val="0"/>
          <w:i w:val="0"/>
          <w:caps w:val="0"/>
          <w:color w:val="333333"/>
          <w:spacing w:val="0"/>
          <w:sz w:val="32"/>
          <w:szCs w:val="32"/>
          <w:shd w:val="clear" w:color="auto" w:fill="FFFFFF"/>
          <w:lang w:val="en-US" w:eastAsia="zh-CN"/>
        </w:rPr>
        <w:t>一</w:t>
      </w:r>
      <w:r>
        <w:rPr>
          <w:rFonts w:hint="eastAsia" w:ascii="方正楷体_GB2312" w:hAnsi="方正楷体_GB2312" w:eastAsia="方正楷体_GB2312" w:cs="方正楷体_GB2312"/>
          <w:b w:val="0"/>
          <w:bCs w:val="0"/>
          <w:i w:val="0"/>
          <w:caps w:val="0"/>
          <w:color w:val="333333"/>
          <w:spacing w:val="0"/>
          <w:sz w:val="32"/>
          <w:szCs w:val="32"/>
          <w:shd w:val="clear" w:color="auto" w:fill="FFFFFF"/>
          <w:lang w:eastAsia="zh-CN"/>
        </w:rPr>
        <w:t>）</w:t>
      </w:r>
      <w:r>
        <w:rPr>
          <w:rFonts w:hint="eastAsia" w:ascii="方正楷体_GB2312" w:hAnsi="方正楷体_GB2312" w:eastAsia="方正楷体_GB2312" w:cs="方正楷体_GB2312"/>
          <w:b w:val="0"/>
          <w:bCs w:val="0"/>
          <w:i w:val="0"/>
          <w:caps w:val="0"/>
          <w:color w:val="333333"/>
          <w:spacing w:val="0"/>
          <w:sz w:val="32"/>
          <w:szCs w:val="32"/>
          <w:shd w:val="clear" w:color="auto" w:fill="FFFFFF"/>
        </w:rPr>
        <w:t>广元市港航发展中心</w:t>
      </w:r>
      <w:r>
        <w:rPr>
          <w:rFonts w:hint="eastAsia" w:ascii="方正楷体_GB2312" w:hAnsi="方正楷体_GB2312" w:eastAsia="方正楷体_GB2312" w:cs="方正楷体_GB2312"/>
          <w:b w:val="0"/>
          <w:bCs w:val="0"/>
          <w:i w:val="0"/>
          <w:caps w:val="0"/>
          <w:color w:val="333333"/>
          <w:spacing w:val="0"/>
          <w:sz w:val="32"/>
          <w:szCs w:val="32"/>
          <w:shd w:val="clear" w:color="auto" w:fill="FFFFFF"/>
          <w:lang w:val="en-US" w:eastAsia="zh-CN"/>
        </w:rPr>
        <w:t>（部门）</w:t>
      </w:r>
      <w:r>
        <w:rPr>
          <w:rFonts w:hint="eastAsia" w:ascii="方正楷体_GB2312" w:hAnsi="方正楷体_GB2312" w:eastAsia="方正楷体_GB2312" w:cs="方正楷体_GB2312"/>
          <w:b w:val="0"/>
          <w:bCs w:val="0"/>
          <w:i w:val="0"/>
          <w:caps w:val="0"/>
          <w:color w:val="333333"/>
          <w:spacing w:val="0"/>
          <w:sz w:val="32"/>
          <w:szCs w:val="32"/>
          <w:shd w:val="clear" w:color="auto" w:fill="FFFFFF"/>
        </w:rPr>
        <w:t>职能简介</w:t>
      </w:r>
      <w:bookmarkEnd w:id="1"/>
      <w:bookmarkEnd w:id="2"/>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广元市港航发展中心的主要职责：（1）贯彻执行国家、省、市有关水路交通的方针政策、法律法 规和规章，承担全市水运行业发展规划、计划编制的事务工作；（2）负责全市通航设施运行调度，承担涉水工程航道通航条件影响评价的协调工作；（3）指导全市港口、航道基础设施建设和维护管理工作，指导和协调县区完成嘉陵江以外其他航道建设，督促航道养护机构按 照年度养护计划完成航道日常养护工作；（4）承担港口岸线利用项目技术审查工作；（5）负责水路交通运输发展服务和水路交通战备工作；（6）承担全市船员考试服务工作；（7）负责船舶检验、船舶设计图纸技术审查及船舶建造企业业 务指导工作；（8）指导水上交通运输、港口、航道基础设施建设养护等安全生产工作；参与水上交通事故调查船舶技术鉴定工作；（9）承担嘉陵江数字化航道建设、运行和维护工作；（10）负责水运行业的客货运周转量等综合统计工作；（11）承担航运海事行政审批事项现场踏勘、核查相关事务工作；（12）完成市交通运输局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3" w:name="_Toc13487"/>
      <w:r>
        <w:rPr>
          <w:rFonts w:hint="eastAsia" w:ascii="方正楷体_GB2312" w:hAnsi="方正楷体_GB2312" w:eastAsia="方正楷体_GB2312" w:cs="方正楷体_GB2312"/>
          <w:b w:val="0"/>
          <w:bCs w:val="0"/>
          <w:i w:val="0"/>
          <w:caps w:val="0"/>
          <w:color w:val="333333"/>
          <w:spacing w:val="0"/>
          <w:sz w:val="32"/>
          <w:szCs w:val="32"/>
          <w:shd w:val="clear" w:color="auto" w:fill="FFFFFF"/>
          <w:lang w:eastAsia="zh-CN"/>
        </w:rPr>
        <w:t>（</w:t>
      </w:r>
      <w:r>
        <w:rPr>
          <w:rFonts w:hint="eastAsia" w:ascii="方正楷体_GB2312" w:hAnsi="方正楷体_GB2312" w:eastAsia="方正楷体_GB2312" w:cs="方正楷体_GB2312"/>
          <w:b w:val="0"/>
          <w:bCs w:val="0"/>
          <w:i w:val="0"/>
          <w:caps w:val="0"/>
          <w:color w:val="333333"/>
          <w:spacing w:val="0"/>
          <w:sz w:val="32"/>
          <w:szCs w:val="32"/>
          <w:shd w:val="clear" w:color="auto" w:fill="FFFFFF"/>
          <w:lang w:val="en-US" w:eastAsia="zh-CN"/>
        </w:rPr>
        <w:t>二</w:t>
      </w:r>
      <w:r>
        <w:rPr>
          <w:rFonts w:hint="eastAsia" w:ascii="方正楷体_GB2312" w:hAnsi="方正楷体_GB2312" w:eastAsia="方正楷体_GB2312" w:cs="方正楷体_GB2312"/>
          <w:b w:val="0"/>
          <w:bCs w:val="0"/>
          <w:i w:val="0"/>
          <w:caps w:val="0"/>
          <w:color w:val="333333"/>
          <w:spacing w:val="0"/>
          <w:sz w:val="32"/>
          <w:szCs w:val="32"/>
          <w:shd w:val="clear" w:color="auto" w:fill="FFFFFF"/>
          <w:lang w:eastAsia="zh-CN"/>
        </w:rPr>
        <w:t>）</w:t>
      </w:r>
      <w:r>
        <w:rPr>
          <w:rFonts w:hint="eastAsia" w:ascii="方正楷体_GB2312" w:hAnsi="方正楷体_GB2312" w:eastAsia="方正楷体_GB2312" w:cs="方正楷体_GB2312"/>
          <w:b w:val="0"/>
          <w:bCs w:val="0"/>
          <w:i w:val="0"/>
          <w:caps w:val="0"/>
          <w:color w:val="333333"/>
          <w:spacing w:val="0"/>
          <w:sz w:val="32"/>
          <w:szCs w:val="32"/>
          <w:shd w:val="clear" w:color="auto" w:fill="FFFFFF"/>
        </w:rPr>
        <w:t>广元市港航发展中心</w:t>
      </w:r>
      <w:r>
        <w:rPr>
          <w:rFonts w:hint="eastAsia" w:ascii="楷体_GB2312" w:hAnsi="楷体_GB2312" w:eastAsia="楷体_GB2312" w:cs="楷体_GB2312"/>
          <w:sz w:val="32"/>
          <w:szCs w:val="32"/>
          <w:lang w:val="en-US" w:eastAsia="zh-CN"/>
        </w:rPr>
        <w:t>（部门）</w:t>
      </w:r>
      <w:r>
        <w:rPr>
          <w:rFonts w:hint="eastAsia" w:ascii="楷体_GB2312" w:hAnsi="楷体_GB2312" w:eastAsia="楷体_GB2312" w:cs="楷体_GB2312"/>
          <w:sz w:val="32"/>
          <w:szCs w:val="32"/>
          <w:lang w:val="en-US"/>
        </w:rPr>
        <w:t>2024</w:t>
      </w:r>
      <w:r>
        <w:rPr>
          <w:rFonts w:hint="eastAsia" w:ascii="楷体_GB2312" w:hAnsi="楷体_GB2312" w:eastAsia="楷体_GB2312" w:cs="楷体_GB2312"/>
          <w:sz w:val="32"/>
          <w:szCs w:val="32"/>
        </w:rPr>
        <w:t>年重点工作</w:t>
      </w:r>
      <w:bookmarkEnd w:id="3"/>
    </w:p>
    <w:p>
      <w:pPr>
        <w:spacing w:line="576" w:lineRule="exact"/>
        <w:ind w:firstLine="640" w:firstLineChars="200"/>
        <w:rPr>
          <w:rFonts w:ascii="楷体_GB2312" w:hAnsi="仿宋" w:eastAsia="楷体_GB2312" w:cs="Courier New"/>
          <w:bCs/>
          <w:sz w:val="32"/>
          <w:szCs w:val="32"/>
        </w:rPr>
      </w:pPr>
      <w:r>
        <w:rPr>
          <w:rFonts w:hint="eastAsia" w:ascii="仿宋_GB2312" w:eastAsia="仿宋_GB2312"/>
          <w:sz w:val="32"/>
          <w:szCs w:val="32"/>
          <w:shd w:val="clear" w:color="auto" w:fill="FFFFFF"/>
        </w:rPr>
        <w:t>2024年，我中心将以习近平新时代中国特色社会主义思想和党的二十大精神为指引，</w:t>
      </w:r>
      <w:r>
        <w:rPr>
          <w:rFonts w:hint="eastAsia" w:ascii="仿宋_GB2312" w:hAnsi="Arial" w:eastAsia="仿宋_GB2312" w:cs="Arial"/>
          <w:kern w:val="0"/>
          <w:sz w:val="32"/>
          <w:szCs w:val="32"/>
        </w:rPr>
        <w:t>坚决贯彻中央、省、市</w:t>
      </w:r>
      <w:r>
        <w:rPr>
          <w:rFonts w:ascii="仿宋_GB2312" w:hAnsi="Arial" w:eastAsia="仿宋_GB2312" w:cs="Arial"/>
          <w:kern w:val="0"/>
          <w:sz w:val="32"/>
          <w:szCs w:val="32"/>
        </w:rPr>
        <w:t>决策</w:t>
      </w:r>
      <w:r>
        <w:rPr>
          <w:rFonts w:hint="eastAsia" w:ascii="仿宋_GB2312" w:hAnsi="Arial" w:eastAsia="仿宋_GB2312" w:cs="Arial"/>
          <w:kern w:val="0"/>
          <w:sz w:val="32"/>
          <w:szCs w:val="32"/>
        </w:rPr>
        <w:t>部署</w:t>
      </w:r>
      <w:r>
        <w:rPr>
          <w:rFonts w:ascii="仿宋_GB2312" w:hAnsi="Arial" w:eastAsia="仿宋_GB2312" w:cs="Arial"/>
          <w:kern w:val="0"/>
          <w:sz w:val="32"/>
          <w:szCs w:val="32"/>
        </w:rPr>
        <w:t>，</w:t>
      </w:r>
      <w:r>
        <w:rPr>
          <w:rFonts w:ascii="仿宋_GB2312" w:hAnsi="宋体" w:eastAsia="仿宋_GB2312"/>
          <w:sz w:val="32"/>
        </w:rPr>
        <w:t>全面落实</w:t>
      </w:r>
      <w:r>
        <w:rPr>
          <w:rFonts w:hint="eastAsia" w:ascii="仿宋_GB2312" w:hAnsi="宋体" w:eastAsia="仿宋_GB2312"/>
          <w:sz w:val="32"/>
        </w:rPr>
        <w:t>省航务海事中心</w:t>
      </w:r>
      <w:r>
        <w:rPr>
          <w:rFonts w:ascii="仿宋_GB2312" w:hAnsi="宋体" w:eastAsia="仿宋_GB2312"/>
          <w:sz w:val="32"/>
        </w:rPr>
        <w:t>、市交通运输局</w:t>
      </w:r>
      <w:r>
        <w:rPr>
          <w:rFonts w:hint="eastAsia" w:ascii="仿宋_GB2312" w:hAnsi="宋体" w:eastAsia="仿宋_GB2312"/>
          <w:sz w:val="32"/>
        </w:rPr>
        <w:t>各项</w:t>
      </w:r>
      <w:r>
        <w:rPr>
          <w:rFonts w:ascii="仿宋_GB2312" w:hAnsi="宋体" w:eastAsia="仿宋_GB2312"/>
          <w:sz w:val="32"/>
        </w:rPr>
        <w:t>安排</w:t>
      </w:r>
      <w:r>
        <w:rPr>
          <w:rFonts w:hint="eastAsia" w:ascii="仿宋_GB2312" w:hAnsi="宋体" w:eastAsia="仿宋_GB2312"/>
          <w:sz w:val="32"/>
        </w:rPr>
        <w:t>部署</w:t>
      </w:r>
      <w:r>
        <w:rPr>
          <w:rFonts w:ascii="仿宋_GB2312" w:hAnsi="宋体" w:eastAsia="仿宋_GB2312"/>
          <w:sz w:val="32"/>
        </w:rPr>
        <w:t>,</w:t>
      </w:r>
      <w:r>
        <w:rPr>
          <w:rFonts w:hint="eastAsia" w:ascii="仿宋_GB2312" w:hAnsi="宋体" w:eastAsia="仿宋_GB2312"/>
          <w:sz w:val="32"/>
        </w:rPr>
        <w:t>深入贯彻“1345”发展战略，助力加速推进通道优势向经济优势转变。</w:t>
      </w:r>
      <w:r>
        <w:rPr>
          <w:rFonts w:ascii="仿宋_GB2312" w:hAnsi="宋体" w:eastAsia="仿宋_GB2312"/>
          <w:sz w:val="32"/>
        </w:rPr>
        <w:t>坚持稳中求进工作总基调，</w:t>
      </w:r>
      <w:r>
        <w:rPr>
          <w:rFonts w:hint="eastAsia" w:ascii="仿宋_GB2312" w:hAnsi="宋体" w:eastAsia="仿宋_GB2312"/>
          <w:sz w:val="32"/>
        </w:rPr>
        <w:t>精准发力，综合施策</w:t>
      </w:r>
      <w:r>
        <w:rPr>
          <w:rFonts w:ascii="仿宋_GB2312" w:hAnsi="宋体" w:eastAsia="仿宋_GB2312"/>
          <w:sz w:val="32"/>
        </w:rPr>
        <w:t>，</w:t>
      </w:r>
      <w:r>
        <w:rPr>
          <w:rFonts w:hint="eastAsia" w:ascii="仿宋_GB2312" w:hAnsi="宋体" w:eastAsia="仿宋_GB2312"/>
          <w:sz w:val="32"/>
        </w:rPr>
        <w:t>挖掘水运发展潜力，提升水运发展速度，加快建设嘉陵江上游铁公水多式联运中心，形成安全、便捷、高效、绿色的现代水运体系。</w:t>
      </w:r>
    </w:p>
    <w:p>
      <w:pPr>
        <w:spacing w:line="576" w:lineRule="exact"/>
        <w:ind w:firstLine="640" w:firstLineChars="200"/>
        <w:rPr>
          <w:rFonts w:ascii="仿宋_GB2312" w:hAnsi="仿宋" w:eastAsia="仿宋_GB2312" w:cs="黑体"/>
          <w:sz w:val="32"/>
          <w:szCs w:val="32"/>
        </w:rPr>
      </w:pPr>
      <w:r>
        <w:rPr>
          <w:rFonts w:hint="eastAsia" w:ascii="楷体_GB2312" w:hAnsi="楷体_GB2312" w:eastAsia="楷体_GB2312" w:cs="楷体_GB2312"/>
          <w:sz w:val="32"/>
          <w:szCs w:val="32"/>
          <w:lang w:val="en-US" w:eastAsia="zh-CN"/>
        </w:rPr>
        <w:t>1.</w:t>
      </w:r>
      <w:r>
        <w:rPr>
          <w:rFonts w:hint="eastAsia" w:ascii="楷体_GB2312" w:eastAsia="楷体_GB2312"/>
          <w:bCs/>
          <w:sz w:val="32"/>
          <w:szCs w:val="32"/>
        </w:rPr>
        <w:t>基础设施建设取得新突破。</w:t>
      </w:r>
      <w:r>
        <w:rPr>
          <w:rFonts w:hint="eastAsia" w:ascii="仿宋_GB2312" w:hAnsi="宋体" w:eastAsia="仿宋_GB2312"/>
          <w:sz w:val="32"/>
        </w:rPr>
        <w:t>加快推进</w:t>
      </w:r>
      <w:r>
        <w:rPr>
          <w:rFonts w:ascii="仿宋_GB2312" w:hAnsi="宋体" w:eastAsia="仿宋_GB2312"/>
          <w:sz w:val="32"/>
        </w:rPr>
        <w:t>嘉陵江水东坝航电</w:t>
      </w:r>
      <w:r>
        <w:rPr>
          <w:rFonts w:hint="eastAsia" w:ascii="仿宋_GB2312" w:hAnsi="宋体" w:eastAsia="仿宋_GB2312"/>
          <w:sz w:val="32"/>
        </w:rPr>
        <w:t>综合</w:t>
      </w:r>
      <w:r>
        <w:rPr>
          <w:rFonts w:ascii="仿宋_GB2312" w:hAnsi="宋体" w:eastAsia="仿宋_GB2312"/>
          <w:sz w:val="32"/>
        </w:rPr>
        <w:t>枢纽工程</w:t>
      </w:r>
      <w:r>
        <w:rPr>
          <w:rFonts w:hint="eastAsia" w:ascii="仿宋_GB2312" w:hAnsi="宋体" w:eastAsia="仿宋_GB2312"/>
          <w:sz w:val="32"/>
        </w:rPr>
        <w:t>前期工作，</w:t>
      </w:r>
      <w:r>
        <w:rPr>
          <w:rFonts w:ascii="仿宋_GB2312" w:hAnsi="宋体" w:eastAsia="仿宋_GB2312"/>
          <w:sz w:val="32"/>
        </w:rPr>
        <w:t>积极争取项目资金支持，</w:t>
      </w:r>
      <w:r>
        <w:rPr>
          <w:rFonts w:hint="eastAsia" w:ascii="仿宋_GB2312" w:hAnsi="宋体" w:eastAsia="仿宋_GB2312"/>
          <w:sz w:val="32"/>
        </w:rPr>
        <w:t>加快实施生态航运论证。持续提高航道管养能力，积极争取2024年航道养护项目，定期开展航道日常巡查养护，全面完成嘉陵江航道航标设置，及时处置航槽变化、航标损毁异动和航道尺度变化等情况，保证辖区航道维护水深年保证率不小于95%、年度航道通航保证率不小于95%，确保辖区航道安全畅通。</w:t>
      </w:r>
    </w:p>
    <w:p>
      <w:pPr>
        <w:snapToGrid w:val="0"/>
        <w:spacing w:line="578" w:lineRule="exact"/>
        <w:ind w:firstLine="640" w:firstLineChars="200"/>
        <w:rPr>
          <w:rFonts w:hint="eastAsia" w:ascii="楷体_GB2312" w:eastAsia="楷体_GB2312"/>
          <w:bCs/>
          <w:sz w:val="32"/>
          <w:szCs w:val="32"/>
        </w:rPr>
      </w:pPr>
      <w:r>
        <w:rPr>
          <w:rFonts w:hint="eastAsia" w:ascii="楷体_GB2312" w:eastAsia="楷体_GB2312"/>
          <w:bCs/>
          <w:sz w:val="32"/>
          <w:szCs w:val="32"/>
          <w:lang w:val="en-US" w:eastAsia="zh-CN"/>
        </w:rPr>
        <w:t>2.</w:t>
      </w:r>
      <w:r>
        <w:rPr>
          <w:rFonts w:hint="eastAsia" w:ascii="楷体_GB2312" w:eastAsia="楷体_GB2312"/>
          <w:bCs/>
          <w:sz w:val="32"/>
          <w:szCs w:val="32"/>
        </w:rPr>
        <w:t>水运复苏发展达到新水平。</w:t>
      </w:r>
      <w:r>
        <w:rPr>
          <w:rFonts w:hint="eastAsia" w:ascii="仿宋_GB2312" w:eastAsia="仿宋_GB2312"/>
          <w:sz w:val="32"/>
          <w:szCs w:val="32"/>
        </w:rPr>
        <w:t>常态化开行广元至重庆、广元至南充集装箱及散货运输，努力拓展新货源、增加公铁水联运新航线。</w:t>
      </w:r>
      <w:r>
        <w:rPr>
          <w:rFonts w:hint="eastAsia" w:ascii="仿宋_GB2312" w:hAnsi="仿宋_GB2312" w:eastAsia="仿宋_GB2312" w:cs="仿宋_GB2312"/>
          <w:sz w:val="32"/>
          <w:szCs w:val="32"/>
        </w:rPr>
        <w:t>增加长航船舶运输运力3000吨，总运力达15000吨。</w:t>
      </w:r>
      <w:r>
        <w:rPr>
          <w:rFonts w:hint="eastAsia" w:ascii="仿宋_GB2312" w:eastAsia="仿宋_GB2312"/>
          <w:sz w:val="32"/>
          <w:szCs w:val="32"/>
        </w:rPr>
        <w:t>认真做好水路客货运周转量统计工作，2024年水路客货运总周转量增长8%以上。</w:t>
      </w:r>
    </w:p>
    <w:p>
      <w:pPr>
        <w:snapToGrid w:val="0"/>
        <w:spacing w:line="578" w:lineRule="exact"/>
        <w:ind w:firstLine="640" w:firstLineChars="200"/>
        <w:rPr>
          <w:rFonts w:hint="eastAsia" w:ascii="楷体_GB2312" w:eastAsia="楷体_GB2312"/>
          <w:bCs/>
          <w:sz w:val="32"/>
          <w:szCs w:val="32"/>
        </w:rPr>
      </w:pPr>
      <w:r>
        <w:rPr>
          <w:rFonts w:hint="eastAsia" w:ascii="楷体_GB2312" w:eastAsia="楷体_GB2312"/>
          <w:bCs/>
          <w:sz w:val="32"/>
          <w:szCs w:val="32"/>
          <w:lang w:val="en-US" w:eastAsia="zh-CN"/>
        </w:rPr>
        <w:t>3.</w:t>
      </w:r>
      <w:r>
        <w:rPr>
          <w:rFonts w:hint="eastAsia" w:ascii="楷体_GB2312" w:eastAsia="楷体_GB2312"/>
          <w:bCs/>
          <w:sz w:val="32"/>
          <w:szCs w:val="32"/>
        </w:rPr>
        <w:t>助企服务共赢凸显新成效。</w:t>
      </w:r>
      <w:r>
        <w:rPr>
          <w:rFonts w:hint="eastAsia" w:ascii="仿宋_GB2312" w:eastAsia="仿宋_GB2312"/>
          <w:sz w:val="32"/>
          <w:szCs w:val="32"/>
        </w:rPr>
        <w:t>抓好2024年水路春运、清明、“五一”“十一”等重大节假日期间的水路运输保障工作，认真开展2024年水路运输年度核查工作。宣贯利用好全省水运“奖补”政策，尽快出台我市配套政策和实施细则，进一步规范申报流程。竭力培育壮大水路运输市场</w:t>
      </w:r>
      <w:r>
        <w:rPr>
          <w:rFonts w:hint="eastAsia" w:ascii="仿宋_GB2312" w:hAnsi="仿宋_GB2312" w:eastAsia="仿宋_GB2312" w:cs="仿宋_GB2312"/>
          <w:sz w:val="32"/>
          <w:szCs w:val="32"/>
        </w:rPr>
        <w:t>，发挥广元港集团等骨干企业的引领作用。</w:t>
      </w:r>
    </w:p>
    <w:p>
      <w:pPr>
        <w:snapToGrid w:val="0"/>
        <w:spacing w:line="578" w:lineRule="exact"/>
        <w:ind w:firstLine="640" w:firstLineChars="200"/>
        <w:rPr>
          <w:rFonts w:hint="eastAsia" w:ascii="仿宋_GB2312" w:eastAsia="仿宋_GB2312"/>
          <w:sz w:val="32"/>
          <w:szCs w:val="32"/>
        </w:rPr>
      </w:pPr>
      <w:r>
        <w:rPr>
          <w:rFonts w:hint="eastAsia" w:ascii="楷体_GB2312" w:eastAsia="楷体_GB2312"/>
          <w:bCs/>
          <w:sz w:val="32"/>
          <w:szCs w:val="32"/>
          <w:lang w:val="en-US" w:eastAsia="zh-CN"/>
        </w:rPr>
        <w:t>4.</w:t>
      </w:r>
      <w:r>
        <w:rPr>
          <w:rFonts w:hint="eastAsia" w:ascii="楷体_GB2312" w:eastAsia="楷体_GB2312"/>
          <w:bCs/>
          <w:sz w:val="32"/>
          <w:szCs w:val="32"/>
        </w:rPr>
        <w:t>创新运输模式展现新作为。</w:t>
      </w:r>
      <w:r>
        <w:rPr>
          <w:rFonts w:ascii="仿宋_GB2312" w:hAnsi="仿宋" w:eastAsia="仿宋_GB2312"/>
          <w:kern w:val="0"/>
          <w:sz w:val="32"/>
          <w:szCs w:val="32"/>
        </w:rPr>
        <w:t>培育发展新业态，</w:t>
      </w:r>
      <w:r>
        <w:rPr>
          <w:rFonts w:hint="eastAsia" w:ascii="仿宋_GB2312" w:hAnsi="仿宋" w:eastAsia="仿宋_GB2312"/>
          <w:kern w:val="0"/>
          <w:sz w:val="32"/>
          <w:szCs w:val="32"/>
        </w:rPr>
        <w:t>强力推进智慧水运建设，</w:t>
      </w:r>
      <w:r>
        <w:rPr>
          <w:rFonts w:hint="eastAsia" w:ascii="仿宋_GB2312" w:eastAsia="仿宋_GB2312"/>
          <w:sz w:val="32"/>
          <w:szCs w:val="32"/>
        </w:rPr>
        <w:t>进一步完善港口、航道及船舶信息化建设，</w:t>
      </w:r>
      <w:r>
        <w:rPr>
          <w:rFonts w:hint="eastAsia" w:ascii="仿宋_GB2312" w:hAnsi="仿宋" w:eastAsia="仿宋_GB2312"/>
          <w:kern w:val="0"/>
          <w:sz w:val="32"/>
          <w:szCs w:val="32"/>
        </w:rPr>
        <w:t>加快数字化航道建设进度，提高港口作业区智能化水平。</w:t>
      </w:r>
      <w:r>
        <w:rPr>
          <w:rFonts w:ascii="仿宋_GB2312" w:hAnsi="仿宋_GB2312" w:eastAsia="仿宋_GB2312" w:cs="仿宋_GB2312"/>
          <w:sz w:val="32"/>
          <w:szCs w:val="32"/>
        </w:rPr>
        <w:t>研究推广适合嘉陵江航线的标准货船船型，组织设计能够适应亭子口过闸方式的标准集装箱船，提升嘉陵江通航效率</w:t>
      </w:r>
      <w:r>
        <w:rPr>
          <w:rFonts w:hint="eastAsia" w:ascii="仿宋_GB2312" w:hAnsi="仿宋_GB2312" w:eastAsia="仿宋_GB2312" w:cs="仿宋_GB2312"/>
          <w:sz w:val="32"/>
          <w:szCs w:val="32"/>
        </w:rPr>
        <w:t>，降低水运企业运行成本。</w:t>
      </w:r>
    </w:p>
    <w:p>
      <w:pPr>
        <w:spacing w:line="576" w:lineRule="exact"/>
        <w:ind w:firstLine="640" w:firstLineChars="200"/>
        <w:rPr>
          <w:rFonts w:hint="eastAsia" w:ascii="仿宋_GB2312" w:eastAsia="仿宋_GB2312"/>
          <w:sz w:val="32"/>
          <w:szCs w:val="32"/>
        </w:rPr>
      </w:pPr>
      <w:r>
        <w:rPr>
          <w:rFonts w:hint="eastAsia" w:ascii="楷体_GB2312" w:eastAsia="楷体_GB2312"/>
          <w:bCs/>
          <w:sz w:val="32"/>
          <w:szCs w:val="32"/>
          <w:lang w:val="en-US" w:eastAsia="zh-CN"/>
        </w:rPr>
        <w:t>5.</w:t>
      </w:r>
      <w:r>
        <w:rPr>
          <w:rFonts w:hint="eastAsia" w:ascii="楷体_GB2312" w:eastAsia="楷体_GB2312"/>
          <w:bCs/>
          <w:sz w:val="32"/>
          <w:szCs w:val="32"/>
        </w:rPr>
        <w:t>保障行业安全推出新措施。</w:t>
      </w:r>
      <w:r>
        <w:rPr>
          <w:rFonts w:ascii="仿宋_GB2312" w:hAnsi="仿宋" w:eastAsia="仿宋_GB2312"/>
          <w:kern w:val="0"/>
          <w:sz w:val="32"/>
          <w:szCs w:val="32"/>
        </w:rPr>
        <w:t>大力推广应用新技术,</w:t>
      </w:r>
      <w:r>
        <w:rPr>
          <w:rFonts w:hint="eastAsia" w:ascii="仿宋_GB2312" w:hAnsi="仿宋" w:eastAsia="仿宋_GB2312"/>
          <w:kern w:val="0"/>
          <w:sz w:val="32"/>
          <w:szCs w:val="32"/>
        </w:rPr>
        <w:t>依托水上交通安全监管系统，提升水上交通安全监管的智能化水平。加强船员管理，按计划组织船员培训及考试300人次。指导船员培训机构逐步启用“海事之眼”微信小程序，加强船员培训全过程管理，切实做到培训过程可控、培训效果到位</w:t>
      </w:r>
      <w:r>
        <w:rPr>
          <w:rFonts w:ascii="仿宋_GB2312" w:hAnsi="仿宋" w:eastAsia="仿宋_GB2312"/>
          <w:kern w:val="0"/>
          <w:sz w:val="32"/>
          <w:szCs w:val="32"/>
        </w:rPr>
        <w:t>。</w:t>
      </w:r>
      <w:r>
        <w:rPr>
          <w:rFonts w:hint="eastAsia" w:ascii="仿宋_GB2312" w:hAnsi="仿宋" w:eastAsia="仿宋_GB2312"/>
          <w:kern w:val="0"/>
          <w:sz w:val="32"/>
          <w:szCs w:val="32"/>
        </w:rPr>
        <w:t>继续巩固平安渡运建设成果，建成集中停泊区1处，完善15处配套</w:t>
      </w:r>
      <w:r>
        <w:rPr>
          <w:rFonts w:hint="eastAsia" w:ascii="仿宋_GB2312" w:hAnsi="宋体" w:eastAsia="仿宋_GB2312"/>
          <w:sz w:val="32"/>
        </w:rPr>
        <w:t>设施，努力实现让群众姓过安心渡、坐舒适船的目标。</w:t>
      </w:r>
    </w:p>
    <w:p>
      <w:pPr>
        <w:spacing w:line="576" w:lineRule="exact"/>
        <w:ind w:firstLine="640" w:firstLineChars="200"/>
        <w:rPr>
          <w:rFonts w:hint="eastAsia" w:ascii="仿宋_GB2312" w:eastAsia="仿宋_GB2312"/>
          <w:sz w:val="32"/>
          <w:szCs w:val="32"/>
        </w:rPr>
      </w:pPr>
      <w:r>
        <w:rPr>
          <w:rFonts w:hint="eastAsia" w:ascii="楷体_GB2312" w:eastAsia="楷体_GB2312"/>
          <w:bCs/>
          <w:sz w:val="32"/>
          <w:szCs w:val="32"/>
          <w:lang w:val="en-US" w:eastAsia="zh-CN"/>
        </w:rPr>
        <w:t>6.</w:t>
      </w:r>
      <w:r>
        <w:rPr>
          <w:rFonts w:hint="eastAsia" w:ascii="楷体_GB2312" w:eastAsia="楷体_GB2312"/>
          <w:bCs/>
          <w:sz w:val="32"/>
          <w:szCs w:val="32"/>
        </w:rPr>
        <w:t>守护一江碧水彰显新担当。</w:t>
      </w:r>
      <w:r>
        <w:rPr>
          <w:rFonts w:hint="eastAsia" w:ascii="仿宋_GB2312" w:eastAsia="仿宋_GB2312"/>
          <w:sz w:val="32"/>
          <w:szCs w:val="32"/>
        </w:rPr>
        <w:t>深化习近平总书记的“两山”理论在我市水运行业的实践转化，完成4艘新能源船舶和配套岸电设施的建造并投入使用，机关建设新能源汽车充电桩3个。</w:t>
      </w:r>
      <w:r>
        <w:rPr>
          <w:rFonts w:ascii="仿宋_GB2312" w:eastAsia="仿宋_GB2312"/>
          <w:sz w:val="32"/>
          <w:szCs w:val="32"/>
        </w:rPr>
        <w:t>巩固长江经济带港口和船舶污染防治成果并完善长效机制</w:t>
      </w:r>
      <w:r>
        <w:rPr>
          <w:rFonts w:hint="eastAsia" w:ascii="仿宋_GB2312" w:eastAsia="仿宋_GB2312"/>
          <w:sz w:val="32"/>
          <w:szCs w:val="32"/>
        </w:rPr>
        <w:t>，确保船E行处置率达95%。</w:t>
      </w:r>
    </w:p>
    <w:p>
      <w:pPr>
        <w:pStyle w:val="15"/>
        <w:adjustRightInd w:val="0"/>
        <w:snapToGrid w:val="0"/>
        <w:spacing w:line="580" w:lineRule="exact"/>
        <w:ind w:firstLine="640"/>
        <w:rPr>
          <w:rFonts w:hint="eastAsia" w:ascii="楷体_GB2312" w:hAnsi="楷体_GB2312" w:eastAsia="楷体_GB2312" w:cs="楷体_GB2312"/>
          <w:sz w:val="32"/>
          <w:szCs w:val="32"/>
        </w:rPr>
      </w:pPr>
      <w:r>
        <w:rPr>
          <w:rFonts w:hint="eastAsia" w:ascii="楷体_GB2312" w:eastAsia="楷体_GB2312"/>
          <w:bCs/>
          <w:kern w:val="2"/>
          <w:sz w:val="32"/>
          <w:szCs w:val="32"/>
          <w:lang w:val="en-US" w:eastAsia="zh-CN"/>
        </w:rPr>
        <w:t>7.</w:t>
      </w:r>
      <w:r>
        <w:rPr>
          <w:rFonts w:ascii="楷体_GB2312" w:eastAsia="楷体_GB2312"/>
          <w:bCs/>
          <w:kern w:val="2"/>
          <w:sz w:val="32"/>
          <w:szCs w:val="32"/>
        </w:rPr>
        <w:t>强化船舶检验开创新局面。</w:t>
      </w:r>
      <w:r>
        <w:rPr>
          <w:rFonts w:ascii="仿宋_GB2312" w:hAnsi="仿宋_GB2312" w:eastAsia="仿宋_GB2312" w:cs="仿宋_GB2312"/>
          <w:sz w:val="32"/>
          <w:szCs w:val="32"/>
        </w:rPr>
        <w:t>优质高效规范完成受理的法定船舶检验工作，确保全市登记申请检验船舶不缓检、不脱检，</w:t>
      </w:r>
      <w:r>
        <w:rPr>
          <w:rFonts w:ascii="仿宋_GB2312" w:eastAsia="仿宋_GB2312"/>
          <w:sz w:val="32"/>
          <w:szCs w:val="32"/>
        </w:rPr>
        <w:t>严格把好船检受理关、实船检验关、证书发放关</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4" w:name="_Toc16152"/>
      <w:r>
        <w:rPr>
          <w:rFonts w:hint="eastAsia" w:ascii="黑体" w:hAnsi="黑体" w:eastAsia="黑体" w:cs="黑体"/>
          <w:sz w:val="32"/>
          <w:szCs w:val="32"/>
          <w:lang w:val="en-US" w:eastAsia="zh-CN"/>
        </w:rPr>
        <w:t>二、部门预算单位构成</w:t>
      </w:r>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广元市港航发展中心（部门）下属二级预算单位3个，其中行政单位0个，参照公务员法管理的事业单位1个，其他事业单位2个。主要包括：广元市港航发展中心、广元市航务管理局广元航道段、广元市航务管理局苍溪航道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5" w:name="_Toc19710"/>
      <w:r>
        <w:rPr>
          <w:rFonts w:hint="eastAsia" w:ascii="黑体" w:hAnsi="黑体" w:eastAsia="黑体" w:cs="黑体"/>
          <w:sz w:val="32"/>
          <w:szCs w:val="32"/>
          <w:lang w:val="en-US" w:eastAsia="zh-CN"/>
        </w:rPr>
        <w:t>三、收支预算情况说明</w:t>
      </w:r>
      <w:bookmarkEnd w:id="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按照综合预算的原则，</w:t>
      </w: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所有收入和支出均纳入部门预算管理。收入包括：一般公共预算拨款收入、其他收入；支出包括：</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社会保障和就业支出、卫生健康支出、农林水支出、交通运输支出、住房保障支出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2024年收支预算总数1882.37万元,比2023年收支预算总数</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1978.78万元</w:t>
      </w:r>
      <w:r>
        <w:rPr>
          <w:rFonts w:hint="eastAsia" w:ascii="仿宋_GB2312" w:hAnsi="仿宋_GB2312" w:eastAsia="仿宋_GB2312" w:cs="仿宋_GB2312"/>
          <w:sz w:val="32"/>
          <w:szCs w:val="32"/>
          <w:lang w:val="en-US" w:eastAsia="zh-CN"/>
        </w:rPr>
        <w:t>减少96.41万元，主要原因是项目减少。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6" w:name="_Toc15194"/>
      <w:r>
        <w:rPr>
          <w:rFonts w:hint="eastAsia" w:ascii="楷体_GB2312" w:hAnsi="楷体_GB2312" w:eastAsia="楷体_GB2312" w:cs="楷体_GB2312"/>
          <w:sz w:val="32"/>
          <w:szCs w:val="32"/>
          <w:lang w:val="en-US" w:eastAsia="zh-CN"/>
        </w:rPr>
        <w:t>（一）收入预算情况</w:t>
      </w:r>
      <w:bookmarkEnd w:id="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2024年收入预算1882.37万元，其中：一般公共预算拨款收入1787.97万元，占94.99%；其他收入94.40万元，占5.01%。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7" w:name="_Toc2511"/>
      <w:r>
        <w:rPr>
          <w:rFonts w:hint="eastAsia" w:ascii="楷体_GB2312" w:hAnsi="楷体_GB2312" w:eastAsia="楷体_GB2312" w:cs="楷体_GB2312"/>
          <w:sz w:val="32"/>
          <w:szCs w:val="32"/>
          <w:lang w:val="en-US" w:eastAsia="zh-CN"/>
        </w:rPr>
        <w:t>（二）支出预算情况</w:t>
      </w:r>
      <w:bookmarkEnd w:id="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2024年支出预算1882.37万元，其中：基本支出1753.82万元，占93.17%；项目支出128.55万元，占6.83%</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8" w:name="_Toc27843"/>
      <w:r>
        <w:rPr>
          <w:rFonts w:hint="eastAsia" w:ascii="黑体" w:hAnsi="黑体" w:eastAsia="黑体" w:cs="黑体"/>
          <w:sz w:val="32"/>
          <w:szCs w:val="32"/>
          <w:lang w:val="en-US" w:eastAsia="zh-CN"/>
        </w:rPr>
        <w:t>四、财政拨款收支预算情况说明</w:t>
      </w:r>
      <w:bookmarkEnd w:id="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2024年财政拨款收支预算总数1787.97万元,比2023年财政拨款收支预算总数</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1830.87万元</w:t>
      </w:r>
      <w:r>
        <w:rPr>
          <w:rFonts w:hint="eastAsia" w:ascii="仿宋_GB2312" w:hAnsi="仿宋_GB2312" w:eastAsia="仿宋_GB2312" w:cs="仿宋_GB2312"/>
          <w:sz w:val="32"/>
          <w:szCs w:val="32"/>
          <w:lang w:val="en-US" w:eastAsia="zh-CN"/>
        </w:rPr>
        <w:t>增加42.90万元，主要原因是在职转退休导致人员类经费减少。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收入包括：本年一般公共预算拨款收入1787.97万元；支出包括：</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社会保障和就业支出153.38万元、卫生健康支出47.76万元、农林水支出7.28万元、交通运输支出1454.12万元、住房保障支出125.43万元。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9" w:name="_Toc18463"/>
      <w:r>
        <w:rPr>
          <w:rFonts w:hint="eastAsia" w:ascii="黑体" w:hAnsi="黑体" w:eastAsia="黑体" w:cs="黑体"/>
          <w:sz w:val="32"/>
          <w:szCs w:val="32"/>
          <w:lang w:val="en-US" w:eastAsia="zh-CN"/>
        </w:rPr>
        <w:t>五、一般公共预算当年拨款情况说明</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0" w:name="_Toc7118"/>
      <w:r>
        <w:rPr>
          <w:rFonts w:hint="eastAsia" w:ascii="楷体_GB2312" w:hAnsi="楷体_GB2312" w:eastAsia="楷体_GB2312" w:cs="楷体_GB2312"/>
          <w:sz w:val="32"/>
          <w:szCs w:val="32"/>
          <w:lang w:val="en-US" w:eastAsia="zh-CN"/>
        </w:rPr>
        <w:t>（一）一般公共预算当年拨款规模变化情况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2024年一般公共预算当年拨款1787.97万元，比2023年预算数</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1830.87万元</w:t>
      </w:r>
      <w:r>
        <w:rPr>
          <w:rFonts w:hint="eastAsia" w:ascii="仿宋_GB2312" w:hAnsi="仿宋_GB2312" w:eastAsia="仿宋_GB2312" w:cs="仿宋_GB2312"/>
          <w:sz w:val="32"/>
          <w:szCs w:val="32"/>
          <w:lang w:val="en-US" w:eastAsia="zh-CN"/>
        </w:rPr>
        <w:t>减少42.90万元，主要原因是在职转退休导致人员类经费减少。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1" w:name="_Toc22570"/>
      <w:r>
        <w:rPr>
          <w:rFonts w:hint="eastAsia" w:ascii="楷体_GB2312" w:hAnsi="楷体_GB2312" w:eastAsia="楷体_GB2312" w:cs="楷体_GB2312"/>
          <w:sz w:val="32"/>
          <w:szCs w:val="32"/>
          <w:lang w:val="en-US" w:eastAsia="zh-CN"/>
        </w:rPr>
        <w:t>（二）一般公共预算当年拨款结构情况</w:t>
      </w:r>
      <w:bookmarkEnd w:id="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社会保障和就业支出153.38万元</w:t>
      </w:r>
      <w:r>
        <w:rPr>
          <w:rFonts w:hint="eastAsia" w:ascii="仿宋_GB2312" w:hAnsi="仿宋_GB2312" w:eastAsia="仿宋_GB2312" w:cs="仿宋_GB2312"/>
          <w:sz w:val="32"/>
          <w:szCs w:val="32"/>
          <w:lang w:val="en-US" w:eastAsia="zh-CN"/>
        </w:rPr>
        <w:t>，占8.58%；</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卫生健康支出47.76万元</w:t>
      </w:r>
      <w:r>
        <w:rPr>
          <w:rFonts w:hint="eastAsia" w:ascii="仿宋_GB2312" w:hAnsi="仿宋_GB2312" w:eastAsia="仿宋_GB2312" w:cs="仿宋_GB2312"/>
          <w:sz w:val="32"/>
          <w:szCs w:val="32"/>
          <w:lang w:val="en-US" w:eastAsia="zh-CN"/>
        </w:rPr>
        <w:t>，占2.67%；</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农林水支出7.28万元</w:t>
      </w:r>
      <w:r>
        <w:rPr>
          <w:rFonts w:hint="eastAsia" w:ascii="仿宋_GB2312" w:hAnsi="仿宋_GB2312" w:eastAsia="仿宋_GB2312" w:cs="仿宋_GB2312"/>
          <w:sz w:val="32"/>
          <w:szCs w:val="32"/>
          <w:lang w:val="en-US" w:eastAsia="zh-CN"/>
        </w:rPr>
        <w:t>，占0.41%；</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交通运输支出1454.12万元</w:t>
      </w:r>
      <w:r>
        <w:rPr>
          <w:rFonts w:hint="eastAsia" w:ascii="仿宋_GB2312" w:hAnsi="仿宋_GB2312" w:eastAsia="仿宋_GB2312" w:cs="仿宋_GB2312"/>
          <w:sz w:val="32"/>
          <w:szCs w:val="32"/>
          <w:lang w:val="en-US" w:eastAsia="zh-CN"/>
        </w:rPr>
        <w:t>，占81.33%；</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住房保障支出125.43万元</w:t>
      </w:r>
      <w:r>
        <w:rPr>
          <w:rFonts w:hint="eastAsia" w:ascii="仿宋_GB2312" w:hAnsi="仿宋_GB2312" w:eastAsia="仿宋_GB2312" w:cs="仿宋_GB2312"/>
          <w:sz w:val="32"/>
          <w:szCs w:val="32"/>
          <w:lang w:val="en-US" w:eastAsia="zh-CN"/>
        </w:rPr>
        <w:t>，占7.01%；。</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2" w:name="_Toc716"/>
      <w:r>
        <w:rPr>
          <w:rFonts w:hint="eastAsia" w:ascii="楷体_GB2312" w:hAnsi="楷体_GB2312" w:eastAsia="楷体_GB2312" w:cs="楷体_GB2312"/>
          <w:sz w:val="32"/>
          <w:szCs w:val="32"/>
          <w:lang w:val="en-US" w:eastAsia="zh-CN"/>
        </w:rPr>
        <w:t>（三）一般公共预算当年拨款具体使用情况</w:t>
      </w:r>
      <w:bookmarkEnd w:id="12"/>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1.社会保障和就业（类）行政事业单位养老支出（款）机关事业单位基本养老保险缴费支出（项）2024年预算数为147.72万元，主要用于：实施养老保险制度由单位缴纳的基本养老保险支出。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2.社会保障和就业（类）行政事业单位养老支出（款）其他行政事业单位养老支出（项）2024年预算数为0.25万元，主要用于：实施养老保险制度由单位缴纳的失业、工伤保险支出。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3.社会保障和就业（类）抚恤（款）伤残抚恤（项）2024年预算数为5.4万元，主要用于：实施病退职工生活补助。</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4.卫生健康（类）行政事业单位医疗（款）行政单位医疗（项）2024年预算数为11.70万元，主要用于：机关及参公管理事业单位按规定由单位缴纳的基本医疗保险支出。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5.卫生健康（类）行政事业单位医疗（款）事业单位医疗（项）2024年预算数为36.06万元，主要用于：部门下属事业单位按规定由单位缴纳的基本医疗保险支出。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6.农林水支出（类）巩固脱贫攻坚成果衔接乡村振兴（款）其他巩固脱贫攻坚成果衔接乡村振兴支出（项）2024年预算数为7.28万元，主要用于：部门乡村振兴工作补助支出。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7.交通运输（类）公路水路运输（款）行政运行（项）2024年预算数为362.67万元，主要用于：行政单位（参公单位）的基本支出。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8.交通运输（类）公路水路运输（款）一般行政管理事务（项）2024年预算数为2万元，主要用于：实施船员考试费项目支出。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9.交通运输（类）公路水路运输（款）交通运输信息化建设（项）2024年预算数为3.59万元，主要用于：交通运输信息化建设支出。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10.交通运输（类）公路水路运输（款）航道维护（项）2024年预算数为1175.26万元，主要用于：内河航道整治、维护方面的支出。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11.交通运输（类）公路水路运输（款）船舶检验（项）2024年预算数为5.00万元，主要用于：船舶检验方面的支出。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highlight w:val="none"/>
          <w:shd w:val="clear" w:color="auto" w:fill="FFFFFF"/>
          <w:lang w:val="en-US" w:eastAsia="zh-CN" w:bidi="ar"/>
        </w:rPr>
        <w:t>12.住房保障（类）住房改革支出（款）住房公积金（项）2024年预算数为125.43万元，主要用于：部门按规定为职工缴纳的住房公积金支出。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13" w:name="_Toc4597"/>
      <w:r>
        <w:rPr>
          <w:rFonts w:hint="eastAsia" w:ascii="黑体" w:hAnsi="黑体" w:eastAsia="黑体" w:cs="黑体"/>
          <w:sz w:val="32"/>
          <w:szCs w:val="32"/>
          <w:lang w:val="en-US" w:eastAsia="zh-CN"/>
        </w:rPr>
        <w:t>六、一般公共预算基本支出情况说明</w:t>
      </w:r>
      <w:bookmarkEnd w:id="13"/>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2024年一般公共预算基本支出1753.82万元，其中：</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人员经费1583.73万元，主要包括：基本工资、津贴补贴、奖金、社会保险缴费、离休费、住房公积金、抚恤金等支出。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170.09万元，主要包括：办公费、印刷费、水费、电费、邮电费、物业管理费、差旅费、维修（护）费、会议费、培训费、公务接待费、劳务费、工会经费、福利费、公务用车运行维护费、税金及附加费用、其他交通费用等支出。</w:t>
      </w:r>
    </w:p>
    <w:p>
      <w:pPr>
        <w:keepNext w:val="0"/>
        <w:keepLines w:val="0"/>
        <w:pageBreakBefore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0"/>
        <w:rPr>
          <w:rFonts w:hint="eastAsia" w:ascii="黑体" w:hAnsi="黑体" w:eastAsia="黑体" w:cs="黑体"/>
          <w:sz w:val="32"/>
          <w:szCs w:val="32"/>
          <w:lang w:val="en-US" w:eastAsia="zh-CN"/>
        </w:rPr>
      </w:pPr>
      <w:bookmarkStart w:id="14" w:name="_Toc27838"/>
      <w:r>
        <w:rPr>
          <w:rFonts w:hint="eastAsia" w:ascii="黑体" w:hAnsi="黑体" w:eastAsia="黑体" w:cs="黑体"/>
          <w:sz w:val="32"/>
          <w:szCs w:val="32"/>
          <w:lang w:val="en-US" w:eastAsia="zh-CN"/>
        </w:rPr>
        <w:t>“三公”经费财政拨款预算安排情况说明</w:t>
      </w:r>
      <w:bookmarkEnd w:id="14"/>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2024年“三公”经费财政拨款预算数11.62万元，其中：公务接待费1.48万元，公务用车购置及运行维护费10.14万元，因公出国（境）经费0万元。</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outlineLvl w:val="1"/>
        <w:rPr>
          <w:rFonts w:hint="eastAsia" w:ascii="仿宋_GB2312" w:hAnsi="仿宋_GB2312" w:eastAsia="仿宋_GB2312" w:cs="仿宋_GB2312"/>
          <w:sz w:val="32"/>
          <w:szCs w:val="32"/>
          <w:lang w:val="en-US" w:eastAsia="zh-CN"/>
        </w:rPr>
      </w:pPr>
      <w:bookmarkStart w:id="15" w:name="_Toc25414"/>
      <w:r>
        <w:rPr>
          <w:rFonts w:hint="eastAsia" w:ascii="仿宋_GB2312" w:hAnsi="仿宋_GB2312" w:eastAsia="仿宋_GB2312" w:cs="仿宋_GB2312"/>
          <w:color w:val="auto"/>
          <w:kern w:val="2"/>
          <w:sz w:val="32"/>
          <w:szCs w:val="32"/>
          <w:lang w:val="en-US" w:eastAsia="zh-CN" w:bidi="ar-SA"/>
        </w:rPr>
        <w:t>（一）</w:t>
      </w:r>
      <w:r>
        <w:rPr>
          <w:rFonts w:hint="eastAsia" w:ascii="楷体_GB2312" w:hAnsi="楷体_GB2312" w:eastAsia="楷体_GB2312" w:cs="楷体_GB2312"/>
          <w:sz w:val="32"/>
          <w:szCs w:val="32"/>
          <w:lang w:val="en-US" w:eastAsia="zh-CN"/>
        </w:rPr>
        <w:t>公务接待费</w:t>
      </w:r>
      <w:bookmarkEnd w:id="15"/>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公务接待费1.48万元与2023年预算1.8万元相比下降0.32万元，主要原因是厉行节约。</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2024年公务接待费计划用于执行接待考察调研、检查指导等公务活动开支的交通费、住宿费、用餐费等。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16" w:name="_Toc19443"/>
      <w:r>
        <w:rPr>
          <w:rFonts w:hint="eastAsia" w:ascii="楷体_GB2312" w:hAnsi="楷体_GB2312" w:eastAsia="楷体_GB2312" w:cs="楷体_GB2312"/>
          <w:color w:val="auto"/>
          <w:kern w:val="2"/>
          <w:sz w:val="32"/>
          <w:szCs w:val="32"/>
          <w:lang w:val="en-US" w:eastAsia="zh-CN" w:bidi="ar-SA"/>
        </w:rPr>
        <w:t>（二）</w:t>
      </w:r>
      <w:r>
        <w:rPr>
          <w:rFonts w:hint="eastAsia" w:ascii="楷体_GB2312" w:hAnsi="楷体_GB2312" w:eastAsia="楷体_GB2312" w:cs="楷体_GB2312"/>
          <w:sz w:val="32"/>
          <w:szCs w:val="32"/>
          <w:lang w:val="en-US" w:eastAsia="zh-CN"/>
        </w:rPr>
        <w:t>公务用车购置及运行维护费</w:t>
      </w:r>
      <w:bookmarkEnd w:id="1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公务用车购置及运行维护费与2023年预算相比持平。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单位现有公务用车</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lang w:val="en-US" w:eastAsia="zh-CN"/>
        </w:rPr>
        <w:t>辆，其中：越野车3辆，其他车4辆。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2024年安排公务用车购置费0万元。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2024年安排公务用车运行维护费10.14万元，用于6辆公务用车燃油、过路（桥）、维修、保险等方面支出，主要保障日常工作检查、项目开展督导。</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1"/>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17" w:name="_Toc19021"/>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三）因公出国（境）经费</w:t>
      </w:r>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因公出国（境）经费与2023年预算相比持平，均为零。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8" w:name="_Toc3729"/>
      <w:r>
        <w:rPr>
          <w:rFonts w:hint="eastAsia" w:ascii="黑体" w:hAnsi="黑体" w:eastAsia="黑体" w:cs="黑体"/>
          <w:sz w:val="32"/>
          <w:szCs w:val="32"/>
          <w:lang w:val="en-US" w:eastAsia="zh-CN"/>
        </w:rPr>
        <w:t>八、政府性基金预算支出情况说明</w:t>
      </w:r>
      <w:bookmarkEnd w:id="1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lang w:val="en-US" w:eastAsia="zh-CN"/>
        </w:rPr>
      </w:pPr>
      <w:bookmarkStart w:id="19" w:name="_Toc2687"/>
      <w:r>
        <w:rPr>
          <w:rFonts w:hint="eastAsia" w:ascii="黑体" w:hAnsi="黑体" w:eastAsia="黑体" w:cs="黑体"/>
          <w:sz w:val="32"/>
          <w:szCs w:val="32"/>
          <w:lang w:val="en-US" w:eastAsia="zh-CN"/>
        </w:rPr>
        <w:t>九、国有资本经营预算支出情况说明</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0" w:name="_Toc26742"/>
      <w:r>
        <w:rPr>
          <w:rFonts w:hint="eastAsia" w:ascii="黑体" w:hAnsi="黑体" w:eastAsia="黑体" w:cs="黑体"/>
          <w:sz w:val="32"/>
          <w:szCs w:val="32"/>
          <w:lang w:val="en-US" w:eastAsia="zh-CN"/>
        </w:rPr>
        <w:t>十、其他重要事项的情况说明</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1" w:name="_Toc5501"/>
      <w:r>
        <w:rPr>
          <w:rFonts w:hint="eastAsia" w:ascii="楷体_GB2312" w:hAnsi="楷体_GB2312" w:eastAsia="楷体_GB2312" w:cs="楷体_GB2312"/>
          <w:sz w:val="32"/>
          <w:szCs w:val="32"/>
          <w:lang w:val="en-US" w:eastAsia="zh-CN"/>
        </w:rPr>
        <w:t>（一）机关运行经费</w:t>
      </w:r>
      <w:bookmarkEnd w:id="2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下属局机关等</w:t>
      </w: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本级）1</w:t>
      </w:r>
      <w:r>
        <w:rPr>
          <w:rFonts w:hint="eastAsia" w:ascii="仿宋_GB2312" w:hAnsi="仿宋_GB2312" w:eastAsia="仿宋_GB2312" w:cs="仿宋_GB2312"/>
          <w:sz w:val="32"/>
          <w:szCs w:val="32"/>
          <w:lang w:val="en-US" w:eastAsia="zh-CN"/>
        </w:rPr>
        <w:t>家参公管理事业单位的机关运行经费财政拨款预算为55.44万元，比2023年预算增加0.82万元，增长1.50%。</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主要原因调资导致工会经费、福利费、退休人员活动经费、党建经费等基数增加。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2" w:name="_Toc17685"/>
      <w:r>
        <w:rPr>
          <w:rFonts w:hint="eastAsia" w:ascii="楷体_GB2312" w:hAnsi="楷体_GB2312" w:eastAsia="楷体_GB2312" w:cs="楷体_GB2312"/>
          <w:sz w:val="32"/>
          <w:szCs w:val="32"/>
          <w:lang w:val="en-US" w:eastAsia="zh-CN"/>
        </w:rPr>
        <w:t>（二）政府采购情况</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部门）未</w:t>
      </w:r>
      <w:r>
        <w:rPr>
          <w:rFonts w:hint="eastAsia" w:ascii="仿宋_GB2312" w:hAnsi="仿宋_GB2312" w:eastAsia="仿宋_GB2312" w:cs="仿宋_GB2312"/>
          <w:sz w:val="32"/>
          <w:szCs w:val="32"/>
          <w:lang w:val="en-US" w:eastAsia="zh-CN"/>
        </w:rPr>
        <w:t>安排政府采购预算。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lang w:val="en-US" w:eastAsia="zh-CN"/>
        </w:rPr>
      </w:pPr>
      <w:bookmarkStart w:id="23" w:name="_Toc12281"/>
      <w:r>
        <w:rPr>
          <w:rFonts w:hint="eastAsia" w:ascii="楷体_GB2312" w:hAnsi="楷体_GB2312" w:eastAsia="楷体_GB2312" w:cs="楷体_GB2312"/>
          <w:sz w:val="32"/>
          <w:szCs w:val="32"/>
          <w:lang w:val="en-US" w:eastAsia="zh-CN"/>
        </w:rPr>
        <w:t>（三）国有资产占有使用情况</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截至2023年底，</w:t>
      </w:r>
      <w:r>
        <w:rPr>
          <w:rFonts w:hint="eastAsia" w:ascii="仿宋_GB2312" w:hAnsi="仿宋_GB2312" w:eastAsia="仿宋_GB2312" w:cs="仿宋_GB2312"/>
          <w:b w:val="0"/>
          <w:bCs w:val="0"/>
          <w:i w:val="0"/>
          <w:caps w:val="0"/>
          <w:color w:val="333333"/>
          <w:spacing w:val="0"/>
          <w:sz w:val="32"/>
          <w:szCs w:val="32"/>
          <w:highlight w:val="none"/>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部门）</w:t>
      </w:r>
      <w:r>
        <w:rPr>
          <w:rFonts w:hint="eastAsia" w:ascii="仿宋_GB2312" w:hAnsi="仿宋_GB2312" w:eastAsia="仿宋_GB2312" w:cs="仿宋_GB2312"/>
          <w:sz w:val="32"/>
          <w:szCs w:val="32"/>
          <w:highlight w:val="none"/>
          <w:lang w:val="en-US" w:eastAsia="zh-CN"/>
        </w:rPr>
        <w:t>共有车辆7辆，其中，其他用车7辆。</w:t>
      </w:r>
      <w:r>
        <w:rPr>
          <w:rFonts w:hint="eastAsia" w:ascii="仿宋_GB2312" w:hAnsi="仿宋_GB2312" w:eastAsia="仿宋_GB2312" w:cs="仿宋_GB2312"/>
          <w:b w:val="0"/>
          <w:bCs w:val="0"/>
          <w:i w:val="0"/>
          <w:caps w:val="0"/>
          <w:color w:val="333333"/>
          <w:spacing w:val="0"/>
          <w:sz w:val="32"/>
          <w:szCs w:val="32"/>
          <w:highlight w:val="none"/>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highlight w:val="none"/>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highlight w:val="none"/>
          <w:shd w:val="clear" w:color="auto" w:fill="FFFFFF"/>
          <w:lang w:val="en-US" w:eastAsia="zh-CN"/>
        </w:rPr>
        <w:t>部门）</w:t>
      </w:r>
      <w:r>
        <w:rPr>
          <w:rFonts w:hint="eastAsia" w:ascii="仿宋_GB2312" w:hAnsi="仿宋_GB2312" w:eastAsia="仿宋_GB2312" w:cs="仿宋_GB2312"/>
          <w:sz w:val="32"/>
          <w:szCs w:val="32"/>
          <w:highlight w:val="none"/>
          <w:lang w:val="en-US" w:eastAsia="zh-CN"/>
        </w:rPr>
        <w:t>无价值200万元以上的大型设备。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eastAsia" w:ascii="楷体_GB2312" w:hAnsi="楷体_GB2312" w:eastAsia="楷体_GB2312" w:cs="楷体_GB2312"/>
          <w:sz w:val="32"/>
          <w:szCs w:val="32"/>
        </w:rPr>
      </w:pPr>
      <w:bookmarkStart w:id="24" w:name="_Toc26933"/>
      <w:r>
        <w:rPr>
          <w:rFonts w:hint="eastAsia" w:ascii="楷体_GB2312" w:hAnsi="楷体_GB2312" w:eastAsia="楷体_GB2312" w:cs="楷体_GB2312"/>
          <w:sz w:val="32"/>
          <w:szCs w:val="32"/>
          <w:lang w:val="en-US" w:eastAsia="zh-CN"/>
        </w:rPr>
        <w:t>（四）绩效目标设置情况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333333"/>
          <w:spacing w:val="0"/>
          <w:sz w:val="32"/>
          <w:szCs w:val="32"/>
          <w:shd w:val="clear" w:color="auto" w:fill="FFFFFF"/>
        </w:rPr>
        <w:t>广元市港航发展中心</w:t>
      </w:r>
      <w:r>
        <w:rPr>
          <w:rFonts w:hint="eastAsia" w:ascii="仿宋_GB2312" w:hAnsi="仿宋_GB2312" w:eastAsia="仿宋_GB2312" w:cs="仿宋_GB2312"/>
          <w:b w:val="0"/>
          <w:bCs w:val="0"/>
          <w:i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部门）</w:t>
      </w:r>
      <w:r>
        <w:rPr>
          <w:rFonts w:hint="eastAsia" w:ascii="仿宋_GB2312" w:hAnsi="仿宋_GB2312" w:eastAsia="仿宋_GB2312" w:cs="仿宋_GB2312"/>
          <w:sz w:val="32"/>
          <w:szCs w:val="32"/>
          <w:lang w:val="en-US" w:eastAsia="zh-CN"/>
        </w:rPr>
        <w:t>开展绩效目标管理的项目48个，涉及预算1882.37万元。其中：人员类项目21个，涉及预算 1583.73万元；运转类项目9个，涉及预算170.09万元；特定目标类项目18个，涉及预算128.55万元。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黑体" w:hAnsi="黑体" w:eastAsia="黑体" w:cs="黑体"/>
          <w:sz w:val="32"/>
          <w:szCs w:val="32"/>
        </w:rPr>
      </w:pPr>
      <w:bookmarkStart w:id="25" w:name="_Toc23287"/>
      <w:r>
        <w:rPr>
          <w:rFonts w:hint="eastAsia" w:ascii="黑体" w:hAnsi="黑体" w:eastAsia="黑体" w:cs="黑体"/>
          <w:sz w:val="32"/>
          <w:szCs w:val="32"/>
          <w:lang w:val="en-US" w:eastAsia="zh-CN"/>
        </w:rPr>
        <w:t>十一、名词解释</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（一）财政拨款收入</w:t>
      </w:r>
      <w:r>
        <w:rPr>
          <w:rFonts w:hint="default"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指市财政当年安排的财政预算收入。按现行管理制度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（二）其他收入：</w:t>
      </w:r>
      <w:r>
        <w:rPr>
          <w:rFonts w:hint="eastAsia" w:ascii="仿宋_GB2312" w:hAnsi="仿宋_GB2312" w:eastAsia="仿宋_GB2312" w:cs="仿宋_GB2312"/>
          <w:sz w:val="32"/>
          <w:szCs w:val="32"/>
          <w:lang w:val="en-US" w:eastAsia="zh-CN"/>
        </w:rPr>
        <w:t>指除上述“一般公共预算拨款收入” “事业收入”等以外的收入。如代管资金。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（三）一般公共预算拨款收入：</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指市级财政当年拨付的资金。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（四）社会保障和就业（类）行政事业单位养老支出（款）机关事业单位基本养老保险缴费支出（项）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：实施养老保险制度由单位缴纳的基本养老保险支出。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（五）社会保障和就业（类）行政事业单位养老支出（款）其他行政事业单位养老支出（项）：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实施养老保险制度由单位缴纳的失业、工伤保险支出。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（六）社会保障和就业（类）抚恤（款）伤残抚恤（项）：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实施病退职工生活补助。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（七）社会保障和就业（类）其他社会保障和就业支出（款）其他社会保障和就业支出（项）：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实施养老保险制度由单位缴纳的失业、工伤保险支出。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（八）卫生健康（类）行政事业单位医疗（款）行政单位医疗（项）：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机关及参公管理事业单位按规定由单位缴纳的基本医疗保险支出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（九）卫生健康（类）行政事业单位医疗（款）事业单位医疗（项）：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部门下属事业单位按规定由单位缴纳的基本医疗保险支出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（十）农林水支出（类）巩固脱贫攻坚成果衔接乡村振兴（款）其他巩固脱贫攻坚成果衔接乡村振兴支出（项）：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部门乡村振兴工作补助支出。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（十一）交通运输（类）公路水路运输（款）行政运行（项）：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行政单位（参公单位）的基本支出。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（十二）交通运输（类）公路水路运输（款）一般行政管理事务（项）：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船员考试项目支出。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（十三）交通运输（类）公路水路运输（款）交通运输信息化建设（项）：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交通运输信息化建设支出。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（十四）交通运输（类）公路水路运输（款）航道维护（项）：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内河航道整治、维护方面的支出。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（十五）交通运输（类）公路水路运输（款）船舶检验（项）：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船舶检验方面的支出。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（十六）住房保障（类）住房改革支出（款）住房公积金（项）：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指按照《住房公积金管理条</w:t>
      </w:r>
      <w:bookmarkStart w:id="26" w:name="_GoBack"/>
      <w:bookmarkEnd w:id="26"/>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例》的规定，由单位及其在职职工缴存的长期住房储金。</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w:t>
      </w:r>
      <w:r>
        <w:rPr>
          <w:rFonts w:hint="eastAsia" w:ascii="楷体_GB2312" w:hAnsi="楷体_GB2312" w:eastAsia="楷体_GB2312" w:cs="楷体_GB2312"/>
          <w:sz w:val="32"/>
          <w:szCs w:val="32"/>
          <w:lang w:val="en-US" w:eastAsia="zh-CN"/>
        </w:rPr>
        <w:t>（十七）基本支出：</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指为保证机构正常运转，完成日常工作任务而发生的人员支出和公用支出。</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w:t>
      </w:r>
      <w:r>
        <w:rPr>
          <w:rFonts w:hint="eastAsia" w:ascii="楷体_GB2312" w:hAnsi="楷体_GB2312" w:eastAsia="楷体_GB2312" w:cs="楷体_GB2312"/>
          <w:sz w:val="32"/>
          <w:szCs w:val="32"/>
          <w:lang w:val="en-US" w:eastAsia="zh-CN"/>
        </w:rPr>
        <w:t>（十八）项目支出：</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指在基本支出之外为完成特定行政任务和事业发展目标所发生的支出。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（十九）“三公”经费：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sz w:val="32"/>
          <w:szCs w:val="32"/>
          <w:lang w:val="en-US" w:eastAsia="zh-CN"/>
        </w:rPr>
        <w:t>（二十）机关运行经费：</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附件：部门预算公开表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altName w:val="NanumBarunGothic"/>
    <w:panose1 w:val="020B0604020202020204"/>
    <w:charset w:val="00"/>
    <w:family w:val="swiss"/>
    <w:pitch w:val="default"/>
    <w:sig w:usb0="00000000" w:usb1="00000000" w:usb2="00000000" w:usb3="00000000" w:csb0="6000009F" w:csb1="DFD70000"/>
  </w:font>
  <w:font w:name="NanumBarunGothic">
    <w:panose1 w:val="020B0603020101020101"/>
    <w:charset w:val="81"/>
    <w:family w:val="auto"/>
    <w:pitch w:val="default"/>
    <w:sig w:usb0="800002A7" w:usb1="01D77CFB" w:usb2="00000010" w:usb3="00000000" w:csb0="0008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FEB2B"/>
    <w:multiLevelType w:val="singleLevel"/>
    <w:tmpl w:val="F15FEB2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000000"/>
    <w:rsid w:val="012352D1"/>
    <w:rsid w:val="0EB949B3"/>
    <w:rsid w:val="1F7BF06F"/>
    <w:rsid w:val="1FEE4B73"/>
    <w:rsid w:val="23CE9849"/>
    <w:rsid w:val="39F304DD"/>
    <w:rsid w:val="54244390"/>
    <w:rsid w:val="54662A63"/>
    <w:rsid w:val="5606E89B"/>
    <w:rsid w:val="58064E12"/>
    <w:rsid w:val="5BFEE015"/>
    <w:rsid w:val="63EDCF55"/>
    <w:rsid w:val="63FBFBCF"/>
    <w:rsid w:val="669360FD"/>
    <w:rsid w:val="68FF6A83"/>
    <w:rsid w:val="6FBBC9CF"/>
    <w:rsid w:val="72BDE561"/>
    <w:rsid w:val="78462278"/>
    <w:rsid w:val="7997EA6C"/>
    <w:rsid w:val="7AEAE675"/>
    <w:rsid w:val="7BAFCE5D"/>
    <w:rsid w:val="7BD87DC2"/>
    <w:rsid w:val="7D46598C"/>
    <w:rsid w:val="7DFB240B"/>
    <w:rsid w:val="7E0935ED"/>
    <w:rsid w:val="7FCF2AF7"/>
    <w:rsid w:val="9FEF033D"/>
    <w:rsid w:val="A27FF1E5"/>
    <w:rsid w:val="AFDEB5A7"/>
    <w:rsid w:val="AFEA7FBF"/>
    <w:rsid w:val="B83F4767"/>
    <w:rsid w:val="BF930F07"/>
    <w:rsid w:val="BFCE8436"/>
    <w:rsid w:val="C3F7EB7A"/>
    <w:rsid w:val="CFF5FEEC"/>
    <w:rsid w:val="D3DD9064"/>
    <w:rsid w:val="D6F76A0C"/>
    <w:rsid w:val="D7ECE8D2"/>
    <w:rsid w:val="DFDD4FB5"/>
    <w:rsid w:val="E7F748B5"/>
    <w:rsid w:val="EE5F3713"/>
    <w:rsid w:val="EFC9D62C"/>
    <w:rsid w:val="F6BE9755"/>
    <w:rsid w:val="F6FFA89B"/>
    <w:rsid w:val="FAE4EFE1"/>
    <w:rsid w:val="FB9B6F12"/>
    <w:rsid w:val="FBB66A4A"/>
    <w:rsid w:val="FDEE6989"/>
    <w:rsid w:val="FF5E7DB8"/>
    <w:rsid w:val="FF77E367"/>
    <w:rsid w:val="FFD576EB"/>
    <w:rsid w:val="FFFBE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List"/>
    <w:basedOn w:val="3"/>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character" w:customStyle="1" w:styleId="12">
    <w:name w:val="默认段落字体1"/>
    <w:qFormat/>
    <w:uiPriority w:val="0"/>
  </w:style>
  <w:style w:type="paragraph" w:customStyle="1" w:styleId="13">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4">
    <w:name w:val="Index"/>
    <w:basedOn w:val="1"/>
    <w:qFormat/>
    <w:uiPriority w:val="0"/>
    <w:pPr>
      <w:widowControl w:val="0"/>
      <w:suppressLineNumbers/>
      <w:suppressAutoHyphens/>
    </w:pPr>
  </w:style>
  <w:style w:type="paragraph" w:customStyle="1" w:styleId="15">
    <w:name w:val="p0"/>
    <w:basedOn w:val="1"/>
    <w:qFormat/>
    <w:uiPriority w:val="0"/>
    <w:pPr>
      <w:widowControl/>
    </w:pPr>
    <w:rPr>
      <w:rFonts w:hint="eastAsia"/>
      <w:kern w:val="0"/>
      <w:szCs w:val="21"/>
    </w:rPr>
  </w:style>
  <w:style w:type="paragraph" w:customStyle="1" w:styleId="16">
    <w:name w:val="WPSOffice手动目录 1"/>
    <w:uiPriority w:val="0"/>
    <w:pPr>
      <w:ind w:leftChars="0"/>
    </w:pPr>
    <w:rPr>
      <w:rFonts w:ascii="Times New Roman" w:hAnsi="Times New Roman" w:eastAsia="宋体" w:cs="Times New Roman"/>
      <w:sz w:val="20"/>
      <w:szCs w:val="20"/>
    </w:rPr>
  </w:style>
  <w:style w:type="paragraph" w:customStyle="1" w:styleId="1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2018-11-29T17:47:00Z</dcterms:created>
  <dc:creator>admin</dc:creator>
  <cp:lastModifiedBy>uos</cp:lastModifiedBy>
  <dcterms:modified xsi:type="dcterms:W3CDTF">2024-03-12T11:19:01Z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B9683A98EFE5443A98A4160B01270B1E_13</vt:lpwstr>
  </property>
</Properties>
</file>