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s="黑体"/>
          <w:color w:val="000000"/>
          <w:sz w:val="72"/>
          <w:szCs w:val="72"/>
        </w:rPr>
      </w:pPr>
      <w:bookmarkStart w:id="1" w:name="_Toc15396597"/>
      <w:bookmarkStart w:id="2" w:name="_Toc24077"/>
      <w:bookmarkStart w:id="3" w:name="_Toc15377193"/>
      <w:bookmarkStart w:id="4" w:name="_Toc15396475"/>
      <w:bookmarkStart w:id="5" w:name="_Toc15377425"/>
      <w:bookmarkStart w:id="6" w:name="_Toc25242"/>
      <w:bookmarkStart w:id="7" w:name="_Toc15378441"/>
      <w:r>
        <w:rPr>
          <w:rFonts w:hint="eastAsia" w:ascii="黑体" w:hAnsi="黑体" w:eastAsia="黑体" w:cs="黑体"/>
          <w:color w:val="000000"/>
          <w:sz w:val="72"/>
          <w:szCs w:val="72"/>
        </w:rPr>
        <w:t>2019年度</w:t>
      </w:r>
      <w:bookmarkEnd w:id="1"/>
      <w:bookmarkEnd w:id="2"/>
      <w:bookmarkEnd w:id="3"/>
      <w:bookmarkEnd w:id="4"/>
      <w:bookmarkEnd w:id="5"/>
      <w:bookmarkEnd w:id="6"/>
      <w:bookmarkEnd w:id="7"/>
      <w:bookmarkStart w:id="8" w:name="_Toc6144"/>
      <w:bookmarkStart w:id="9" w:name="_Toc27601"/>
      <w:bookmarkStart w:id="10" w:name="_Toc15377194"/>
      <w:bookmarkStart w:id="11" w:name="_Toc15377426"/>
      <w:bookmarkStart w:id="12" w:name="_Toc15396598"/>
      <w:bookmarkStart w:id="13" w:name="_Toc15396476"/>
      <w:bookmarkStart w:id="14" w:name="_Toc15378442"/>
    </w:p>
    <w:p>
      <w:pPr>
        <w:adjustRightInd w:val="0"/>
        <w:snapToGrid w:val="0"/>
        <w:spacing w:line="360" w:lineRule="auto"/>
        <w:jc w:val="center"/>
        <w:outlineLvl w:val="0"/>
        <w:rPr>
          <w:rFonts w:ascii="黑体" w:hAnsi="黑体" w:eastAsia="黑体" w:cs="黑体"/>
          <w:color w:val="000000"/>
          <w:sz w:val="72"/>
          <w:szCs w:val="72"/>
        </w:rPr>
      </w:pPr>
      <w:r>
        <w:rPr>
          <w:rFonts w:hint="eastAsia" w:ascii="黑体" w:hAnsi="黑体" w:eastAsia="黑体" w:cs="黑体"/>
          <w:color w:val="000000"/>
          <w:sz w:val="72"/>
          <w:szCs w:val="72"/>
        </w:rPr>
        <w:t>广元市</w:t>
      </w:r>
      <w:bookmarkEnd w:id="0"/>
      <w:bookmarkStart w:id="15" w:name="_Toc15306268"/>
      <w:r>
        <w:rPr>
          <w:rFonts w:hint="eastAsia" w:ascii="黑体" w:hAnsi="黑体" w:eastAsia="黑体" w:cs="黑体"/>
          <w:color w:val="000000"/>
          <w:sz w:val="72"/>
          <w:szCs w:val="72"/>
        </w:rPr>
        <w:t>航务管理局</w:t>
      </w:r>
      <w:bookmarkEnd w:id="8"/>
      <w:bookmarkEnd w:id="9"/>
    </w:p>
    <w:p>
      <w:pPr>
        <w:adjustRightInd w:val="0"/>
        <w:snapToGrid w:val="0"/>
        <w:spacing w:line="360" w:lineRule="auto"/>
        <w:jc w:val="center"/>
        <w:outlineLvl w:val="0"/>
        <w:rPr>
          <w:rFonts w:ascii="黑体" w:hAnsi="黑体" w:eastAsia="黑体" w:cs="黑体"/>
          <w:color w:val="000000"/>
          <w:sz w:val="72"/>
          <w:szCs w:val="72"/>
        </w:rPr>
      </w:pPr>
      <w:bookmarkStart w:id="16" w:name="_Toc4571"/>
      <w:bookmarkStart w:id="17" w:name="_Toc23615"/>
      <w:r>
        <w:rPr>
          <w:rFonts w:hint="eastAsia" w:ascii="黑体" w:hAnsi="黑体" w:eastAsia="黑体" w:cs="黑体"/>
          <w:color w:val="000000"/>
          <w:sz w:val="72"/>
          <w:szCs w:val="72"/>
        </w:rPr>
        <w:t>部</w:t>
      </w:r>
      <w:bookmarkEnd w:id="16"/>
      <w:bookmarkEnd w:id="17"/>
      <w:bookmarkStart w:id="18" w:name="_Toc14811"/>
      <w:bookmarkStart w:id="19" w:name="_Toc15153"/>
      <w:r>
        <w:rPr>
          <w:rFonts w:hint="eastAsia" w:ascii="黑体" w:hAnsi="黑体" w:eastAsia="黑体" w:cs="黑体"/>
          <w:color w:val="000000"/>
          <w:sz w:val="72"/>
          <w:szCs w:val="72"/>
        </w:rPr>
        <w:t>门</w:t>
      </w:r>
      <w:bookmarkEnd w:id="18"/>
      <w:bookmarkEnd w:id="19"/>
      <w:bookmarkStart w:id="20" w:name="_Toc23277"/>
      <w:bookmarkStart w:id="21" w:name="_Toc4222"/>
      <w:r>
        <w:rPr>
          <w:rFonts w:hint="eastAsia" w:ascii="黑体" w:hAnsi="黑体" w:eastAsia="黑体" w:cs="黑体"/>
          <w:color w:val="000000"/>
          <w:sz w:val="72"/>
          <w:szCs w:val="72"/>
        </w:rPr>
        <w:t>决</w:t>
      </w:r>
      <w:bookmarkEnd w:id="20"/>
      <w:bookmarkEnd w:id="21"/>
      <w:bookmarkStart w:id="22" w:name="_Toc29080"/>
      <w:bookmarkStart w:id="23" w:name="_Toc24380"/>
      <w:r>
        <w:rPr>
          <w:rFonts w:hint="eastAsia" w:ascii="黑体" w:hAnsi="黑体" w:eastAsia="黑体" w:cs="黑体"/>
          <w:color w:val="000000"/>
          <w:sz w:val="72"/>
          <w:szCs w:val="72"/>
        </w:rPr>
        <w:t>算</w:t>
      </w:r>
      <w:bookmarkEnd w:id="10"/>
      <w:bookmarkEnd w:id="11"/>
      <w:bookmarkEnd w:id="12"/>
      <w:bookmarkEnd w:id="13"/>
      <w:bookmarkEnd w:id="14"/>
      <w:bookmarkEnd w:id="15"/>
      <w:bookmarkEnd w:id="22"/>
      <w:bookmarkEnd w:id="23"/>
    </w:p>
    <w:p>
      <w:pPr>
        <w:adjustRightInd w:val="0"/>
        <w:snapToGrid w:val="0"/>
        <w:spacing w:line="360" w:lineRule="auto"/>
        <w:jc w:val="center"/>
        <w:outlineLvl w:val="0"/>
        <w:rPr>
          <w:rFonts w:ascii="黑体" w:hAnsi="黑体" w:eastAsia="黑体" w:cs="黑体"/>
          <w:color w:val="000000"/>
          <w:sz w:val="72"/>
          <w:szCs w:val="72"/>
        </w:rPr>
      </w:pPr>
      <w:r>
        <w:rPr>
          <w:rFonts w:hint="eastAsia" w:ascii="黑体" w:hAnsi="黑体" w:eastAsia="黑体" w:cs="黑体"/>
          <w:color w:val="000000"/>
          <w:sz w:val="72"/>
          <w:szCs w:val="72"/>
        </w:rPr>
        <w:t>编</w:t>
      </w:r>
    </w:p>
    <w:p>
      <w:pPr>
        <w:adjustRightInd w:val="0"/>
        <w:snapToGrid w:val="0"/>
        <w:spacing w:line="360" w:lineRule="auto"/>
        <w:jc w:val="center"/>
        <w:outlineLvl w:val="0"/>
        <w:rPr>
          <w:rFonts w:ascii="黑体" w:hAnsi="黑体" w:eastAsia="黑体" w:cs="黑体"/>
          <w:color w:val="000000"/>
          <w:sz w:val="72"/>
          <w:szCs w:val="72"/>
        </w:rPr>
      </w:pPr>
      <w:r>
        <w:rPr>
          <w:rFonts w:hint="eastAsia" w:ascii="黑体" w:hAnsi="黑体" w:eastAsia="黑体" w:cs="黑体"/>
          <w:color w:val="000000"/>
          <w:sz w:val="72"/>
          <w:szCs w:val="72"/>
        </w:rPr>
        <w:t>制</w:t>
      </w:r>
    </w:p>
    <w:p>
      <w:pPr>
        <w:adjustRightInd w:val="0"/>
        <w:snapToGrid w:val="0"/>
        <w:spacing w:line="360" w:lineRule="auto"/>
        <w:jc w:val="center"/>
        <w:outlineLvl w:val="0"/>
        <w:rPr>
          <w:rFonts w:ascii="黑体" w:hAnsi="黑体" w:eastAsia="黑体" w:cs="黑体"/>
          <w:color w:val="000000"/>
          <w:sz w:val="72"/>
          <w:szCs w:val="72"/>
        </w:rPr>
      </w:pPr>
      <w:r>
        <w:rPr>
          <w:rFonts w:hint="eastAsia" w:ascii="黑体" w:hAnsi="黑体" w:eastAsia="黑体" w:cs="黑体"/>
          <w:color w:val="000000"/>
          <w:sz w:val="72"/>
          <w:szCs w:val="72"/>
        </w:rPr>
        <w:t>说</w:t>
      </w:r>
    </w:p>
    <w:p>
      <w:pPr>
        <w:adjustRightInd w:val="0"/>
        <w:snapToGrid w:val="0"/>
        <w:spacing w:line="360" w:lineRule="auto"/>
        <w:jc w:val="center"/>
        <w:outlineLvl w:val="0"/>
        <w:rPr>
          <w:rFonts w:ascii="黑体" w:hAnsi="黑体" w:eastAsia="黑体" w:cs="黑体"/>
          <w:color w:val="000000"/>
          <w:sz w:val="72"/>
          <w:szCs w:val="72"/>
        </w:rPr>
      </w:pPr>
      <w:r>
        <w:rPr>
          <w:rFonts w:hint="eastAsia" w:ascii="黑体" w:hAnsi="黑体" w:eastAsia="黑体" w:cs="黑体"/>
          <w:color w:val="000000"/>
          <w:sz w:val="72"/>
          <w:szCs w:val="72"/>
        </w:rPr>
        <w:t>明</w:t>
      </w:r>
    </w:p>
    <w:p>
      <w:pPr>
        <w:widowControl/>
        <w:adjustRightInd w:val="0"/>
        <w:snapToGrid w:val="0"/>
        <w:spacing w:line="440" w:lineRule="exact"/>
        <w:ind w:firstLine="3960" w:firstLineChars="550"/>
        <w:jc w:val="left"/>
        <w:rPr>
          <w:rFonts w:ascii="黑体" w:hAnsi="黑体" w:eastAsia="黑体" w:cs="黑体"/>
          <w:color w:val="FF0000"/>
          <w:sz w:val="72"/>
          <w:szCs w:val="72"/>
        </w:rPr>
      </w:pPr>
      <w:r>
        <w:rPr>
          <w:rFonts w:hint="eastAsia" w:ascii="黑体" w:hAnsi="黑体" w:eastAsia="黑体" w:cs="黑体"/>
          <w:color w:val="000000"/>
          <w:sz w:val="72"/>
          <w:szCs w:val="72"/>
        </w:rPr>
        <w:br w:type="page"/>
      </w:r>
    </w:p>
    <w:p>
      <w:pPr>
        <w:rPr>
          <w:rFonts w:ascii="宋体" w:hAnsi="宋体"/>
        </w:rPr>
      </w:pPr>
    </w:p>
    <w:p>
      <w:pPr>
        <w:jc w:val="center"/>
        <w:rPr>
          <w:rFonts w:ascii="黑体" w:hAnsi="黑体" w:eastAsia="黑体" w:cs="黑体"/>
          <w:sz w:val="24"/>
        </w:rPr>
      </w:pPr>
      <w:r>
        <w:rPr>
          <w:rFonts w:hint="eastAsia" w:ascii="黑体" w:hAnsi="黑体" w:eastAsia="黑体" w:cs="黑体"/>
          <w:sz w:val="24"/>
        </w:rPr>
        <w:t>目录</w:t>
      </w:r>
    </w:p>
    <w:p>
      <w:pPr>
        <w:pStyle w:val="32"/>
        <w:tabs>
          <w:tab w:val="right" w:leader="dot" w:pos="8306"/>
        </w:tabs>
        <w:rPr>
          <w:b/>
        </w:rPr>
      </w:pPr>
      <w:r>
        <w:rPr>
          <w:rFonts w:hint="eastAsia" w:ascii="黑体" w:hAnsi="黑体" w:eastAsia="黑体"/>
        </w:rPr>
        <w:fldChar w:fldCharType="begin"/>
      </w:r>
      <w:r>
        <w:rPr>
          <w:rFonts w:hint="eastAsia" w:ascii="黑体" w:hAnsi="黑体" w:eastAsia="黑体"/>
        </w:rPr>
        <w:instrText xml:space="preserve">TOC \o "1-2" \h \u </w:instrText>
      </w:r>
      <w:r>
        <w:rPr>
          <w:rFonts w:hint="eastAsia" w:ascii="黑体" w:hAnsi="黑体" w:eastAsia="黑体"/>
        </w:rPr>
        <w:fldChar w:fldCharType="separate"/>
      </w:r>
      <w:r>
        <w:fldChar w:fldCharType="begin"/>
      </w:r>
      <w:r>
        <w:instrText xml:space="preserve"> HYPERLINK \l "_Toc28798" </w:instrText>
      </w:r>
      <w:r>
        <w:fldChar w:fldCharType="separate"/>
      </w:r>
      <w:r>
        <w:rPr>
          <w:rFonts w:hint="eastAsia" w:ascii="黑体" w:hAnsi="黑体" w:eastAsia="黑体"/>
          <w:b/>
        </w:rPr>
        <w:t>第一部分 部门概况</w:t>
      </w:r>
      <w:r>
        <w:rPr>
          <w:b/>
        </w:rPr>
        <w:tab/>
      </w:r>
      <w:r>
        <w:rPr>
          <w:rFonts w:hint="eastAsia"/>
          <w:b/>
        </w:rPr>
        <w:t>1</w:t>
      </w:r>
      <w:r>
        <w:rPr>
          <w:rFonts w:hint="eastAsia"/>
          <w:b/>
        </w:rPr>
        <w:fldChar w:fldCharType="end"/>
      </w:r>
    </w:p>
    <w:p>
      <w:pPr>
        <w:pStyle w:val="33"/>
        <w:tabs>
          <w:tab w:val="right" w:leader="dot" w:pos="8306"/>
        </w:tabs>
        <w:ind w:left="420"/>
      </w:pPr>
      <w:r>
        <w:fldChar w:fldCharType="begin"/>
      </w:r>
      <w:r>
        <w:instrText xml:space="preserve"> HYPERLINK \l "_Toc18639" </w:instrText>
      </w:r>
      <w:r>
        <w:fldChar w:fldCharType="separate"/>
      </w:r>
      <w:r>
        <w:rPr>
          <w:rFonts w:hint="eastAsia" w:ascii="黑体" w:hAnsi="黑体" w:eastAsia="黑体"/>
        </w:rPr>
        <w:t>一、基本职能及主要工作</w:t>
      </w:r>
      <w:r>
        <w:tab/>
      </w:r>
      <w:r>
        <w:rPr>
          <w:rFonts w:hint="eastAsia"/>
        </w:rPr>
        <w:t>1</w:t>
      </w:r>
      <w:r>
        <w:rPr>
          <w:rFonts w:hint="eastAsia"/>
        </w:rPr>
        <w:fldChar w:fldCharType="end"/>
      </w:r>
    </w:p>
    <w:p>
      <w:pPr>
        <w:pStyle w:val="33"/>
        <w:tabs>
          <w:tab w:val="right" w:leader="dot" w:pos="8306"/>
        </w:tabs>
        <w:ind w:left="420"/>
      </w:pPr>
      <w:r>
        <w:fldChar w:fldCharType="begin"/>
      </w:r>
      <w:r>
        <w:instrText xml:space="preserve"> HYPERLINK \l "_Toc9477" </w:instrText>
      </w:r>
      <w:r>
        <w:fldChar w:fldCharType="separate"/>
      </w:r>
      <w:r>
        <w:rPr>
          <w:rFonts w:hint="eastAsia" w:ascii="黑体" w:hAnsi="黑体" w:eastAsia="黑体" w:cs="黑体"/>
          <w:bCs/>
          <w:szCs w:val="32"/>
        </w:rPr>
        <w:t>二、机构设置</w:t>
      </w:r>
      <w:r>
        <w:tab/>
      </w:r>
      <w:r>
        <w:rPr>
          <w:rFonts w:hint="eastAsia"/>
        </w:rPr>
        <w:t>5</w:t>
      </w:r>
      <w:r>
        <w:rPr>
          <w:rFonts w:hint="eastAsia"/>
        </w:rPr>
        <w:fldChar w:fldCharType="end"/>
      </w:r>
    </w:p>
    <w:p>
      <w:pPr>
        <w:pStyle w:val="32"/>
        <w:tabs>
          <w:tab w:val="right" w:leader="dot" w:pos="8306"/>
        </w:tabs>
        <w:rPr>
          <w:b/>
        </w:rPr>
      </w:pPr>
      <w:r>
        <w:fldChar w:fldCharType="begin"/>
      </w:r>
      <w:r>
        <w:instrText xml:space="preserve"> HYPERLINK \l "_Toc3607" </w:instrText>
      </w:r>
      <w:r>
        <w:fldChar w:fldCharType="separate"/>
      </w:r>
      <w:r>
        <w:rPr>
          <w:rFonts w:hint="eastAsia" w:ascii="黑体" w:hAnsi="黑体" w:eastAsia="黑体"/>
          <w:b/>
        </w:rPr>
        <w:t>第二部分 2019年度部门决算情况说明</w:t>
      </w:r>
      <w:r>
        <w:rPr>
          <w:b/>
        </w:rPr>
        <w:tab/>
      </w:r>
      <w:r>
        <w:rPr>
          <w:rFonts w:hint="eastAsia"/>
          <w:b/>
        </w:rPr>
        <w:t>6</w:t>
      </w:r>
      <w:r>
        <w:rPr>
          <w:rFonts w:hint="eastAsia"/>
          <w:b/>
        </w:rPr>
        <w:fldChar w:fldCharType="end"/>
      </w:r>
    </w:p>
    <w:p>
      <w:pPr>
        <w:pStyle w:val="33"/>
        <w:tabs>
          <w:tab w:val="right" w:leader="dot" w:pos="8306"/>
        </w:tabs>
        <w:ind w:left="420"/>
      </w:pPr>
      <w:r>
        <w:fldChar w:fldCharType="begin"/>
      </w:r>
      <w:r>
        <w:instrText xml:space="preserve"> HYPERLINK \l "_Toc4662" </w:instrText>
      </w:r>
      <w:r>
        <w:fldChar w:fldCharType="separate"/>
      </w:r>
      <w:r>
        <w:rPr>
          <w:rFonts w:hint="eastAsia" w:ascii="黑体" w:hAnsi="黑体" w:eastAsia="黑体"/>
        </w:rPr>
        <w:t>一、收入支出决算总体情况说明</w:t>
      </w:r>
      <w:r>
        <w:tab/>
      </w:r>
      <w:r>
        <w:rPr>
          <w:rFonts w:hint="eastAsia"/>
        </w:rPr>
        <w:t>6</w:t>
      </w:r>
      <w:r>
        <w:rPr>
          <w:rFonts w:hint="eastAsia"/>
        </w:rPr>
        <w:fldChar w:fldCharType="end"/>
      </w:r>
    </w:p>
    <w:p>
      <w:pPr>
        <w:pStyle w:val="33"/>
        <w:tabs>
          <w:tab w:val="right" w:leader="dot" w:pos="8306"/>
        </w:tabs>
        <w:ind w:left="420"/>
      </w:pPr>
      <w:r>
        <w:fldChar w:fldCharType="begin"/>
      </w:r>
      <w:r>
        <w:instrText xml:space="preserve"> HYPERLINK \l "_Toc24198" </w:instrText>
      </w:r>
      <w:r>
        <w:fldChar w:fldCharType="separate"/>
      </w:r>
      <w:r>
        <w:rPr>
          <w:rFonts w:hint="eastAsia" w:ascii="黑体" w:hAnsi="黑体" w:eastAsia="黑体"/>
        </w:rPr>
        <w:t>二、收入决算情况说明</w:t>
      </w:r>
      <w:r>
        <w:tab/>
      </w:r>
      <w:r>
        <w:rPr>
          <w:rFonts w:hint="eastAsia"/>
        </w:rPr>
        <w:t>6</w:t>
      </w:r>
      <w:r>
        <w:rPr>
          <w:rFonts w:hint="eastAsia"/>
        </w:rPr>
        <w:fldChar w:fldCharType="end"/>
      </w:r>
    </w:p>
    <w:p>
      <w:pPr>
        <w:pStyle w:val="33"/>
        <w:tabs>
          <w:tab w:val="right" w:leader="dot" w:pos="8306"/>
        </w:tabs>
        <w:ind w:left="420"/>
      </w:pPr>
      <w:r>
        <w:fldChar w:fldCharType="begin"/>
      </w:r>
      <w:r>
        <w:instrText xml:space="preserve"> HYPERLINK \l "_Toc27516" </w:instrText>
      </w:r>
      <w:r>
        <w:fldChar w:fldCharType="separate"/>
      </w:r>
      <w:r>
        <w:rPr>
          <w:rFonts w:hint="eastAsia" w:ascii="黑体" w:hAnsi="黑体" w:eastAsia="黑体"/>
        </w:rPr>
        <w:t>三、支出决算情况说明</w:t>
      </w:r>
      <w:r>
        <w:tab/>
      </w:r>
      <w:r>
        <w:rPr>
          <w:rFonts w:hint="eastAsia"/>
        </w:rPr>
        <w:t>7</w:t>
      </w:r>
      <w:r>
        <w:rPr>
          <w:rFonts w:hint="eastAsia"/>
        </w:rPr>
        <w:fldChar w:fldCharType="end"/>
      </w:r>
    </w:p>
    <w:p>
      <w:pPr>
        <w:pStyle w:val="33"/>
        <w:tabs>
          <w:tab w:val="right" w:leader="dot" w:pos="8306"/>
        </w:tabs>
        <w:ind w:left="420"/>
      </w:pPr>
      <w:r>
        <w:fldChar w:fldCharType="begin"/>
      </w:r>
      <w:r>
        <w:instrText xml:space="preserve"> HYPERLINK \l "_Toc15130" </w:instrText>
      </w:r>
      <w:r>
        <w:fldChar w:fldCharType="separate"/>
      </w:r>
      <w:r>
        <w:rPr>
          <w:rFonts w:hint="eastAsia" w:ascii="黑体" w:hAnsi="黑体" w:eastAsia="黑体"/>
        </w:rPr>
        <w:t>四、财政拨款收入支出决算总体情况说明</w:t>
      </w:r>
      <w:r>
        <w:tab/>
      </w:r>
      <w:r>
        <w:rPr>
          <w:rFonts w:hint="eastAsia"/>
        </w:rPr>
        <w:t>7</w:t>
      </w:r>
      <w:r>
        <w:rPr>
          <w:rFonts w:hint="eastAsia"/>
        </w:rPr>
        <w:fldChar w:fldCharType="end"/>
      </w:r>
    </w:p>
    <w:p>
      <w:pPr>
        <w:pStyle w:val="33"/>
        <w:tabs>
          <w:tab w:val="right" w:leader="dot" w:pos="8306"/>
        </w:tabs>
        <w:ind w:left="0" w:leftChars="0" w:firstLine="400" w:firstLineChars="200"/>
        <w:rPr>
          <w:rFonts w:ascii="黑体" w:hAnsi="黑体"/>
        </w:rPr>
      </w:pPr>
      <w:r>
        <w:rPr>
          <w:rFonts w:hint="eastAsia" w:ascii="黑体" w:hAnsi="黑体" w:eastAsia="黑体"/>
        </w:rPr>
        <w:t>五、</w:t>
      </w:r>
      <w:r>
        <w:rPr>
          <w:rFonts w:hint="eastAsia" w:ascii="黑体" w:hAnsi="黑体" w:eastAsia="黑体"/>
          <w:szCs w:val="32"/>
        </w:rPr>
        <w:t>一</w:t>
      </w:r>
      <w:r>
        <w:rPr>
          <w:rFonts w:hint="eastAsia" w:ascii="黑体" w:hAnsi="黑体" w:eastAsia="黑体"/>
        </w:rPr>
        <w:t>般公共预算财政拨款支出决算情况说明</w:t>
      </w:r>
      <w:r>
        <w:tab/>
      </w:r>
      <w:r>
        <w:rPr>
          <w:rFonts w:hint="eastAsia"/>
        </w:rPr>
        <w:t>8</w:t>
      </w:r>
    </w:p>
    <w:p>
      <w:pPr>
        <w:pStyle w:val="33"/>
        <w:tabs>
          <w:tab w:val="right" w:leader="dot" w:pos="8306"/>
        </w:tabs>
        <w:ind w:left="420"/>
        <w:rPr>
          <w:rFonts w:eastAsia="黑体"/>
        </w:rPr>
      </w:pPr>
      <w:r>
        <w:fldChar w:fldCharType="begin"/>
      </w:r>
      <w:r>
        <w:instrText xml:space="preserve"> HYPERLINK \l "_Toc17456"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rPr>
          <w:rFonts w:hint="eastAsia"/>
        </w:rPr>
        <w:t>1</w:t>
      </w:r>
      <w:r>
        <w:rPr>
          <w:rFonts w:hint="eastAsia"/>
        </w:rPr>
        <w:fldChar w:fldCharType="end"/>
      </w:r>
      <w:r>
        <w:rPr>
          <w:rFonts w:hint="eastAsia" w:ascii="黑体" w:hAnsi="黑体" w:eastAsia="黑体"/>
        </w:rPr>
        <w:t>1</w:t>
      </w:r>
    </w:p>
    <w:p>
      <w:pPr>
        <w:pStyle w:val="33"/>
        <w:tabs>
          <w:tab w:val="right" w:leader="dot" w:pos="8306"/>
        </w:tabs>
        <w:ind w:left="420"/>
      </w:pPr>
      <w:r>
        <w:fldChar w:fldCharType="begin"/>
      </w:r>
      <w:r>
        <w:instrText xml:space="preserve"> HYPERLINK \l "_Toc28368"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rPr>
          <w:rFonts w:hint="eastAsia"/>
        </w:rPr>
        <w:t>1</w:t>
      </w:r>
      <w:r>
        <w:rPr>
          <w:rFonts w:hint="eastAsia"/>
        </w:rPr>
        <w:fldChar w:fldCharType="end"/>
      </w:r>
      <w:r>
        <w:rPr>
          <w:rFonts w:hint="eastAsia" w:ascii="黑体" w:hAnsi="黑体" w:eastAsia="黑体"/>
        </w:rPr>
        <w:t>1</w:t>
      </w:r>
    </w:p>
    <w:p>
      <w:pPr>
        <w:pStyle w:val="33"/>
        <w:tabs>
          <w:tab w:val="right" w:leader="dot" w:pos="8306"/>
        </w:tabs>
        <w:ind w:left="420"/>
      </w:pPr>
      <w:r>
        <w:fldChar w:fldCharType="begin"/>
      </w:r>
      <w:r>
        <w:instrText xml:space="preserve"> HYPERLINK \l "_Toc21565"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_Toc21565 </w:instrText>
      </w:r>
      <w:r>
        <w:fldChar w:fldCharType="separate"/>
      </w:r>
      <w:r>
        <w:t>13</w:t>
      </w:r>
      <w:r>
        <w:fldChar w:fldCharType="end"/>
      </w:r>
      <w:r>
        <w:fldChar w:fldCharType="end"/>
      </w:r>
    </w:p>
    <w:p>
      <w:pPr>
        <w:pStyle w:val="33"/>
        <w:tabs>
          <w:tab w:val="right" w:leader="dot" w:pos="8306"/>
        </w:tabs>
        <w:ind w:left="420"/>
      </w:pPr>
      <w:r>
        <w:fldChar w:fldCharType="begin"/>
      </w:r>
      <w:r>
        <w:instrText xml:space="preserve"> HYPERLINK \l "_Toc3902" </w:instrText>
      </w:r>
      <w:r>
        <w:fldChar w:fldCharType="separate"/>
      </w:r>
      <w:r>
        <w:rPr>
          <w:rFonts w:hint="eastAsia" w:ascii="黑体" w:hAnsi="黑体" w:eastAsia="黑体"/>
        </w:rPr>
        <w:t>九、国有资本经营预算支出决算情况说明</w:t>
      </w:r>
      <w:r>
        <w:tab/>
      </w:r>
      <w:r>
        <w:fldChar w:fldCharType="begin"/>
      </w:r>
      <w:r>
        <w:instrText xml:space="preserve"> PAGEREF _Toc3902 </w:instrText>
      </w:r>
      <w:r>
        <w:fldChar w:fldCharType="separate"/>
      </w:r>
      <w:r>
        <w:t>13</w:t>
      </w:r>
      <w:r>
        <w:fldChar w:fldCharType="end"/>
      </w:r>
      <w:r>
        <w:fldChar w:fldCharType="end"/>
      </w:r>
    </w:p>
    <w:p>
      <w:pPr>
        <w:pStyle w:val="33"/>
        <w:tabs>
          <w:tab w:val="right" w:leader="dot" w:pos="8306"/>
        </w:tabs>
        <w:ind w:left="420"/>
      </w:pPr>
      <w:r>
        <w:fldChar w:fldCharType="begin"/>
      </w:r>
      <w:r>
        <w:instrText xml:space="preserve"> HYPERLINK \l "_Toc2767"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_Toc2767 </w:instrText>
      </w:r>
      <w:r>
        <w:fldChar w:fldCharType="separate"/>
      </w:r>
      <w:r>
        <w:t>13</w:t>
      </w:r>
      <w:r>
        <w:fldChar w:fldCharType="end"/>
      </w:r>
      <w:r>
        <w:fldChar w:fldCharType="end"/>
      </w:r>
    </w:p>
    <w:p>
      <w:pPr>
        <w:pStyle w:val="32"/>
        <w:tabs>
          <w:tab w:val="right" w:leader="dot" w:pos="8306"/>
        </w:tabs>
        <w:rPr>
          <w:rFonts w:eastAsia="黑体"/>
          <w:b/>
        </w:rPr>
      </w:pPr>
      <w:r>
        <w:fldChar w:fldCharType="begin"/>
      </w:r>
      <w:r>
        <w:instrText xml:space="preserve"> HYPERLINK \l "_Toc1804" </w:instrText>
      </w:r>
      <w:r>
        <w:fldChar w:fldCharType="separate"/>
      </w:r>
      <w:r>
        <w:rPr>
          <w:rFonts w:hint="eastAsia" w:ascii="黑体" w:hAnsi="黑体" w:eastAsia="黑体"/>
          <w:b/>
          <w:szCs w:val="44"/>
        </w:rPr>
        <w:t>第三部分 名</w:t>
      </w:r>
      <w:r>
        <w:rPr>
          <w:rFonts w:hint="eastAsia" w:ascii="黑体" w:hAnsi="黑体" w:eastAsia="黑体"/>
          <w:b/>
        </w:rPr>
        <w:t>词解释</w:t>
      </w:r>
      <w:r>
        <w:rPr>
          <w:b/>
        </w:rPr>
        <w:tab/>
      </w:r>
      <w:r>
        <w:rPr>
          <w:rFonts w:hint="eastAsia"/>
          <w:b/>
        </w:rPr>
        <w:t>1</w:t>
      </w:r>
      <w:r>
        <w:rPr>
          <w:rFonts w:hint="eastAsia"/>
          <w:b/>
        </w:rPr>
        <w:fldChar w:fldCharType="end"/>
      </w:r>
      <w:r>
        <w:rPr>
          <w:rFonts w:hint="eastAsia" w:ascii="黑体" w:hAnsi="黑体" w:eastAsia="黑体"/>
          <w:b/>
        </w:rPr>
        <w:t>9</w:t>
      </w:r>
    </w:p>
    <w:p>
      <w:pPr>
        <w:pStyle w:val="32"/>
        <w:tabs>
          <w:tab w:val="right" w:leader="dot" w:pos="8306"/>
        </w:tabs>
        <w:rPr>
          <w:b/>
        </w:rPr>
      </w:pPr>
      <w:r>
        <w:fldChar w:fldCharType="begin"/>
      </w:r>
      <w:r>
        <w:instrText xml:space="preserve"> HYPERLINK \l "_Toc10103"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_Toc10103 </w:instrText>
      </w:r>
      <w:r>
        <w:rPr>
          <w:b/>
        </w:rPr>
        <w:fldChar w:fldCharType="separate"/>
      </w:r>
      <w:r>
        <w:rPr>
          <w:b/>
        </w:rPr>
        <w:t>22</w:t>
      </w:r>
      <w:r>
        <w:rPr>
          <w:b/>
        </w:rPr>
        <w:fldChar w:fldCharType="end"/>
      </w:r>
      <w:r>
        <w:rPr>
          <w:b/>
        </w:rPr>
        <w:fldChar w:fldCharType="end"/>
      </w:r>
    </w:p>
    <w:p>
      <w:pPr>
        <w:pStyle w:val="32"/>
        <w:tabs>
          <w:tab w:val="right" w:leader="dot" w:pos="8306"/>
        </w:tabs>
        <w:rPr>
          <w:b/>
        </w:rPr>
      </w:pPr>
      <w:r>
        <w:fldChar w:fldCharType="begin"/>
      </w:r>
      <w:r>
        <w:instrText xml:space="preserve"> HYPERLINK \l "_Toc8450" </w:instrText>
      </w:r>
      <w:r>
        <w:fldChar w:fldCharType="separate"/>
      </w:r>
      <w:r>
        <w:rPr>
          <w:rFonts w:hint="eastAsia" w:ascii="黑体" w:hAnsi="黑体" w:eastAsia="黑体" w:cs="黑体"/>
          <w:b/>
          <w:szCs w:val="32"/>
        </w:rPr>
        <w:t>附件1</w:t>
      </w:r>
      <w:r>
        <w:rPr>
          <w:b/>
        </w:rPr>
        <w:tab/>
      </w:r>
      <w:r>
        <w:rPr>
          <w:b/>
        </w:rPr>
        <w:fldChar w:fldCharType="begin"/>
      </w:r>
      <w:r>
        <w:rPr>
          <w:b/>
        </w:rPr>
        <w:instrText xml:space="preserve"> PAGEREF _Toc8450 </w:instrText>
      </w:r>
      <w:r>
        <w:rPr>
          <w:b/>
        </w:rPr>
        <w:fldChar w:fldCharType="separate"/>
      </w:r>
      <w:r>
        <w:rPr>
          <w:b/>
        </w:rPr>
        <w:t>22</w:t>
      </w:r>
      <w:r>
        <w:rPr>
          <w:b/>
        </w:rPr>
        <w:fldChar w:fldCharType="end"/>
      </w:r>
      <w:r>
        <w:rPr>
          <w:b/>
        </w:rPr>
        <w:fldChar w:fldCharType="end"/>
      </w:r>
    </w:p>
    <w:p>
      <w:pPr>
        <w:pStyle w:val="32"/>
        <w:tabs>
          <w:tab w:val="right" w:leader="dot" w:pos="8306"/>
        </w:tabs>
        <w:rPr>
          <w:b/>
        </w:rPr>
      </w:pPr>
      <w:r>
        <w:fldChar w:fldCharType="begin"/>
      </w:r>
      <w:r>
        <w:instrText xml:space="preserve"> HYPERLINK \l "_Toc5482" </w:instrText>
      </w:r>
      <w:r>
        <w:fldChar w:fldCharType="separate"/>
      </w:r>
      <w:r>
        <w:rPr>
          <w:rFonts w:hint="eastAsia" w:ascii="黑体" w:hAnsi="黑体" w:eastAsia="黑体" w:cs="方正小标宋简体"/>
          <w:b/>
          <w:szCs w:val="36"/>
        </w:rPr>
        <w:t>广元市航务管理局2019年部门整体支出</w:t>
      </w:r>
      <w:r>
        <w:rPr>
          <w:b/>
        </w:rPr>
        <w:tab/>
      </w:r>
      <w:r>
        <w:rPr>
          <w:b/>
        </w:rPr>
        <w:fldChar w:fldCharType="begin"/>
      </w:r>
      <w:r>
        <w:rPr>
          <w:b/>
        </w:rPr>
        <w:instrText xml:space="preserve"> PAGEREF _Toc5482 </w:instrText>
      </w:r>
      <w:r>
        <w:rPr>
          <w:b/>
        </w:rPr>
        <w:fldChar w:fldCharType="separate"/>
      </w:r>
      <w:r>
        <w:rPr>
          <w:b/>
        </w:rPr>
        <w:t>22</w:t>
      </w:r>
      <w:r>
        <w:rPr>
          <w:b/>
        </w:rPr>
        <w:fldChar w:fldCharType="end"/>
      </w:r>
      <w:r>
        <w:rPr>
          <w:b/>
        </w:rPr>
        <w:fldChar w:fldCharType="end"/>
      </w:r>
    </w:p>
    <w:p>
      <w:pPr>
        <w:pStyle w:val="32"/>
        <w:tabs>
          <w:tab w:val="right" w:leader="dot" w:pos="8306"/>
        </w:tabs>
        <w:rPr>
          <w:b/>
        </w:rPr>
      </w:pPr>
      <w:r>
        <w:fldChar w:fldCharType="begin"/>
      </w:r>
      <w:r>
        <w:instrText xml:space="preserve"> HYPERLINK \l "_Toc204" </w:instrText>
      </w:r>
      <w:r>
        <w:fldChar w:fldCharType="separate"/>
      </w:r>
      <w:r>
        <w:rPr>
          <w:rFonts w:hint="eastAsia" w:ascii="黑体" w:hAnsi="黑体" w:eastAsia="黑体" w:cs="方正小标宋简体"/>
          <w:b/>
          <w:szCs w:val="36"/>
        </w:rPr>
        <w:t>绩效评价报告</w:t>
      </w:r>
      <w:r>
        <w:rPr>
          <w:b/>
        </w:rPr>
        <w:tab/>
      </w:r>
      <w:r>
        <w:rPr>
          <w:b/>
        </w:rPr>
        <w:fldChar w:fldCharType="begin"/>
      </w:r>
      <w:r>
        <w:rPr>
          <w:b/>
        </w:rPr>
        <w:instrText xml:space="preserve"> PAGEREF _Toc204 </w:instrText>
      </w:r>
      <w:r>
        <w:rPr>
          <w:b/>
        </w:rPr>
        <w:fldChar w:fldCharType="separate"/>
      </w:r>
      <w:r>
        <w:rPr>
          <w:b/>
        </w:rPr>
        <w:t>22</w:t>
      </w:r>
      <w:r>
        <w:rPr>
          <w:b/>
        </w:rPr>
        <w:fldChar w:fldCharType="end"/>
      </w:r>
      <w:r>
        <w:rPr>
          <w:b/>
        </w:rPr>
        <w:fldChar w:fldCharType="end"/>
      </w:r>
    </w:p>
    <w:p>
      <w:pPr>
        <w:pStyle w:val="32"/>
        <w:tabs>
          <w:tab w:val="right" w:leader="dot" w:pos="8306"/>
        </w:tabs>
        <w:rPr>
          <w:b/>
        </w:rPr>
      </w:pPr>
      <w:r>
        <w:fldChar w:fldCharType="begin"/>
      </w:r>
      <w:r>
        <w:instrText xml:space="preserve"> HYPERLINK \l "_Toc25030" </w:instrText>
      </w:r>
      <w: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_Toc25030 </w:instrText>
      </w:r>
      <w:r>
        <w:rPr>
          <w:b/>
        </w:rPr>
        <w:fldChar w:fldCharType="separate"/>
      </w:r>
      <w:r>
        <w:rPr>
          <w:b/>
        </w:rPr>
        <w:t>25</w:t>
      </w:r>
      <w:r>
        <w:rPr>
          <w:b/>
        </w:rPr>
        <w:fldChar w:fldCharType="end"/>
      </w:r>
      <w:r>
        <w:rPr>
          <w:b/>
        </w:rPr>
        <w:fldChar w:fldCharType="end"/>
      </w:r>
    </w:p>
    <w:p>
      <w:pPr>
        <w:pStyle w:val="33"/>
        <w:tabs>
          <w:tab w:val="right" w:leader="dot" w:pos="8306"/>
        </w:tabs>
        <w:ind w:left="420"/>
        <w:rPr>
          <w:rFonts w:eastAsia="黑体"/>
        </w:rPr>
      </w:pPr>
      <w:r>
        <w:fldChar w:fldCharType="begin"/>
      </w:r>
      <w:r>
        <w:instrText xml:space="preserve"> HYPERLINK \l "_Toc7847" </w:instrText>
      </w:r>
      <w:r>
        <w:fldChar w:fldCharType="separate"/>
      </w:r>
      <w:r>
        <w:rPr>
          <w:rFonts w:hint="eastAsia" w:ascii="仿宋" w:hAnsi="仿宋" w:eastAsia="仿宋"/>
        </w:rPr>
        <w:t>一、收入支出决算总表</w:t>
      </w:r>
      <w:r>
        <w:tab/>
      </w:r>
      <w:r>
        <w:rPr>
          <w:rFonts w:hint="eastAsia"/>
        </w:rPr>
        <w:t>2</w:t>
      </w:r>
      <w:r>
        <w:rPr>
          <w:rFonts w:hint="eastAsia"/>
        </w:rPr>
        <w:fldChar w:fldCharType="end"/>
      </w:r>
      <w:r>
        <w:rPr>
          <w:rFonts w:hint="eastAsia" w:ascii="黑体" w:hAnsi="黑体" w:eastAsia="黑体"/>
        </w:rPr>
        <w:t>5</w:t>
      </w:r>
    </w:p>
    <w:p>
      <w:pPr>
        <w:pStyle w:val="33"/>
        <w:tabs>
          <w:tab w:val="right" w:leader="dot" w:pos="8306"/>
        </w:tabs>
        <w:ind w:left="420"/>
      </w:pPr>
      <w:r>
        <w:fldChar w:fldCharType="begin"/>
      </w:r>
      <w:r>
        <w:instrText xml:space="preserve"> HYPERLINK \l "_Toc11527" </w:instrText>
      </w:r>
      <w:r>
        <w:fldChar w:fldCharType="separate"/>
      </w:r>
      <w:r>
        <w:rPr>
          <w:rFonts w:hint="eastAsia" w:ascii="仿宋" w:hAnsi="仿宋" w:eastAsia="仿宋"/>
        </w:rPr>
        <w:t>二、收入决算表</w:t>
      </w:r>
      <w:r>
        <w:tab/>
      </w:r>
      <w:r>
        <w:fldChar w:fldCharType="begin"/>
      </w:r>
      <w:r>
        <w:instrText xml:space="preserve"> PAGEREF _Toc11527 </w:instrText>
      </w:r>
      <w:r>
        <w:fldChar w:fldCharType="separate"/>
      </w:r>
      <w:r>
        <w:t>25</w:t>
      </w:r>
      <w:r>
        <w:fldChar w:fldCharType="end"/>
      </w:r>
      <w:r>
        <w:fldChar w:fldCharType="end"/>
      </w:r>
    </w:p>
    <w:p>
      <w:pPr>
        <w:pStyle w:val="33"/>
        <w:tabs>
          <w:tab w:val="right" w:leader="dot" w:pos="8306"/>
        </w:tabs>
        <w:ind w:left="420"/>
      </w:pPr>
      <w:r>
        <w:fldChar w:fldCharType="begin"/>
      </w:r>
      <w:r>
        <w:instrText xml:space="preserve"> HYPERLINK \l "_Toc17801" </w:instrText>
      </w:r>
      <w:r>
        <w:fldChar w:fldCharType="separate"/>
      </w:r>
      <w:r>
        <w:rPr>
          <w:rFonts w:hint="eastAsia" w:ascii="仿宋" w:hAnsi="仿宋" w:eastAsia="仿宋"/>
        </w:rPr>
        <w:t>三、支出决算表</w:t>
      </w:r>
      <w:r>
        <w:tab/>
      </w:r>
      <w:r>
        <w:fldChar w:fldCharType="begin"/>
      </w:r>
      <w:r>
        <w:instrText xml:space="preserve"> PAGEREF _Toc17801 </w:instrText>
      </w:r>
      <w:r>
        <w:fldChar w:fldCharType="separate"/>
      </w:r>
      <w:r>
        <w:t>25</w:t>
      </w:r>
      <w:r>
        <w:fldChar w:fldCharType="end"/>
      </w:r>
      <w:r>
        <w:fldChar w:fldCharType="end"/>
      </w:r>
    </w:p>
    <w:p>
      <w:pPr>
        <w:pStyle w:val="33"/>
        <w:tabs>
          <w:tab w:val="right" w:leader="dot" w:pos="8306"/>
        </w:tabs>
        <w:ind w:left="420"/>
        <w:rPr>
          <w:rFonts w:eastAsia="黑体"/>
        </w:rPr>
      </w:pPr>
      <w:r>
        <w:fldChar w:fldCharType="begin"/>
      </w:r>
      <w:r>
        <w:instrText xml:space="preserve"> HYPERLINK \l "_Toc14607" </w:instrText>
      </w:r>
      <w:r>
        <w:fldChar w:fldCharType="separate"/>
      </w:r>
      <w:r>
        <w:rPr>
          <w:rFonts w:hint="eastAsia" w:ascii="仿宋" w:hAnsi="仿宋" w:eastAsia="仿宋"/>
        </w:rPr>
        <w:t>四、财政拨款收入支出决算总表</w:t>
      </w:r>
      <w:r>
        <w:tab/>
      </w:r>
      <w:r>
        <w:rPr>
          <w:rFonts w:hint="eastAsia"/>
        </w:rPr>
        <w:t>2</w:t>
      </w:r>
      <w:r>
        <w:rPr>
          <w:rFonts w:hint="eastAsia"/>
        </w:rPr>
        <w:fldChar w:fldCharType="end"/>
      </w:r>
      <w:r>
        <w:rPr>
          <w:rFonts w:hint="eastAsia" w:ascii="黑体" w:hAnsi="黑体" w:eastAsia="黑体"/>
        </w:rPr>
        <w:t>5</w:t>
      </w:r>
    </w:p>
    <w:p>
      <w:pPr>
        <w:pStyle w:val="33"/>
        <w:tabs>
          <w:tab w:val="right" w:leader="dot" w:pos="8306"/>
        </w:tabs>
        <w:ind w:left="420"/>
      </w:pPr>
      <w:r>
        <w:fldChar w:fldCharType="begin"/>
      </w:r>
      <w:r>
        <w:instrText xml:space="preserve"> HYPERLINK \l "_Toc20362" </w:instrText>
      </w:r>
      <w:r>
        <w:fldChar w:fldCharType="separate"/>
      </w:r>
      <w:r>
        <w:rPr>
          <w:rFonts w:hint="eastAsia" w:ascii="仿宋" w:hAnsi="仿宋" w:eastAsia="仿宋"/>
        </w:rPr>
        <w:t>五、财政拨款支出决算明细表</w:t>
      </w:r>
      <w:r>
        <w:tab/>
      </w:r>
      <w:r>
        <w:fldChar w:fldCharType="begin"/>
      </w:r>
      <w:r>
        <w:instrText xml:space="preserve"> PAGEREF _Toc20362 </w:instrText>
      </w:r>
      <w:r>
        <w:fldChar w:fldCharType="separate"/>
      </w:r>
      <w:r>
        <w:t>25</w:t>
      </w:r>
      <w:r>
        <w:fldChar w:fldCharType="end"/>
      </w:r>
      <w:r>
        <w:fldChar w:fldCharType="end"/>
      </w:r>
    </w:p>
    <w:p>
      <w:pPr>
        <w:pStyle w:val="33"/>
        <w:tabs>
          <w:tab w:val="right" w:leader="dot" w:pos="8306"/>
        </w:tabs>
        <w:ind w:left="420"/>
        <w:rPr>
          <w:rFonts w:eastAsia="黑体"/>
        </w:rPr>
      </w:pPr>
      <w:r>
        <w:fldChar w:fldCharType="begin"/>
      </w:r>
      <w:r>
        <w:instrText xml:space="preserve"> HYPERLINK \l "_Toc102" </w:instrText>
      </w:r>
      <w:r>
        <w:fldChar w:fldCharType="separate"/>
      </w:r>
      <w:r>
        <w:rPr>
          <w:rFonts w:hint="eastAsia" w:ascii="仿宋" w:hAnsi="仿宋" w:eastAsia="仿宋"/>
        </w:rPr>
        <w:t>六、一般公共预算财政拨款支出决算表</w:t>
      </w:r>
      <w:r>
        <w:tab/>
      </w:r>
      <w:r>
        <w:rPr>
          <w:rFonts w:hint="eastAsia"/>
        </w:rPr>
        <w:t>2</w:t>
      </w:r>
      <w:r>
        <w:rPr>
          <w:rFonts w:hint="eastAsia"/>
        </w:rPr>
        <w:fldChar w:fldCharType="end"/>
      </w:r>
      <w:r>
        <w:rPr>
          <w:rFonts w:hint="eastAsia" w:ascii="黑体" w:hAnsi="黑体" w:eastAsia="黑体"/>
        </w:rPr>
        <w:t>5</w:t>
      </w:r>
    </w:p>
    <w:p>
      <w:pPr>
        <w:pStyle w:val="33"/>
        <w:tabs>
          <w:tab w:val="right" w:leader="dot" w:pos="8306"/>
        </w:tabs>
        <w:ind w:left="420"/>
      </w:pPr>
      <w:r>
        <w:fldChar w:fldCharType="begin"/>
      </w:r>
      <w:r>
        <w:instrText xml:space="preserve"> HYPERLINK \l "_Toc31382" </w:instrText>
      </w:r>
      <w:r>
        <w:fldChar w:fldCharType="separate"/>
      </w:r>
      <w:r>
        <w:rPr>
          <w:rFonts w:hint="eastAsia" w:ascii="仿宋" w:hAnsi="仿宋" w:eastAsia="仿宋"/>
        </w:rPr>
        <w:t>七、一般公共预算财政拨款支出决算明细表</w:t>
      </w:r>
      <w:r>
        <w:tab/>
      </w:r>
      <w:r>
        <w:fldChar w:fldCharType="begin"/>
      </w:r>
      <w:r>
        <w:instrText xml:space="preserve"> PAGEREF _Toc31382 </w:instrText>
      </w:r>
      <w:r>
        <w:fldChar w:fldCharType="separate"/>
      </w:r>
      <w:r>
        <w:t>25</w:t>
      </w:r>
      <w:r>
        <w:fldChar w:fldCharType="end"/>
      </w:r>
      <w:r>
        <w:fldChar w:fldCharType="end"/>
      </w:r>
    </w:p>
    <w:p>
      <w:pPr>
        <w:pStyle w:val="33"/>
        <w:tabs>
          <w:tab w:val="right" w:leader="dot" w:pos="8306"/>
        </w:tabs>
        <w:spacing w:line="440" w:lineRule="exact"/>
        <w:ind w:left="420"/>
      </w:pPr>
      <w:r>
        <w:fldChar w:fldCharType="begin"/>
      </w:r>
      <w:r>
        <w:instrText xml:space="preserve"> HYPERLINK \l "_Toc26795" </w:instrText>
      </w:r>
      <w:r>
        <w:fldChar w:fldCharType="separate"/>
      </w:r>
      <w:r>
        <w:rPr>
          <w:rFonts w:hint="eastAsia" w:ascii="仿宋" w:hAnsi="仿宋" w:eastAsia="仿宋"/>
        </w:rPr>
        <w:t>八、一般公共预算财政拨款基本支出决算表</w:t>
      </w:r>
      <w:r>
        <w:tab/>
      </w:r>
      <w:r>
        <w:fldChar w:fldCharType="begin"/>
      </w:r>
      <w:r>
        <w:instrText xml:space="preserve"> PAGEREF _Toc26795 </w:instrText>
      </w:r>
      <w:r>
        <w:fldChar w:fldCharType="separate"/>
      </w:r>
      <w:r>
        <w:t>25</w:t>
      </w:r>
      <w:r>
        <w:fldChar w:fldCharType="end"/>
      </w:r>
      <w:r>
        <w:fldChar w:fldCharType="end"/>
      </w:r>
    </w:p>
    <w:p>
      <w:pPr>
        <w:pStyle w:val="33"/>
        <w:tabs>
          <w:tab w:val="right" w:leader="dot" w:pos="8306"/>
        </w:tabs>
        <w:spacing w:line="400" w:lineRule="exact"/>
        <w:ind w:left="420"/>
      </w:pPr>
      <w:r>
        <w:fldChar w:fldCharType="begin"/>
      </w:r>
      <w:r>
        <w:instrText xml:space="preserve"> HYPERLINK \l "_Toc16305" </w:instrText>
      </w:r>
      <w:r>
        <w:fldChar w:fldCharType="separate"/>
      </w:r>
      <w:r>
        <w:rPr>
          <w:rFonts w:hint="eastAsia" w:ascii="仿宋" w:hAnsi="仿宋" w:eastAsia="仿宋"/>
        </w:rPr>
        <w:t>九、一般公共预算财政拨款项目支出决算表</w:t>
      </w:r>
      <w:r>
        <w:tab/>
      </w:r>
      <w:r>
        <w:fldChar w:fldCharType="begin"/>
      </w:r>
      <w:r>
        <w:instrText xml:space="preserve"> PAGEREF _Toc16305 </w:instrText>
      </w:r>
      <w:r>
        <w:fldChar w:fldCharType="separate"/>
      </w:r>
      <w:r>
        <w:t>25</w:t>
      </w:r>
      <w:r>
        <w:fldChar w:fldCharType="end"/>
      </w:r>
      <w:r>
        <w:fldChar w:fldCharType="end"/>
      </w:r>
    </w:p>
    <w:p>
      <w:pPr>
        <w:pStyle w:val="33"/>
        <w:tabs>
          <w:tab w:val="right" w:leader="dot" w:pos="8306"/>
        </w:tabs>
        <w:spacing w:line="440" w:lineRule="exact"/>
        <w:ind w:left="420"/>
      </w:pPr>
      <w:r>
        <w:fldChar w:fldCharType="begin"/>
      </w:r>
      <w:r>
        <w:instrText xml:space="preserve"> HYPERLINK \l "_Toc28994"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_Toc28994 </w:instrText>
      </w:r>
      <w:r>
        <w:fldChar w:fldCharType="separate"/>
      </w:r>
      <w:r>
        <w:t>25</w:t>
      </w:r>
      <w:r>
        <w:fldChar w:fldCharType="end"/>
      </w:r>
      <w:r>
        <w:fldChar w:fldCharType="end"/>
      </w:r>
    </w:p>
    <w:p>
      <w:pPr>
        <w:pStyle w:val="33"/>
        <w:tabs>
          <w:tab w:val="right" w:leader="dot" w:pos="8306"/>
        </w:tabs>
        <w:spacing w:line="440" w:lineRule="exact"/>
        <w:ind w:left="420"/>
      </w:pPr>
      <w:r>
        <w:fldChar w:fldCharType="begin"/>
      </w:r>
      <w:r>
        <w:instrText xml:space="preserve"> HYPERLINK \l "_Toc10579"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_Toc10579 </w:instrText>
      </w:r>
      <w:r>
        <w:fldChar w:fldCharType="separate"/>
      </w:r>
      <w:r>
        <w:t>25</w:t>
      </w:r>
      <w:r>
        <w:fldChar w:fldCharType="end"/>
      </w:r>
      <w:r>
        <w:fldChar w:fldCharType="end"/>
      </w:r>
    </w:p>
    <w:p>
      <w:pPr>
        <w:pStyle w:val="33"/>
        <w:tabs>
          <w:tab w:val="right" w:leader="dot" w:pos="8306"/>
        </w:tabs>
        <w:spacing w:line="440" w:lineRule="exact"/>
        <w:ind w:left="420"/>
      </w:pPr>
      <w:r>
        <w:fldChar w:fldCharType="begin"/>
      </w:r>
      <w:r>
        <w:instrText xml:space="preserve"> HYPERLINK \l "_Toc2247"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_Toc2247 </w:instrText>
      </w:r>
      <w:r>
        <w:fldChar w:fldCharType="separate"/>
      </w:r>
      <w:r>
        <w:t>25</w:t>
      </w:r>
      <w:r>
        <w:fldChar w:fldCharType="end"/>
      </w:r>
      <w:r>
        <w:fldChar w:fldCharType="end"/>
      </w:r>
    </w:p>
    <w:p>
      <w:pPr>
        <w:pStyle w:val="33"/>
        <w:tabs>
          <w:tab w:val="right" w:leader="dot" w:pos="8306"/>
        </w:tabs>
        <w:spacing w:line="440" w:lineRule="exact"/>
        <w:ind w:left="420"/>
      </w:pPr>
      <w:r>
        <w:fldChar w:fldCharType="begin"/>
      </w:r>
      <w:r>
        <w:instrText xml:space="preserve"> HYPERLINK \l "_Toc18852" </w:instrText>
      </w:r>
      <w:r>
        <w:fldChar w:fldCharType="separate"/>
      </w:r>
      <w:r>
        <w:rPr>
          <w:rFonts w:hint="eastAsia" w:ascii="仿宋" w:hAnsi="仿宋" w:eastAsia="仿宋"/>
        </w:rPr>
        <w:t>十三、国有资本经营预算支出决算表</w:t>
      </w:r>
      <w:r>
        <w:tab/>
      </w:r>
      <w:r>
        <w:fldChar w:fldCharType="begin"/>
      </w:r>
      <w:r>
        <w:instrText xml:space="preserve"> PAGEREF _Toc18852 </w:instrText>
      </w:r>
      <w:r>
        <w:fldChar w:fldCharType="separate"/>
      </w:r>
      <w:r>
        <w:t>25</w:t>
      </w:r>
      <w:r>
        <w:fldChar w:fldCharType="end"/>
      </w:r>
      <w:r>
        <w:fldChar w:fldCharType="end"/>
      </w:r>
    </w:p>
    <w:p>
      <w:pPr>
        <w:pStyle w:val="2"/>
        <w:spacing w:line="576" w:lineRule="exact"/>
        <w:rPr>
          <w:rFonts w:ascii="黑体" w:hAnsi="黑体" w:eastAsia="黑体"/>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pStyle w:val="2"/>
        <w:spacing w:line="576" w:lineRule="exact"/>
      </w:pPr>
      <w:r>
        <w:rPr>
          <w:rFonts w:hint="eastAsia" w:ascii="黑体" w:hAnsi="黑体" w:eastAsia="黑体"/>
        </w:rPr>
        <w:fldChar w:fldCharType="end"/>
      </w:r>
      <w:bookmarkStart w:id="24" w:name="_Toc28798"/>
    </w:p>
    <w:p>
      <w:pPr>
        <w:pStyle w:val="2"/>
        <w:spacing w:line="576" w:lineRule="exact"/>
        <w:jc w:val="center"/>
        <w:rPr>
          <w:rFonts w:ascii="黑体" w:eastAsia="黑体"/>
          <w:color w:val="000000"/>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24"/>
    </w:p>
    <w:p>
      <w:pPr>
        <w:pStyle w:val="3"/>
        <w:spacing w:line="576" w:lineRule="exact"/>
        <w:ind w:firstLine="642" w:firstLineChars="200"/>
        <w:rPr>
          <w:rStyle w:val="26"/>
          <w:rFonts w:ascii="仿宋" w:hAnsi="仿宋" w:eastAsia="仿宋"/>
          <w:b/>
          <w:bCs w:val="0"/>
        </w:rPr>
      </w:pPr>
      <w:bookmarkStart w:id="25" w:name="_Toc18639"/>
      <w:bookmarkStart w:id="26" w:name="_Toc15377197"/>
      <w:bookmarkStart w:id="27" w:name="_Toc15396600"/>
      <w:r>
        <w:rPr>
          <w:rFonts w:hint="eastAsia" w:ascii="黑体" w:hAnsi="黑体" w:eastAsia="黑体"/>
          <w:bCs w:val="0"/>
          <w:color w:val="000000"/>
        </w:rPr>
        <w:t>一、基</w:t>
      </w:r>
      <w:r>
        <w:rPr>
          <w:rStyle w:val="26"/>
          <w:rFonts w:hint="eastAsia" w:ascii="黑体" w:hAnsi="黑体" w:eastAsia="黑体"/>
          <w:b/>
          <w:bCs w:val="0"/>
        </w:rPr>
        <w:t>本职能及主要工作</w:t>
      </w:r>
      <w:bookmarkEnd w:id="25"/>
      <w:bookmarkEnd w:id="26"/>
      <w:bookmarkEnd w:id="27"/>
    </w:p>
    <w:p>
      <w:pPr>
        <w:pStyle w:val="12"/>
        <w:widowControl/>
        <w:spacing w:beforeAutospacing="0" w:afterAutospacing="0" w:line="576" w:lineRule="exact"/>
        <w:ind w:firstLine="640" w:firstLineChars="200"/>
        <w:rPr>
          <w:rFonts w:ascii="仿宋_GB2312" w:hAnsi="仿宋" w:eastAsia="仿宋_GB2312"/>
          <w:sz w:val="32"/>
          <w:szCs w:val="32"/>
        </w:rPr>
      </w:pPr>
      <w:bookmarkStart w:id="28" w:name="_Toc15377198"/>
      <w:bookmarkStart w:id="29" w:name="_Toc15378445"/>
      <w:r>
        <w:rPr>
          <w:rFonts w:hint="eastAsia" w:ascii="黑体" w:hAnsi="黑体" w:eastAsia="黑体" w:cs="黑体"/>
          <w:bCs/>
          <w:color w:val="000000"/>
          <w:sz w:val="32"/>
          <w:szCs w:val="32"/>
        </w:rPr>
        <w:t>（一）主要职能。</w:t>
      </w:r>
      <w:r>
        <w:rPr>
          <w:rFonts w:hint="eastAsia" w:ascii="仿宋_GB2312" w:hAnsi="仿宋" w:eastAsia="仿宋_GB2312"/>
          <w:sz w:val="32"/>
          <w:szCs w:val="32"/>
        </w:rPr>
        <w:t>广元市航务管理局为广元市交通运输局直属副县级机构，2009年批准为参公管理的事业单位，实行三块牌子（市航务管理局、市地方海事局、市船舶检验局）、一套班子合署办公，按照《中华人民共和国航道法》、《中华人民共和国港口法》、《中华人民共和国内河交通安全管理条例》、《中华人民共和国水路运输管理条例》等法律、法规授权：履行水上交通安全监督和防止船舶污染、水路运输管理、港口航道管理、船舶检验、航道养护等职责。</w:t>
      </w:r>
    </w:p>
    <w:bookmarkEnd w:id="28"/>
    <w:bookmarkEnd w:id="29"/>
    <w:p>
      <w:pPr>
        <w:spacing w:line="576" w:lineRule="exact"/>
        <w:rPr>
          <w:rFonts w:eastAsia="仿宋_GB2312"/>
          <w:sz w:val="32"/>
          <w:szCs w:val="32"/>
        </w:rPr>
      </w:pPr>
      <w:bookmarkStart w:id="30" w:name="_Toc15378446"/>
      <w:bookmarkStart w:id="31" w:name="_Toc15377199"/>
      <w:r>
        <w:rPr>
          <w:rFonts w:hint="eastAsia" w:ascii="黑体" w:hAnsi="黑体" w:eastAsia="黑体" w:cs="黑体"/>
          <w:bCs/>
          <w:color w:val="000000"/>
          <w:kern w:val="0"/>
          <w:sz w:val="32"/>
          <w:szCs w:val="32"/>
        </w:rPr>
        <w:t xml:space="preserve">    （二）2019年重点工作完成情况。</w:t>
      </w:r>
      <w:bookmarkEnd w:id="30"/>
      <w:bookmarkEnd w:id="31"/>
      <w:r>
        <w:rPr>
          <w:rFonts w:hint="eastAsia" w:ascii="黑体" w:eastAsia="黑体"/>
          <w:sz w:val="32"/>
          <w:szCs w:val="32"/>
        </w:rPr>
        <w:t>一是尽职履责，确保水上交通安全稳定向好。</w:t>
      </w:r>
      <w:r>
        <w:rPr>
          <w:rFonts w:hint="eastAsia" w:ascii="楷体_GB2312" w:hAnsi="黑体" w:eastAsia="楷体_GB2312"/>
          <w:bCs/>
          <w:sz w:val="32"/>
          <w:szCs w:val="32"/>
        </w:rPr>
        <w:t>1、全面部署，层层压实安全管理责任。</w:t>
      </w:r>
      <w:r>
        <w:rPr>
          <w:rFonts w:hint="eastAsia" w:ascii="仿宋_GB2312" w:hAnsi="黑体" w:eastAsia="仿宋_GB2312"/>
          <w:bCs/>
          <w:sz w:val="32"/>
          <w:szCs w:val="32"/>
        </w:rPr>
        <w:t>对重点安全环节及季节性安全工作、专项安全工作、业务基础工作层层进行安排部署;</w:t>
      </w:r>
      <w:r>
        <w:rPr>
          <w:rFonts w:hint="eastAsia" w:ascii="仿宋_GB2312" w:hAnsi="仿宋" w:eastAsia="仿宋_GB2312"/>
          <w:sz w:val="32"/>
          <w:szCs w:val="32"/>
        </w:rPr>
        <w:t>与各县区海事处、各航道段签订水上交通安全管理目标责任书;督促企业落实好安全管理主体责任。</w:t>
      </w:r>
      <w:r>
        <w:rPr>
          <w:rFonts w:hint="eastAsia" w:ascii="楷体_GB2312" w:hAnsi="黑体" w:eastAsia="楷体_GB2312"/>
          <w:sz w:val="32"/>
          <w:szCs w:val="32"/>
        </w:rPr>
        <w:t>2、突出重点，全面加强水上交通安全监管。</w:t>
      </w:r>
      <w:r>
        <w:rPr>
          <w:rFonts w:hint="eastAsia" w:ascii="仿宋_GB2312" w:hAnsi="仿宋" w:eastAsia="仿宋_GB2312"/>
          <w:sz w:val="32"/>
          <w:szCs w:val="32"/>
        </w:rPr>
        <w:t>狠抓重点时段、重点船舶的现场监管</w:t>
      </w:r>
      <w:r>
        <w:rPr>
          <w:rFonts w:hint="eastAsia" w:ascii="仿宋_GB2312" w:eastAsia="仿宋_GB2312"/>
          <w:sz w:val="32"/>
          <w:szCs w:val="32"/>
        </w:rPr>
        <w:t>；严格执行汛期停航、封渡、减载、汛情传递、巡航巡查、值班守护、应急救助等汛期水上交通安全制度；督促重点防汛船舶落实了单船防汛预案；</w:t>
      </w:r>
      <w:r>
        <w:rPr>
          <w:rFonts w:hint="eastAsia" w:ascii="仿宋_GB2312" w:hAnsi="仿宋" w:eastAsia="仿宋_GB2312"/>
          <w:sz w:val="32"/>
          <w:szCs w:val="32"/>
        </w:rPr>
        <w:t>深入开展“防风险保安全迎大庆”专项行动,</w:t>
      </w:r>
      <w:r>
        <w:rPr>
          <w:rFonts w:ascii="仿宋_GB2312" w:eastAsia="仿宋_GB2312"/>
          <w:sz w:val="32"/>
          <w:szCs w:val="32"/>
        </w:rPr>
        <w:t>检查国旗470面，更换破损、污损、褪色国旗420面</w:t>
      </w:r>
      <w:r>
        <w:rPr>
          <w:rFonts w:hint="eastAsia" w:ascii="仿宋_GB2312" w:eastAsia="仿宋_GB2312"/>
          <w:sz w:val="32"/>
          <w:szCs w:val="32"/>
        </w:rPr>
        <w:t>；</w:t>
      </w:r>
      <w:r>
        <w:rPr>
          <w:rFonts w:hint="eastAsia" w:ascii="仿宋_GB2312" w:hAnsi="仿宋" w:eastAsia="仿宋_GB2312"/>
          <w:sz w:val="32"/>
          <w:szCs w:val="32"/>
        </w:rPr>
        <w:t>对重点船舶、重点水域进行不定期安全检查巡查，全市全年出动海巡艇60艘次，检查船舶980艘次，查改各类安全问题及隐患110余起，查处违法行为3起；</w:t>
      </w:r>
      <w:r>
        <w:rPr>
          <w:rFonts w:hint="eastAsia" w:ascii="仿宋_GB2312" w:eastAsia="仿宋_GB2312"/>
          <w:sz w:val="32"/>
          <w:szCs w:val="32"/>
        </w:rPr>
        <w:t>认真做好秋冬季节大风、大雾和雨雪冰冻灾害天气的水上交通安全工作</w:t>
      </w:r>
      <w:r>
        <w:rPr>
          <w:rFonts w:hint="eastAsia" w:ascii="仿宋_GB2312" w:hAnsi="仿宋" w:eastAsia="仿宋_GB2312"/>
          <w:sz w:val="32"/>
          <w:szCs w:val="32"/>
        </w:rPr>
        <w:t>，</w:t>
      </w:r>
      <w:r>
        <w:rPr>
          <w:rFonts w:ascii="仿宋_GB2312" w:hAnsi="仿宋" w:eastAsia="仿宋_GB2312"/>
          <w:sz w:val="32"/>
          <w:szCs w:val="32"/>
        </w:rPr>
        <w:t>加强恶劣天气预警预报</w:t>
      </w:r>
      <w:r>
        <w:rPr>
          <w:rFonts w:hint="eastAsia" w:ascii="仿宋_GB2312" w:hAnsi="仿宋" w:eastAsia="仿宋_GB2312"/>
          <w:sz w:val="32"/>
          <w:szCs w:val="32"/>
        </w:rPr>
        <w:t>。3、</w:t>
      </w:r>
      <w:r>
        <w:rPr>
          <w:rFonts w:hint="eastAsia" w:ascii="楷体_GB2312" w:hAnsi="仿宋" w:eastAsia="楷体_GB2312"/>
          <w:sz w:val="32"/>
          <w:szCs w:val="32"/>
        </w:rPr>
        <w:t>创新形式，扎实开展水上交通安全宣传。</w:t>
      </w:r>
      <w:r>
        <w:rPr>
          <w:rFonts w:hint="eastAsia" w:ascii="仿宋_GB2312" w:hAnsi="仿宋" w:eastAsia="仿宋_GB2312"/>
          <w:sz w:val="32"/>
          <w:szCs w:val="32"/>
        </w:rPr>
        <w:t>积极开展中小学生日常水上交通安全教育；集中开展持证船员培训教育，共培训持证船员360名；扎实开展水上交通安全知识七进、“安全生产月”和“安全宣传咨询日”活动，制作展板6幅，发放宣传册 1800余份，发放宣传手提袋500余个。4、</w:t>
      </w:r>
      <w:r>
        <w:rPr>
          <w:rFonts w:hint="eastAsia" w:ascii="楷体_GB2312" w:hAnsi="宋体" w:eastAsia="楷体_GB2312" w:cs="宋体"/>
          <w:kern w:val="0"/>
          <w:sz w:val="32"/>
          <w:szCs w:val="32"/>
        </w:rPr>
        <w:t>强化应急救援能力建设。</w:t>
      </w:r>
      <w:r>
        <w:rPr>
          <w:rFonts w:hint="eastAsia" w:ascii="仿宋_GB2312" w:eastAsia="仿宋_GB2312"/>
          <w:sz w:val="32"/>
          <w:szCs w:val="32"/>
        </w:rPr>
        <w:t>制定完善预案；加强实操训练，培训一线救援人员50余人；开展了2019年广元市水上交通应急演练。5、</w:t>
      </w:r>
      <w:r>
        <w:rPr>
          <w:rFonts w:hint="eastAsia" w:ascii="楷体_GB2312" w:hAnsi="楷体" w:eastAsia="楷体_GB2312" w:cs="宋体"/>
          <w:sz w:val="32"/>
          <w:szCs w:val="32"/>
        </w:rPr>
        <w:t>加强值守，畅通信息沟通传递机制</w:t>
      </w:r>
      <w:r>
        <w:rPr>
          <w:rFonts w:hint="eastAsia" w:ascii="楷体_GB2312" w:eastAsia="楷体_GB2312"/>
          <w:sz w:val="32"/>
          <w:szCs w:val="32"/>
        </w:rPr>
        <w:t>。</w:t>
      </w:r>
      <w:r>
        <w:rPr>
          <w:rFonts w:hint="eastAsia" w:ascii="仿宋_GB2312" w:hAnsi="宋体" w:eastAsia="仿宋_GB2312" w:cs="宋体"/>
          <w:sz w:val="32"/>
          <w:szCs w:val="32"/>
        </w:rPr>
        <w:t>设置了应急值班室专职负责值班值守；</w:t>
      </w:r>
      <w:r>
        <w:rPr>
          <w:rFonts w:hint="eastAsia" w:ascii="仿宋_GB2312" w:eastAsia="仿宋_GB2312"/>
          <w:sz w:val="32"/>
          <w:szCs w:val="32"/>
        </w:rPr>
        <w:t>加强与气象、水务等部门及时共享信息，做好与陇南、汉中、南充海事机构的信息沟通和水情传递；建立了预警信息收集、发布渠道，全年发布预警信息168条。6、</w:t>
      </w:r>
      <w:r>
        <w:rPr>
          <w:rFonts w:hint="eastAsia" w:ascii="楷体_GB2312" w:hAnsi="黑体" w:eastAsia="楷体_GB2312"/>
          <w:sz w:val="32"/>
          <w:szCs w:val="32"/>
        </w:rPr>
        <w:t>严格规范,确保船舶建造检验质量。</w:t>
      </w:r>
      <w:r>
        <w:rPr>
          <w:rFonts w:hint="eastAsia" w:ascii="仿宋_GB2312" w:eastAsia="仿宋_GB2312"/>
          <w:sz w:val="32"/>
          <w:szCs w:val="32"/>
        </w:rPr>
        <w:t>开展船舶建造检验16艘，船舶营运检验96艘，图纸审查17艘。</w:t>
      </w:r>
      <w:r>
        <w:rPr>
          <w:rFonts w:hint="eastAsia" w:ascii="黑体" w:eastAsia="黑体"/>
          <w:sz w:val="32"/>
          <w:szCs w:val="32"/>
        </w:rPr>
        <w:t>二是开拓奋进，水运事业发展提质增效。</w:t>
      </w:r>
      <w:r>
        <w:rPr>
          <w:rFonts w:hint="eastAsia" w:ascii="仿宋_GB2312" w:hAnsi="宋体" w:eastAsia="仿宋_GB2312"/>
          <w:bCs/>
          <w:sz w:val="32"/>
          <w:szCs w:val="32"/>
        </w:rPr>
        <w:t xml:space="preserve"> 1、</w:t>
      </w:r>
      <w:r>
        <w:rPr>
          <w:rFonts w:hint="eastAsia" w:ascii="楷体_GB2312" w:hAnsi="楷体_GB2312" w:eastAsia="楷体_GB2312" w:cs="楷体_GB2312"/>
          <w:sz w:val="32"/>
          <w:szCs w:val="32"/>
        </w:rPr>
        <w:t>实现嘉陵江全江通航。</w:t>
      </w:r>
      <w:r>
        <w:rPr>
          <w:rFonts w:hint="eastAsia" w:ascii="仿宋_GB2312" w:eastAsia="仿宋_GB2312"/>
          <w:sz w:val="32"/>
          <w:szCs w:val="32"/>
        </w:rPr>
        <w:t>协助筹备召开了畅兴嘉陵江航运推介会和嘉陵江全线通航启航仪式，通力协作完成了嘉陵江全江通航实船试验，并编制了《嘉陵江全江通航纪实》。目前，广元到重庆的航道里程比渠化前缩短56.2公里，全年可通行500吨级船舶，丰水期可通过1000吨级船舶。</w:t>
      </w:r>
      <w:r>
        <w:rPr>
          <w:rFonts w:hint="eastAsia" w:ascii="楷体_GB2312" w:hAnsi="楷体_GB2312" w:eastAsia="楷体_GB2312" w:cs="楷体_GB2312"/>
          <w:sz w:val="32"/>
          <w:szCs w:val="32"/>
        </w:rPr>
        <w:t>2、提高航道管理养护水平。</w:t>
      </w:r>
      <w:r>
        <w:rPr>
          <w:rFonts w:hint="eastAsia" w:ascii="仿宋_GB2312" w:eastAsia="仿宋_GB2312"/>
          <w:sz w:val="32"/>
          <w:szCs w:val="32"/>
        </w:rPr>
        <w:t>定期开展航道日常巡航维护工作，及时处置航槽变化、航标损毁异动和航道尺度变化等情况；</w:t>
      </w:r>
      <w:r>
        <w:rPr>
          <w:rFonts w:hint="eastAsia" w:ascii="仿宋_GB2312" w:eastAsia="仿宋_GB2312"/>
          <w:bCs/>
          <w:sz w:val="32"/>
          <w:szCs w:val="32"/>
        </w:rPr>
        <w:t>对嘉陵江库尾滩险大面积淤积进行了航道疏浚，督促苍溪航电对船闸下引航道和口门区连接段航道淤积进行了清除</w:t>
      </w:r>
      <w:r>
        <w:rPr>
          <w:rFonts w:hint="eastAsia" w:ascii="仿宋_GB2312" w:eastAsia="仿宋_GB2312"/>
          <w:sz w:val="32"/>
          <w:szCs w:val="32"/>
        </w:rPr>
        <w:t>。全年共设置航标</w:t>
      </w:r>
      <w:r>
        <w:rPr>
          <w:rFonts w:ascii="仿宋_GB2312" w:eastAsia="仿宋_GB2312"/>
          <w:sz w:val="32"/>
          <w:szCs w:val="32"/>
        </w:rPr>
        <w:t>180</w:t>
      </w:r>
      <w:r>
        <w:rPr>
          <w:rFonts w:hint="eastAsia" w:ascii="仿宋_GB2312" w:eastAsia="仿宋_GB2312"/>
          <w:sz w:val="32"/>
          <w:szCs w:val="32"/>
        </w:rPr>
        <w:t>座，维护</w:t>
      </w:r>
      <w:r>
        <w:rPr>
          <w:rFonts w:ascii="仿宋_GB2312" w:eastAsia="仿宋_GB2312"/>
          <w:sz w:val="32"/>
          <w:szCs w:val="32"/>
        </w:rPr>
        <w:t>43200</w:t>
      </w:r>
      <w:r>
        <w:rPr>
          <w:rFonts w:hint="eastAsia" w:ascii="仿宋_GB2312" w:eastAsia="仿宋_GB2312"/>
          <w:sz w:val="32"/>
          <w:szCs w:val="32"/>
        </w:rPr>
        <w:t>座天，航标维护正确率达</w:t>
      </w:r>
      <w:r>
        <w:rPr>
          <w:rFonts w:ascii="仿宋_GB2312" w:eastAsia="仿宋_GB2312"/>
          <w:sz w:val="32"/>
          <w:szCs w:val="32"/>
        </w:rPr>
        <w:t>99%</w:t>
      </w:r>
      <w:r>
        <w:rPr>
          <w:rFonts w:hint="eastAsia" w:ascii="仿宋_GB2312" w:eastAsia="仿宋_GB2312"/>
          <w:sz w:val="32"/>
          <w:szCs w:val="32"/>
        </w:rPr>
        <w:t>，维护性疏浚航道土石方</w:t>
      </w:r>
      <w:r>
        <w:rPr>
          <w:rFonts w:ascii="仿宋_GB2312" w:eastAsia="仿宋_GB2312"/>
          <w:sz w:val="32"/>
          <w:szCs w:val="32"/>
        </w:rPr>
        <w:t>5600</w:t>
      </w:r>
      <w:r>
        <w:rPr>
          <w:rFonts w:hint="eastAsia" w:ascii="仿宋_GB2312" w:eastAsia="仿宋_GB2312"/>
          <w:sz w:val="32"/>
          <w:szCs w:val="32"/>
        </w:rPr>
        <w:t>立方米，出动航道执法检查人员</w:t>
      </w:r>
      <w:r>
        <w:rPr>
          <w:rFonts w:ascii="仿宋_GB2312" w:eastAsia="仿宋_GB2312"/>
          <w:sz w:val="32"/>
          <w:szCs w:val="32"/>
        </w:rPr>
        <w:t>740</w:t>
      </w:r>
      <w:r>
        <w:rPr>
          <w:rFonts w:hint="eastAsia" w:ascii="仿宋_GB2312" w:eastAsia="仿宋_GB2312"/>
          <w:sz w:val="32"/>
          <w:szCs w:val="32"/>
        </w:rPr>
        <w:t>人次、船艇</w:t>
      </w:r>
      <w:r>
        <w:rPr>
          <w:rFonts w:ascii="仿宋_GB2312" w:eastAsia="仿宋_GB2312"/>
          <w:sz w:val="32"/>
          <w:szCs w:val="32"/>
        </w:rPr>
        <w:t>36</w:t>
      </w:r>
      <w:r>
        <w:rPr>
          <w:rFonts w:hint="eastAsia" w:ascii="仿宋_GB2312" w:eastAsia="仿宋_GB2312"/>
          <w:sz w:val="32"/>
          <w:szCs w:val="32"/>
        </w:rPr>
        <w:t>艘次、车</w:t>
      </w:r>
      <w:r>
        <w:rPr>
          <w:rFonts w:ascii="仿宋_GB2312" w:eastAsia="仿宋_GB2312"/>
          <w:sz w:val="32"/>
          <w:szCs w:val="32"/>
        </w:rPr>
        <w:t>280</w:t>
      </w:r>
      <w:r>
        <w:rPr>
          <w:rFonts w:hint="eastAsia" w:ascii="仿宋_GB2312" w:eastAsia="仿宋_GB2312"/>
          <w:sz w:val="32"/>
          <w:szCs w:val="32"/>
        </w:rPr>
        <w:t>台次。</w:t>
      </w:r>
      <w:r>
        <w:rPr>
          <w:rFonts w:hint="eastAsia" w:ascii="楷体_GB2312" w:eastAsia="楷体_GB2312"/>
          <w:sz w:val="32"/>
          <w:szCs w:val="32"/>
        </w:rPr>
        <w:t>3、加快水运重点工程建设。</w:t>
      </w:r>
      <w:r>
        <w:rPr>
          <w:rFonts w:hint="eastAsia" w:ascii="仿宋_GB2312" w:eastAsia="仿宋_GB2312"/>
          <w:bCs/>
          <w:sz w:val="32"/>
          <w:szCs w:val="32"/>
        </w:rPr>
        <w:t>张家坝作业区一期一区工程已完成投资0.9亿元；上石盘船闸二期工程累计浇筑混凝土</w:t>
      </w:r>
      <w:r>
        <w:rPr>
          <w:rFonts w:ascii="仿宋_GB2312" w:eastAsia="仿宋_GB2312"/>
          <w:bCs/>
          <w:sz w:val="32"/>
          <w:szCs w:val="32"/>
        </w:rPr>
        <w:t>6.03</w:t>
      </w:r>
      <w:r>
        <w:rPr>
          <w:rFonts w:hint="eastAsia" w:ascii="仿宋_GB2312" w:eastAsia="仿宋_GB2312"/>
          <w:bCs/>
          <w:sz w:val="32"/>
          <w:szCs w:val="32"/>
        </w:rPr>
        <w:t>万立方米、钢筋制作安装</w:t>
      </w:r>
      <w:r>
        <w:rPr>
          <w:rFonts w:ascii="仿宋_GB2312" w:eastAsia="仿宋_GB2312"/>
          <w:bCs/>
          <w:sz w:val="32"/>
          <w:szCs w:val="32"/>
        </w:rPr>
        <w:t>1300</w:t>
      </w:r>
      <w:r>
        <w:rPr>
          <w:rFonts w:hint="eastAsia" w:ascii="仿宋_GB2312" w:eastAsia="仿宋_GB2312"/>
          <w:bCs/>
          <w:sz w:val="32"/>
          <w:szCs w:val="32"/>
        </w:rPr>
        <w:t>吨</w:t>
      </w:r>
      <w:r>
        <w:rPr>
          <w:rFonts w:ascii="仿宋_GB2312" w:eastAsia="仿宋_GB2312"/>
          <w:bCs/>
          <w:sz w:val="32"/>
          <w:szCs w:val="32"/>
        </w:rPr>
        <w:t>,</w:t>
      </w:r>
      <w:r>
        <w:rPr>
          <w:rFonts w:hint="eastAsia" w:ascii="仿宋_GB2312" w:eastAsia="仿宋_GB2312"/>
          <w:bCs/>
          <w:sz w:val="32"/>
          <w:szCs w:val="32"/>
        </w:rPr>
        <w:t>完成投资0.88亿元；航运配套二期工程项目已交工验收；</w:t>
      </w:r>
      <w:r>
        <w:rPr>
          <w:rFonts w:ascii="仿宋_GB2312" w:eastAsia="仿宋_GB2312"/>
          <w:bCs/>
          <w:sz w:val="32"/>
          <w:szCs w:val="32"/>
        </w:rPr>
        <w:t>3</w:t>
      </w:r>
      <w:r>
        <w:rPr>
          <w:rFonts w:hint="eastAsia" w:ascii="仿宋_GB2312" w:eastAsia="仿宋_GB2312"/>
          <w:bCs/>
          <w:sz w:val="32"/>
          <w:szCs w:val="32"/>
        </w:rPr>
        <w:t>艘航标和疏浚船已完成招投标开工建造，上石盘库区桥涵标工程已完成；计划建设的</w:t>
      </w:r>
      <w:r>
        <w:rPr>
          <w:rFonts w:ascii="仿宋_GB2312" w:eastAsia="仿宋_GB2312"/>
          <w:bCs/>
          <w:sz w:val="32"/>
          <w:szCs w:val="32"/>
        </w:rPr>
        <w:t>12</w:t>
      </w:r>
      <w:r>
        <w:rPr>
          <w:rFonts w:hint="eastAsia" w:ascii="仿宋_GB2312" w:eastAsia="仿宋_GB2312"/>
          <w:bCs/>
          <w:sz w:val="32"/>
          <w:szCs w:val="32"/>
        </w:rPr>
        <w:t>座渡改人行桥建设项目已完工</w:t>
      </w:r>
      <w:r>
        <w:rPr>
          <w:rFonts w:ascii="仿宋_GB2312" w:eastAsia="仿宋_GB2312"/>
          <w:bCs/>
          <w:sz w:val="32"/>
          <w:szCs w:val="32"/>
        </w:rPr>
        <w:t>2</w:t>
      </w:r>
      <w:r>
        <w:rPr>
          <w:rFonts w:hint="eastAsia" w:ascii="仿宋_GB2312" w:eastAsia="仿宋_GB2312"/>
          <w:bCs/>
          <w:sz w:val="32"/>
          <w:szCs w:val="32"/>
        </w:rPr>
        <w:t>座，正在进行桥面施工</w:t>
      </w:r>
      <w:r>
        <w:rPr>
          <w:rFonts w:ascii="仿宋_GB2312" w:eastAsia="仿宋_GB2312"/>
          <w:bCs/>
          <w:sz w:val="32"/>
          <w:szCs w:val="32"/>
        </w:rPr>
        <w:t>5</w:t>
      </w:r>
      <w:r>
        <w:rPr>
          <w:rFonts w:hint="eastAsia" w:ascii="仿宋_GB2312" w:eastAsia="仿宋_GB2312"/>
          <w:bCs/>
          <w:sz w:val="32"/>
          <w:szCs w:val="32"/>
        </w:rPr>
        <w:t>座、墩柱浇筑</w:t>
      </w:r>
      <w:r>
        <w:rPr>
          <w:rFonts w:ascii="仿宋_GB2312" w:eastAsia="仿宋_GB2312"/>
          <w:bCs/>
          <w:sz w:val="32"/>
          <w:szCs w:val="32"/>
        </w:rPr>
        <w:t>3</w:t>
      </w:r>
      <w:r>
        <w:rPr>
          <w:rFonts w:hint="eastAsia" w:ascii="仿宋_GB2312" w:eastAsia="仿宋_GB2312"/>
          <w:bCs/>
          <w:sz w:val="32"/>
          <w:szCs w:val="32"/>
        </w:rPr>
        <w:t>座、场平</w:t>
      </w:r>
      <w:r>
        <w:rPr>
          <w:rFonts w:ascii="仿宋_GB2312" w:eastAsia="仿宋_GB2312"/>
          <w:bCs/>
          <w:sz w:val="32"/>
          <w:szCs w:val="32"/>
        </w:rPr>
        <w:t>2</w:t>
      </w:r>
      <w:r>
        <w:rPr>
          <w:rFonts w:hint="eastAsia" w:ascii="仿宋_GB2312" w:eastAsia="仿宋_GB2312"/>
          <w:bCs/>
          <w:sz w:val="32"/>
          <w:szCs w:val="32"/>
        </w:rPr>
        <w:t>座；川北水上应急救援基地一期土建工程已完工；启动了苍溪航运配套工程站点房建设工作，推进了水东坝涌水工程前期工作。4、</w:t>
      </w:r>
      <w:r>
        <w:rPr>
          <w:rFonts w:hint="eastAsia" w:ascii="楷体_GB2312" w:hAnsi="楷体_GB2312" w:eastAsia="楷体_GB2312" w:cs="楷体_GB2312"/>
          <w:bCs/>
          <w:sz w:val="32"/>
        </w:rPr>
        <w:t>规范水路运输管理。</w:t>
      </w:r>
      <w:r>
        <w:rPr>
          <w:rFonts w:hint="eastAsia" w:ascii="仿宋_GB2312" w:hAnsi="宋体" w:eastAsia="仿宋_GB2312"/>
          <w:sz w:val="32"/>
          <w:szCs w:val="32"/>
        </w:rPr>
        <w:t>开展了2019年全市水路运输核查工作，核查营运船舶141艘（其中：客船23艘、货船159艘），核查水路运输企业4家；培育发展水路客运代理公司1家。全年客运量完成53万人，客运周转量完成745万人公里，货运量完成700万吨，货运周转量完成2315万吨公里；加大“两湖”水上旅游发展指导力度。是完成农村水路客运燃油补贴工作，核定用油量600.5吨。</w:t>
      </w:r>
      <w:r>
        <w:rPr>
          <w:rStyle w:val="25"/>
          <w:rFonts w:hint="eastAsia" w:ascii="黑体" w:eastAsia="黑体"/>
          <w:b w:val="0"/>
          <w:sz w:val="32"/>
          <w:szCs w:val="32"/>
        </w:rPr>
        <w:t>三是凝心聚力，航务海事队伍步稳蹄疾。1、</w:t>
      </w:r>
      <w:r>
        <w:rPr>
          <w:rFonts w:hint="eastAsia" w:ascii="楷体_GB2312" w:eastAsia="楷体_GB2312" w:cs="仿宋_GB2312"/>
          <w:sz w:val="32"/>
          <w:szCs w:val="32"/>
        </w:rPr>
        <w:t>党风廉政建设全面深化。</w:t>
      </w:r>
      <w:r>
        <w:rPr>
          <w:rFonts w:hint="eastAsia" w:ascii="仿宋_GB2312" w:eastAsia="仿宋_GB2312"/>
          <w:sz w:val="32"/>
          <w:szCs w:val="32"/>
        </w:rPr>
        <w:t>不折不扣开展“不忘初心、牢记使命”主题教育；进一步抓好党风廉政建设和反腐败工作；进一步深化作风纪律建设。认真开展“三公”经费管理乱象专项整治，进行了“天价烟”背后“四风”问题自查自纠。</w:t>
      </w:r>
      <w:r>
        <w:rPr>
          <w:rFonts w:hint="eastAsia" w:ascii="楷体_GB2312" w:eastAsia="楷体_GB2312" w:cs="仿宋_GB2312"/>
          <w:sz w:val="32"/>
          <w:szCs w:val="32"/>
        </w:rPr>
        <w:t>2、脱贫攻坚工作精准推进。</w:t>
      </w:r>
      <w:r>
        <w:rPr>
          <w:rFonts w:hint="eastAsia" w:ascii="仿宋_GB2312" w:eastAsia="仿宋_GB2312"/>
          <w:sz w:val="32"/>
          <w:szCs w:val="32"/>
        </w:rPr>
        <w:t>完成永泉村6.5公里道路硬化，协调实施永泉村3.7公里村组道路和明水村380米园区道路硬化项目，争取资金50万元建设了永泉村供水站及配套设施，协调剑阁县体育局赠送永泉村价值1万元的健身器材。我局与贸促会共同筹款6万元建设了永泉村村委会阵地。完成了永泉村24户贫困户易地搬迁工作任务和明水村易地搬迁配套设施建设项目。完成永泉村核桃嫁接及补苗320亩，打造明水村农业产业园650余亩，帮助销售猕猴桃15吨。</w:t>
      </w:r>
      <w:r>
        <w:rPr>
          <w:rFonts w:hint="eastAsia" w:ascii="楷体_GB2312" w:eastAsia="楷体_GB2312" w:cs="仿宋_GB2312"/>
          <w:sz w:val="32"/>
          <w:szCs w:val="32"/>
        </w:rPr>
        <w:t>3、水上交通环保工作有效开展。</w:t>
      </w:r>
      <w:r>
        <w:rPr>
          <w:rFonts w:hint="eastAsia" w:ascii="仿宋_GB2312" w:hAnsi="仿宋_GB2312" w:eastAsia="仿宋_GB2312" w:cs="仿宋_GB2312"/>
          <w:kern w:val="0"/>
          <w:sz w:val="32"/>
          <w:szCs w:val="32"/>
        </w:rPr>
        <w:t>一是深入开展了船舶污染防治；扎实推进了港口污染防治工作。全市投入21.4万元，建设了港口和船舶污染物接收转运及处置设施，设置移动垃圾桶40个，铺设广元港红岩作业区污水管道450米，完成了虎跳横渡厕所建设任务。</w:t>
      </w:r>
      <w:r>
        <w:rPr>
          <w:rFonts w:hint="eastAsia" w:ascii="楷体_GB2312" w:eastAsia="楷体_GB2312" w:cs="仿宋_GB2312"/>
          <w:sz w:val="32"/>
          <w:szCs w:val="32"/>
        </w:rPr>
        <w:t>4、扫黑除恶专项斗争声势不减。</w:t>
      </w:r>
      <w:r>
        <w:rPr>
          <w:rFonts w:hint="eastAsia" w:ascii="仿宋_GB2312" w:hAnsi="仿宋_GB2312" w:eastAsia="仿宋_GB2312" w:cs="仿宋_GB2312"/>
          <w:sz w:val="32"/>
          <w:szCs w:val="32"/>
        </w:rPr>
        <w:t>印发了《2019年全市水路交通行业开展扫黑除恶专项斗争工作要点》，召开了扫黑除恶专项斗争工作推进会议，排查嘉陵江非法码头5处，张贴扫黑除恶宣传标语30条、发放《扫黑除恶宣传手册》2000份，制作了扫黑除恶宣传专栏，设置了线索举报箱，并在局网站公布扫黑除恶专项斗争线索举报电话和邮箱。5、</w:t>
      </w:r>
      <w:r>
        <w:rPr>
          <w:rFonts w:hint="eastAsia" w:ascii="楷体_GB2312" w:eastAsia="楷体_GB2312"/>
          <w:sz w:val="32"/>
          <w:szCs w:val="32"/>
        </w:rPr>
        <w:t>航务海事队伍建设持续加强。</w:t>
      </w:r>
      <w:r>
        <w:rPr>
          <w:rFonts w:hint="eastAsia" w:eastAsia="仿宋_GB2312"/>
          <w:sz w:val="32"/>
          <w:szCs w:val="32"/>
        </w:rPr>
        <w:t>积极选派干部职工</w:t>
      </w:r>
      <w:r>
        <w:rPr>
          <w:rFonts w:hint="eastAsia" w:ascii="仿宋_GB2312" w:eastAsia="仿宋_GB2312"/>
          <w:sz w:val="32"/>
          <w:szCs w:val="32"/>
        </w:rPr>
        <w:t>30余人</w:t>
      </w:r>
      <w:r>
        <w:rPr>
          <w:rFonts w:hint="eastAsia" w:eastAsia="仿宋_GB2312"/>
          <w:sz w:val="32"/>
          <w:szCs w:val="32"/>
        </w:rPr>
        <w:t>次参加了国家、省、市各级部门组织的执法培训，</w:t>
      </w:r>
      <w:r>
        <w:rPr>
          <w:rFonts w:hint="eastAsia" w:ascii="仿宋_GB2312" w:eastAsia="仿宋_GB2312"/>
          <w:sz w:val="32"/>
          <w:szCs w:val="32"/>
        </w:rPr>
        <w:t>开展行政许可和公共服务数据共享清理，行政审批事项减少要件1/3，平均提速60%以上，全年共办理行政审批件1100余件；培塑了“蜀水逐梦 传承奋进”四川省航务海事系统行业先进典型1名，局船检科参加全国船舶检验业务技能比武大赛暨四川赛区初赛获团体二等奖，黎映松获参加全国船舶检验业务技能比武大赛获个人二等奖。6、</w:t>
      </w:r>
      <w:r>
        <w:rPr>
          <w:rFonts w:hint="eastAsia" w:ascii="楷体_GB2312" w:eastAsia="楷体_GB2312"/>
          <w:sz w:val="32"/>
          <w:szCs w:val="32"/>
        </w:rPr>
        <w:t>机关管理工作规范有序。</w:t>
      </w:r>
      <w:r>
        <w:rPr>
          <w:rFonts w:hint="eastAsia" w:ascii="仿宋_GB2312" w:eastAsia="仿宋_GB2312"/>
          <w:sz w:val="32"/>
          <w:szCs w:val="32"/>
        </w:rPr>
        <w:t>认真做好了公共机构节能减排、维稳、信访和保密等工作，</w:t>
      </w:r>
      <w:r>
        <w:rPr>
          <w:rFonts w:hint="eastAsia" w:eastAsia="仿宋_GB2312"/>
          <w:sz w:val="32"/>
          <w:szCs w:val="32"/>
        </w:rPr>
        <w:t>稳步开展了创建国家园林城市和国家文明城市迎检工作，积极推进生活垃圾分类、事业单位公务用车改革等工作。</w:t>
      </w:r>
    </w:p>
    <w:p>
      <w:pPr>
        <w:spacing w:line="576" w:lineRule="exact"/>
        <w:ind w:firstLine="640" w:firstLineChars="200"/>
        <w:outlineLvl w:val="1"/>
        <w:rPr>
          <w:rFonts w:ascii="黑体" w:hAnsi="黑体" w:eastAsia="黑体" w:cs="黑体"/>
          <w:bCs/>
          <w:color w:val="000000"/>
          <w:kern w:val="0"/>
          <w:sz w:val="32"/>
          <w:szCs w:val="32"/>
        </w:rPr>
      </w:pPr>
      <w:bookmarkStart w:id="32" w:name="_Toc9477"/>
      <w:bookmarkStart w:id="33" w:name="_Toc15396601"/>
      <w:bookmarkStart w:id="34" w:name="_Toc15377200"/>
      <w:r>
        <w:rPr>
          <w:rFonts w:hint="eastAsia" w:ascii="黑体" w:hAnsi="黑体" w:eastAsia="黑体" w:cs="黑体"/>
          <w:bCs/>
          <w:color w:val="000000"/>
          <w:kern w:val="0"/>
          <w:sz w:val="32"/>
          <w:szCs w:val="32"/>
        </w:rPr>
        <w:t>二、机构设置</w:t>
      </w:r>
      <w:bookmarkEnd w:id="32"/>
      <w:bookmarkEnd w:id="33"/>
      <w:bookmarkEnd w:id="34"/>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广元市航务管理局下属二级单位3个，其中参照公务员法管理的事业单位1个（局机关），其他事业单位2个。</w:t>
      </w:r>
    </w:p>
    <w:p>
      <w:pPr>
        <w:pStyle w:val="5"/>
        <w:adjustRightInd w:val="0"/>
        <w:snapToGrid w:val="0"/>
        <w:spacing w:before="93" w:line="576" w:lineRule="exact"/>
        <w:ind w:firstLine="672" w:firstLineChars="210"/>
        <w:rPr>
          <w:rFonts w:hAnsi="仿宋"/>
          <w:kern w:val="2"/>
          <w:sz w:val="32"/>
          <w:szCs w:val="32"/>
        </w:rPr>
      </w:pPr>
      <w:r>
        <w:rPr>
          <w:rFonts w:hint="eastAsia" w:hAnsi="仿宋"/>
          <w:kern w:val="2"/>
          <w:sz w:val="32"/>
          <w:szCs w:val="32"/>
        </w:rPr>
        <w:t>纳入2019年度部门决算编制范围的二级预算单位包括：</w:t>
      </w:r>
    </w:p>
    <w:p>
      <w:pPr>
        <w:pStyle w:val="5"/>
        <w:adjustRightInd w:val="0"/>
        <w:snapToGrid w:val="0"/>
        <w:spacing w:before="93" w:line="576" w:lineRule="exact"/>
        <w:ind w:left="672"/>
        <w:outlineLvl w:val="2"/>
        <w:rPr>
          <w:rFonts w:hAnsi="仿宋"/>
          <w:kern w:val="2"/>
          <w:sz w:val="32"/>
          <w:szCs w:val="32"/>
        </w:rPr>
      </w:pPr>
      <w:bookmarkStart w:id="35" w:name="_Toc15306276"/>
      <w:bookmarkStart w:id="36" w:name="_Toc15377202"/>
      <w:bookmarkStart w:id="37" w:name="_Toc15378449"/>
      <w:bookmarkStart w:id="38" w:name="_Toc15377433"/>
      <w:r>
        <w:rPr>
          <w:rFonts w:hint="eastAsia" w:hAnsi="仿宋"/>
          <w:kern w:val="2"/>
          <w:sz w:val="32"/>
          <w:szCs w:val="32"/>
        </w:rPr>
        <w:t xml:space="preserve">1.四川省广元市航务管理局（局机关） </w:t>
      </w:r>
    </w:p>
    <w:p>
      <w:pPr>
        <w:pStyle w:val="5"/>
        <w:adjustRightInd w:val="0"/>
        <w:snapToGrid w:val="0"/>
        <w:spacing w:before="93" w:line="576" w:lineRule="exact"/>
        <w:ind w:firstLine="640" w:firstLineChars="200"/>
        <w:rPr>
          <w:rFonts w:hAnsi="仿宋"/>
          <w:kern w:val="2"/>
          <w:sz w:val="32"/>
          <w:szCs w:val="32"/>
        </w:rPr>
      </w:pPr>
      <w:r>
        <w:rPr>
          <w:rFonts w:hint="eastAsia" w:hAnsi="仿宋"/>
          <w:kern w:val="2"/>
          <w:sz w:val="32"/>
          <w:szCs w:val="32"/>
        </w:rPr>
        <w:t>2</w:t>
      </w:r>
      <w:bookmarkEnd w:id="35"/>
      <w:bookmarkEnd w:id="36"/>
      <w:bookmarkEnd w:id="37"/>
      <w:bookmarkEnd w:id="38"/>
      <w:bookmarkStart w:id="39" w:name="_Toc15377434"/>
      <w:bookmarkStart w:id="40" w:name="_Toc15377203"/>
      <w:bookmarkStart w:id="41" w:name="_Toc15378450"/>
      <w:bookmarkStart w:id="42" w:name="_Toc15306277"/>
      <w:r>
        <w:rPr>
          <w:rFonts w:hint="eastAsia" w:hAnsi="仿宋"/>
          <w:kern w:val="2"/>
          <w:sz w:val="32"/>
          <w:szCs w:val="32"/>
        </w:rPr>
        <w:t>.广元市航务管理局广元航道段</w:t>
      </w:r>
    </w:p>
    <w:p>
      <w:pPr>
        <w:pStyle w:val="5"/>
        <w:adjustRightInd w:val="0"/>
        <w:snapToGrid w:val="0"/>
        <w:spacing w:before="93" w:line="576" w:lineRule="exact"/>
        <w:ind w:firstLine="640" w:firstLineChars="200"/>
        <w:rPr>
          <w:rFonts w:hAnsi="仿宋"/>
          <w:kern w:val="2"/>
          <w:sz w:val="32"/>
          <w:szCs w:val="32"/>
        </w:rPr>
      </w:pPr>
      <w:r>
        <w:rPr>
          <w:rFonts w:hint="eastAsia" w:hAnsi="仿宋"/>
          <w:kern w:val="2"/>
          <w:sz w:val="32"/>
          <w:szCs w:val="32"/>
        </w:rPr>
        <w:t>3</w:t>
      </w:r>
      <w:bookmarkEnd w:id="39"/>
      <w:bookmarkEnd w:id="40"/>
      <w:bookmarkEnd w:id="41"/>
      <w:bookmarkEnd w:id="42"/>
      <w:r>
        <w:rPr>
          <w:rFonts w:hint="eastAsia" w:hAnsi="仿宋"/>
          <w:kern w:val="2"/>
          <w:sz w:val="32"/>
          <w:szCs w:val="32"/>
        </w:rPr>
        <w:t>.广元市航务管理局苍溪航道段</w:t>
      </w:r>
    </w:p>
    <w:p>
      <w:pPr>
        <w:pStyle w:val="5"/>
        <w:adjustRightInd w:val="0"/>
        <w:snapToGrid w:val="0"/>
        <w:spacing w:before="93" w:line="576" w:lineRule="exact"/>
        <w:ind w:firstLine="640" w:firstLineChars="200"/>
        <w:rPr>
          <w:rFonts w:hAnsi="仿宋"/>
          <w:kern w:val="2"/>
          <w:sz w:val="32"/>
          <w:szCs w:val="32"/>
        </w:rPr>
      </w:pPr>
    </w:p>
    <w:p>
      <w:pPr>
        <w:pStyle w:val="5"/>
        <w:adjustRightInd w:val="0"/>
        <w:snapToGrid w:val="0"/>
        <w:spacing w:before="93" w:line="600" w:lineRule="exact"/>
        <w:ind w:firstLine="1120" w:firstLineChars="350"/>
        <w:rPr>
          <w:rFonts w:ascii="仿宋" w:hAnsi="仿宋" w:eastAsia="仿宋"/>
          <w:color w:val="000000"/>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spacing w:line="576" w:lineRule="exact"/>
        <w:ind w:right="440"/>
        <w:jc w:val="right"/>
      </w:pPr>
      <w:bookmarkStart w:id="43" w:name="_Toc3607"/>
      <w:bookmarkStart w:id="44" w:name="_Toc15396602"/>
      <w:bookmarkStart w:id="45" w:name="_Toc15377204"/>
      <w:r>
        <w:rPr>
          <w:rFonts w:hint="eastAsia" w:ascii="黑体" w:hAnsi="黑体" w:eastAsia="黑体"/>
          <w:b w:val="0"/>
          <w:color w:val="000000"/>
        </w:rPr>
        <w:t>第二部分</w:t>
      </w:r>
      <w:r>
        <w:rPr>
          <w:rStyle w:val="25"/>
          <w:rFonts w:hint="eastAsia" w:ascii="黑体" w:hAnsi="黑体" w:eastAsia="黑体"/>
          <w:b w:val="0"/>
          <w:bCs w:val="0"/>
        </w:rPr>
        <w:t>2019年度部门决算情况说明</w:t>
      </w:r>
      <w:bookmarkEnd w:id="43"/>
      <w:bookmarkEnd w:id="44"/>
      <w:bookmarkEnd w:id="45"/>
    </w:p>
    <w:p>
      <w:pPr>
        <w:pStyle w:val="3"/>
        <w:spacing w:line="576" w:lineRule="exact"/>
        <w:ind w:firstLine="640" w:firstLineChars="200"/>
        <w:rPr>
          <w:rFonts w:ascii="黑体" w:hAnsi="黑体" w:eastAsia="黑体"/>
          <w:b w:val="0"/>
          <w:color w:val="000000"/>
        </w:rPr>
      </w:pPr>
      <w:bookmarkStart w:id="46" w:name="_Toc4662"/>
      <w:bookmarkStart w:id="47" w:name="_Toc15377205"/>
      <w:bookmarkStart w:id="48" w:name="_Toc15396603"/>
      <w:r>
        <w:rPr>
          <w:rFonts w:hint="eastAsia" w:ascii="黑体" w:hAnsi="黑体" w:eastAsia="黑体"/>
          <w:b w:val="0"/>
          <w:color w:val="000000"/>
        </w:rPr>
        <w:t>一、收入支出决算总体情况说明</w:t>
      </w:r>
      <w:bookmarkEnd w:id="46"/>
      <w:bookmarkEnd w:id="47"/>
      <w:bookmarkEnd w:id="48"/>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2019年度收、支总计10309.23万元。与2018年相比，收、支总计各减少1074.66万元，下降9.44%。主要变动原因是其他收入及</w:t>
      </w:r>
      <w:r>
        <w:rPr>
          <w:rFonts w:hint="eastAsia" w:ascii="仿宋_GB2312" w:hAnsi="仿宋" w:eastAsia="仿宋_GB2312" w:cs="仿宋"/>
          <w:sz w:val="32"/>
          <w:szCs w:val="32"/>
        </w:rPr>
        <w:t>年初结转比上年减少。</w:t>
      </w:r>
    </w:p>
    <w:p>
      <w:pPr>
        <w:spacing w:line="600" w:lineRule="exact"/>
        <w:jc w:val="center"/>
        <w:rPr>
          <w:rFonts w:ascii="仿宋" w:hAnsi="仿宋" w:eastAsia="仿宋"/>
          <w:color w:val="FF0000"/>
          <w:sz w:val="32"/>
          <w:szCs w:val="32"/>
        </w:rPr>
      </w:pPr>
      <w:r>
        <w:rPr>
          <w:rFonts w:hint="eastAsia" w:ascii="仿宋" w:hAnsi="仿宋" w:eastAsia="仿宋"/>
          <w:color w:val="FF0000"/>
          <w:sz w:val="32"/>
          <w:szCs w:val="32"/>
        </w:rPr>
        <w:t>图</w:t>
      </w:r>
      <w:r>
        <w:rPr>
          <w:rFonts w:ascii="仿宋" w:hAnsi="仿宋" w:eastAsia="仿宋"/>
          <w:color w:val="FF0000"/>
          <w:sz w:val="32"/>
          <w:szCs w:val="32"/>
        </w:rPr>
        <w:t>1</w:t>
      </w:r>
      <w:r>
        <w:rPr>
          <w:rFonts w:hint="eastAsia" w:ascii="仿宋" w:hAnsi="仿宋" w:eastAsia="仿宋"/>
          <w:color w:val="FF0000"/>
          <w:sz w:val="32"/>
          <w:szCs w:val="32"/>
        </w:rPr>
        <w:t>：收、支决算总计变动情况图</w:t>
      </w:r>
    </w:p>
    <w:p>
      <w:pPr>
        <w:spacing w:line="600" w:lineRule="exact"/>
        <w:jc w:val="center"/>
        <w:rPr>
          <w:rFonts w:ascii="仿宋" w:hAnsi="仿宋" w:eastAsia="仿宋"/>
          <w:color w:val="000000" w:themeColor="text1"/>
          <w:sz w:val="32"/>
          <w:szCs w:val="32"/>
          <w14:textFill>
            <w14:solidFill>
              <w14:schemeClr w14:val="tx1"/>
            </w14:solidFill>
          </w14:textFill>
        </w:rPr>
      </w:pP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183515</wp:posOffset>
            </wp:positionH>
            <wp:positionV relativeFrom="paragraph">
              <wp:posOffset>12065</wp:posOffset>
            </wp:positionV>
            <wp:extent cx="4890135" cy="2859405"/>
            <wp:effectExtent l="4445" t="4445" r="20320"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3"/>
        <w:spacing w:line="576" w:lineRule="exact"/>
        <w:ind w:firstLine="640" w:firstLineChars="200"/>
        <w:rPr>
          <w:rFonts w:ascii="黑体" w:hAnsi="黑体" w:eastAsia="黑体"/>
          <w:b w:val="0"/>
          <w:color w:val="000000"/>
        </w:rPr>
      </w:pPr>
      <w:bookmarkStart w:id="49" w:name="_Toc15396604"/>
      <w:bookmarkStart w:id="50" w:name="_Toc24198"/>
      <w:bookmarkStart w:id="51" w:name="_Toc15377206"/>
      <w:r>
        <w:rPr>
          <w:rFonts w:hint="eastAsia" w:ascii="黑体" w:hAnsi="黑体" w:eastAsia="黑体"/>
          <w:b w:val="0"/>
          <w:color w:val="000000"/>
        </w:rPr>
        <w:t>二、收入决算情况说明</w:t>
      </w:r>
      <w:bookmarkEnd w:id="49"/>
      <w:bookmarkEnd w:id="50"/>
      <w:bookmarkEnd w:id="51"/>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2019年本年收入合计3255.5万元，其中：一般公共预算财政拨款收入2190.48万元，占67.29%；政府性基金预算财政拨款收入978万元，占30.04%；其他收入87.02万元，占2.67%。</w:t>
      </w:r>
    </w:p>
    <w:p>
      <w:pPr>
        <w:spacing w:line="600" w:lineRule="exact"/>
        <w:ind w:firstLine="640" w:firstLineChars="200"/>
        <w:rPr>
          <w:rFonts w:ascii="仿宋" w:hAnsi="仿宋" w:eastAsia="仿宋"/>
          <w:color w:val="000000"/>
          <w:sz w:val="32"/>
          <w:szCs w:val="32"/>
        </w:rPr>
      </w:pPr>
    </w:p>
    <w:p>
      <w:pPr>
        <w:spacing w:line="600" w:lineRule="exact"/>
        <w:ind w:firstLine="640" w:firstLineChars="200"/>
        <w:jc w:val="center"/>
        <w:rPr>
          <w:rFonts w:ascii="仿宋" w:hAnsi="仿宋" w:eastAsia="仿宋"/>
          <w:color w:val="FF0000"/>
          <w:sz w:val="32"/>
          <w:szCs w:val="32"/>
        </w:rPr>
      </w:pPr>
      <w:r>
        <w:rPr>
          <w:rFonts w:hint="eastAsia" w:ascii="仿宋" w:hAnsi="仿宋" w:eastAsia="仿宋"/>
          <w:color w:val="FF0000"/>
          <w:sz w:val="32"/>
          <w:szCs w:val="32"/>
        </w:rPr>
        <w:t>（图2：收入决算结构图）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1270</wp:posOffset>
            </wp:positionH>
            <wp:positionV relativeFrom="paragraph">
              <wp:posOffset>42545</wp:posOffset>
            </wp:positionV>
            <wp:extent cx="4765675" cy="2790825"/>
            <wp:effectExtent l="4445" t="4445" r="11430" b="508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pStyle w:val="3"/>
        <w:spacing w:line="576" w:lineRule="exact"/>
        <w:ind w:firstLine="640" w:firstLineChars="200"/>
        <w:rPr>
          <w:rFonts w:ascii="黑体" w:hAnsi="黑体" w:eastAsia="黑体"/>
          <w:b w:val="0"/>
          <w:color w:val="000000"/>
        </w:rPr>
      </w:pPr>
      <w:bookmarkStart w:id="52" w:name="_Toc15377207"/>
      <w:bookmarkStart w:id="53" w:name="_Toc27516"/>
      <w:bookmarkStart w:id="54" w:name="_Toc15396605"/>
      <w:r>
        <w:rPr>
          <w:rFonts w:hint="eastAsia" w:ascii="黑体" w:hAnsi="黑体" w:eastAsia="黑体"/>
          <w:b w:val="0"/>
          <w:color w:val="000000"/>
        </w:rPr>
        <w:t>三、支出决算情况说明</w:t>
      </w:r>
      <w:bookmarkEnd w:id="52"/>
      <w:bookmarkEnd w:id="53"/>
      <w:bookmarkEnd w:id="54"/>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2019年本年支出合计6057.11万元，其中：基本支出1996.15万元，占32.96%；项目支出4060.96万元，占67.04%。</w:t>
      </w:r>
    </w:p>
    <w:p>
      <w:pPr>
        <w:spacing w:line="600" w:lineRule="exact"/>
        <w:ind w:firstLine="640" w:firstLineChars="200"/>
        <w:jc w:val="center"/>
        <w:rPr>
          <w:rFonts w:ascii="仿宋" w:hAnsi="仿宋" w:eastAsia="仿宋"/>
          <w:color w:val="FF0000"/>
          <w:sz w:val="32"/>
          <w:szCs w:val="32"/>
        </w:rPr>
      </w:pPr>
      <w:r>
        <w:rPr>
          <w:rFonts w:hint="eastAsia" w:ascii="仿宋" w:hAnsi="仿宋" w:eastAsia="仿宋"/>
          <w:color w:val="FF0000"/>
          <w:sz w:val="32"/>
          <w:szCs w:val="32"/>
        </w:rPr>
        <w:t>（图3：支出决算结构图）</w:t>
      </w:r>
    </w:p>
    <w:p>
      <w:pPr>
        <w:spacing w:line="600" w:lineRule="exact"/>
        <w:ind w:firstLine="640" w:firstLineChars="200"/>
        <w:rPr>
          <w:rFonts w:ascii="仿宋" w:hAnsi="仿宋" w:eastAsia="仿宋"/>
          <w:color w:val="FF0000"/>
          <w:sz w:val="32"/>
          <w:szCs w:val="32"/>
        </w:rPr>
      </w:pPr>
      <w:r>
        <w:rPr>
          <w:rFonts w:hint="eastAsia" w:ascii="仿宋" w:hAnsi="仿宋" w:eastAsia="仿宋"/>
          <w:color w:val="FF0000"/>
          <w:sz w:val="32"/>
          <w:szCs w:val="32"/>
        </w:rPr>
        <w:drawing>
          <wp:anchor distT="0" distB="0" distL="114300" distR="114300" simplePos="0" relativeHeight="251661312" behindDoc="0" locked="0" layoutInCell="1" allowOverlap="1">
            <wp:simplePos x="0" y="0"/>
            <wp:positionH relativeFrom="column">
              <wp:posOffset>1106805</wp:posOffset>
            </wp:positionH>
            <wp:positionV relativeFrom="paragraph">
              <wp:posOffset>90805</wp:posOffset>
            </wp:positionV>
            <wp:extent cx="2766060" cy="2057400"/>
            <wp:effectExtent l="4445" t="4445" r="1079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3"/>
        <w:spacing w:line="576" w:lineRule="exact"/>
        <w:ind w:firstLine="640" w:firstLineChars="200"/>
        <w:rPr>
          <w:rFonts w:ascii="黑体" w:hAnsi="黑体" w:eastAsia="黑体"/>
          <w:b w:val="0"/>
          <w:color w:val="000000"/>
        </w:rPr>
      </w:pPr>
      <w:bookmarkStart w:id="55" w:name="_Toc15130"/>
      <w:bookmarkStart w:id="56" w:name="_Toc15377208"/>
      <w:bookmarkStart w:id="57" w:name="_Toc15396606"/>
      <w:r>
        <w:rPr>
          <w:rFonts w:hint="eastAsia" w:ascii="黑体" w:hAnsi="黑体" w:eastAsia="黑体"/>
          <w:b w:val="0"/>
          <w:color w:val="000000"/>
        </w:rPr>
        <w:t>四、财政拨款收入支出决算总体情况说明</w:t>
      </w:r>
      <w:bookmarkEnd w:id="55"/>
      <w:bookmarkEnd w:id="56"/>
      <w:bookmarkEnd w:id="57"/>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2019年财政拨款收、支总计5921.1万元。与2018年相比，财政拨款收、支总计各增加1685.91万元，增长39.81%。主要变动原因是政府性基金预算财政拨款增加922万元（</w:t>
      </w:r>
      <w:r>
        <w:rPr>
          <w:rFonts w:hint="eastAsia" w:ascii="仿宋_GB2312" w:hAnsi="仿宋" w:eastAsia="仿宋_GB2312" w:cs="仿宋"/>
          <w:sz w:val="32"/>
          <w:szCs w:val="32"/>
        </w:rPr>
        <w:t>嘉陵江上石盘电航综合枢纽船闸工程一期工程款和年初财政拨款结转增加。</w:t>
      </w:r>
    </w:p>
    <w:p>
      <w:pPr>
        <w:spacing w:line="600" w:lineRule="exact"/>
        <w:ind w:firstLine="960" w:firstLineChars="300"/>
        <w:jc w:val="center"/>
        <w:rPr>
          <w:rFonts w:ascii="仿宋" w:hAnsi="仿宋" w:eastAsia="仿宋"/>
          <w:color w:val="FF0000"/>
          <w:sz w:val="32"/>
          <w:szCs w:val="32"/>
        </w:rPr>
      </w:pPr>
      <w:r>
        <w:rPr>
          <w:rFonts w:hint="eastAsia" w:ascii="仿宋" w:hAnsi="仿宋" w:eastAsia="仿宋"/>
          <w:color w:val="FF0000"/>
          <w:sz w:val="32"/>
          <w:szCs w:val="32"/>
        </w:rPr>
        <w:t>（图4：财政拨款收、支决算总计变动情况）</w:t>
      </w:r>
    </w:p>
    <w:p>
      <w:pPr>
        <w:spacing w:line="576" w:lineRule="exact"/>
        <w:ind w:firstLine="640" w:firstLineChars="200"/>
        <w:rPr>
          <w:rStyle w:val="26"/>
          <w:rFonts w:ascii="黑体" w:hAnsi="黑体" w:eastAsia="黑体"/>
          <w:b w:val="0"/>
        </w:rPr>
      </w:pPr>
      <w:r>
        <w:rPr>
          <w:rFonts w:hint="eastAsia" w:ascii="仿宋" w:hAnsi="仿宋" w:eastAsia="仿宋"/>
          <w:color w:val="FF0000"/>
          <w:sz w:val="32"/>
          <w:szCs w:val="32"/>
        </w:rPr>
        <w:drawing>
          <wp:anchor distT="0" distB="0" distL="114300" distR="114300" simplePos="0" relativeHeight="251662336" behindDoc="0" locked="0" layoutInCell="1" allowOverlap="1">
            <wp:simplePos x="0" y="0"/>
            <wp:positionH relativeFrom="column">
              <wp:posOffset>-102870</wp:posOffset>
            </wp:positionH>
            <wp:positionV relativeFrom="paragraph">
              <wp:posOffset>137795</wp:posOffset>
            </wp:positionV>
            <wp:extent cx="5488940" cy="3385185"/>
            <wp:effectExtent l="4445" t="4445" r="12065" b="2032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58" w:name="_Toc15377209"/>
      <w:bookmarkStart w:id="59"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58"/>
      <w:bookmarkEnd w:id="59"/>
    </w:p>
    <w:p>
      <w:pPr>
        <w:spacing w:line="600" w:lineRule="exact"/>
        <w:ind w:firstLine="642" w:firstLineChars="200"/>
        <w:outlineLvl w:val="2"/>
        <w:rPr>
          <w:rFonts w:ascii="仿宋" w:hAnsi="仿宋" w:eastAsia="仿宋"/>
          <w:b/>
          <w:color w:val="000000"/>
          <w:sz w:val="32"/>
          <w:szCs w:val="32"/>
        </w:rPr>
      </w:pPr>
      <w:bookmarkStart w:id="60" w:name="_Toc15377210"/>
      <w:r>
        <w:rPr>
          <w:rFonts w:hint="eastAsia" w:ascii="仿宋" w:hAnsi="仿宋" w:eastAsia="仿宋"/>
          <w:b/>
          <w:color w:val="000000"/>
          <w:sz w:val="32"/>
          <w:szCs w:val="32"/>
        </w:rPr>
        <w:t>（一）一般公共预算财政拨款支出决算总体情况</w:t>
      </w:r>
      <w:bookmarkEnd w:id="60"/>
    </w:p>
    <w:p>
      <w:pPr>
        <w:spacing w:line="576" w:lineRule="exact"/>
        <w:ind w:firstLine="640" w:firstLineChars="200"/>
        <w:rPr>
          <w:rFonts w:ascii="仿宋_GB2312" w:hAnsi="仿宋" w:eastAsia="仿宋_GB2312" w:cs="仿宋"/>
          <w:sz w:val="32"/>
          <w:szCs w:val="32"/>
        </w:rPr>
      </w:pPr>
      <w:r>
        <w:rPr>
          <w:rFonts w:hint="eastAsia" w:ascii="仿宋_GB2312" w:hAnsi="仿宋" w:eastAsia="仿宋_GB2312"/>
          <w:sz w:val="32"/>
          <w:szCs w:val="32"/>
        </w:rPr>
        <w:t>2019年一般公共预算财政拨款支出4192.04万元，占本年支出合计的69.21%。与2018年相比，一般公共预算财政拨款增加2209.4万元，增长111.44%。主要变动原因是</w:t>
      </w:r>
      <w:r>
        <w:rPr>
          <w:rFonts w:hint="eastAsia" w:ascii="仿宋_GB2312" w:hAnsi="仿宋" w:eastAsia="仿宋_GB2312" w:cs="仿宋"/>
          <w:sz w:val="32"/>
          <w:szCs w:val="32"/>
        </w:rPr>
        <w:t>陵江上石盘电航综合枢纽船闸工程（二期）项目支出增加。</w:t>
      </w:r>
    </w:p>
    <w:p>
      <w:pPr>
        <w:spacing w:line="600" w:lineRule="exact"/>
        <w:jc w:val="center"/>
        <w:rPr>
          <w:rFonts w:ascii="仿宋" w:hAnsi="仿宋" w:eastAsia="仿宋"/>
          <w:color w:val="FF0000"/>
          <w:sz w:val="32"/>
          <w:szCs w:val="32"/>
        </w:rPr>
      </w:pPr>
    </w:p>
    <w:p>
      <w:pPr>
        <w:spacing w:line="600" w:lineRule="exact"/>
        <w:jc w:val="center"/>
        <w:rPr>
          <w:rFonts w:ascii="仿宋" w:hAnsi="仿宋" w:eastAsia="仿宋"/>
          <w:color w:val="FF0000"/>
          <w:sz w:val="32"/>
          <w:szCs w:val="32"/>
        </w:rPr>
      </w:pPr>
    </w:p>
    <w:p>
      <w:pPr>
        <w:spacing w:line="600" w:lineRule="exact"/>
        <w:jc w:val="center"/>
        <w:rPr>
          <w:rFonts w:ascii="仿宋" w:hAnsi="仿宋" w:eastAsia="仿宋"/>
          <w:color w:val="FF0000"/>
          <w:sz w:val="32"/>
          <w:szCs w:val="32"/>
        </w:rPr>
      </w:pPr>
    </w:p>
    <w:p>
      <w:pPr>
        <w:spacing w:line="600" w:lineRule="exact"/>
        <w:jc w:val="center"/>
        <w:rPr>
          <w:rFonts w:ascii="仿宋" w:hAnsi="仿宋" w:eastAsia="仿宋"/>
          <w:color w:val="FF0000"/>
          <w:sz w:val="32"/>
          <w:szCs w:val="32"/>
        </w:rPr>
      </w:pPr>
      <w:r>
        <w:rPr>
          <w:rFonts w:hint="eastAsia" w:ascii="仿宋" w:hAnsi="仿宋" w:eastAsia="仿宋"/>
          <w:color w:val="FF0000"/>
          <w:sz w:val="32"/>
          <w:szCs w:val="32"/>
        </w:rPr>
        <w:t>（图5：一般公共预算财政拨款支出决算变动情况）</w:t>
      </w:r>
      <w:r>
        <w:rPr>
          <w:rFonts w:hint="eastAsia" w:ascii="仿宋" w:hAnsi="仿宋" w:eastAsia="仿宋"/>
          <w:color w:val="FF0000"/>
          <w:sz w:val="32"/>
          <w:szCs w:val="32"/>
        </w:rPr>
        <w:drawing>
          <wp:anchor distT="0" distB="0" distL="114300" distR="114300" simplePos="0" relativeHeight="251663360" behindDoc="0" locked="0" layoutInCell="1" allowOverlap="1">
            <wp:simplePos x="0" y="0"/>
            <wp:positionH relativeFrom="column">
              <wp:posOffset>143510</wp:posOffset>
            </wp:positionH>
            <wp:positionV relativeFrom="paragraph">
              <wp:posOffset>185420</wp:posOffset>
            </wp:positionV>
            <wp:extent cx="4947285" cy="2869565"/>
            <wp:effectExtent l="4445" t="4445" r="20320" b="2159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76" w:lineRule="exact"/>
        <w:ind w:firstLine="642" w:firstLineChars="200"/>
        <w:outlineLvl w:val="2"/>
        <w:rPr>
          <w:rFonts w:ascii="仿宋" w:hAnsi="仿宋" w:eastAsia="仿宋"/>
          <w:b/>
          <w:color w:val="000000"/>
          <w:sz w:val="32"/>
          <w:szCs w:val="32"/>
        </w:rPr>
      </w:pPr>
      <w:bookmarkStart w:id="61" w:name="_Toc15377211"/>
      <w:r>
        <w:rPr>
          <w:rFonts w:hint="eastAsia" w:ascii="仿宋" w:hAnsi="仿宋" w:eastAsia="仿宋"/>
          <w:b/>
          <w:color w:val="000000"/>
          <w:sz w:val="32"/>
          <w:szCs w:val="32"/>
        </w:rPr>
        <w:t>（二）一般公共预算财政拨款支出决算结构情况</w:t>
      </w:r>
      <w:bookmarkEnd w:id="61"/>
    </w:p>
    <w:p>
      <w:pPr>
        <w:spacing w:line="576" w:lineRule="exact"/>
        <w:ind w:firstLine="640"/>
        <w:rPr>
          <w:rFonts w:ascii="仿宋_GB2312" w:hAnsi="仿宋" w:eastAsia="仿宋_GB2312"/>
          <w:sz w:val="32"/>
          <w:szCs w:val="32"/>
        </w:rPr>
      </w:pPr>
      <w:r>
        <w:rPr>
          <w:rFonts w:hint="eastAsia" w:ascii="仿宋" w:hAnsi="仿宋" w:eastAsia="仿宋"/>
          <w:color w:val="000000"/>
          <w:sz w:val="32"/>
          <w:szCs w:val="32"/>
        </w:rPr>
        <w:drawing>
          <wp:anchor distT="0" distB="0" distL="114300" distR="114300" simplePos="0" relativeHeight="251664384" behindDoc="0" locked="0" layoutInCell="1" allowOverlap="1">
            <wp:simplePos x="0" y="0"/>
            <wp:positionH relativeFrom="column">
              <wp:posOffset>267335</wp:posOffset>
            </wp:positionH>
            <wp:positionV relativeFrom="paragraph">
              <wp:posOffset>2318385</wp:posOffset>
            </wp:positionV>
            <wp:extent cx="4919345" cy="2812415"/>
            <wp:effectExtent l="4445" t="4445" r="10160" b="2159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 w:eastAsia="仿宋_GB2312"/>
          <w:sz w:val="32"/>
          <w:szCs w:val="32"/>
        </w:rPr>
        <w:t>2019年一般公共预算财政拨款支出4192.04万元，主要用于以下方面:交通运输支出3903.37万元，占93.11%；文化旅游体育与传媒（类）支出4.61万元，占0.11%；社会保障和就业（类）支出157.16万元，占3.75%；卫生健康支出66.65万元，占1.59%；住房保障支出60.25万元，占1.44%。</w:t>
      </w:r>
    </w:p>
    <w:p>
      <w:pPr>
        <w:spacing w:line="600" w:lineRule="exact"/>
        <w:ind w:firstLine="640" w:firstLineChars="200"/>
        <w:jc w:val="center"/>
        <w:rPr>
          <w:rFonts w:ascii="仿宋" w:hAnsi="仿宋" w:eastAsia="仿宋"/>
          <w:color w:val="FF0000"/>
          <w:sz w:val="32"/>
          <w:szCs w:val="32"/>
        </w:rPr>
      </w:pPr>
      <w:r>
        <w:rPr>
          <w:rFonts w:hint="eastAsia" w:ascii="仿宋" w:hAnsi="仿宋" w:eastAsia="仿宋"/>
          <w:color w:val="FF0000"/>
          <w:sz w:val="32"/>
          <w:szCs w:val="32"/>
        </w:rPr>
        <w:t>（图6：一般公共预算财政拨款支出决算结构）</w:t>
      </w:r>
    </w:p>
    <w:p>
      <w:pPr>
        <w:spacing w:line="576" w:lineRule="exact"/>
        <w:ind w:firstLine="642" w:firstLineChars="200"/>
        <w:outlineLvl w:val="2"/>
        <w:rPr>
          <w:rFonts w:ascii="仿宋" w:hAnsi="仿宋" w:eastAsia="仿宋"/>
          <w:b/>
          <w:color w:val="000000"/>
          <w:sz w:val="32"/>
          <w:szCs w:val="32"/>
        </w:rPr>
      </w:pPr>
      <w:bookmarkStart w:id="62" w:name="_Toc15377212"/>
      <w:r>
        <w:rPr>
          <w:rFonts w:hint="eastAsia" w:ascii="仿宋" w:hAnsi="仿宋" w:eastAsia="仿宋"/>
          <w:b/>
          <w:color w:val="000000"/>
          <w:sz w:val="32"/>
          <w:szCs w:val="32"/>
        </w:rPr>
        <w:t>（三）一般公共预算财政拨款支出决算具体情况</w:t>
      </w:r>
      <w:bookmarkEnd w:id="62"/>
    </w:p>
    <w:p>
      <w:pPr>
        <w:spacing w:line="576" w:lineRule="exact"/>
        <w:ind w:firstLine="640" w:firstLineChars="200"/>
        <w:rPr>
          <w:rFonts w:ascii="仿宋_GB2312" w:hAnsi="仿宋" w:eastAsia="仿宋_GB2312"/>
          <w:sz w:val="32"/>
          <w:szCs w:val="32"/>
        </w:rPr>
      </w:pPr>
      <w:bookmarkStart w:id="63" w:name="_Toc15377444"/>
      <w:bookmarkStart w:id="64" w:name="_Toc15377213"/>
      <w:bookmarkStart w:id="65" w:name="_Toc15378460"/>
      <w:r>
        <w:rPr>
          <w:rFonts w:hint="eastAsia" w:ascii="仿宋_GB2312" w:hAnsi="仿宋" w:eastAsia="仿宋_GB2312"/>
          <w:sz w:val="32"/>
          <w:szCs w:val="32"/>
        </w:rPr>
        <w:t>2019年一般公共预算支出决算数为4192.04万元，完成预算85.76%。其中：</w:t>
      </w:r>
      <w:bookmarkEnd w:id="63"/>
      <w:bookmarkEnd w:id="64"/>
      <w:bookmarkEnd w:id="65"/>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1．社会保障和就业（类）行政事业单位离退休（款）事业单位离退休（项）：支出决算为26.4万元，完成预算100 %。</w:t>
      </w:r>
    </w:p>
    <w:p>
      <w:pPr>
        <w:spacing w:line="576" w:lineRule="exact"/>
        <w:ind w:firstLine="640" w:firstLineChars="200"/>
        <w:rPr>
          <w:rFonts w:ascii="仿宋" w:hAnsi="仿宋" w:eastAsia="仿宋"/>
          <w:b/>
          <w:color w:val="000000"/>
          <w:sz w:val="32"/>
          <w:szCs w:val="32"/>
        </w:rPr>
      </w:pPr>
      <w:r>
        <w:rPr>
          <w:rFonts w:hint="eastAsia" w:ascii="仿宋_GB2312" w:hAnsi="仿宋" w:eastAsia="仿宋_GB2312"/>
          <w:sz w:val="32"/>
          <w:szCs w:val="32"/>
        </w:rPr>
        <w:t>2．社会保障和就业（类）行政事业单位离退休（款）机关事业单位基本养老保险缴费支出（项）：支出决算为130.76万元，完成预算 99.43%，决算数小于预算数的主要原因是人员清算结转资金需在下年度继续使用。</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3．卫生健康支出（类）行政事业单位医疗（款）行政单位医疗（项） ：支出决算为18.97万元，完成预算100%。</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4．卫生健康支出（类）行政事业单位医疗（款）事业单位医疗（项） ：支出决算为47.68万元，完成预算100%。</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5．住房保障支出（类）住房改革支出（款）住房公积金（项）：支出决算为60.25万元，完成预算100%。</w:t>
      </w:r>
    </w:p>
    <w:p>
      <w:pPr>
        <w:spacing w:line="576" w:lineRule="exact"/>
        <w:ind w:firstLine="640" w:firstLineChars="200"/>
        <w:rPr>
          <w:rFonts w:ascii="仿宋" w:hAnsi="仿宋" w:eastAsia="仿宋"/>
          <w:b/>
          <w:color w:val="000000"/>
          <w:sz w:val="32"/>
          <w:szCs w:val="32"/>
        </w:rPr>
      </w:pPr>
      <w:r>
        <w:rPr>
          <w:rFonts w:hint="eastAsia" w:ascii="仿宋_GB2312" w:hAnsi="仿宋" w:eastAsia="仿宋_GB2312"/>
          <w:sz w:val="32"/>
          <w:szCs w:val="32"/>
        </w:rPr>
        <w:t>6．交通运输支出（类）公路水路运输（款）行政运行（项）：支出决算为508.57万元，完成预算99.1%，决算数小于预算数的主要原因是结转资金需在下年度继续使用。</w:t>
      </w:r>
    </w:p>
    <w:p>
      <w:pPr>
        <w:spacing w:line="576" w:lineRule="exact"/>
        <w:ind w:firstLine="640" w:firstLineChars="200"/>
        <w:rPr>
          <w:rFonts w:ascii="仿宋" w:hAnsi="仿宋" w:eastAsia="仿宋"/>
          <w:b/>
          <w:color w:val="000000"/>
          <w:sz w:val="32"/>
          <w:szCs w:val="32"/>
        </w:rPr>
      </w:pPr>
      <w:r>
        <w:rPr>
          <w:rFonts w:hint="eastAsia" w:ascii="仿宋_GB2312" w:hAnsi="仿宋" w:eastAsia="仿宋_GB2312"/>
          <w:sz w:val="32"/>
          <w:szCs w:val="32"/>
        </w:rPr>
        <w:t>7．交通运输支出（类）公路水路运输（款）一般行政管理事务（项）：支出决算为51.15万元，完成预算94.3%，决算数小于预算数的主要原因是结转资金需在下年度继续使用。</w:t>
      </w:r>
    </w:p>
    <w:p>
      <w:pPr>
        <w:spacing w:line="576" w:lineRule="exact"/>
        <w:ind w:firstLine="640" w:firstLineChars="200"/>
        <w:rPr>
          <w:rFonts w:ascii="仿宋" w:hAnsi="仿宋" w:eastAsia="仿宋"/>
          <w:b/>
          <w:color w:val="000000"/>
          <w:sz w:val="32"/>
          <w:szCs w:val="32"/>
        </w:rPr>
      </w:pPr>
      <w:r>
        <w:rPr>
          <w:rFonts w:hint="eastAsia" w:ascii="仿宋_GB2312" w:hAnsi="仿宋" w:eastAsia="仿宋_GB2312"/>
          <w:sz w:val="32"/>
          <w:szCs w:val="32"/>
        </w:rPr>
        <w:t>8.交通运输支出（类）公路水路运输（款）航道维护（项）：支出决算为1148.13万元，完成预算97.13%，决算数小于预算数的主要原因是结转资金需在下年度继续使用。</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9.交通运输支出（类）公路水路运输（款）其他公路水路运输支出（项）：支出决算为2195.52万元，完成预算 77.46%，决算数小于预算数的主要原因是</w:t>
      </w:r>
      <w:r>
        <w:rPr>
          <w:rFonts w:hint="eastAsia" w:ascii="仿宋_GB2312" w:hAnsi="仿宋" w:eastAsia="仿宋_GB2312" w:cs="仿宋"/>
          <w:sz w:val="32"/>
          <w:szCs w:val="32"/>
        </w:rPr>
        <w:t>水上交通安全监测信息化和水上交通安全监测巡航救助一体化等项目</w:t>
      </w:r>
      <w:r>
        <w:rPr>
          <w:rFonts w:hint="eastAsia" w:ascii="仿宋_GB2312" w:hAnsi="仿宋" w:eastAsia="仿宋_GB2312"/>
          <w:sz w:val="32"/>
          <w:szCs w:val="32"/>
        </w:rPr>
        <w:t>按照进度需在下年度继续使用。</w:t>
      </w:r>
    </w:p>
    <w:p>
      <w:pPr>
        <w:spacing w:line="576" w:lineRule="exact"/>
        <w:ind w:firstLine="640" w:firstLineChars="200"/>
        <w:rPr>
          <w:rFonts w:ascii="仿宋" w:hAnsi="仿宋" w:eastAsia="仿宋"/>
          <w:b/>
          <w:color w:val="000000"/>
          <w:sz w:val="32"/>
          <w:szCs w:val="32"/>
        </w:rPr>
      </w:pPr>
      <w:r>
        <w:rPr>
          <w:rFonts w:hint="eastAsia" w:ascii="仿宋_GB2312" w:hAnsi="仿宋" w:eastAsia="仿宋_GB2312"/>
          <w:sz w:val="32"/>
          <w:szCs w:val="32"/>
        </w:rPr>
        <w:t>10.文化旅游体育与传媒支出（类）文化和旅游（款）文化活动（项）：2019年决算数4.61万元，完成预算 65.11%，决算数小于预算数的主要原因是结转资金需在下年度继续使用。</w:t>
      </w:r>
    </w:p>
    <w:p>
      <w:pPr>
        <w:tabs>
          <w:tab w:val="right" w:pos="8306"/>
        </w:tabs>
        <w:spacing w:line="576" w:lineRule="exact"/>
        <w:ind w:firstLine="640" w:firstLineChars="200"/>
        <w:outlineLvl w:val="1"/>
        <w:rPr>
          <w:rStyle w:val="26"/>
        </w:rPr>
      </w:pPr>
      <w:bookmarkStart w:id="66" w:name="_Toc15396608"/>
      <w:bookmarkStart w:id="67" w:name="_Toc17456"/>
      <w:bookmarkStart w:id="68"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66"/>
      <w:bookmarkEnd w:id="67"/>
      <w:bookmarkEnd w:id="68"/>
      <w:r>
        <w:rPr>
          <w:rStyle w:val="26"/>
          <w:rFonts w:ascii="黑体" w:hAnsi="黑体" w:eastAsia="黑体"/>
          <w:b w:val="0"/>
        </w:rPr>
        <w:tab/>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一般公共预算财政拨款基本支出1919.78万元。其中：人员经费1700.43万元，主要包括：基本工资、津贴补贴、奖金、伙食补助费、绩效工资、机关事业单位基本养老保险缴费、职业年金缴费、其他社会保障缴费、其他工资福利支出、离休费、生活补助、奖励金、住房公积金、其他对个人和家庭的补助支出等。</w:t>
      </w:r>
      <w:r>
        <w:rPr>
          <w:rFonts w:hint="eastAsia" w:ascii="仿宋_GB2312" w:hAnsi="仿宋" w:eastAsia="仿宋_GB2312"/>
          <w:sz w:val="32"/>
          <w:szCs w:val="32"/>
        </w:rPr>
        <w:br w:type="textWrapping"/>
      </w:r>
      <w:r>
        <w:rPr>
          <w:rFonts w:hint="eastAsia" w:ascii="仿宋_GB2312" w:hAnsi="仿宋" w:eastAsia="仿宋_GB2312"/>
          <w:sz w:val="32"/>
          <w:szCs w:val="32"/>
        </w:rPr>
        <w:t>　　日常公用经费219.35万元，主要包括：办公费、印刷费、咨询费、手续费、水费、电费、邮电费、物业管理费、差旅费、维修（护）费、租赁费、会议费、培训费、公务接待费、劳务费、工会经费、福利费、公务用车运行维护费、其他交通费、其他商品和服务支出等。</w:t>
      </w:r>
    </w:p>
    <w:p>
      <w:pPr>
        <w:spacing w:line="576" w:lineRule="exact"/>
        <w:ind w:firstLine="640" w:firstLineChars="200"/>
        <w:outlineLvl w:val="1"/>
        <w:rPr>
          <w:rStyle w:val="26"/>
          <w:rFonts w:ascii="黑体" w:hAnsi="黑体" w:eastAsia="黑体"/>
          <w:b w:val="0"/>
        </w:rPr>
      </w:pPr>
      <w:bookmarkStart w:id="69" w:name="_Toc15396609"/>
      <w:bookmarkStart w:id="70" w:name="_Toc15377215"/>
      <w:bookmarkStart w:id="71" w:name="_Toc28368"/>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69"/>
      <w:bookmarkEnd w:id="70"/>
      <w:bookmarkEnd w:id="71"/>
    </w:p>
    <w:p>
      <w:pPr>
        <w:spacing w:line="576" w:lineRule="exact"/>
        <w:ind w:firstLine="640"/>
        <w:rPr>
          <w:rFonts w:ascii="仿宋_GB2312" w:hAnsi="仿宋" w:eastAsia="仿宋_GB2312"/>
          <w:sz w:val="32"/>
          <w:szCs w:val="32"/>
        </w:rPr>
      </w:pPr>
      <w:bookmarkStart w:id="72" w:name="_Toc15377216"/>
      <w:r>
        <w:rPr>
          <w:rFonts w:hint="eastAsia" w:ascii="仿宋_GB2312" w:hAnsi="仿宋" w:eastAsia="仿宋_GB2312"/>
          <w:sz w:val="32"/>
          <w:szCs w:val="32"/>
        </w:rPr>
        <w:t>（一）“三公”经费财政拨款支出决算总体情况说明</w:t>
      </w:r>
      <w:bookmarkEnd w:id="72"/>
    </w:p>
    <w:p>
      <w:pPr>
        <w:spacing w:line="576" w:lineRule="exact"/>
        <w:ind w:firstLine="640"/>
        <w:rPr>
          <w:rFonts w:ascii="仿宋_GB2312" w:hAnsi="仿宋" w:eastAsia="仿宋_GB2312"/>
          <w:color w:val="FF0000"/>
          <w:sz w:val="32"/>
          <w:szCs w:val="32"/>
        </w:rPr>
      </w:pPr>
      <w:r>
        <w:rPr>
          <w:rFonts w:hint="eastAsia" w:ascii="仿宋_GB2312" w:hAnsi="仿宋" w:eastAsia="仿宋_GB2312"/>
          <w:sz w:val="32"/>
          <w:szCs w:val="32"/>
        </w:rPr>
        <w:t>2019年“三公”经费财政拨款支出决算为21.49万元，完成预算87.46%，决算数小于预算数的主要原因是</w:t>
      </w:r>
      <w:r>
        <w:rPr>
          <w:rFonts w:hint="eastAsia" w:ascii="仿宋_GB2312" w:hAnsi="仿宋_GB2312" w:eastAsia="仿宋_GB2312" w:cs="仿宋_GB2312"/>
          <w:sz w:val="32"/>
          <w:szCs w:val="32"/>
        </w:rPr>
        <w:t>厉行节约，认真贯彻落实中央八项规定，进一步严格控制“三公经费”支出。</w:t>
      </w:r>
    </w:p>
    <w:p>
      <w:pPr>
        <w:spacing w:line="576" w:lineRule="exact"/>
        <w:ind w:firstLine="640"/>
        <w:rPr>
          <w:rFonts w:ascii="仿宋_GB2312" w:hAnsi="仿宋" w:eastAsia="仿宋_GB2312"/>
          <w:sz w:val="32"/>
          <w:szCs w:val="32"/>
        </w:rPr>
      </w:pPr>
      <w:bookmarkStart w:id="73" w:name="_Toc15377217"/>
      <w:r>
        <w:rPr>
          <w:rFonts w:hint="eastAsia" w:ascii="仿宋_GB2312" w:hAnsi="仿宋" w:eastAsia="仿宋_GB2312"/>
          <w:sz w:val="32"/>
          <w:szCs w:val="32"/>
        </w:rPr>
        <w:t>（二）“三公”经费财政拨款支出决算具体情况说明</w:t>
      </w:r>
      <w:bookmarkEnd w:id="73"/>
    </w:p>
    <w:p>
      <w:pPr>
        <w:spacing w:line="576" w:lineRule="exact"/>
        <w:ind w:firstLine="640"/>
        <w:rPr>
          <w:rFonts w:ascii="仿宋_GB2312" w:hAnsi="仿宋" w:eastAsia="仿宋_GB2312"/>
          <w:sz w:val="32"/>
          <w:szCs w:val="32"/>
        </w:rPr>
      </w:pPr>
      <w:r>
        <w:rPr>
          <w:rFonts w:hint="eastAsia" w:ascii="仿宋_GB2312" w:hAnsi="仿宋" w:eastAsia="仿宋_GB2312"/>
          <w:sz w:val="32"/>
          <w:szCs w:val="32"/>
        </w:rPr>
        <w:t>2019年“三公”经费财政拨款支出决算中，因公出国（境）费支出决算0万元，占0%；公务用车购置及运行维护费支出决算19.88万元，占92.51%；公务接待费支出决算1.61万元，占7.49%。具体情况如下：</w:t>
      </w:r>
    </w:p>
    <w:p>
      <w:pPr>
        <w:spacing w:line="600" w:lineRule="exact"/>
        <w:ind w:firstLine="640"/>
        <w:jc w:val="center"/>
        <w:rPr>
          <w:rFonts w:ascii="仿宋_GB2312" w:hAnsi="仿宋" w:eastAsia="仿宋_GB2312"/>
          <w:color w:val="FF0000"/>
          <w:sz w:val="32"/>
          <w:szCs w:val="32"/>
        </w:rPr>
      </w:pPr>
      <w:r>
        <w:rPr>
          <w:rFonts w:hint="eastAsia" w:ascii="仿宋_GB2312" w:hAnsi="仿宋" w:eastAsia="仿宋_GB2312"/>
          <w:color w:val="FF0000"/>
          <w:sz w:val="32"/>
          <w:szCs w:val="32"/>
        </w:rPr>
        <w:t>（图7：“三公”经费财政拨款支出结构）</w:t>
      </w:r>
    </w:p>
    <w:p>
      <w:pPr>
        <w:spacing w:line="600" w:lineRule="exact"/>
        <w:rPr>
          <w:rFonts w:ascii="仿宋_GB2312" w:hAnsi="仿宋" w:eastAsia="仿宋_GB2312"/>
          <w:sz w:val="32"/>
          <w:szCs w:val="32"/>
        </w:rPr>
      </w:pPr>
      <w:r>
        <w:rPr>
          <w:rFonts w:hint="eastAsia" w:ascii="仿宋_GB2312" w:hAnsi="仿宋" w:eastAsia="仿宋_GB2312"/>
          <w:sz w:val="32"/>
          <w:szCs w:val="32"/>
        </w:rPr>
        <w:drawing>
          <wp:anchor distT="0" distB="0" distL="114300" distR="114300" simplePos="0" relativeHeight="251665408" behindDoc="0" locked="0" layoutInCell="1" allowOverlap="1">
            <wp:simplePos x="0" y="0"/>
            <wp:positionH relativeFrom="column">
              <wp:posOffset>171450</wp:posOffset>
            </wp:positionH>
            <wp:positionV relativeFrom="paragraph">
              <wp:posOffset>80645</wp:posOffset>
            </wp:positionV>
            <wp:extent cx="4719955" cy="2722880"/>
            <wp:effectExtent l="4445" t="5080" r="19050" b="1524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1.因公出国（境）经费支出0万元，与去年持平。</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公务用车购置及运行维护费支出19.88万元,完成预算97.74%。公务用车购置及运行维护费支出决算比2018年减少3.16万元，下降13.72%。主要原因是从下半年开始，严格贯彻落实市级部门单位“过紧日子”十三条措施，进一步严格控制出差审批事项，开展运输、安全、环保、扫黑除恶综合检查，车辆使用频次下降、效率提升。</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其中：公务用车购置支出0万元。截至2019年12月底，单位共有公务用车7辆，其中：执法执勤用车4辆、特种专业技术用车1辆、其他用车2辆。</w:t>
      </w:r>
    </w:p>
    <w:p>
      <w:pPr>
        <w:spacing w:line="576" w:lineRule="exact"/>
        <w:ind w:firstLine="640" w:firstLineChars="200"/>
        <w:rPr>
          <w:rFonts w:ascii="仿宋_GB2312" w:eastAsia="仿宋_GB2312"/>
          <w:sz w:val="32"/>
          <w:szCs w:val="32"/>
        </w:rPr>
      </w:pPr>
      <w:r>
        <w:rPr>
          <w:rFonts w:hint="eastAsia" w:ascii="仿宋_GB2312" w:hAnsi="仿宋" w:eastAsia="仿宋_GB2312"/>
          <w:sz w:val="32"/>
          <w:szCs w:val="32"/>
        </w:rPr>
        <w:t>公务用车运行维护费支出19.88万元。</w:t>
      </w:r>
      <w:r>
        <w:rPr>
          <w:rFonts w:hint="eastAsia" w:ascii="仿宋_GB2312" w:eastAsia="仿宋_GB2312"/>
          <w:sz w:val="32"/>
          <w:szCs w:val="32"/>
        </w:rPr>
        <w:t>主要用于全市水上交通安全检查、船舶检验、开展扶贫帮扶等所需的公务用车燃料费、维修费、过路过桥费、保险费等支出。</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3.公务接待费支出1.61万元，完成预算38.15%。公务接待费支出决算比2018年减少2.1万元，下降56.6%。主要原因是严格执行中央八项规定，严控接待事由和标准。其中：</w:t>
      </w:r>
    </w:p>
    <w:p>
      <w:pPr>
        <w:spacing w:line="576"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rPr>
        <w:t>国内公务接待支出1.61万元，主要用于执行公务开展业务活动开支的用餐费。国内公务接待18批次，192人次（不包括陪同人员），共计支出1.61万元，具体包括：上级</w:t>
      </w:r>
      <w:r>
        <w:rPr>
          <w:rFonts w:hint="eastAsia" w:ascii="仿宋_GB2312" w:eastAsia="仿宋_GB2312"/>
          <w:color w:val="000000"/>
          <w:sz w:val="32"/>
          <w:szCs w:val="32"/>
        </w:rPr>
        <w:t>主管部门的水上交通安全工作检查、调研，其他市州赴广学习交流等接待活动。</w:t>
      </w:r>
    </w:p>
    <w:p>
      <w:pPr>
        <w:spacing w:line="576" w:lineRule="exact"/>
        <w:ind w:firstLine="640" w:firstLineChars="200"/>
        <w:rPr>
          <w:rFonts w:ascii="仿宋_GB2312" w:eastAsia="仿宋_GB2312"/>
          <w:sz w:val="32"/>
          <w:szCs w:val="32"/>
        </w:rPr>
      </w:pPr>
      <w:r>
        <w:rPr>
          <w:rFonts w:hint="eastAsia" w:ascii="仿宋_GB2312" w:hAnsi="仿宋" w:eastAsia="仿宋_GB2312"/>
          <w:sz w:val="32"/>
          <w:szCs w:val="32"/>
        </w:rPr>
        <w:t>外事接</w:t>
      </w:r>
      <w:bookmarkStart w:id="123" w:name="_GoBack"/>
      <w:bookmarkEnd w:id="123"/>
      <w:r>
        <w:rPr>
          <w:rFonts w:hint="eastAsia" w:ascii="仿宋_GB2312" w:hAnsi="仿宋" w:eastAsia="仿宋_GB2312"/>
          <w:sz w:val="32"/>
          <w:szCs w:val="32"/>
        </w:rPr>
        <w:t>待支出0万元。</w:t>
      </w:r>
    </w:p>
    <w:p>
      <w:pPr>
        <w:spacing w:line="576" w:lineRule="exact"/>
        <w:ind w:firstLine="640" w:firstLineChars="200"/>
        <w:outlineLvl w:val="1"/>
        <w:rPr>
          <w:rStyle w:val="26"/>
          <w:rFonts w:ascii="黑体" w:hAnsi="黑体" w:eastAsia="黑体"/>
        </w:rPr>
      </w:pPr>
      <w:bookmarkStart w:id="74" w:name="_Toc15396610"/>
      <w:bookmarkStart w:id="75" w:name="_Toc15377218"/>
      <w:bookmarkStart w:id="76" w:name="_Toc21565"/>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74"/>
      <w:bookmarkEnd w:id="75"/>
      <w:bookmarkEnd w:id="76"/>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2019年政府性基金预算拨款支出972.62万元。</w:t>
      </w:r>
    </w:p>
    <w:p>
      <w:pPr>
        <w:spacing w:line="576" w:lineRule="exact"/>
        <w:ind w:firstLine="640" w:firstLineChars="200"/>
        <w:outlineLvl w:val="1"/>
        <w:rPr>
          <w:rStyle w:val="26"/>
          <w:rFonts w:ascii="黑体" w:hAnsi="黑体" w:eastAsia="黑体"/>
          <w:b w:val="0"/>
        </w:rPr>
      </w:pPr>
      <w:bookmarkStart w:id="77" w:name="_Toc15396611"/>
      <w:bookmarkStart w:id="78" w:name="_Toc15377219"/>
      <w:bookmarkStart w:id="79" w:name="_Toc3902"/>
      <w:r>
        <w:rPr>
          <w:rStyle w:val="26"/>
          <w:rFonts w:hint="eastAsia" w:ascii="黑体" w:hAnsi="黑体" w:eastAsia="黑体"/>
          <w:b w:val="0"/>
        </w:rPr>
        <w:t>九、国有资本经营预算支出决算情况说明</w:t>
      </w:r>
      <w:bookmarkEnd w:id="77"/>
      <w:bookmarkEnd w:id="78"/>
      <w:bookmarkEnd w:id="79"/>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2019年国有资本经营预算拨款支出0万元。</w:t>
      </w:r>
    </w:p>
    <w:p>
      <w:pPr>
        <w:spacing w:line="576" w:lineRule="exact"/>
        <w:ind w:firstLine="640" w:firstLineChars="200"/>
        <w:outlineLvl w:val="1"/>
        <w:rPr>
          <w:rStyle w:val="26"/>
          <w:rFonts w:ascii="黑体" w:hAnsi="黑体" w:eastAsia="黑体"/>
        </w:rPr>
      </w:pPr>
      <w:bookmarkStart w:id="80" w:name="_Toc15396612"/>
      <w:bookmarkStart w:id="81" w:name="_Toc2767"/>
      <w:bookmarkStart w:id="82"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80"/>
      <w:bookmarkEnd w:id="81"/>
      <w:bookmarkEnd w:id="82"/>
    </w:p>
    <w:p>
      <w:pPr>
        <w:spacing w:line="576" w:lineRule="exact"/>
        <w:ind w:firstLine="642" w:firstLineChars="200"/>
        <w:outlineLvl w:val="2"/>
        <w:rPr>
          <w:rFonts w:ascii="仿宋" w:hAnsi="仿宋" w:eastAsia="仿宋"/>
          <w:color w:val="000000"/>
          <w:sz w:val="32"/>
          <w:szCs w:val="32"/>
        </w:rPr>
      </w:pPr>
      <w:bookmarkStart w:id="83" w:name="_Toc15377222"/>
      <w:r>
        <w:rPr>
          <w:rFonts w:hint="eastAsia" w:ascii="仿宋" w:hAnsi="仿宋" w:eastAsia="仿宋"/>
          <w:b/>
          <w:color w:val="000000"/>
          <w:sz w:val="32"/>
          <w:szCs w:val="32"/>
        </w:rPr>
        <w:t>（一）机关运行经费支出情况</w:t>
      </w:r>
      <w:bookmarkEnd w:id="83"/>
    </w:p>
    <w:p>
      <w:pPr>
        <w:spacing w:line="576" w:lineRule="exact"/>
        <w:ind w:firstLine="640" w:firstLineChars="200"/>
        <w:rPr>
          <w:rFonts w:ascii="仿宋_GB2312" w:hAnsi="仿宋" w:eastAsia="仿宋_GB2312" w:cs="仿宋"/>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9年，四川省广元市航务管理局机关运行经费支出89.86万元，比</w:t>
      </w:r>
      <w:r>
        <w:rPr>
          <w:rFonts w:ascii="仿宋_GB2312" w:eastAsia="仿宋_GB2312"/>
          <w:color w:val="000000"/>
          <w:sz w:val="32"/>
          <w:szCs w:val="32"/>
        </w:rPr>
        <w:t>201</w:t>
      </w:r>
      <w:r>
        <w:rPr>
          <w:rFonts w:hint="eastAsia" w:ascii="仿宋_GB2312" w:eastAsia="仿宋_GB2312"/>
          <w:color w:val="000000"/>
          <w:sz w:val="32"/>
          <w:szCs w:val="32"/>
        </w:rPr>
        <w:t>8年增加2.51万元，增长2.87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hAnsi="仿宋" w:eastAsia="仿宋_GB2312" w:cs="仿宋"/>
          <w:color w:val="000000"/>
          <w:sz w:val="32"/>
          <w:szCs w:val="32"/>
        </w:rPr>
        <w:t>安全检查、开展帮扶工作及公务出差的差旅费增加，单位运转的水费、电费等日常公用经费增加。</w:t>
      </w:r>
    </w:p>
    <w:p>
      <w:pPr>
        <w:spacing w:line="576" w:lineRule="exact"/>
        <w:ind w:firstLine="642" w:firstLineChars="200"/>
        <w:outlineLvl w:val="2"/>
        <w:rPr>
          <w:rFonts w:ascii="仿宋" w:hAnsi="仿宋" w:eastAsia="仿宋"/>
          <w:b/>
          <w:color w:val="000000"/>
          <w:sz w:val="32"/>
          <w:szCs w:val="32"/>
        </w:rPr>
      </w:pPr>
      <w:bookmarkStart w:id="84" w:name="_Toc15377223"/>
      <w:r>
        <w:rPr>
          <w:rFonts w:hint="eastAsia" w:ascii="仿宋" w:hAnsi="仿宋" w:eastAsia="仿宋"/>
          <w:b/>
          <w:color w:val="000000"/>
          <w:sz w:val="32"/>
          <w:szCs w:val="32"/>
        </w:rPr>
        <w:t>（二）政府采购支出情况</w:t>
      </w:r>
      <w:bookmarkEnd w:id="84"/>
    </w:p>
    <w:p>
      <w:pPr>
        <w:spacing w:line="576"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9年，四川省广元市航务管理局政府采购支出总额739.49万元，其中：政府采购货物支出739.49万元。</w:t>
      </w:r>
      <w:r>
        <w:rPr>
          <w:rFonts w:hint="eastAsia" w:ascii="仿宋_GB2312" w:eastAsia="仿宋_GB2312"/>
          <w:sz w:val="32"/>
          <w:szCs w:val="32"/>
        </w:rPr>
        <w:t>主要用于广元市嘉陵江上石盘库区航标设置、广元市水上交通安全监测综合信息系统工程和水上交通安全监测巡航救助一体化建设项目。</w:t>
      </w:r>
      <w:r>
        <w:rPr>
          <w:rFonts w:hint="eastAsia" w:ascii="仿宋_GB2312" w:eastAsia="仿宋_GB2312"/>
          <w:color w:val="000000"/>
          <w:sz w:val="32"/>
          <w:szCs w:val="32"/>
        </w:rPr>
        <w:t>授予中小企业合同金额0万元。</w:t>
      </w:r>
    </w:p>
    <w:p>
      <w:pPr>
        <w:autoSpaceDE w:val="0"/>
        <w:autoSpaceDN w:val="0"/>
        <w:adjustRightInd w:val="0"/>
        <w:spacing w:line="576" w:lineRule="exact"/>
        <w:ind w:firstLine="642" w:firstLineChars="200"/>
        <w:jc w:val="left"/>
        <w:outlineLvl w:val="2"/>
        <w:rPr>
          <w:rFonts w:ascii="仿宋" w:hAnsi="仿宋" w:eastAsia="仿宋"/>
          <w:b/>
          <w:color w:val="000000"/>
          <w:sz w:val="32"/>
          <w:szCs w:val="32"/>
        </w:rPr>
      </w:pPr>
      <w:bookmarkStart w:id="85" w:name="_Toc15377224"/>
      <w:r>
        <w:rPr>
          <w:rFonts w:hint="eastAsia" w:ascii="仿宋" w:hAnsi="仿宋" w:eastAsia="仿宋"/>
          <w:b/>
          <w:color w:val="000000"/>
          <w:sz w:val="32"/>
          <w:szCs w:val="32"/>
        </w:rPr>
        <w:t>（三）国有资产占有使用情况</w:t>
      </w:r>
      <w:bookmarkEnd w:id="85"/>
    </w:p>
    <w:p>
      <w:pPr>
        <w:autoSpaceDE w:val="0"/>
        <w:autoSpaceDN w:val="0"/>
        <w:adjustRightInd w:val="0"/>
        <w:spacing w:line="576"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201</w:t>
      </w:r>
      <w:r>
        <w:rPr>
          <w:rFonts w:hint="eastAsia" w:ascii="仿宋_GB2312" w:eastAsia="仿宋_GB2312"/>
          <w:sz w:val="32"/>
          <w:szCs w:val="32"/>
        </w:rPr>
        <w:t>9年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四川省广元市航务管理局</w:t>
      </w:r>
      <w:r>
        <w:rPr>
          <w:rFonts w:hint="eastAsia" w:ascii="仿宋_GB2312" w:eastAsia="仿宋_GB2312"/>
          <w:sz w:val="32"/>
          <w:szCs w:val="32"/>
        </w:rPr>
        <w:t>共有车辆7辆，其中:</w:t>
      </w:r>
      <w:r>
        <w:rPr>
          <w:rFonts w:hint="eastAsia" w:ascii="仿宋_GB2312" w:hAnsi="仿宋" w:eastAsia="仿宋_GB2312"/>
          <w:sz w:val="32"/>
          <w:szCs w:val="32"/>
        </w:rPr>
        <w:t xml:space="preserve"> 执法执勤用车4辆、特种专业技术用车1辆、其他用车2辆。其他用车主要是用于水上应急抢险（拖挂冲锋舟等应急抢险工作）。</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万元以上通用设备1套，单价</w:t>
      </w:r>
      <w:r>
        <w:rPr>
          <w:rFonts w:ascii="仿宋_GB2312" w:eastAsia="仿宋_GB2312"/>
          <w:sz w:val="32"/>
          <w:szCs w:val="32"/>
        </w:rPr>
        <w:t>100</w:t>
      </w:r>
      <w:r>
        <w:rPr>
          <w:rFonts w:hint="eastAsia" w:ascii="仿宋_GB2312" w:eastAsia="仿宋_GB2312"/>
          <w:sz w:val="32"/>
          <w:szCs w:val="32"/>
        </w:rPr>
        <w:t>万元以上专用设备1套。</w:t>
      </w:r>
    </w:p>
    <w:p>
      <w:pPr>
        <w:autoSpaceDE w:val="0"/>
        <w:autoSpaceDN w:val="0"/>
        <w:adjustRightInd w:val="0"/>
        <w:spacing w:line="576"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根据预算绩效管理要求，本部门（单位）在年初预算编制阶段，组织对4个项目编制了绩效目标，预算执行过程中，选取2个项目开展绩效监控，年终执行完毕后，对2个项目开展了绩效目标完成情况自评。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w:t>
      </w:r>
      <w:r>
        <w:rPr>
          <w:rFonts w:hint="eastAsia" w:ascii="仿宋_GB2312" w:eastAsia="仿宋_GB2312"/>
          <w:sz w:val="32"/>
          <w:szCs w:val="32"/>
        </w:rPr>
        <w:t>从整体情况看，我局严格按照年初预算进行部门整体支出，在支出过程中，能严格遵守各项规章制度，尤其在专项经费的支出上，专款专用，无截留、无挪用。本部门未对下属单位开展整体支出绩效评价。</w:t>
      </w:r>
      <w:r>
        <w:rPr>
          <w:rFonts w:hint="eastAsia" w:ascii="仿宋_GB2312" w:hAnsi="仿宋_GB2312" w:eastAsia="仿宋_GB2312" w:cs="仿宋_GB2312"/>
          <w:sz w:val="32"/>
          <w:szCs w:val="32"/>
        </w:rPr>
        <w:t>本部门无专项预算项目，因此未组织开展项目支出绩效评价。</w:t>
      </w:r>
    </w:p>
    <w:p>
      <w:pPr>
        <w:spacing w:line="576" w:lineRule="exact"/>
        <w:ind w:firstLine="640" w:firstLineChars="20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本部门在2019年度部门决算中反映“水上交通安全专项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、“水上交通安全监管平台运行”2个项目绩效目标实际完成情况。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水上交通安全专项项目绩效目标完成情况综述。项目全年预算数20.23万元，执行数为19.65万元，完成预算的97.13%。通过项目实施，支持了全市水上交通安全监管工作，保障了水上交通巡航巡查工作有序开展，严厉打击了破坏水上交通安全秩序的行为。</w:t>
      </w:r>
      <w:r>
        <w:rPr>
          <w:rFonts w:hint="eastAsia" w:ascii="仿宋_GB2312" w:hAnsi="仿宋" w:eastAsia="仿宋_GB2312"/>
          <w:sz w:val="32"/>
          <w:szCs w:val="32"/>
        </w:rPr>
        <w:t>全年出动海巡艇60艘次，检查船舶980艘次，查改各类安全问题及隐患110余起，查处违法行为3起。</w:t>
      </w:r>
      <w:r>
        <w:rPr>
          <w:rFonts w:hint="eastAsia" w:ascii="仿宋_GB2312" w:hAnsi="仿宋_GB2312" w:eastAsia="仿宋_GB2312" w:cs="仿宋_GB2312"/>
          <w:sz w:val="32"/>
          <w:szCs w:val="32"/>
        </w:rPr>
        <w:t>强化了持证船员的安全意识、严格了值班值守和预警信息的传达，提高了应急救援能力，确保了全市水上交通安全形势持续稳定。</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水上交通安全监管平台运行项目绩效目标完成情况综述。项目全年预算数15万元，执行数为15万元，完成预算的100%。通过项目实施，保障了视频监控系统的有效运行，维护及时到位、上线率高，实现了对辖区重点渡口的覆盖，汛期对全市重点水位观读点的实时读报，为提前做好防大汛工作提供了强有力的支撑，确保了全市水上交通安全形势持续稳定。</w:t>
      </w:r>
    </w:p>
    <w:p>
      <w:pPr>
        <w:spacing w:line="576" w:lineRule="exact"/>
        <w:ind w:firstLine="640" w:firstLineChars="200"/>
        <w:rPr>
          <w:rFonts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tbl>
      <w:tblPr>
        <w:tblStyle w:val="13"/>
        <w:tblpPr w:leftFromText="180" w:rightFromText="180" w:vertAnchor="text" w:horzAnchor="page" w:tblpXSpec="center" w:tblpY="400"/>
        <w:tblOverlap w:val="never"/>
        <w:tblW w:w="10647" w:type="dxa"/>
        <w:jc w:val="center"/>
        <w:tblLayout w:type="fixed"/>
        <w:tblCellMar>
          <w:top w:w="0" w:type="dxa"/>
          <w:left w:w="0" w:type="dxa"/>
          <w:bottom w:w="0" w:type="dxa"/>
          <w:right w:w="0" w:type="dxa"/>
        </w:tblCellMar>
      </w:tblPr>
      <w:tblGrid>
        <w:gridCol w:w="659"/>
        <w:gridCol w:w="1367"/>
        <w:gridCol w:w="1025"/>
        <w:gridCol w:w="2392"/>
        <w:gridCol w:w="2394"/>
        <w:gridCol w:w="2810"/>
      </w:tblGrid>
      <w:tr>
        <w:tblPrEx>
          <w:tblCellMar>
            <w:top w:w="0" w:type="dxa"/>
            <w:left w:w="0" w:type="dxa"/>
            <w:bottom w:w="0" w:type="dxa"/>
            <w:right w:w="0" w:type="dxa"/>
          </w:tblCellMar>
        </w:tblPrEx>
        <w:trPr>
          <w:trHeight w:val="1034" w:hRule="atLeast"/>
          <w:jc w:val="center"/>
        </w:trPr>
        <w:tc>
          <w:tcPr>
            <w:tcW w:w="10647" w:type="dxa"/>
            <w:gridSpan w:val="6"/>
            <w:tcMar>
              <w:top w:w="15" w:type="dxa"/>
              <w:left w:w="15" w:type="dxa"/>
              <w:bottom w:w="0" w:type="dxa"/>
              <w:right w:w="15" w:type="dxa"/>
            </w:tcMar>
            <w:vAlign w:val="center"/>
          </w:tcPr>
          <w:p>
            <w:pPr>
              <w:pStyle w:val="24"/>
              <w:widowControl/>
              <w:spacing w:line="576" w:lineRule="exact"/>
              <w:ind w:firstLine="0" w:firstLineChars="0"/>
              <w:jc w:val="center"/>
              <w:textAlignment w:val="center"/>
              <w:rPr>
                <w:rFonts w:ascii="宋体" w:hAnsi="宋体" w:cs="宋体"/>
                <w:color w:val="000000"/>
                <w:sz w:val="36"/>
                <w:szCs w:val="36"/>
              </w:rPr>
            </w:pPr>
            <w:r>
              <w:rPr>
                <w:rFonts w:hint="eastAsia" w:ascii="宋体" w:hAnsi="宋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75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sz w:val="22"/>
                <w:szCs w:val="22"/>
              </w:rPr>
              <w:t xml:space="preserve">水上交通安全监管平台运行费 </w:t>
            </w:r>
          </w:p>
        </w:tc>
      </w:tr>
      <w:tr>
        <w:tblPrEx>
          <w:tblCellMar>
            <w:top w:w="0" w:type="dxa"/>
            <w:left w:w="0" w:type="dxa"/>
            <w:bottom w:w="0" w:type="dxa"/>
            <w:right w:w="0" w:type="dxa"/>
          </w:tblCellMar>
        </w:tblPrEx>
        <w:trPr>
          <w:trHeight w:val="276" w:hRule="atLeast"/>
          <w:jc w:val="center"/>
        </w:trPr>
        <w:tc>
          <w:tcPr>
            <w:tcW w:w="305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预算单位</w:t>
            </w:r>
          </w:p>
        </w:tc>
        <w:tc>
          <w:tcPr>
            <w:tcW w:w="75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四川省广元市航务管理局</w:t>
            </w:r>
          </w:p>
        </w:tc>
      </w:tr>
      <w:tr>
        <w:tblPrEx>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执行数:</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15</w:t>
            </w:r>
          </w:p>
        </w:tc>
      </w:tr>
      <w:tr>
        <w:tblPrEx>
          <w:tblCellMar>
            <w:top w:w="0" w:type="dxa"/>
            <w:left w:w="0" w:type="dxa"/>
            <w:bottom w:w="0" w:type="dxa"/>
            <w:right w:w="0" w:type="dxa"/>
          </w:tblCellMar>
        </w:tblPrEx>
        <w:trPr>
          <w:trHeight w:val="276"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6" w:lineRule="exact"/>
              <w:jc w:val="left"/>
              <w:rPr>
                <w:rFonts w:ascii="宋体" w:hAns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15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15</w:t>
            </w:r>
          </w:p>
        </w:tc>
      </w:tr>
      <w:tr>
        <w:tblPrEx>
          <w:tblCellMar>
            <w:top w:w="0" w:type="dxa"/>
            <w:left w:w="0" w:type="dxa"/>
            <w:bottom w:w="0" w:type="dxa"/>
            <w:right w:w="0" w:type="dxa"/>
          </w:tblCellMar>
        </w:tblPrEx>
        <w:trPr>
          <w:trHeight w:val="113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6" w:lineRule="exact"/>
              <w:jc w:val="left"/>
              <w:rPr>
                <w:rFonts w:ascii="宋体" w:hAnsi="宋体" w:cs="宋体"/>
                <w:color w:val="000000"/>
                <w:sz w:val="22"/>
                <w:szCs w:val="22"/>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276"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预期目标</w:t>
            </w:r>
          </w:p>
        </w:tc>
        <w:tc>
          <w:tcPr>
            <w:tcW w:w="52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1159"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18"/>
                <w:szCs w:val="18"/>
              </w:rPr>
              <w:t>保障视频监控系统的有效运行，维护及时到位、上线率高，实现对全市重点渡口、重点水位观读点的覆盖，有效防范和坚决遏制发生重特大事故。</w:t>
            </w:r>
          </w:p>
        </w:tc>
        <w:tc>
          <w:tcPr>
            <w:tcW w:w="520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保障了视频监控系统的有效运行，维护及时到位、上线率高，实现了对辖区重点渡口的覆盖，汛期对全市重点水位观读点的实时读报，为提前做好防大汛工作提供了强有力的支撑，有效防范和坚决遏制发生重特大事故的发生。</w:t>
            </w:r>
          </w:p>
        </w:tc>
      </w:tr>
      <w:tr>
        <w:tblPrEx>
          <w:tblCellMar>
            <w:top w:w="0" w:type="dxa"/>
            <w:left w:w="0" w:type="dxa"/>
            <w:bottom w:w="0" w:type="dxa"/>
            <w:right w:w="0" w:type="dxa"/>
          </w:tblCellMar>
        </w:tblPrEx>
        <w:trPr>
          <w:trHeight w:val="617" w:hRule="atLeast"/>
          <w:jc w:val="center"/>
        </w:trPr>
        <w:tc>
          <w:tcPr>
            <w:tcW w:w="65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预期指标值(包含数字及文字描述)</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实际完成指标值(包含数字及文字描述)</w:t>
            </w:r>
          </w:p>
        </w:tc>
      </w:tr>
      <w:tr>
        <w:tblPrEx>
          <w:tblCellMar>
            <w:top w:w="0" w:type="dxa"/>
            <w:left w:w="0" w:type="dxa"/>
            <w:bottom w:w="0" w:type="dxa"/>
            <w:right w:w="0" w:type="dxa"/>
          </w:tblCellMar>
        </w:tblPrEx>
        <w:trPr>
          <w:trHeight w:val="1297"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 xml:space="preserve">质量指标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视频监控系统、维护、运行费用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平台运行及维护，保证监控点位上线率高</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保障了视频监控系统的有效运行，维护及时到位、上线率高</w:t>
            </w:r>
          </w:p>
        </w:tc>
      </w:tr>
      <w:tr>
        <w:tblPrEx>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社会效益指标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社会效益指标标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视频监控系统维护、运行费用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实现对全市重点渡口、重点水位观读点的覆盖，有效防范和坚决遏制发生重特大事故</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实现了对辖区重点渡口的覆盖，汛期对全市重点水位观读点的实时读报，为提前做好防大汛工作提供了强有力的支撑，有效防范和坚决遏制发生重特大事故的发生。</w:t>
            </w:r>
          </w:p>
        </w:tc>
      </w:tr>
      <w:tr>
        <w:tblPrEx>
          <w:tblCellMar>
            <w:top w:w="0" w:type="dxa"/>
            <w:left w:w="0" w:type="dxa"/>
            <w:bottom w:w="0" w:type="dxa"/>
            <w:right w:w="0" w:type="dxa"/>
          </w:tblCellMar>
        </w:tblPrEx>
        <w:trPr>
          <w:trHeight w:val="1042" w:hRule="atLeast"/>
          <w:jc w:val="center"/>
        </w:trPr>
        <w:tc>
          <w:tcPr>
            <w:tcW w:w="6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可持续影响</w:t>
            </w:r>
          </w:p>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 xml:space="preserve">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视频监控系统运行费用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确保全市水上交通安全形势持续稳定，为新时代治蜀兴川提供安全稳定的环境</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确保全市水上交通安全形势持续稳定，为新时代治蜀兴川提供安全稳定的环境</w:t>
            </w:r>
          </w:p>
        </w:tc>
      </w:tr>
    </w:tbl>
    <w:p>
      <w:pPr>
        <w:spacing w:line="576" w:lineRule="exact"/>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10715" w:type="dxa"/>
        <w:tblInd w:w="-68" w:type="dxa"/>
        <w:tblLayout w:type="fixed"/>
        <w:tblCellMar>
          <w:top w:w="0" w:type="dxa"/>
          <w:left w:w="0" w:type="dxa"/>
          <w:bottom w:w="0" w:type="dxa"/>
          <w:right w:w="0" w:type="dxa"/>
        </w:tblCellMar>
      </w:tblPr>
      <w:tblGrid>
        <w:gridCol w:w="1770"/>
        <w:gridCol w:w="324"/>
        <w:gridCol w:w="1025"/>
        <w:gridCol w:w="2392"/>
        <w:gridCol w:w="2212"/>
        <w:gridCol w:w="182"/>
        <w:gridCol w:w="2810"/>
      </w:tblGrid>
      <w:tr>
        <w:tblPrEx>
          <w:tblCellMar>
            <w:top w:w="0" w:type="dxa"/>
            <w:left w:w="0" w:type="dxa"/>
            <w:bottom w:w="0" w:type="dxa"/>
            <w:right w:w="0" w:type="dxa"/>
          </w:tblCellMar>
        </w:tblPrEx>
        <w:trPr>
          <w:trHeight w:val="1034" w:hRule="atLeast"/>
        </w:trPr>
        <w:tc>
          <w:tcPr>
            <w:tcW w:w="10715" w:type="dxa"/>
            <w:gridSpan w:val="7"/>
            <w:tcMar>
              <w:top w:w="15" w:type="dxa"/>
              <w:left w:w="15" w:type="dxa"/>
              <w:bottom w:w="0" w:type="dxa"/>
              <w:right w:w="15" w:type="dxa"/>
            </w:tcMar>
            <w:vAlign w:val="center"/>
          </w:tcPr>
          <w:p>
            <w:pPr>
              <w:pStyle w:val="24"/>
              <w:widowControl/>
              <w:spacing w:line="576" w:lineRule="exact"/>
              <w:ind w:firstLine="0" w:firstLineChars="0"/>
              <w:jc w:val="center"/>
              <w:textAlignment w:val="center"/>
              <w:rPr>
                <w:rFonts w:ascii="宋体" w:hAnsi="宋体" w:cs="宋体"/>
                <w:color w:val="000000"/>
                <w:sz w:val="36"/>
                <w:szCs w:val="36"/>
              </w:rPr>
            </w:pPr>
            <w:r>
              <w:rPr>
                <w:rFonts w:hint="eastAsia" w:ascii="宋体" w:hAnsi="宋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(2019年度)</w:t>
            </w:r>
          </w:p>
        </w:tc>
      </w:tr>
      <w:tr>
        <w:tblPrEx>
          <w:tblCellMar>
            <w:top w:w="0" w:type="dxa"/>
            <w:left w:w="0" w:type="dxa"/>
            <w:bottom w:w="0" w:type="dxa"/>
            <w:right w:w="0" w:type="dxa"/>
          </w:tblCellMar>
        </w:tblPrEx>
        <w:trPr>
          <w:trHeight w:val="476" w:hRule="atLeast"/>
        </w:trPr>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项目名称</w:t>
            </w:r>
          </w:p>
        </w:tc>
        <w:tc>
          <w:tcPr>
            <w:tcW w:w="759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sz w:val="22"/>
                <w:szCs w:val="22"/>
              </w:rPr>
              <w:t>水上交通安全专项</w:t>
            </w:r>
          </w:p>
        </w:tc>
      </w:tr>
      <w:tr>
        <w:tblPrEx>
          <w:tblCellMar>
            <w:top w:w="0" w:type="dxa"/>
            <w:left w:w="0" w:type="dxa"/>
            <w:bottom w:w="0" w:type="dxa"/>
            <w:right w:w="0" w:type="dxa"/>
          </w:tblCellMar>
        </w:tblPrEx>
        <w:trPr>
          <w:trHeight w:val="371" w:hRule="atLeast"/>
        </w:trPr>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预算单位</w:t>
            </w:r>
          </w:p>
        </w:tc>
        <w:tc>
          <w:tcPr>
            <w:tcW w:w="7596"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四川省广元市航务管理局</w:t>
            </w:r>
          </w:p>
        </w:tc>
      </w:tr>
      <w:tr>
        <w:tblPrEx>
          <w:tblCellMar>
            <w:top w:w="0" w:type="dxa"/>
            <w:left w:w="0" w:type="dxa"/>
            <w:bottom w:w="0" w:type="dxa"/>
            <w:right w:w="0" w:type="dxa"/>
          </w:tblCellMar>
        </w:tblPrEx>
        <w:trPr>
          <w:trHeight w:val="536" w:hRule="atLeast"/>
        </w:trPr>
        <w:tc>
          <w:tcPr>
            <w:tcW w:w="177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预算执行情况(万元)</w:t>
            </w:r>
          </w:p>
        </w:tc>
        <w:tc>
          <w:tcPr>
            <w:tcW w:w="13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20.23</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执行数:</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19.65</w:t>
            </w:r>
          </w:p>
        </w:tc>
      </w:tr>
      <w:tr>
        <w:tblPrEx>
          <w:tblCellMar>
            <w:top w:w="0" w:type="dxa"/>
            <w:left w:w="0" w:type="dxa"/>
            <w:bottom w:w="0" w:type="dxa"/>
            <w:right w:w="0" w:type="dxa"/>
          </w:tblCellMar>
        </w:tblPrEx>
        <w:trPr>
          <w:trHeight w:val="567" w:hRule="atLeast"/>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6" w:lineRule="exact"/>
              <w:jc w:val="left"/>
              <w:rPr>
                <w:rFonts w:ascii="宋体" w:hAnsi="宋体" w:cs="宋体"/>
                <w:color w:val="000000"/>
                <w:sz w:val="22"/>
                <w:szCs w:val="22"/>
              </w:rPr>
            </w:pPr>
          </w:p>
        </w:tc>
        <w:tc>
          <w:tcPr>
            <w:tcW w:w="13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w w:val="80"/>
                <w:kern w:val="0"/>
                <w:sz w:val="22"/>
                <w:szCs w:val="2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20.23</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其中-财政拨款:</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sz w:val="22"/>
                <w:szCs w:val="22"/>
              </w:rPr>
              <w:t>19.65</w:t>
            </w:r>
          </w:p>
        </w:tc>
      </w:tr>
      <w:tr>
        <w:tblPrEx>
          <w:tblCellMar>
            <w:top w:w="0" w:type="dxa"/>
            <w:left w:w="0" w:type="dxa"/>
            <w:bottom w:w="0" w:type="dxa"/>
            <w:right w:w="0" w:type="dxa"/>
          </w:tblCellMar>
        </w:tblPrEx>
        <w:trPr>
          <w:trHeight w:val="90" w:hRule="atLeast"/>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6" w:lineRule="exact"/>
              <w:jc w:val="left"/>
              <w:rPr>
                <w:rFonts w:ascii="宋体" w:hAnsi="宋体" w:cs="宋体"/>
                <w:color w:val="000000"/>
                <w:sz w:val="22"/>
                <w:szCs w:val="22"/>
              </w:rPr>
            </w:pPr>
          </w:p>
        </w:tc>
        <w:tc>
          <w:tcPr>
            <w:tcW w:w="134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其它资金:</w:t>
            </w:r>
          </w:p>
        </w:tc>
        <w:tc>
          <w:tcPr>
            <w:tcW w:w="28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491" w:hRule="atLeast"/>
        </w:trPr>
        <w:tc>
          <w:tcPr>
            <w:tcW w:w="177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年度目标完成情况</w:t>
            </w:r>
          </w:p>
        </w:tc>
        <w:tc>
          <w:tcPr>
            <w:tcW w:w="37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预期目标</w:t>
            </w:r>
          </w:p>
        </w:tc>
        <w:tc>
          <w:tcPr>
            <w:tcW w:w="52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576"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实际完成目标</w:t>
            </w:r>
          </w:p>
        </w:tc>
      </w:tr>
      <w:tr>
        <w:tblPrEx>
          <w:tblCellMar>
            <w:top w:w="0" w:type="dxa"/>
            <w:left w:w="0" w:type="dxa"/>
            <w:bottom w:w="0" w:type="dxa"/>
            <w:right w:w="0" w:type="dxa"/>
          </w:tblCellMar>
        </w:tblPrEx>
        <w:trPr>
          <w:trHeight w:val="1159" w:hRule="atLeast"/>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37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仿宋_GB2312" w:cs="宋体"/>
                <w:color w:val="000000"/>
                <w:sz w:val="22"/>
                <w:szCs w:val="22"/>
              </w:rPr>
            </w:pPr>
            <w:r>
              <w:rPr>
                <w:rFonts w:hint="eastAsia" w:ascii="仿宋_GB2312" w:hAnsi="宋体" w:eastAsia="仿宋_GB2312" w:cs="宋体"/>
                <w:kern w:val="0"/>
                <w:sz w:val="18"/>
                <w:szCs w:val="18"/>
              </w:rPr>
              <w:t>1、</w:t>
            </w:r>
            <w:r>
              <w:rPr>
                <w:rFonts w:hint="eastAsia" w:ascii="宋体" w:hAnsi="宋体" w:cs="宋体"/>
                <w:color w:val="000000"/>
                <w:sz w:val="18"/>
                <w:szCs w:val="18"/>
              </w:rPr>
              <w:t>开展重点节假日、重点时段水上交通安全巡航、检查。2、督导县区水上交通安全监管工作。3.开展水上交通应急救援演练。4.召开4次安全工作例会，汛期工作会议3次。5.开展持证船员集中安全培训、执法人员教育培训、安全宣传教育工作培训。</w:t>
            </w:r>
          </w:p>
        </w:tc>
        <w:tc>
          <w:tcPr>
            <w:tcW w:w="520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仿宋_GB2312" w:hAnsi="宋体" w:eastAsia="仿宋_GB2312" w:cs="宋体"/>
                <w:kern w:val="0"/>
                <w:sz w:val="18"/>
                <w:szCs w:val="18"/>
              </w:rPr>
              <w:t>1、开</w:t>
            </w:r>
            <w:r>
              <w:rPr>
                <w:rFonts w:hint="eastAsia" w:ascii="宋体" w:hAnsi="宋体" w:cs="宋体"/>
                <w:color w:val="000000"/>
                <w:sz w:val="18"/>
                <w:szCs w:val="18"/>
              </w:rPr>
              <w:t>展中秋、国庆、春节等重点节假日，汛期、春运等重点时段水上交通安全巡航、检查。2、开展对县区水上交通安全监管工作督导工作。3.开展水上交通应急救援演练1次。4.召开4次安全工作例会，工作会议3次。5.培训持证船员360名、制作展板6幅，发放宣传册 1800余份，发放宣传手提袋500余个</w:t>
            </w:r>
            <w:r>
              <w:rPr>
                <w:rFonts w:hint="eastAsia" w:ascii="仿宋_GB2312" w:hAnsi="宋体" w:eastAsia="仿宋_GB2312" w:cs="宋体"/>
                <w:kern w:val="0"/>
                <w:sz w:val="18"/>
                <w:szCs w:val="18"/>
              </w:rPr>
              <w:t>。</w:t>
            </w:r>
          </w:p>
        </w:tc>
      </w:tr>
      <w:tr>
        <w:tblPrEx>
          <w:tblCellMar>
            <w:top w:w="0" w:type="dxa"/>
            <w:left w:w="0" w:type="dxa"/>
            <w:bottom w:w="0" w:type="dxa"/>
            <w:right w:w="0" w:type="dxa"/>
          </w:tblCellMar>
        </w:tblPrEx>
        <w:trPr>
          <w:trHeight w:val="803" w:hRule="atLeast"/>
        </w:trPr>
        <w:tc>
          <w:tcPr>
            <w:tcW w:w="177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绩效指标完成情况</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w w:val="80"/>
                <w:sz w:val="22"/>
                <w:szCs w:val="22"/>
              </w:rPr>
            </w:pPr>
            <w:r>
              <w:rPr>
                <w:rFonts w:hint="eastAsia" w:ascii="宋体" w:hAnsi="宋体" w:cs="宋体"/>
                <w:color w:val="000000"/>
                <w:w w:val="66"/>
                <w:kern w:val="0"/>
                <w:sz w:val="22"/>
                <w:szCs w:val="2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w w:val="80"/>
                <w:sz w:val="22"/>
                <w:szCs w:val="22"/>
              </w:rPr>
            </w:pPr>
            <w:r>
              <w:rPr>
                <w:rFonts w:hint="eastAsia" w:ascii="宋体" w:hAnsi="宋体" w:cs="宋体"/>
                <w:color w:val="000000"/>
                <w:kern w:val="0"/>
                <w:sz w:val="22"/>
                <w:szCs w:val="2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三级指标</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预期指标值(包含数字及文字描述)</w:t>
            </w:r>
          </w:p>
        </w:tc>
        <w:tc>
          <w:tcPr>
            <w:tcW w:w="29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实际完成指标值(包含数字及文字描述)</w:t>
            </w:r>
          </w:p>
        </w:tc>
      </w:tr>
      <w:tr>
        <w:tblPrEx>
          <w:tblCellMar>
            <w:top w:w="0" w:type="dxa"/>
            <w:left w:w="0" w:type="dxa"/>
            <w:bottom w:w="0" w:type="dxa"/>
            <w:right w:w="0" w:type="dxa"/>
          </w:tblCellMar>
        </w:tblPrEx>
        <w:trPr>
          <w:trHeight w:val="1292" w:hRule="atLeast"/>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6" w:lineRule="exact"/>
              <w:jc w:val="left"/>
              <w:rPr>
                <w:rFonts w:ascii="宋体" w:hAnsi="宋体" w:cs="宋体"/>
                <w:color w:val="000000"/>
                <w:sz w:val="22"/>
                <w:szCs w:val="22"/>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w w:val="80"/>
                <w:sz w:val="18"/>
                <w:szCs w:val="18"/>
              </w:rPr>
            </w:pPr>
            <w:r>
              <w:rPr>
                <w:rFonts w:hint="eastAsia" w:ascii="宋体" w:hAnsi="宋体" w:cs="宋体"/>
                <w:color w:val="000000"/>
                <w:w w:val="8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召开4次安全工作例会，汛期工作会议3次。</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安排部署水上交通安全监管工作，解决工作中存在的问题，确保全市水上交通安全形势持续稳定。</w:t>
            </w:r>
          </w:p>
        </w:tc>
        <w:tc>
          <w:tcPr>
            <w:tcW w:w="29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根据安全监管需要先后召开了汛期工作会议、汛期水上交通紧急会议、水上交通安全例会等，对重点安全环节及季节性安全工作、专项安全工作、业务基础工作层层进行了周密安排。</w:t>
            </w:r>
          </w:p>
        </w:tc>
      </w:tr>
      <w:tr>
        <w:tblPrEx>
          <w:tblCellMar>
            <w:top w:w="0" w:type="dxa"/>
            <w:left w:w="0" w:type="dxa"/>
            <w:bottom w:w="0" w:type="dxa"/>
            <w:right w:w="0" w:type="dxa"/>
          </w:tblCellMar>
        </w:tblPrEx>
        <w:trPr>
          <w:trHeight w:val="1042" w:hRule="atLeast"/>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76" w:lineRule="exact"/>
              <w:jc w:val="left"/>
              <w:rPr>
                <w:rFonts w:ascii="宋体" w:hAnsi="宋体" w:cs="宋体"/>
                <w:color w:val="000000"/>
                <w:sz w:val="22"/>
                <w:szCs w:val="22"/>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开展重点节假日、重点时段水上交通安全巡航、检查，督导县区水上交通安全监管工作，每季度不少于1次。</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落实水上交通安全监管措施，严格执法，严厉打击破坏水上交通安全秩序行为，确保全市水上交通安全形势持续稳定为</w:t>
            </w:r>
          </w:p>
        </w:tc>
        <w:tc>
          <w:tcPr>
            <w:tcW w:w="29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开展中秋、国庆、春节等重点节假日，汛期、春运等重点时段水上交通安全巡航、检查及对县区水上交通安全监管工作督导工作。全市全年出动海巡艇60艘次，检查船舶980艘次，查改各类安全问题及隐患110余起，查处违法行为3起。</w:t>
            </w:r>
          </w:p>
        </w:tc>
      </w:tr>
      <w:tr>
        <w:tblPrEx>
          <w:tblCellMar>
            <w:top w:w="0" w:type="dxa"/>
            <w:left w:w="0" w:type="dxa"/>
            <w:bottom w:w="0" w:type="dxa"/>
            <w:right w:w="0" w:type="dxa"/>
          </w:tblCellMar>
        </w:tblPrEx>
        <w:trPr>
          <w:trHeight w:val="833" w:hRule="atLeast"/>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w w:val="80"/>
                <w:kern w:val="0"/>
                <w:sz w:val="18"/>
                <w:szCs w:val="18"/>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开展持证船员集中安全培训、执法人员教育培训、安全宣传教育工作。</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提高水上交通安全意识，营造浓厚的安全氛围，确保全市水上交通安全形势持续稳定。</w:t>
            </w:r>
          </w:p>
        </w:tc>
        <w:tc>
          <w:tcPr>
            <w:tcW w:w="29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扎实开展水上交通安全知识七进、“安全生产月”和“安全宣传咨询日”活动，制作展板6幅，发放宣传册 1800余份，发放宣传手提袋500余个。</w:t>
            </w:r>
          </w:p>
        </w:tc>
      </w:tr>
      <w:tr>
        <w:tblPrEx>
          <w:tblCellMar>
            <w:top w:w="0" w:type="dxa"/>
            <w:left w:w="0" w:type="dxa"/>
            <w:bottom w:w="0" w:type="dxa"/>
            <w:right w:w="0" w:type="dxa"/>
          </w:tblCellMar>
        </w:tblPrEx>
        <w:trPr>
          <w:trHeight w:val="813" w:hRule="atLeast"/>
        </w:trPr>
        <w:tc>
          <w:tcPr>
            <w:tcW w:w="177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2"/>
                <w:szCs w:val="22"/>
              </w:rPr>
            </w:pP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w w:val="80"/>
                <w:kern w:val="0"/>
                <w:sz w:val="18"/>
                <w:szCs w:val="18"/>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开展水上交通应急救援演练1次</w:t>
            </w:r>
          </w:p>
        </w:tc>
        <w:tc>
          <w:tcPr>
            <w:tcW w:w="22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提高应急救援能力，保障水上交通安全</w:t>
            </w:r>
          </w:p>
        </w:tc>
        <w:tc>
          <w:tcPr>
            <w:tcW w:w="29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开展了广元市水上交通应急演练；组织一线救援50余人次应急实操培训。</w:t>
            </w:r>
          </w:p>
        </w:tc>
      </w:tr>
    </w:tbl>
    <w:p>
      <w:pPr>
        <w:spacing w:line="576" w:lineRule="exact"/>
        <w:rPr>
          <w:rFonts w:hint="eastAsia" w:ascii="楷体_GB2312" w:hAnsi="楷体_GB2312" w:eastAsia="楷体_GB2312" w:cs="楷体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本部门按要求对2019年部门整体支出绩效评价情况开展自评，《四川省广元市航务管理局2019年部门整体支出绩效评价报告》见附件。</w:t>
      </w:r>
      <w:bookmarkStart w:id="86" w:name="_Toc15377225"/>
      <w:bookmarkStart w:id="87" w:name="_Toc15396613"/>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ind w:firstLine="880" w:firstLineChars="200"/>
        <w:rPr>
          <w:rFonts w:ascii="黑体" w:hAnsi="黑体" w:eastAsia="黑体"/>
          <w:color w:val="000000"/>
          <w:sz w:val="44"/>
          <w:szCs w:val="44"/>
        </w:rPr>
      </w:pPr>
    </w:p>
    <w:p>
      <w:pPr>
        <w:spacing w:line="576" w:lineRule="exact"/>
        <w:jc w:val="center"/>
        <w:outlineLvl w:val="0"/>
        <w:rPr>
          <w:rStyle w:val="25"/>
          <w:rFonts w:ascii="黑体" w:hAnsi="黑体" w:eastAsia="黑体"/>
          <w:b w:val="0"/>
        </w:rPr>
      </w:pPr>
      <w:bookmarkStart w:id="88" w:name="_Toc1804"/>
      <w:r>
        <w:rPr>
          <w:rFonts w:hint="eastAsia" w:ascii="黑体" w:hAnsi="黑体" w:eastAsia="黑体"/>
          <w:color w:val="000000"/>
          <w:sz w:val="44"/>
          <w:szCs w:val="44"/>
        </w:rPr>
        <w:t>第三部分 名</w:t>
      </w:r>
      <w:r>
        <w:rPr>
          <w:rStyle w:val="25"/>
          <w:rFonts w:hint="eastAsia" w:ascii="黑体" w:hAnsi="黑体" w:eastAsia="黑体"/>
          <w:b w:val="0"/>
        </w:rPr>
        <w:t>词解释</w:t>
      </w:r>
      <w:bookmarkEnd w:id="86"/>
      <w:bookmarkEnd w:id="87"/>
      <w:bookmarkEnd w:id="88"/>
    </w:p>
    <w:p>
      <w:pPr>
        <w:pStyle w:val="23"/>
        <w:spacing w:line="576"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76" w:lineRule="exact"/>
        <w:ind w:firstLine="640" w:firstLineChars="200"/>
        <w:rPr>
          <w:rFonts w:ascii="仿宋_GB2312" w:eastAsia="仿宋_GB2312"/>
          <w:color w:val="auto"/>
          <w:sz w:val="32"/>
          <w:szCs w:val="32"/>
        </w:rPr>
      </w:pPr>
      <w:r>
        <w:rPr>
          <w:rFonts w:ascii="仿宋_GB2312" w:eastAsia="仿宋_GB2312"/>
          <w:sz w:val="32"/>
          <w:szCs w:val="32"/>
        </w:rPr>
        <w:t>2</w:t>
      </w:r>
      <w:r>
        <w:rPr>
          <w:rFonts w:hint="eastAsia" w:ascii="仿宋_GB2312" w:eastAsia="仿宋_GB2312"/>
          <w:sz w:val="32"/>
          <w:szCs w:val="32"/>
        </w:rPr>
        <w:t>、其他收入：指单位取得的除财政拨款收入以外的各项收入。</w:t>
      </w:r>
      <w:r>
        <w:rPr>
          <w:rFonts w:hint="eastAsia" w:ascii="仿宋_GB2312" w:eastAsia="仿宋_GB2312"/>
          <w:color w:val="auto"/>
          <w:sz w:val="32"/>
          <w:szCs w:val="32"/>
        </w:rPr>
        <w:t>主要是市交通运输主管等部门拨付的专项资金及银行存款利息收入。</w:t>
      </w:r>
    </w:p>
    <w:p>
      <w:pPr>
        <w:pStyle w:val="23"/>
        <w:spacing w:line="576" w:lineRule="exact"/>
        <w:ind w:firstLine="640" w:firstLineChars="200"/>
        <w:rPr>
          <w:rFonts w:ascii="仿宋_GB2312" w:eastAsia="仿宋_GB2312"/>
          <w:sz w:val="32"/>
          <w:szCs w:val="32"/>
        </w:rPr>
      </w:pPr>
      <w:r>
        <w:rPr>
          <w:rFonts w:hint="eastAsia" w:ascii="仿宋_GB2312" w:eastAsia="仿宋_GB2312"/>
          <w:sz w:val="32"/>
          <w:szCs w:val="32"/>
        </w:rPr>
        <w:t>3、年初结转和结余：指以前年度尚未完成、结转到本年按有关规定继续使用的资金。</w:t>
      </w:r>
    </w:p>
    <w:p>
      <w:pPr>
        <w:pStyle w:val="23"/>
        <w:spacing w:line="576" w:lineRule="exact"/>
        <w:ind w:firstLine="640" w:firstLineChars="200"/>
        <w:rPr>
          <w:rFonts w:ascii="仿宋_GB2312" w:eastAsia="仿宋_GB2312"/>
          <w:sz w:val="32"/>
          <w:szCs w:val="32"/>
        </w:rPr>
      </w:pPr>
      <w:r>
        <w:rPr>
          <w:rFonts w:hint="eastAsia" w:ascii="仿宋_GB2312" w:eastAsia="仿宋_GB2312"/>
          <w:sz w:val="32"/>
          <w:szCs w:val="32"/>
        </w:rPr>
        <w:t>4、年末结转和结余：指单位按有关规定结转到下年或以后年度继续使用的资金。</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5、社会保障和就业（类）行政事业单位离退休（款）事业单位离退休（项）：反映实行归口管理的行政单位（包括实行公务员管理的事业单位）开支的离退休经费。</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6、社会保障和就业（类）行政事业单位离退休（款）机关事业单位基本养老保险缴费支出（项）：反映财政部门集中安排的行政事业单位基本养老保险缴费经费。</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7、卫生健康支出（类）行政事业单位医疗（款）（行政）事业单位医疗（项）：反映财政部门集中安排的行政事业单位基本医疗保险经费，未参加医疗保险的事业单位的公费医疗经费，按国家规定享受离休人员待遇人员的医疗经费。</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8、住房保障支出（类）住房改革支出（款）住房公积金（项）：反映行政事业单位按人力资源和社会保障部、财政部规定的基本工资和津贴补贴以及规定比例为职工缴纳的住房公积金。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9、文化旅游体育与传媒（类）文化和旅游（款）文化活动（项）：指2019年女儿节活动经费。</w:t>
      </w:r>
    </w:p>
    <w:p>
      <w:pPr>
        <w:spacing w:line="576" w:lineRule="exact"/>
        <w:ind w:firstLine="640" w:firstLineChars="200"/>
        <w:rPr>
          <w:rFonts w:ascii="仿宋_GB2312" w:eastAsia="仿宋_GB2312"/>
          <w:sz w:val="32"/>
          <w:szCs w:val="32"/>
        </w:rPr>
      </w:pPr>
      <w:r>
        <w:rPr>
          <w:rFonts w:hint="eastAsia" w:ascii="仿宋_GB2312" w:eastAsia="仿宋_GB2312"/>
          <w:color w:val="000000"/>
          <w:sz w:val="32"/>
          <w:szCs w:val="32"/>
        </w:rPr>
        <w:t>10、交通运输支出（类）公路水路运输（款）行政运行（项）：反映行政单位（包括实行公务员管理的事业单位）的基本支出。</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11、交通运输支出（类）公路水路运输（款）一般行政管理事务（项）：反映行政单位（包括实行公务员管理的事业单位）未单独设置项级科目的其他项目支出。</w:t>
      </w:r>
      <w:r>
        <w:rPr>
          <w:rFonts w:hint="eastAsia" w:ascii="仿宋_GB2312" w:eastAsia="仿宋_GB2312"/>
          <w:color w:val="000000"/>
          <w:sz w:val="32"/>
          <w:szCs w:val="32"/>
        </w:rPr>
        <w:br w:type="textWrapping"/>
      </w:r>
      <w:r>
        <w:rPr>
          <w:rFonts w:hint="eastAsia" w:ascii="仿宋_GB2312" w:hAnsi="仿宋_GB2312" w:eastAsia="仿宋_GB2312" w:cs="仿宋_GB2312"/>
          <w:color w:val="000000"/>
          <w:sz w:val="32"/>
          <w:szCs w:val="32"/>
        </w:rPr>
        <w:t xml:space="preserve">    12、交通运输支出（类）公路水路运输（款）航道维护（项）：指内河航道整治、维护方面的支出。</w:t>
      </w:r>
      <w:r>
        <w:rPr>
          <w:rFonts w:hint="eastAsia" w:ascii="仿宋_GB2312" w:eastAsia="仿宋_GB2312"/>
          <w:color w:val="000000"/>
          <w:sz w:val="32"/>
          <w:szCs w:val="32"/>
        </w:rPr>
        <w:br w:type="textWrapping"/>
      </w:r>
      <w:r>
        <w:rPr>
          <w:rFonts w:hint="eastAsia" w:ascii="仿宋_GB2312" w:eastAsia="仿宋_GB2312"/>
          <w:sz w:val="32"/>
          <w:szCs w:val="32"/>
        </w:rPr>
        <w:t>13、</w:t>
      </w:r>
      <w:r>
        <w:rPr>
          <w:rFonts w:hint="eastAsia" w:ascii="仿宋_GB2312" w:hAnsi="仿宋_GB2312" w:eastAsia="仿宋_GB2312" w:cs="仿宋_GB2312"/>
          <w:sz w:val="32"/>
          <w:szCs w:val="32"/>
        </w:rPr>
        <w:t>交通运输支出（类）公路水路运输（款）其他公路水路运输支出（项）：除上面</w:t>
      </w:r>
      <w:r>
        <w:rPr>
          <w:rFonts w:hint="eastAsia" w:ascii="仿宋_GB2312" w:eastAsia="仿宋_GB2312"/>
          <w:sz w:val="32"/>
          <w:szCs w:val="32"/>
        </w:rPr>
        <w:t>用于水运建设方面的项目支出。</w:t>
      </w:r>
    </w:p>
    <w:p>
      <w:pPr>
        <w:spacing w:line="576"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rPr>
        <w:t>14、基</w:t>
      </w:r>
      <w:r>
        <w:rPr>
          <w:rFonts w:hint="eastAsia" w:ascii="仿宋_GB2312" w:eastAsia="仿宋_GB2312"/>
          <w:color w:val="000000"/>
          <w:sz w:val="32"/>
          <w:szCs w:val="32"/>
        </w:rPr>
        <w:t>本支出：指为保障机构正常运转、完成日常工作任务而发生的人员支出和公用支出。</w:t>
      </w:r>
    </w:p>
    <w:p>
      <w:pPr>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15、项目支出：指在基本支出之外为完成特定行政任务和事业发展目标所发生的支出。</w:t>
      </w:r>
    </w:p>
    <w:p>
      <w:pPr>
        <w:pStyle w:val="23"/>
        <w:spacing w:line="576" w:lineRule="exact"/>
        <w:ind w:firstLine="640" w:firstLineChars="200"/>
        <w:rPr>
          <w:rFonts w:ascii="仿宋_GB2312" w:eastAsia="仿宋_GB2312"/>
          <w:sz w:val="32"/>
          <w:szCs w:val="32"/>
        </w:rPr>
      </w:pPr>
      <w:r>
        <w:rPr>
          <w:rFonts w:hint="eastAsia" w:ascii="仿宋_GB2312" w:eastAsia="仿宋_GB2312"/>
          <w:sz w:val="32"/>
          <w:szCs w:val="32"/>
        </w:rPr>
        <w:t>16、“三公”经费：指部门用财政拨款安排的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76" w:lineRule="exact"/>
        <w:ind w:firstLine="640" w:firstLineChars="200"/>
        <w:rPr>
          <w:rFonts w:ascii="仿宋_GB2312" w:eastAsia="仿宋_GB2312"/>
          <w:sz w:val="32"/>
          <w:szCs w:val="32"/>
        </w:rPr>
      </w:pPr>
      <w:r>
        <w:rPr>
          <w:rFonts w:hint="eastAsia" w:ascii="仿宋_GB2312" w:eastAsia="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76" w:lineRule="exact"/>
        <w:ind w:firstLine="640" w:firstLineChars="200"/>
        <w:rPr>
          <w:rFonts w:ascii="仿宋_GB2312" w:eastAsia="仿宋_GB2312"/>
          <w:sz w:val="32"/>
          <w:szCs w:val="32"/>
        </w:rPr>
      </w:pPr>
    </w:p>
    <w:p>
      <w:pPr>
        <w:pStyle w:val="23"/>
        <w:spacing w:line="576" w:lineRule="exact"/>
        <w:ind w:firstLine="640" w:firstLineChars="200"/>
        <w:rPr>
          <w:rFonts w:ascii="仿宋_GB2312" w:eastAsia="仿宋_GB2312"/>
          <w:sz w:val="32"/>
          <w:szCs w:val="32"/>
        </w:rPr>
      </w:pPr>
    </w:p>
    <w:p>
      <w:pPr>
        <w:pStyle w:val="23"/>
        <w:spacing w:line="576" w:lineRule="exact"/>
        <w:ind w:firstLine="640" w:firstLineChars="200"/>
        <w:rPr>
          <w:rFonts w:ascii="仿宋_GB2312" w:eastAsia="仿宋_GB2312"/>
          <w:sz w:val="32"/>
          <w:szCs w:val="32"/>
        </w:rPr>
      </w:pPr>
    </w:p>
    <w:p>
      <w:pPr>
        <w:spacing w:line="576" w:lineRule="exact"/>
        <w:ind w:firstLine="880" w:firstLineChars="200"/>
        <w:jc w:val="center"/>
        <w:rPr>
          <w:rFonts w:ascii="黑体" w:hAnsi="黑体" w:eastAsia="黑体"/>
          <w:color w:val="000000"/>
          <w:sz w:val="44"/>
          <w:szCs w:val="44"/>
        </w:rPr>
      </w:pPr>
      <w:bookmarkStart w:id="89" w:name="_Toc15396614"/>
      <w:bookmarkStart w:id="90" w:name="_Toc15377226"/>
    </w:p>
    <w:p>
      <w:pPr>
        <w:spacing w:line="576" w:lineRule="exact"/>
        <w:ind w:firstLine="880" w:firstLineChars="200"/>
        <w:jc w:val="center"/>
        <w:rPr>
          <w:rFonts w:ascii="黑体" w:hAnsi="黑体" w:eastAsia="黑体"/>
          <w:color w:val="000000"/>
          <w:sz w:val="44"/>
          <w:szCs w:val="44"/>
        </w:rPr>
      </w:pPr>
    </w:p>
    <w:p>
      <w:pPr>
        <w:spacing w:line="576" w:lineRule="exact"/>
        <w:ind w:firstLine="880" w:firstLineChars="200"/>
        <w:jc w:val="center"/>
        <w:rPr>
          <w:rFonts w:ascii="黑体" w:hAnsi="黑体" w:eastAsia="黑体"/>
          <w:color w:val="000000"/>
          <w:sz w:val="44"/>
          <w:szCs w:val="44"/>
        </w:rPr>
      </w:pPr>
    </w:p>
    <w:p>
      <w:pPr>
        <w:spacing w:line="576" w:lineRule="exact"/>
        <w:ind w:firstLine="880" w:firstLineChars="200"/>
        <w:jc w:val="center"/>
        <w:rPr>
          <w:rFonts w:ascii="黑体" w:hAnsi="黑体" w:eastAsia="黑体"/>
          <w:color w:val="000000"/>
          <w:sz w:val="44"/>
          <w:szCs w:val="44"/>
        </w:rPr>
      </w:pPr>
    </w:p>
    <w:p>
      <w:pPr>
        <w:spacing w:line="576" w:lineRule="exact"/>
        <w:ind w:firstLine="880" w:firstLineChars="200"/>
        <w:jc w:val="center"/>
        <w:rPr>
          <w:rFonts w:ascii="黑体" w:hAnsi="黑体" w:eastAsia="黑体"/>
          <w:color w:val="000000"/>
          <w:sz w:val="44"/>
          <w:szCs w:val="44"/>
        </w:rPr>
      </w:pPr>
    </w:p>
    <w:p>
      <w:pPr>
        <w:spacing w:line="576" w:lineRule="exact"/>
        <w:ind w:firstLine="880" w:firstLineChars="200"/>
        <w:jc w:val="center"/>
        <w:rPr>
          <w:rFonts w:ascii="黑体" w:hAnsi="黑体" w:eastAsia="黑体"/>
          <w:color w:val="000000"/>
          <w:sz w:val="44"/>
          <w:szCs w:val="44"/>
        </w:rPr>
      </w:pPr>
    </w:p>
    <w:p>
      <w:pPr>
        <w:spacing w:line="576" w:lineRule="exact"/>
        <w:ind w:firstLine="880" w:firstLineChars="200"/>
        <w:jc w:val="center"/>
        <w:rPr>
          <w:rFonts w:ascii="黑体" w:hAnsi="黑体" w:eastAsia="黑体"/>
          <w:color w:val="000000"/>
          <w:sz w:val="44"/>
          <w:szCs w:val="44"/>
        </w:rPr>
      </w:pPr>
    </w:p>
    <w:p>
      <w:pPr>
        <w:spacing w:line="576" w:lineRule="exact"/>
        <w:ind w:firstLine="880" w:firstLineChars="200"/>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jc w:val="center"/>
        <w:rPr>
          <w:rFonts w:ascii="黑体" w:hAnsi="黑体" w:eastAsia="黑体"/>
          <w:color w:val="000000"/>
          <w:sz w:val="44"/>
          <w:szCs w:val="44"/>
        </w:rPr>
      </w:pPr>
    </w:p>
    <w:p>
      <w:pPr>
        <w:spacing w:line="600" w:lineRule="exact"/>
        <w:rPr>
          <w:rFonts w:ascii="黑体" w:hAnsi="黑体" w:eastAsia="黑体"/>
          <w:color w:val="000000"/>
          <w:sz w:val="44"/>
          <w:szCs w:val="44"/>
        </w:rPr>
      </w:pPr>
    </w:p>
    <w:p>
      <w:pPr>
        <w:spacing w:line="600" w:lineRule="exact"/>
        <w:jc w:val="center"/>
        <w:outlineLvl w:val="0"/>
        <w:rPr>
          <w:rStyle w:val="25"/>
          <w:rFonts w:ascii="黑体" w:hAnsi="黑体" w:eastAsia="黑体"/>
          <w:b w:val="0"/>
        </w:rPr>
      </w:pPr>
      <w:bookmarkStart w:id="91" w:name="_Toc10103"/>
      <w:r>
        <w:rPr>
          <w:rFonts w:hint="eastAsia" w:ascii="黑体" w:hAnsi="黑体" w:eastAsia="黑体"/>
          <w:color w:val="000000"/>
          <w:sz w:val="44"/>
          <w:szCs w:val="44"/>
        </w:rPr>
        <w:t>第</w:t>
      </w:r>
      <w:r>
        <w:rPr>
          <w:rStyle w:val="25"/>
          <w:rFonts w:hint="eastAsia" w:ascii="黑体" w:hAnsi="黑体" w:eastAsia="黑体"/>
          <w:b w:val="0"/>
        </w:rPr>
        <w:t>四部分 附件</w:t>
      </w:r>
      <w:bookmarkEnd w:id="89"/>
      <w:bookmarkEnd w:id="91"/>
    </w:p>
    <w:p>
      <w:pPr>
        <w:spacing w:line="600" w:lineRule="exact"/>
        <w:jc w:val="left"/>
        <w:outlineLvl w:val="0"/>
        <w:rPr>
          <w:rFonts w:ascii="方正小标宋简体" w:hAnsi="方正小标宋简体" w:eastAsia="方正小标宋简体" w:cs="方正小标宋简体"/>
          <w:sz w:val="32"/>
          <w:szCs w:val="32"/>
        </w:rPr>
      </w:pPr>
      <w:bookmarkStart w:id="92" w:name="_Toc8450"/>
      <w:r>
        <w:rPr>
          <w:rFonts w:hint="eastAsia" w:ascii="黑体" w:hAnsi="黑体" w:eastAsia="黑体" w:cs="黑体"/>
          <w:sz w:val="32"/>
          <w:szCs w:val="32"/>
        </w:rPr>
        <w:t>附件1</w:t>
      </w:r>
      <w:bookmarkEnd w:id="92"/>
    </w:p>
    <w:p>
      <w:pPr>
        <w:spacing w:line="580" w:lineRule="exact"/>
        <w:jc w:val="center"/>
        <w:rPr>
          <w:rFonts w:ascii="方正小标宋简体" w:hAnsi="方正小标宋简体" w:eastAsia="方正小标宋简体" w:cs="方正小标宋简体"/>
          <w:sz w:val="44"/>
          <w:szCs w:val="44"/>
        </w:rPr>
      </w:pPr>
    </w:p>
    <w:p>
      <w:pPr>
        <w:spacing w:line="576" w:lineRule="exact"/>
        <w:jc w:val="center"/>
        <w:outlineLvl w:val="0"/>
        <w:rPr>
          <w:rFonts w:ascii="黑体" w:hAnsi="黑体" w:eastAsia="黑体" w:cs="方正小标宋简体"/>
          <w:sz w:val="36"/>
          <w:szCs w:val="36"/>
        </w:rPr>
      </w:pPr>
      <w:bookmarkStart w:id="93" w:name="_Toc5482"/>
      <w:r>
        <w:rPr>
          <w:rFonts w:hint="eastAsia" w:ascii="黑体" w:hAnsi="黑体" w:eastAsia="黑体" w:cs="方正小标宋简体"/>
          <w:sz w:val="36"/>
          <w:szCs w:val="36"/>
        </w:rPr>
        <w:t>广元市航务管理局2019年部门整体支出</w:t>
      </w:r>
      <w:bookmarkEnd w:id="93"/>
    </w:p>
    <w:p>
      <w:pPr>
        <w:spacing w:line="576" w:lineRule="exact"/>
        <w:jc w:val="center"/>
        <w:outlineLvl w:val="0"/>
        <w:rPr>
          <w:rFonts w:ascii="黑体" w:hAnsi="黑体" w:eastAsia="黑体" w:cs="方正小标宋简体"/>
          <w:sz w:val="36"/>
          <w:szCs w:val="36"/>
        </w:rPr>
      </w:pPr>
      <w:bookmarkStart w:id="94" w:name="_Toc204"/>
      <w:r>
        <w:rPr>
          <w:rFonts w:hint="eastAsia" w:ascii="黑体" w:hAnsi="黑体" w:eastAsia="黑体" w:cs="方正小标宋简体"/>
          <w:sz w:val="36"/>
          <w:szCs w:val="36"/>
        </w:rPr>
        <w:t>绩效评价报告</w:t>
      </w:r>
      <w:bookmarkEnd w:id="94"/>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（报告范围包括局机关及直属广元、苍溪航道段）</w:t>
      </w:r>
    </w:p>
    <w:p>
      <w:pPr>
        <w:widowControl/>
        <w:adjustRightInd w:val="0"/>
        <w:snapToGrid w:val="0"/>
        <w:spacing w:line="580"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spacing w:line="576" w:lineRule="exact"/>
        <w:ind w:firstLine="640" w:firstLineChars="200"/>
        <w:jc w:val="left"/>
        <w:rPr>
          <w:rFonts w:ascii="仿宋" w:hAnsi="仿宋" w:eastAsia="仿宋_GB2312" w:cs="仿宋_GB2312"/>
          <w:color w:val="FF0000"/>
          <w:sz w:val="32"/>
          <w:szCs w:val="32"/>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_GB2312" w:eastAsia="仿宋_GB2312" w:cs="仿宋_GB2312"/>
          <w:sz w:val="32"/>
          <w:szCs w:val="32"/>
        </w:rPr>
        <w:t>我局实行三块牌子（</w:t>
      </w:r>
      <w:r>
        <w:rPr>
          <w:rFonts w:hint="eastAsia" w:ascii="仿宋_GB2312" w:hAnsi="仿宋_GB2312" w:eastAsia="仿宋_GB2312" w:cs="仿宋_GB2312"/>
          <w:sz w:val="32"/>
          <w:szCs w:val="32"/>
        </w:rPr>
        <w:t>四川省广元市航务管理局、四川省广元市地方海事局、四川省广元市船舶检验局），</w:t>
      </w:r>
      <w:r>
        <w:rPr>
          <w:rFonts w:hint="eastAsia" w:ascii="仿宋_GB2312" w:eastAsia="仿宋_GB2312" w:cs="仿宋_GB2312"/>
          <w:sz w:val="32"/>
          <w:szCs w:val="32"/>
        </w:rPr>
        <w:t>一套人员</w:t>
      </w:r>
      <w:r>
        <w:rPr>
          <w:rFonts w:ascii="仿宋_GB2312" w:eastAsia="仿宋_GB2312" w:cs="仿宋_GB2312"/>
          <w:sz w:val="32"/>
          <w:szCs w:val="32"/>
        </w:rPr>
        <w:t>,</w:t>
      </w:r>
      <w:r>
        <w:rPr>
          <w:rFonts w:hint="eastAsia" w:ascii="仿宋_GB2312" w:eastAsia="仿宋_GB2312" w:cs="仿宋_GB2312"/>
          <w:sz w:val="32"/>
          <w:szCs w:val="32"/>
        </w:rPr>
        <w:t>为市交通运输局直属副县级事业单位。内设科室</w:t>
      </w:r>
      <w:r>
        <w:rPr>
          <w:rFonts w:ascii="仿宋_GB2312" w:eastAsia="仿宋_GB2312" w:cs="仿宋_GB2312"/>
          <w:sz w:val="32"/>
          <w:szCs w:val="32"/>
        </w:rPr>
        <w:t>7</w:t>
      </w:r>
      <w:r>
        <w:rPr>
          <w:rFonts w:hint="eastAsia" w:ascii="仿宋_GB2312" w:eastAsia="仿宋_GB2312" w:cs="仿宋_GB2312"/>
          <w:sz w:val="32"/>
          <w:szCs w:val="32"/>
        </w:rPr>
        <w:t>个:办公室、财务科、人事教育科、航务管理科、海事科、港口建设管理科、船舶检验科。单位实配领导</w:t>
      </w:r>
      <w:r>
        <w:rPr>
          <w:rFonts w:ascii="仿宋_GB2312" w:eastAsia="仿宋_GB2312" w:cs="仿宋_GB2312"/>
          <w:sz w:val="32"/>
          <w:szCs w:val="32"/>
        </w:rPr>
        <w:t>1</w:t>
      </w:r>
      <w:r>
        <w:rPr>
          <w:rFonts w:hint="eastAsia" w:ascii="仿宋_GB2312" w:eastAsia="仿宋_GB2312" w:cs="仿宋_GB2312"/>
          <w:sz w:val="32"/>
          <w:szCs w:val="32"/>
        </w:rPr>
        <w:t>正3副，中层副科级实职领导7名，直属广元、苍溪两个航道段，为正科级事业单位。</w:t>
      </w:r>
    </w:p>
    <w:p>
      <w:pPr>
        <w:spacing w:line="576" w:lineRule="exact"/>
        <w:ind w:firstLine="320" w:firstLineChars="100"/>
        <w:rPr>
          <w:rFonts w:ascii="仿宋_GB2312" w:hAnsi="仿宋" w:eastAsia="仿宋_GB2312"/>
          <w:sz w:val="32"/>
          <w:szCs w:val="32"/>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_GB2312" w:hAnsi="仿宋" w:eastAsia="仿宋_GB2312"/>
          <w:sz w:val="32"/>
          <w:szCs w:val="32"/>
        </w:rPr>
        <w:t xml:space="preserve">履行水上交通安全监督和防止船舶污染、水路运输管理、港口航道管理、船舶检验、航道养护等职责。 </w:t>
      </w:r>
    </w:p>
    <w:p>
      <w:pPr>
        <w:spacing w:line="576" w:lineRule="exact"/>
        <w:ind w:firstLine="320" w:firstLineChars="100"/>
        <w:rPr>
          <w:rFonts w:ascii="仿宋" w:hAnsi="仿宋" w:eastAsia="仿宋_GB2312" w:cs="仿宋_GB2312"/>
          <w:color w:val="FF0000"/>
          <w:sz w:val="32"/>
          <w:szCs w:val="32"/>
        </w:rPr>
      </w:pPr>
      <w:r>
        <w:rPr>
          <w:rFonts w:hint="eastAsia" w:ascii="仿宋_GB2312" w:hAnsi="宋体" w:eastAsia="仿宋_GB2312" w:cs="宋体"/>
          <w:color w:val="000000"/>
          <w:kern w:val="0"/>
          <w:sz w:val="32"/>
          <w:szCs w:val="32"/>
          <w:shd w:val="clear" w:color="auto" w:fill="FFFFFF"/>
          <w:lang w:val="zh-CN"/>
        </w:rPr>
        <w:t>（三）人员概况。局机关及直属两段</w:t>
      </w:r>
      <w:r>
        <w:rPr>
          <w:rFonts w:hint="eastAsia" w:ascii="仿宋_GB2312" w:eastAsia="仿宋_GB2312" w:cs="仿宋_GB2312"/>
          <w:sz w:val="32"/>
          <w:szCs w:val="32"/>
        </w:rPr>
        <w:t>编制数128名，其中：局机关33名，广元航道段62名，苍溪航道段32名。2019年末实有在职职工110名，离休干部2名。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（一）部门财政资金收入情况。2019年财政拨款收入合计3168.48万元；其中：一般公共预算财政拨款2190.48    万元，政府性基金预算财政拨款 978万元。</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（二）部门财政资金支出情况。2019年财政拨款支出合计 5164.67万元；其中：基本支出 1919.78 万元，项目支出3244.89万元。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76"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严格按照市财政局的要求和规定及时编制和报送2019部门预算，部门预算编制准确、无漏编；预算执行中无调整；预算及时公开，公开内容完整；财经纪律执行较好，财政监控无违规记录。</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通过部门绩效规范化管理，厉行节约保运转，“三公”经费执行较好，年度决算数小于预算数。</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通过部门绩效精细化管理，有效促进了水上交通安全监管、水运基础设施建设、航务海事队伍建设、扶贫攻坚、航道维护等各项工作开展，年度目标任务圆满完成。</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76"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（一）评价结论。</w:t>
      </w:r>
      <w:r>
        <w:rPr>
          <w:rFonts w:hint="eastAsia" w:ascii="仿宋_GB2312" w:eastAsia="仿宋_GB2312"/>
          <w:sz w:val="32"/>
          <w:szCs w:val="32"/>
        </w:rPr>
        <w:t>严格按照年初预算进行部门整体支出，在支出过程中，能严格遵守各项规章制度，尤其在专项经费的支出上，专款专用，无截留、无挪用。</w:t>
      </w:r>
    </w:p>
    <w:p>
      <w:pPr>
        <w:spacing w:line="576"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shd w:val="clear" w:color="auto" w:fill="FFFFFF"/>
          <w:lang w:val="zh-CN"/>
        </w:rPr>
        <w:t>（二）存在问题。</w:t>
      </w:r>
      <w:r>
        <w:rPr>
          <w:rFonts w:hint="eastAsia" w:ascii="仿宋_GB2312" w:eastAsia="仿宋_GB2312"/>
          <w:sz w:val="32"/>
          <w:szCs w:val="32"/>
        </w:rPr>
        <w:t xml:space="preserve">一是项目支出预算执行率低，二是预算执行不完全精细和科学 。 </w:t>
      </w:r>
    </w:p>
    <w:p>
      <w:pPr>
        <w:spacing w:line="576" w:lineRule="exact"/>
        <w:ind w:firstLine="640" w:firstLineChars="200"/>
        <w:rPr>
          <w:rFonts w:ascii="仿宋_GB2312" w:hAnsi="仿宋_GB2312" w:eastAsia="仿宋_GB2312" w:cs="仿宋_GB2312"/>
          <w:sz w:val="32"/>
          <w:szCs w:val="32"/>
        </w:rPr>
      </w:pPr>
      <w:r>
        <w:rPr>
          <w:rFonts w:hint="eastAsia" w:ascii="仿宋_GB2312" w:hAnsi="宋体" w:eastAsia="仿宋_GB2312" w:cs="宋体"/>
          <w:color w:val="000000"/>
          <w:kern w:val="0"/>
          <w:sz w:val="32"/>
          <w:szCs w:val="32"/>
          <w:shd w:val="clear" w:color="auto" w:fill="FFFFFF"/>
          <w:lang w:val="zh-CN"/>
        </w:rPr>
        <w:t>（三）改进建议。</w:t>
      </w:r>
      <w:r>
        <w:rPr>
          <w:rFonts w:hint="eastAsia" w:ascii="仿宋_GB2312" w:hAnsi="仿宋_GB2312" w:eastAsia="仿宋_GB2312" w:cs="仿宋_GB2312"/>
          <w:sz w:val="32"/>
          <w:szCs w:val="32"/>
        </w:rPr>
        <w:t xml:space="preserve">进一步严格落实《预算法》及省、市绩效管理工作有关规定；进一步规范财政资金管理，强化财政支出绩效理念，提升部门责任意识，提高资金使用效益，促进全市水运事业健康发展。 </w:t>
      </w:r>
    </w:p>
    <w:p>
      <w:pPr>
        <w:spacing w:line="576" w:lineRule="exact"/>
        <w:rPr>
          <w:rFonts w:ascii="黑体" w:hAnsi="黑体" w:eastAsia="黑体"/>
          <w:color w:val="000000"/>
          <w:sz w:val="44"/>
          <w:szCs w:val="44"/>
        </w:rPr>
      </w:pP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rPr>
          <w:rStyle w:val="25"/>
          <w:rFonts w:ascii="黑体" w:hAnsi="黑体" w:eastAsia="黑体"/>
          <w:b w:val="0"/>
        </w:rPr>
      </w:pPr>
    </w:p>
    <w:p>
      <w:pPr>
        <w:spacing w:line="600" w:lineRule="exact"/>
        <w:jc w:val="center"/>
        <w:outlineLvl w:val="0"/>
        <w:rPr>
          <w:rStyle w:val="25"/>
          <w:rFonts w:ascii="黑体" w:hAnsi="黑体" w:eastAsia="黑体"/>
          <w:b w:val="0"/>
        </w:rPr>
      </w:pPr>
      <w:bookmarkStart w:id="95" w:name="_Toc25030"/>
      <w:bookmarkStart w:id="96"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90"/>
      <w:bookmarkEnd w:id="95"/>
      <w:bookmarkEnd w:id="96"/>
    </w:p>
    <w:p>
      <w:pPr>
        <w:spacing w:line="600" w:lineRule="exact"/>
        <w:jc w:val="center"/>
        <w:rPr>
          <w:rFonts w:ascii="仿宋" w:hAnsi="仿宋" w:eastAsia="仿宋"/>
          <w:b/>
          <w:color w:val="000000"/>
          <w:sz w:val="44"/>
          <w:szCs w:val="44"/>
        </w:rPr>
      </w:pPr>
    </w:p>
    <w:p>
      <w:pPr>
        <w:pStyle w:val="3"/>
        <w:rPr>
          <w:rFonts w:ascii="仿宋" w:hAnsi="仿宋" w:eastAsia="仿宋"/>
          <w:color w:val="000000"/>
        </w:rPr>
      </w:pPr>
      <w:bookmarkStart w:id="97" w:name="_Toc7847"/>
      <w:bookmarkStart w:id="98"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97"/>
      <w:bookmarkEnd w:id="98"/>
    </w:p>
    <w:p>
      <w:pPr>
        <w:pStyle w:val="3"/>
        <w:rPr>
          <w:rFonts w:ascii="仿宋" w:hAnsi="仿宋" w:eastAsia="仿宋"/>
          <w:color w:val="000000"/>
        </w:rPr>
      </w:pPr>
      <w:bookmarkStart w:id="99" w:name="_Toc11527"/>
      <w:bookmarkStart w:id="100"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99"/>
      <w:bookmarkEnd w:id="100"/>
    </w:p>
    <w:p>
      <w:pPr>
        <w:pStyle w:val="3"/>
        <w:rPr>
          <w:rFonts w:ascii="仿宋" w:hAnsi="仿宋" w:eastAsia="仿宋"/>
          <w:color w:val="000000"/>
        </w:rPr>
      </w:pPr>
      <w:bookmarkStart w:id="101" w:name="_Toc15396621"/>
      <w:bookmarkStart w:id="102" w:name="_Toc1780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101"/>
      <w:bookmarkEnd w:id="102"/>
    </w:p>
    <w:p>
      <w:pPr>
        <w:pStyle w:val="3"/>
        <w:rPr>
          <w:rFonts w:ascii="仿宋" w:hAnsi="仿宋" w:eastAsia="仿宋"/>
          <w:b w:val="0"/>
          <w:color w:val="000000"/>
        </w:rPr>
      </w:pPr>
      <w:bookmarkStart w:id="103" w:name="_Toc14607"/>
      <w:bookmarkStart w:id="10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103"/>
      <w:bookmarkEnd w:id="104"/>
    </w:p>
    <w:p>
      <w:pPr>
        <w:pStyle w:val="3"/>
        <w:rPr>
          <w:rStyle w:val="26"/>
          <w:rFonts w:ascii="仿宋" w:hAnsi="仿宋" w:eastAsia="仿宋"/>
          <w:b w:val="0"/>
          <w:bCs w:val="0"/>
        </w:rPr>
      </w:pPr>
      <w:bookmarkStart w:id="105" w:name="_Toc20362"/>
      <w:bookmarkStart w:id="106"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105"/>
      <w:bookmarkEnd w:id="106"/>
      <w:bookmarkStart w:id="107" w:name="_Toc15396624"/>
    </w:p>
    <w:p>
      <w:pPr>
        <w:pStyle w:val="3"/>
        <w:rPr>
          <w:rFonts w:ascii="仿宋" w:hAnsi="仿宋" w:eastAsia="仿宋"/>
          <w:color w:val="000000"/>
        </w:rPr>
      </w:pPr>
      <w:bookmarkStart w:id="108" w:name="_Toc102"/>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107"/>
      <w:bookmarkEnd w:id="108"/>
    </w:p>
    <w:p>
      <w:pPr>
        <w:pStyle w:val="3"/>
        <w:rPr>
          <w:rFonts w:ascii="仿宋" w:hAnsi="仿宋" w:eastAsia="仿宋"/>
          <w:color w:val="000000"/>
        </w:rPr>
      </w:pPr>
      <w:bookmarkStart w:id="109" w:name="_Toc31382"/>
      <w:bookmarkStart w:id="110"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109"/>
      <w:bookmarkEnd w:id="110"/>
    </w:p>
    <w:p>
      <w:pPr>
        <w:pStyle w:val="3"/>
        <w:rPr>
          <w:rFonts w:ascii="仿宋" w:hAnsi="仿宋" w:eastAsia="仿宋"/>
          <w:color w:val="000000"/>
        </w:rPr>
      </w:pPr>
      <w:bookmarkStart w:id="111" w:name="_Toc26795"/>
      <w:bookmarkStart w:id="112"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111"/>
      <w:bookmarkEnd w:id="112"/>
    </w:p>
    <w:p>
      <w:pPr>
        <w:pStyle w:val="3"/>
        <w:rPr>
          <w:rFonts w:ascii="仿宋" w:hAnsi="仿宋" w:eastAsia="仿宋"/>
          <w:color w:val="000000"/>
        </w:rPr>
      </w:pPr>
      <w:bookmarkStart w:id="113" w:name="_Toc15396627"/>
      <w:bookmarkStart w:id="114" w:name="_Toc16305"/>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113"/>
      <w:bookmarkEnd w:id="114"/>
    </w:p>
    <w:p>
      <w:pPr>
        <w:pStyle w:val="3"/>
        <w:rPr>
          <w:rFonts w:ascii="仿宋" w:hAnsi="仿宋" w:eastAsia="仿宋"/>
          <w:color w:val="000000"/>
        </w:rPr>
      </w:pPr>
      <w:bookmarkStart w:id="115" w:name="_Toc28994"/>
      <w:bookmarkStart w:id="116"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115"/>
      <w:bookmarkEnd w:id="116"/>
    </w:p>
    <w:p>
      <w:pPr>
        <w:pStyle w:val="3"/>
        <w:rPr>
          <w:rFonts w:ascii="仿宋" w:hAnsi="仿宋" w:eastAsia="仿宋"/>
          <w:color w:val="000000"/>
        </w:rPr>
      </w:pPr>
      <w:bookmarkStart w:id="117" w:name="_Toc10579"/>
      <w:bookmarkStart w:id="118"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117"/>
      <w:bookmarkEnd w:id="118"/>
    </w:p>
    <w:p>
      <w:pPr>
        <w:pStyle w:val="3"/>
        <w:rPr>
          <w:rFonts w:ascii="仿宋" w:hAnsi="仿宋" w:eastAsia="仿宋"/>
          <w:color w:val="000000"/>
        </w:rPr>
      </w:pPr>
      <w:bookmarkStart w:id="119" w:name="_Toc15396630"/>
      <w:bookmarkStart w:id="120" w:name="_Toc2247"/>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119"/>
      <w:bookmarkEnd w:id="120"/>
    </w:p>
    <w:p>
      <w:pPr>
        <w:pStyle w:val="3"/>
        <w:rPr>
          <w:rFonts w:ascii="仿宋" w:hAnsi="仿宋" w:eastAsia="仿宋"/>
          <w:color w:val="000000" w:themeColor="text1"/>
          <w14:textFill>
            <w14:solidFill>
              <w14:schemeClr w14:val="tx1"/>
            </w14:solidFill>
          </w14:textFill>
        </w:rPr>
      </w:pPr>
      <w:bookmarkStart w:id="121" w:name="_Toc18852"/>
      <w:bookmarkStart w:id="12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121"/>
      <w:bookmarkEnd w:id="122"/>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25</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s="宋体"/>
        <w:sz w:val="28"/>
        <w:szCs w:val="28"/>
      </w:rPr>
    </w:pPr>
    <w:r>
      <w:rPr>
        <w:rFonts w:hint="eastAsia" w:ascii="宋体" w:hAnsi="宋体" w:cs="宋体"/>
        <w:sz w:val="28"/>
        <w:szCs w:val="28"/>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ZjcwZmRlMjVkNjhmNDIyMzlmZTQwODY3MGVjMzAifQ=="/>
  </w:docVars>
  <w:rsids>
    <w:rsidRoot w:val="00F1361C"/>
    <w:rsid w:val="000222C6"/>
    <w:rsid w:val="0002549F"/>
    <w:rsid w:val="000468DB"/>
    <w:rsid w:val="0006487A"/>
    <w:rsid w:val="00065F8F"/>
    <w:rsid w:val="00070A43"/>
    <w:rsid w:val="000768F2"/>
    <w:rsid w:val="0009184B"/>
    <w:rsid w:val="00094236"/>
    <w:rsid w:val="0009593C"/>
    <w:rsid w:val="00097322"/>
    <w:rsid w:val="000A07FD"/>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6D36"/>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91FAB"/>
    <w:rsid w:val="004A021E"/>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637B"/>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F14DF"/>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95C86"/>
    <w:rsid w:val="00BB4DF0"/>
    <w:rsid w:val="00BC289F"/>
    <w:rsid w:val="00BC2D50"/>
    <w:rsid w:val="00BC5361"/>
    <w:rsid w:val="00BC5460"/>
    <w:rsid w:val="00BC6B50"/>
    <w:rsid w:val="00BD0E25"/>
    <w:rsid w:val="00BF5BD6"/>
    <w:rsid w:val="00C0137C"/>
    <w:rsid w:val="00C03E31"/>
    <w:rsid w:val="00C30E69"/>
    <w:rsid w:val="00C33E72"/>
    <w:rsid w:val="00C354B2"/>
    <w:rsid w:val="00C35554"/>
    <w:rsid w:val="00C401FC"/>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16D4"/>
    <w:rsid w:val="00D7035F"/>
    <w:rsid w:val="00D70BD3"/>
    <w:rsid w:val="00DA634F"/>
    <w:rsid w:val="00DA65AC"/>
    <w:rsid w:val="00DB1913"/>
    <w:rsid w:val="00DC0E3D"/>
    <w:rsid w:val="00DC410D"/>
    <w:rsid w:val="00DC5A81"/>
    <w:rsid w:val="00DC68CA"/>
    <w:rsid w:val="00DC7CBA"/>
    <w:rsid w:val="00DD73B7"/>
    <w:rsid w:val="00DF2501"/>
    <w:rsid w:val="00DF28BC"/>
    <w:rsid w:val="00DF34B9"/>
    <w:rsid w:val="00E01053"/>
    <w:rsid w:val="00E01FBD"/>
    <w:rsid w:val="00E0236C"/>
    <w:rsid w:val="00E02CFA"/>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76817"/>
    <w:rsid w:val="00F81FD9"/>
    <w:rsid w:val="00F841AA"/>
    <w:rsid w:val="00F84A94"/>
    <w:rsid w:val="00F87E96"/>
    <w:rsid w:val="00FA23E8"/>
    <w:rsid w:val="00FD3CC1"/>
    <w:rsid w:val="00FF1E02"/>
    <w:rsid w:val="00FF30B4"/>
    <w:rsid w:val="012C1F8C"/>
    <w:rsid w:val="01FD002A"/>
    <w:rsid w:val="020834A9"/>
    <w:rsid w:val="04625909"/>
    <w:rsid w:val="05461728"/>
    <w:rsid w:val="054B7796"/>
    <w:rsid w:val="05AE3C3C"/>
    <w:rsid w:val="0A1B6EE8"/>
    <w:rsid w:val="0AFB27D5"/>
    <w:rsid w:val="0B135404"/>
    <w:rsid w:val="0BB77EFF"/>
    <w:rsid w:val="0C066526"/>
    <w:rsid w:val="0CD774EE"/>
    <w:rsid w:val="0D1906FC"/>
    <w:rsid w:val="0D955FE4"/>
    <w:rsid w:val="0DF71A3F"/>
    <w:rsid w:val="0EFC7E9E"/>
    <w:rsid w:val="0FAA6D86"/>
    <w:rsid w:val="10C055FF"/>
    <w:rsid w:val="11E30E0E"/>
    <w:rsid w:val="14382F5A"/>
    <w:rsid w:val="147E19FB"/>
    <w:rsid w:val="14FF7D2F"/>
    <w:rsid w:val="16BB723D"/>
    <w:rsid w:val="186D4D50"/>
    <w:rsid w:val="18960DD9"/>
    <w:rsid w:val="19806AD7"/>
    <w:rsid w:val="1A8C246D"/>
    <w:rsid w:val="1AFA5855"/>
    <w:rsid w:val="1C8B320E"/>
    <w:rsid w:val="1C9672E6"/>
    <w:rsid w:val="1D371B85"/>
    <w:rsid w:val="1DFE66FC"/>
    <w:rsid w:val="21275A2A"/>
    <w:rsid w:val="222F1939"/>
    <w:rsid w:val="23CF56EC"/>
    <w:rsid w:val="240371BF"/>
    <w:rsid w:val="245C5015"/>
    <w:rsid w:val="25D56A20"/>
    <w:rsid w:val="262378B7"/>
    <w:rsid w:val="28A5082C"/>
    <w:rsid w:val="28F0731F"/>
    <w:rsid w:val="29FD04D3"/>
    <w:rsid w:val="2BE56BEB"/>
    <w:rsid w:val="2C8769C7"/>
    <w:rsid w:val="2CFF4713"/>
    <w:rsid w:val="2D9013BC"/>
    <w:rsid w:val="2EDF3511"/>
    <w:rsid w:val="301925DD"/>
    <w:rsid w:val="319F7F4E"/>
    <w:rsid w:val="31C25ADA"/>
    <w:rsid w:val="32F17B46"/>
    <w:rsid w:val="340F3461"/>
    <w:rsid w:val="392D6476"/>
    <w:rsid w:val="3ACA1AE2"/>
    <w:rsid w:val="3AFC3A81"/>
    <w:rsid w:val="3D9E187C"/>
    <w:rsid w:val="3EBD0A44"/>
    <w:rsid w:val="41A6077D"/>
    <w:rsid w:val="41C61D3E"/>
    <w:rsid w:val="41DA252D"/>
    <w:rsid w:val="436F6496"/>
    <w:rsid w:val="475F1474"/>
    <w:rsid w:val="479A6605"/>
    <w:rsid w:val="488D3546"/>
    <w:rsid w:val="49963CCD"/>
    <w:rsid w:val="49F40EDE"/>
    <w:rsid w:val="4A047F70"/>
    <w:rsid w:val="4D8D1384"/>
    <w:rsid w:val="4E6A7240"/>
    <w:rsid w:val="4ECE2238"/>
    <w:rsid w:val="4F2E5909"/>
    <w:rsid w:val="5015313B"/>
    <w:rsid w:val="5234294D"/>
    <w:rsid w:val="52C44CA0"/>
    <w:rsid w:val="544F5132"/>
    <w:rsid w:val="54580AA3"/>
    <w:rsid w:val="5625373A"/>
    <w:rsid w:val="5685407C"/>
    <w:rsid w:val="57804315"/>
    <w:rsid w:val="584C00E1"/>
    <w:rsid w:val="58AB677D"/>
    <w:rsid w:val="59E04E33"/>
    <w:rsid w:val="5A4921B9"/>
    <w:rsid w:val="5B0A55FA"/>
    <w:rsid w:val="5B6366C5"/>
    <w:rsid w:val="5BA234C4"/>
    <w:rsid w:val="5BA46936"/>
    <w:rsid w:val="5C9E6055"/>
    <w:rsid w:val="5CD00CB1"/>
    <w:rsid w:val="5E871E99"/>
    <w:rsid w:val="603F0033"/>
    <w:rsid w:val="61482399"/>
    <w:rsid w:val="6525140E"/>
    <w:rsid w:val="65B258CE"/>
    <w:rsid w:val="667636E4"/>
    <w:rsid w:val="66CC3A79"/>
    <w:rsid w:val="66E96DEA"/>
    <w:rsid w:val="675B414D"/>
    <w:rsid w:val="68C835E6"/>
    <w:rsid w:val="69DE44C4"/>
    <w:rsid w:val="6B5E134A"/>
    <w:rsid w:val="6B9C5E13"/>
    <w:rsid w:val="6D362643"/>
    <w:rsid w:val="6EE116FF"/>
    <w:rsid w:val="71A2509F"/>
    <w:rsid w:val="72734D90"/>
    <w:rsid w:val="727F15B9"/>
    <w:rsid w:val="73E627C3"/>
    <w:rsid w:val="73FD077D"/>
    <w:rsid w:val="746466AE"/>
    <w:rsid w:val="77257063"/>
    <w:rsid w:val="7AC46F83"/>
    <w:rsid w:val="7DC5C14A"/>
    <w:rsid w:val="7DC96D41"/>
    <w:rsid w:val="7F3E0BFD"/>
    <w:rsid w:val="7FAE18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31"/>
    <w:basedOn w:val="14"/>
    <w:qFormat/>
    <w:uiPriority w:val="0"/>
    <w:rPr>
      <w:rFonts w:hint="eastAsia" w:ascii="宋体" w:hAnsi="宋体" w:eastAsia="宋体" w:cs="宋体"/>
      <w:color w:val="000000"/>
      <w:sz w:val="24"/>
      <w:szCs w:val="24"/>
      <w:u w:val="none"/>
    </w:rPr>
  </w:style>
  <w:style w:type="paragraph" w:customStyle="1" w:styleId="32">
    <w:name w:val="WPSOffice手动目录 1"/>
    <w:qFormat/>
    <w:uiPriority w:val="0"/>
    <w:rPr>
      <w:rFonts w:ascii="Calibri" w:hAnsi="Calibri" w:eastAsia="宋体" w:cs="Times New Roman"/>
      <w:lang w:val="en-US" w:eastAsia="zh-CN" w:bidi="ar-SA"/>
    </w:rPr>
  </w:style>
  <w:style w:type="paragraph" w:customStyle="1" w:styleId="33">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c:v>
                </c:pt>
              </c:strCache>
            </c:strRef>
          </c:tx>
          <c:spPr>
            <a:solidFill>
              <a:schemeClr val="accent1"/>
            </a:solidFill>
            <a:ln>
              <a:noFill/>
            </a:ln>
            <a:effectLst/>
          </c:spPr>
          <c:invertIfNegative val="false"/>
          <c:dLbls>
            <c:delete val="true"/>
          </c:dLbls>
          <c:cat>
            <c:strRef>
              <c:f>Sheet1!$A$2:$A$5</c:f>
              <c:strCache>
                <c:ptCount val="1"/>
                <c:pt idx="0">
                  <c:v>收支总计</c:v>
                </c:pt>
              </c:strCache>
            </c:strRef>
          </c:cat>
          <c:val>
            <c:numRef>
              <c:f>Sheet1!$B$2:$B$5</c:f>
              <c:numCache>
                <c:formatCode>General</c:formatCode>
                <c:ptCount val="4"/>
                <c:pt idx="0">
                  <c:v>11383.89</c:v>
                </c:pt>
              </c:numCache>
            </c:numRef>
          </c:val>
        </c:ser>
        <c:ser>
          <c:idx val="1"/>
          <c:order val="1"/>
          <c:tx>
            <c:strRef>
              <c:f>Sheet1!$C$1</c:f>
              <c:strCache>
                <c:ptCount val="1"/>
                <c:pt idx="0">
                  <c:v>2019</c:v>
                </c:pt>
              </c:strCache>
            </c:strRef>
          </c:tx>
          <c:spPr>
            <a:solidFill>
              <a:schemeClr val="accent2"/>
            </a:solidFill>
            <a:ln>
              <a:noFill/>
            </a:ln>
            <a:effectLst/>
          </c:spPr>
          <c:invertIfNegative val="false"/>
          <c:dLbls>
            <c:delete val="true"/>
          </c:dLbls>
          <c:cat>
            <c:strRef>
              <c:f>Sheet1!$A$2:$A$5</c:f>
              <c:strCache>
                <c:ptCount val="1"/>
                <c:pt idx="0">
                  <c:v>收支总计</c:v>
                </c:pt>
              </c:strCache>
            </c:strRef>
          </c:cat>
          <c:val>
            <c:numRef>
              <c:f>Sheet1!$C$2:$C$5</c:f>
              <c:numCache>
                <c:formatCode>General</c:formatCode>
                <c:ptCount val="4"/>
                <c:pt idx="0">
                  <c:v>10309.23</c:v>
                </c:pt>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strRef>
              <c:f>Sheet1!$A$2:$A$5</c:f>
              <c:strCache>
                <c:ptCount val="1"/>
                <c:pt idx="0">
                  <c:v>收支总计</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219"/>
        <c:overlap val="-27"/>
        <c:axId val="146067840"/>
        <c:axId val="146069376"/>
      </c:barChart>
      <c:catAx>
        <c:axId val="146067840"/>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069376"/>
        <c:crosses val="autoZero"/>
        <c:auto val="true"/>
        <c:lblAlgn val="ctr"/>
        <c:lblOffset val="100"/>
        <c:noMultiLvlLbl val="false"/>
      </c:catAx>
      <c:valAx>
        <c:axId val="146069376"/>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067840"/>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Sheet1!$A$2:$A$4</c:f>
              <c:strCache>
                <c:ptCount val="3"/>
                <c:pt idx="0">
                  <c:v>一般公共预算财政拨款</c:v>
                </c:pt>
                <c:pt idx="1">
                  <c:v>政府性基金预算财政拨款</c:v>
                </c:pt>
                <c:pt idx="2">
                  <c:v>其他收入</c:v>
                </c:pt>
              </c:strCache>
            </c:strRef>
          </c:cat>
          <c:val>
            <c:numRef>
              <c:f>Sheet1!$B$2:$B$4</c:f>
              <c:numCache>
                <c:formatCode>General</c:formatCode>
                <c:ptCount val="3"/>
                <c:pt idx="0">
                  <c:v>2190.48</c:v>
                </c:pt>
                <c:pt idx="1">
                  <c:v>978</c:v>
                </c:pt>
                <c:pt idx="2">
                  <c:v>87.02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基本支出</c:v>
                </c:pt>
                <c:pt idx="1">
                  <c:v>项目支出</c:v>
                </c:pt>
              </c:strCache>
            </c:strRef>
          </c:cat>
          <c:val>
            <c:numRef>
              <c:f>Sheet1!$B$2:$B$5</c:f>
              <c:numCache>
                <c:formatCode>General</c:formatCode>
                <c:ptCount val="4"/>
                <c:pt idx="0">
                  <c:v>1996.15</c:v>
                </c:pt>
                <c:pt idx="1">
                  <c:v>4060.96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2"/>
        <c:delete val="true"/>
      </c:legendEntry>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elete val="true"/>
          </c:dLbls>
          <c:cat>
            <c:strRef>
              <c:f>Sheet1!$A$2:$A$5</c:f>
              <c:strCache>
                <c:ptCount val="4"/>
                <c:pt idx="0">
                  <c:v>财政拨款收支总计</c:v>
                </c:pt>
              </c:strCache>
            </c:strRef>
          </c:cat>
          <c:val>
            <c:numRef>
              <c:f>Sheet1!$B$2:$B$5</c:f>
              <c:numCache>
                <c:formatCode>General</c:formatCode>
                <c:ptCount val="4"/>
                <c:pt idx="0">
                  <c:v>4235.19</c:v>
                </c:pt>
              </c:numCache>
            </c:numRef>
          </c:val>
        </c:ser>
        <c:ser>
          <c:idx val="1"/>
          <c:order val="1"/>
          <c:tx>
            <c:strRef>
              <c:f>Sheet1!$C$1</c:f>
              <c:strCache>
                <c:ptCount val="1"/>
                <c:pt idx="0">
                  <c:v>2019年</c:v>
                </c:pt>
              </c:strCache>
            </c:strRef>
          </c:tx>
          <c:spPr>
            <a:solidFill>
              <a:schemeClr val="accent2"/>
            </a:solidFill>
            <a:ln>
              <a:noFill/>
            </a:ln>
            <a:effectLst/>
          </c:spPr>
          <c:invertIfNegative val="false"/>
          <c:dLbls>
            <c:delete val="true"/>
          </c:dLbls>
          <c:cat>
            <c:strRef>
              <c:f>Sheet1!$A$2:$A$5</c:f>
              <c:strCache>
                <c:ptCount val="4"/>
                <c:pt idx="0">
                  <c:v>财政拨款收支总计</c:v>
                </c:pt>
              </c:strCache>
            </c:strRef>
          </c:cat>
          <c:val>
            <c:numRef>
              <c:f>Sheet1!$C$2:$C$5</c:f>
              <c:numCache>
                <c:formatCode>General</c:formatCode>
                <c:ptCount val="4"/>
                <c:pt idx="0">
                  <c:v>5921.1</c:v>
                </c:pt>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strRef>
              <c:f>Sheet1!$A$2:$A$5</c:f>
              <c:strCache>
                <c:ptCount val="4"/>
                <c:pt idx="0">
                  <c:v>财政拨款收支总计</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219"/>
        <c:overlap val="-27"/>
        <c:axId val="146021376"/>
        <c:axId val="146207488"/>
      </c:barChart>
      <c:catAx>
        <c:axId val="146021376"/>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207488"/>
        <c:crosses val="autoZero"/>
        <c:auto val="true"/>
        <c:lblAlgn val="ctr"/>
        <c:lblOffset val="100"/>
        <c:noMultiLvlLbl val="false"/>
      </c:catAx>
      <c:valAx>
        <c:axId val="14620748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46021376"/>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627585331810684"/>
          <c:y val="0.182952622673435"/>
          <c:w val="0.892196421773886"/>
          <c:h val="0.755372250423012"/>
        </c:manualLayout>
      </c:layout>
      <c:barChart>
        <c:barDir val="col"/>
        <c:grouping val="clustered"/>
        <c:varyColors val="false"/>
        <c:ser>
          <c:idx val="0"/>
          <c:order val="0"/>
          <c:tx>
            <c:strRef>
              <c:f>Sheet1!$B$1</c:f>
              <c:strCache>
                <c:ptCount val="1"/>
                <c:pt idx="0">
                  <c:v>2018年</c:v>
                </c:pt>
              </c:strCache>
            </c:strRef>
          </c:tx>
          <c:spPr>
            <a:solidFill>
              <a:schemeClr val="accent1"/>
            </a:solidFill>
            <a:ln>
              <a:noFill/>
            </a:ln>
            <a:effectLst/>
          </c:spPr>
          <c:invertIfNegative val="false"/>
          <c:dLbls>
            <c:delete val="true"/>
          </c:dLbls>
          <c:cat>
            <c:strRef>
              <c:f>Sheet1!$A$2:$A$5</c:f>
              <c:strCache>
                <c:ptCount val="4"/>
                <c:pt idx="0">
                  <c:v>一般公共预算财政拨款支出</c:v>
                </c:pt>
              </c:strCache>
            </c:strRef>
          </c:cat>
          <c:val>
            <c:numRef>
              <c:f>Sheet1!$B$2:$B$5</c:f>
              <c:numCache>
                <c:formatCode>General</c:formatCode>
                <c:ptCount val="4"/>
                <c:pt idx="0">
                  <c:v>1982.64</c:v>
                </c:pt>
              </c:numCache>
            </c:numRef>
          </c:val>
        </c:ser>
        <c:ser>
          <c:idx val="1"/>
          <c:order val="1"/>
          <c:tx>
            <c:strRef>
              <c:f>Sheet1!$C$1</c:f>
              <c:strCache>
                <c:ptCount val="1"/>
                <c:pt idx="0">
                  <c:v>2019年</c:v>
                </c:pt>
              </c:strCache>
            </c:strRef>
          </c:tx>
          <c:spPr>
            <a:solidFill>
              <a:schemeClr val="accent2"/>
            </a:solidFill>
            <a:ln>
              <a:noFill/>
            </a:ln>
            <a:effectLst/>
          </c:spPr>
          <c:invertIfNegative val="false"/>
          <c:dLbls>
            <c:delete val="true"/>
          </c:dLbls>
          <c:cat>
            <c:strRef>
              <c:f>Sheet1!$A$2:$A$5</c:f>
              <c:strCache>
                <c:ptCount val="4"/>
                <c:pt idx="0">
                  <c:v>一般公共预算财政拨款支出</c:v>
                </c:pt>
              </c:strCache>
            </c:strRef>
          </c:cat>
          <c:val>
            <c:numRef>
              <c:f>Sheet1!$C$2:$C$5</c:f>
              <c:numCache>
                <c:formatCode>General</c:formatCode>
                <c:ptCount val="4"/>
                <c:pt idx="0">
                  <c:v>4192.04</c:v>
                </c:pt>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strRef>
              <c:f>Sheet1!$A$2:$A$5</c:f>
              <c:strCache>
                <c:ptCount val="4"/>
                <c:pt idx="0">
                  <c:v>一般公共预算财政拨款支出</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219"/>
        <c:overlap val="-27"/>
        <c:axId val="67161088"/>
        <c:axId val="67244800"/>
      </c:barChart>
      <c:catAx>
        <c:axId val="67161088"/>
        <c:scaling>
          <c:orientation val="minMax"/>
        </c:scaling>
        <c:delete val="false"/>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244800"/>
        <c:crosses val="autoZero"/>
        <c:auto val="true"/>
        <c:lblAlgn val="ctr"/>
        <c:lblOffset val="100"/>
        <c:noMultiLvlLbl val="false"/>
      </c:catAx>
      <c:valAx>
        <c:axId val="6724480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161088"/>
        <c:crosses val="autoZero"/>
        <c:crossBetween val="between"/>
      </c:valAx>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dPt>
          <c:dLbls>
            <c:delete val="true"/>
          </c:dLbls>
          <c:cat>
            <c:strRef>
              <c:f>Sheet1!$A$2:$A$6</c:f>
              <c:strCache>
                <c:ptCount val="5"/>
                <c:pt idx="0">
                  <c:v>交通运输支出</c:v>
                </c:pt>
                <c:pt idx="1">
                  <c:v>文化旅游体育与传媒支出</c:v>
                </c:pt>
                <c:pt idx="2">
                  <c:v>社会保障和就业类支出</c:v>
                </c:pt>
                <c:pt idx="3">
                  <c:v>卫生健康支出</c:v>
                </c:pt>
                <c:pt idx="4">
                  <c:v>住房保障类支出</c:v>
                </c:pt>
              </c:strCache>
            </c:strRef>
          </c:cat>
          <c:val>
            <c:numRef>
              <c:f>Sheet1!$B$2:$B$6</c:f>
              <c:numCache>
                <c:formatCode>General</c:formatCode>
                <c:ptCount val="5"/>
                <c:pt idx="0">
                  <c:v>3903.37</c:v>
                </c:pt>
                <c:pt idx="1">
                  <c:v>4.61</c:v>
                </c:pt>
                <c:pt idx="2">
                  <c:v>157.16</c:v>
                </c:pt>
                <c:pt idx="3">
                  <c:v>66.65</c:v>
                </c:pt>
                <c:pt idx="4">
                  <c:v>60.25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列1</c:v>
                </c:pt>
              </c:strCache>
            </c:strRef>
          </c:tx>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公务用车购置及运行维护费</c:v>
                </c:pt>
                <c:pt idx="1">
                  <c:v>公务接待费</c:v>
                </c:pt>
              </c:strCache>
            </c:strRef>
          </c:cat>
          <c:val>
            <c:numRef>
              <c:f>Sheet1!$B$2:$B$5</c:f>
              <c:numCache>
                <c:formatCode>General</c:formatCode>
                <c:ptCount val="4"/>
                <c:pt idx="0">
                  <c:v>19.88</c:v>
                </c:pt>
                <c:pt idx="1">
                  <c:v>1.61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2"/>
        <c:delete val="true"/>
      </c:legendEntry>
      <c:legendEntry>
        <c:idx val="3"/>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zero"/>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10558</Words>
  <Characters>11330</Characters>
  <Lines>93</Lines>
  <Paragraphs>26</Paragraphs>
  <TotalTime>44</TotalTime>
  <ScaleCrop>false</ScaleCrop>
  <LinksUpToDate>false</LinksUpToDate>
  <CharactersWithSpaces>11434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2020-09-22T15:26:00Z</dcterms:created>
  <dc:creator>曹颖</dc:creator>
  <cp:lastModifiedBy>user</cp:lastModifiedBy>
  <cp:lastPrinted>2020-09-24T10:36:00Z</cp:lastPrinted>
  <dcterms:modified xsi:type="dcterms:W3CDTF">2024-12-25T17:18:30Z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C705361CD56C4B0E98A02D19DAAD31DD_13</vt:lpwstr>
  </property>
</Properties>
</file>