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olor w:val="000000"/>
          <w:sz w:val="32"/>
          <w:szCs w:val="32"/>
          <w:u w:val="single"/>
        </w:rPr>
      </w:pPr>
      <w:r>
        <w:rPr>
          <w:rFonts w:hint="eastAsia" w:ascii="仿宋_GB2312" w:hAnsi="宋体" w:eastAsia="仿宋_GB2312"/>
          <w:color w:val="000000"/>
          <w:sz w:val="28"/>
          <w:szCs w:val="28"/>
        </w:rPr>
        <w:t xml:space="preserve">                           </w:t>
      </w:r>
      <w:r>
        <w:rPr>
          <w:rFonts w:hint="eastAsia" w:ascii="仿宋_GB2312" w:eastAsia="仿宋_GB2312"/>
          <w:color w:val="000000"/>
          <w:sz w:val="32"/>
          <w:szCs w:val="32"/>
        </w:rPr>
        <w:t>项目编号</w:t>
      </w:r>
      <w:r>
        <w:rPr>
          <w:rFonts w:hint="eastAsia" w:ascii="仿宋_GB2312" w:hAnsi="宋体" w:eastAsia="仿宋_GB2312"/>
          <w:color w:val="000000"/>
          <w:sz w:val="28"/>
          <w:szCs w:val="28"/>
        </w:rPr>
        <w:t>：</w:t>
      </w:r>
      <w:r>
        <w:rPr>
          <w:rFonts w:hint="eastAsia" w:ascii="仿宋_GB2312" w:hAnsi="宋体" w:eastAsia="仿宋_GB2312"/>
          <w:color w:val="000000"/>
          <w:sz w:val="28"/>
          <w:szCs w:val="28"/>
          <w:u w:val="single"/>
        </w:rPr>
        <w:t xml:space="preserve">                </w:t>
      </w:r>
    </w:p>
    <w:p>
      <w:pPr>
        <w:ind w:firstLine="3804" w:firstLineChars="1200"/>
        <w:jc w:val="center"/>
        <w:rPr>
          <w:rFonts w:hint="eastAsia" w:ascii="仿宋_GB2312" w:eastAsia="仿宋_GB2312"/>
          <w:color w:val="000000"/>
          <w:sz w:val="32"/>
          <w:szCs w:val="32"/>
          <w:u w:val="single"/>
        </w:rPr>
      </w:pPr>
      <w:r>
        <w:rPr>
          <w:rFonts w:hint="eastAsia" w:ascii="仿宋_GB2312" w:eastAsia="仿宋_GB2312"/>
          <w:color w:val="000000"/>
          <w:sz w:val="32"/>
          <w:szCs w:val="32"/>
        </w:rPr>
        <w:t xml:space="preserve"> 招标编号：</w:t>
      </w:r>
      <w:r>
        <w:rPr>
          <w:rFonts w:hint="eastAsia" w:ascii="仿宋_GB2312" w:eastAsia="仿宋_GB2312"/>
          <w:color w:val="000000"/>
          <w:sz w:val="32"/>
          <w:szCs w:val="32"/>
          <w:u w:val="single"/>
        </w:rPr>
        <w:t xml:space="preserve">             </w:t>
      </w:r>
    </w:p>
    <w:p>
      <w:pPr>
        <w:ind w:firstLine="3804" w:firstLineChars="1200"/>
        <w:jc w:val="center"/>
        <w:rPr>
          <w:rFonts w:hint="eastAsia" w:ascii="仿宋_GB2312" w:eastAsia="仿宋_GB2312"/>
          <w:color w:val="000000"/>
          <w:sz w:val="32"/>
          <w:szCs w:val="32"/>
          <w:u w:val="single"/>
        </w:rPr>
      </w:pPr>
    </w:p>
    <w:p>
      <w:pPr>
        <w:ind w:firstLine="3804" w:firstLineChars="1200"/>
        <w:jc w:val="center"/>
        <w:rPr>
          <w:rFonts w:hint="eastAsia" w:ascii="仿宋_GB2312" w:eastAsia="仿宋_GB2312"/>
          <w:color w:val="000000"/>
          <w:sz w:val="32"/>
          <w:szCs w:val="32"/>
          <w:u w:val="single"/>
        </w:rPr>
      </w:pPr>
    </w:p>
    <w:p>
      <w:pPr>
        <w:jc w:val="center"/>
        <w:rPr>
          <w:rFonts w:hint="eastAsia" w:ascii="仿宋_GB2312" w:eastAsia="仿宋_GB2312"/>
          <w:b/>
          <w:color w:val="000000"/>
          <w:sz w:val="36"/>
          <w:szCs w:val="36"/>
        </w:rPr>
      </w:pPr>
      <w:r>
        <w:rPr>
          <w:rFonts w:hint="eastAsia" w:ascii="仿宋_GB2312" w:eastAsia="仿宋_GB2312"/>
          <w:b/>
          <w:color w:val="000000"/>
          <w:sz w:val="36"/>
          <w:szCs w:val="36"/>
          <w:u w:val="single"/>
        </w:rPr>
        <w:t xml:space="preserve">              </w:t>
      </w:r>
      <w:r>
        <w:rPr>
          <w:rFonts w:hint="eastAsia" w:ascii="仿宋_GB2312" w:eastAsia="仿宋_GB2312"/>
          <w:b/>
          <w:color w:val="000000"/>
          <w:sz w:val="36"/>
          <w:szCs w:val="36"/>
        </w:rPr>
        <w:t>（项目名称）</w:t>
      </w:r>
      <w:r>
        <w:rPr>
          <w:rFonts w:hint="eastAsia" w:ascii="仿宋_GB2312" w:eastAsia="仿宋_GB2312"/>
          <w:b/>
          <w:color w:val="000000"/>
          <w:sz w:val="36"/>
          <w:szCs w:val="36"/>
          <w:u w:val="single"/>
        </w:rPr>
        <w:t xml:space="preserve"> </w:t>
      </w:r>
      <w:r>
        <w:rPr>
          <w:rFonts w:hint="eastAsia" w:ascii="仿宋_GB2312" w:eastAsia="仿宋_GB2312"/>
          <w:b/>
          <w:color w:val="000000"/>
          <w:sz w:val="36"/>
          <w:szCs w:val="36"/>
          <w:u w:val="single"/>
          <w:lang w:eastAsia="zh-CN"/>
        </w:rPr>
        <w:t>施工</w:t>
      </w:r>
      <w:r>
        <w:rPr>
          <w:rFonts w:hint="eastAsia" w:ascii="仿宋_GB2312" w:eastAsia="仿宋_GB2312"/>
          <w:b/>
          <w:color w:val="000000"/>
          <w:sz w:val="36"/>
          <w:szCs w:val="36"/>
          <w:u w:val="single"/>
        </w:rPr>
        <w:t xml:space="preserve"> </w:t>
      </w:r>
      <w:r>
        <w:rPr>
          <w:rFonts w:hint="eastAsia" w:ascii="仿宋_GB2312" w:eastAsia="仿宋_GB2312"/>
          <w:b/>
          <w:color w:val="000000"/>
          <w:sz w:val="36"/>
          <w:szCs w:val="36"/>
        </w:rPr>
        <w:t>招标</w:t>
      </w: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jc w:val="center"/>
        <w:rPr>
          <w:rFonts w:hint="eastAsia" w:ascii="仿宋_GB2312" w:eastAsia="仿宋_GB2312"/>
          <w:b/>
          <w:color w:val="000000"/>
          <w:sz w:val="52"/>
          <w:szCs w:val="52"/>
        </w:rPr>
      </w:pPr>
      <w:r>
        <w:rPr>
          <w:rFonts w:hint="eastAsia" w:ascii="仿宋_GB2312" w:eastAsia="仿宋_GB2312"/>
          <w:b/>
          <w:color w:val="000000"/>
          <w:sz w:val="52"/>
          <w:szCs w:val="52"/>
        </w:rPr>
        <w:t>招  标</w:t>
      </w:r>
      <w:bookmarkStart w:id="107" w:name="_GoBack"/>
      <w:bookmarkEnd w:id="107"/>
      <w:r>
        <w:rPr>
          <w:rFonts w:hint="eastAsia" w:ascii="仿宋_GB2312" w:eastAsia="仿宋_GB2312"/>
          <w:b/>
          <w:color w:val="000000"/>
          <w:sz w:val="52"/>
          <w:szCs w:val="52"/>
        </w:rPr>
        <w:t xml:space="preserve">  文  件</w:t>
      </w:r>
    </w:p>
    <w:p>
      <w:pPr>
        <w:jc w:val="center"/>
        <w:rPr>
          <w:rFonts w:hint="eastAsia" w:ascii="仿宋_GB2312" w:eastAsia="仿宋_GB2312"/>
          <w:color w:val="000000"/>
          <w:sz w:val="28"/>
          <w:szCs w:val="28"/>
        </w:rPr>
      </w:pPr>
    </w:p>
    <w:p>
      <w:pPr>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spacing w:line="90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招标人：</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（公章）</w:t>
      </w:r>
    </w:p>
    <w:p>
      <w:pPr>
        <w:spacing w:line="900" w:lineRule="exact"/>
        <w:ind w:firstLine="634"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招标代理机构：</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（公章）</w:t>
      </w:r>
    </w:p>
    <w:p>
      <w:pPr>
        <w:spacing w:line="900" w:lineRule="exact"/>
        <w:ind w:firstLine="630"/>
        <w:rPr>
          <w:rFonts w:hint="eastAsia" w:ascii="仿宋_GB2312" w:hAnsi="宋体" w:eastAsia="仿宋_GB2312"/>
          <w:color w:val="000000"/>
          <w:sz w:val="32"/>
          <w:szCs w:val="32"/>
          <w:u w:val="single"/>
        </w:rPr>
      </w:pPr>
      <w:r>
        <w:rPr>
          <w:rFonts w:hint="eastAsia" w:ascii="仿宋_GB2312" w:hAnsi="宋体" w:eastAsia="仿宋_GB2312"/>
          <w:color w:val="000000"/>
          <w:sz w:val="32"/>
          <w:szCs w:val="32"/>
        </w:rPr>
        <w:t>招标代理机构资格证书编号：</w:t>
      </w:r>
      <w:r>
        <w:rPr>
          <w:rFonts w:hint="eastAsia" w:ascii="仿宋_GB2312" w:hAnsi="宋体" w:eastAsia="仿宋_GB2312"/>
          <w:color w:val="000000"/>
          <w:sz w:val="32"/>
          <w:szCs w:val="32"/>
          <w:u w:val="single"/>
        </w:rPr>
        <w:t xml:space="preserve">             </w:t>
      </w:r>
    </w:p>
    <w:p>
      <w:pPr>
        <w:adjustRightInd w:val="0"/>
        <w:snapToGrid w:val="0"/>
        <w:spacing w:line="900" w:lineRule="exact"/>
        <w:ind w:firstLine="622" w:firstLineChars="196"/>
        <w:rPr>
          <w:rFonts w:ascii="宋体" w:hAnsi="宋体"/>
          <w:color w:val="000000"/>
          <w:sz w:val="27"/>
        </w:rPr>
      </w:pPr>
      <w:r>
        <w:rPr>
          <w:rFonts w:hint="eastAsia" w:ascii="仿宋_GB2312" w:hAnsi="宋体" w:eastAsia="仿宋_GB2312"/>
          <w:color w:val="000000"/>
          <w:sz w:val="32"/>
          <w:szCs w:val="32"/>
        </w:rPr>
        <w:t>项目负责人：</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（签字并盖从业印章）</w:t>
      </w:r>
    </w:p>
    <w:p>
      <w:pPr>
        <w:spacing w:line="900" w:lineRule="exact"/>
        <w:ind w:firstLine="630"/>
        <w:rPr>
          <w:rFonts w:hint="eastAsia" w:ascii="仿宋_GB2312" w:hAnsi="宋体" w:eastAsia="仿宋_GB2312"/>
          <w:color w:val="000000"/>
          <w:sz w:val="32"/>
          <w:szCs w:val="32"/>
        </w:rPr>
      </w:pPr>
      <w:r>
        <w:rPr>
          <w:rFonts w:hint="eastAsia" w:ascii="仿宋_GB2312" w:hAnsi="宋体" w:eastAsia="仿宋_GB2312"/>
          <w:color w:val="000000"/>
          <w:sz w:val="32"/>
          <w:szCs w:val="32"/>
        </w:rPr>
        <w:t>招标文件编制人员：</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（签字并盖从业印章）</w:t>
      </w:r>
    </w:p>
    <w:p>
      <w:pPr>
        <w:ind w:firstLine="466" w:firstLineChars="147"/>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spacing w:line="360" w:lineRule="auto"/>
        <w:rPr>
          <w:rFonts w:hint="eastAsia" w:ascii="仿宋_GB2312" w:hAnsi="华文中宋" w:eastAsia="仿宋_GB2312"/>
          <w:color w:val="000000"/>
        </w:rPr>
        <w:sectPr>
          <w:endnotePr>
            <w:numFmt w:val="decimal"/>
          </w:endnotePr>
          <w:pgSz w:w="11906" w:h="16838"/>
          <w:pgMar w:top="1247" w:right="1247" w:bottom="1247" w:left="1361" w:header="851" w:footer="1418" w:gutter="0"/>
          <w:cols w:space="720" w:num="1"/>
          <w:rtlGutter w:val="0"/>
          <w:docGrid w:type="linesAndChars" w:linePitch="592" w:charSpace="-620"/>
        </w:sectPr>
      </w:pPr>
    </w:p>
    <w:p>
      <w:pPr>
        <w:spacing w:line="360" w:lineRule="auto"/>
        <w:jc w:val="center"/>
        <w:rPr>
          <w:rFonts w:hint="eastAsia" w:ascii="仿宋_GB2312" w:hAnsi="宋体" w:eastAsia="仿宋_GB2312"/>
          <w:b/>
          <w:color w:val="000000"/>
          <w:sz w:val="36"/>
          <w:szCs w:val="36"/>
        </w:rPr>
      </w:pPr>
      <w:r>
        <w:rPr>
          <w:rFonts w:hint="eastAsia" w:ascii="仿宋_GB2312" w:hAnsi="宋体" w:eastAsia="仿宋_GB2312"/>
          <w:b/>
          <w:color w:val="000000"/>
          <w:sz w:val="36"/>
          <w:szCs w:val="36"/>
        </w:rPr>
        <w:t>目     录</w:t>
      </w:r>
    </w:p>
    <w:p>
      <w:pPr>
        <w:pStyle w:val="8"/>
        <w:tabs>
          <w:tab w:val="right" w:leader="dot" w:pos="9118"/>
        </w:tabs>
        <w:rPr>
          <w:rFonts w:hint="eastAsia" w:ascii="仿宋_GB2312" w:hAnsi="Calibri" w:eastAsia="仿宋_GB2312"/>
          <w:color w:val="000000"/>
          <w:sz w:val="24"/>
          <w:szCs w:val="24"/>
        </w:rPr>
      </w:pPr>
      <w:r>
        <w:rPr>
          <w:rFonts w:hint="eastAsia" w:ascii="仿宋_GB2312" w:hAnsi="宋体" w:eastAsia="仿宋_GB2312"/>
          <w:color w:val="000000"/>
          <w:sz w:val="24"/>
          <w:szCs w:val="24"/>
        </w:rPr>
        <w:fldChar w:fldCharType="begin"/>
      </w:r>
      <w:r>
        <w:rPr>
          <w:rFonts w:hint="eastAsia" w:ascii="仿宋_GB2312" w:hAnsi="宋体" w:eastAsia="仿宋_GB2312"/>
          <w:color w:val="000000"/>
          <w:sz w:val="24"/>
          <w:szCs w:val="24"/>
        </w:rPr>
        <w:instrText xml:space="preserve">TOC \o "1-1" \h \u </w:instrText>
      </w:r>
      <w:r>
        <w:rPr>
          <w:rFonts w:hint="eastAsia" w:ascii="仿宋_GB2312" w:hAnsi="宋体" w:eastAsia="仿宋_GB2312"/>
          <w:color w:val="000000"/>
          <w:sz w:val="24"/>
          <w:szCs w:val="24"/>
        </w:rPr>
        <w:fldChar w:fldCharType="separate"/>
      </w:r>
      <w:r>
        <w:rPr>
          <w:rFonts w:hint="eastAsia" w:ascii="仿宋_GB2312" w:eastAsia="仿宋_GB2312"/>
          <w:color w:val="000000"/>
          <w:sz w:val="24"/>
          <w:szCs w:val="24"/>
        </w:rPr>
        <w:fldChar w:fldCharType="begin"/>
      </w:r>
      <w:r>
        <w:rPr>
          <w:rStyle w:val="13"/>
          <w:rFonts w:hint="eastAsia" w:ascii="仿宋_GB2312" w:eastAsia="仿宋_GB2312"/>
          <w:sz w:val="24"/>
          <w:szCs w:val="24"/>
        </w:rPr>
        <w:instrText xml:space="preserve"> </w:instrText>
      </w:r>
      <w:r>
        <w:rPr>
          <w:rFonts w:hint="eastAsia" w:ascii="仿宋_GB2312" w:eastAsia="仿宋_GB2312"/>
          <w:color w:val="000000"/>
          <w:sz w:val="24"/>
          <w:szCs w:val="24"/>
        </w:rPr>
        <w:instrText xml:space="preserve">HYPERLINK \l "_Toc491162065"</w:instrText>
      </w:r>
      <w:r>
        <w:rPr>
          <w:rStyle w:val="13"/>
          <w:rFonts w:hint="eastAsia" w:ascii="仿宋_GB2312" w:eastAsia="仿宋_GB2312"/>
          <w:sz w:val="24"/>
          <w:szCs w:val="24"/>
        </w:rPr>
        <w:instrText xml:space="preserve"> </w:instrText>
      </w:r>
      <w:r>
        <w:rPr>
          <w:rFonts w:hint="eastAsia" w:ascii="仿宋_GB2312" w:eastAsia="仿宋_GB2312"/>
          <w:color w:val="000000"/>
          <w:sz w:val="24"/>
          <w:szCs w:val="24"/>
        </w:rPr>
        <w:fldChar w:fldCharType="separate"/>
      </w:r>
      <w:r>
        <w:rPr>
          <w:rStyle w:val="13"/>
          <w:rFonts w:hint="eastAsia" w:ascii="仿宋_GB2312" w:hAnsi="仿宋" w:eastAsia="仿宋_GB2312"/>
          <w:sz w:val="24"/>
          <w:szCs w:val="24"/>
        </w:rPr>
        <w:t>第一章 招标公告</w:t>
      </w:r>
      <w:r>
        <w:rPr>
          <w:rFonts w:hint="eastAsia" w:ascii="仿宋_GB2312" w:eastAsia="仿宋_GB2312"/>
          <w:color w:val="000000"/>
          <w:sz w:val="24"/>
          <w:szCs w:val="24"/>
        </w:rPr>
        <w:tab/>
      </w: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PAGEREF _Toc491162065 \h </w:instrText>
      </w:r>
      <w:r>
        <w:rPr>
          <w:rFonts w:hint="eastAsia" w:ascii="仿宋_GB2312" w:eastAsia="仿宋_GB2312"/>
          <w:color w:val="000000"/>
          <w:sz w:val="24"/>
          <w:szCs w:val="24"/>
        </w:rPr>
        <w:fldChar w:fldCharType="separate"/>
      </w:r>
      <w:r>
        <w:rPr>
          <w:rFonts w:ascii="仿宋_GB2312" w:eastAsia="仿宋_GB2312"/>
          <w:color w:val="000000"/>
          <w:sz w:val="24"/>
          <w:szCs w:val="24"/>
        </w:rPr>
        <w:t>2</w:t>
      </w:r>
      <w:r>
        <w:rPr>
          <w:rFonts w:hint="eastAsia" w:ascii="仿宋_GB2312" w:eastAsia="仿宋_GB2312"/>
          <w:color w:val="000000"/>
          <w:sz w:val="24"/>
          <w:szCs w:val="24"/>
        </w:rPr>
        <w:fldChar w:fldCharType="end"/>
      </w:r>
      <w:r>
        <w:rPr>
          <w:rFonts w:hint="eastAsia" w:ascii="仿宋_GB2312" w:eastAsia="仿宋_GB2312"/>
          <w:color w:val="000000"/>
          <w:sz w:val="24"/>
          <w:szCs w:val="24"/>
        </w:rPr>
        <w:fldChar w:fldCharType="end"/>
      </w:r>
    </w:p>
    <w:p>
      <w:pPr>
        <w:pStyle w:val="8"/>
        <w:tabs>
          <w:tab w:val="right" w:leader="dot" w:pos="9118"/>
        </w:tabs>
        <w:rPr>
          <w:rFonts w:hint="eastAsia" w:ascii="仿宋_GB2312" w:hAnsi="Calibri" w:eastAsia="仿宋_GB2312"/>
          <w:color w:val="000000"/>
          <w:sz w:val="24"/>
          <w:szCs w:val="24"/>
        </w:rPr>
      </w:pPr>
      <w:r>
        <w:rPr>
          <w:rFonts w:hint="eastAsia" w:ascii="仿宋_GB2312" w:eastAsia="仿宋_GB2312"/>
          <w:color w:val="000000"/>
          <w:sz w:val="24"/>
          <w:szCs w:val="24"/>
        </w:rPr>
        <w:fldChar w:fldCharType="begin"/>
      </w:r>
      <w:r>
        <w:rPr>
          <w:rStyle w:val="13"/>
          <w:rFonts w:hint="eastAsia" w:ascii="仿宋_GB2312" w:eastAsia="仿宋_GB2312"/>
          <w:sz w:val="24"/>
          <w:szCs w:val="24"/>
        </w:rPr>
        <w:instrText xml:space="preserve"> </w:instrText>
      </w:r>
      <w:r>
        <w:rPr>
          <w:rFonts w:hint="eastAsia" w:ascii="仿宋_GB2312" w:eastAsia="仿宋_GB2312"/>
          <w:color w:val="000000"/>
          <w:sz w:val="24"/>
          <w:szCs w:val="24"/>
        </w:rPr>
        <w:instrText xml:space="preserve">HYPERLINK \l "_Toc491162066"</w:instrText>
      </w:r>
      <w:r>
        <w:rPr>
          <w:rStyle w:val="13"/>
          <w:rFonts w:hint="eastAsia" w:ascii="仿宋_GB2312" w:eastAsia="仿宋_GB2312"/>
          <w:sz w:val="24"/>
          <w:szCs w:val="24"/>
        </w:rPr>
        <w:instrText xml:space="preserve"> </w:instrText>
      </w:r>
      <w:r>
        <w:rPr>
          <w:rFonts w:hint="eastAsia" w:ascii="仿宋_GB2312" w:eastAsia="仿宋_GB2312"/>
          <w:color w:val="000000"/>
          <w:sz w:val="24"/>
          <w:szCs w:val="24"/>
        </w:rPr>
        <w:fldChar w:fldCharType="separate"/>
      </w:r>
      <w:r>
        <w:rPr>
          <w:rStyle w:val="13"/>
          <w:rFonts w:hint="eastAsia" w:ascii="仿宋_GB2312" w:hAnsi="仿宋" w:eastAsia="仿宋_GB2312" w:cs="仿宋"/>
          <w:sz w:val="24"/>
          <w:szCs w:val="24"/>
          <w:lang w:bidi="ar"/>
        </w:rPr>
        <w:t>第二章 投标人须知</w:t>
      </w:r>
      <w:r>
        <w:rPr>
          <w:rFonts w:hint="eastAsia" w:ascii="仿宋_GB2312" w:eastAsia="仿宋_GB2312"/>
          <w:color w:val="000000"/>
          <w:sz w:val="24"/>
          <w:szCs w:val="24"/>
        </w:rPr>
        <w:tab/>
      </w: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PAGEREF _Toc491162066 \h </w:instrText>
      </w:r>
      <w:r>
        <w:rPr>
          <w:rFonts w:hint="eastAsia" w:ascii="仿宋_GB2312" w:eastAsia="仿宋_GB2312"/>
          <w:color w:val="000000"/>
          <w:sz w:val="24"/>
          <w:szCs w:val="24"/>
        </w:rPr>
        <w:fldChar w:fldCharType="separate"/>
      </w:r>
      <w:r>
        <w:rPr>
          <w:rFonts w:ascii="仿宋_GB2312" w:eastAsia="仿宋_GB2312"/>
          <w:color w:val="000000"/>
          <w:sz w:val="24"/>
          <w:szCs w:val="24"/>
        </w:rPr>
        <w:t>4</w:t>
      </w:r>
      <w:r>
        <w:rPr>
          <w:rFonts w:hint="eastAsia" w:ascii="仿宋_GB2312" w:eastAsia="仿宋_GB2312"/>
          <w:color w:val="000000"/>
          <w:sz w:val="24"/>
          <w:szCs w:val="24"/>
        </w:rPr>
        <w:fldChar w:fldCharType="end"/>
      </w:r>
      <w:r>
        <w:rPr>
          <w:rFonts w:hint="eastAsia" w:ascii="仿宋_GB2312" w:eastAsia="仿宋_GB2312"/>
          <w:color w:val="000000"/>
          <w:sz w:val="24"/>
          <w:szCs w:val="24"/>
        </w:rPr>
        <w:fldChar w:fldCharType="end"/>
      </w:r>
    </w:p>
    <w:p>
      <w:pPr>
        <w:pStyle w:val="8"/>
        <w:tabs>
          <w:tab w:val="right" w:leader="dot" w:pos="9118"/>
        </w:tabs>
        <w:rPr>
          <w:rFonts w:hint="eastAsia" w:ascii="仿宋_GB2312" w:hAnsi="Calibri" w:eastAsia="仿宋_GB2312"/>
          <w:color w:val="000000"/>
          <w:sz w:val="24"/>
          <w:szCs w:val="24"/>
        </w:rPr>
      </w:pPr>
      <w:r>
        <w:rPr>
          <w:rFonts w:hint="eastAsia" w:ascii="仿宋_GB2312" w:eastAsia="仿宋_GB2312"/>
          <w:color w:val="000000"/>
          <w:sz w:val="24"/>
          <w:szCs w:val="24"/>
        </w:rPr>
        <w:fldChar w:fldCharType="begin"/>
      </w:r>
      <w:r>
        <w:rPr>
          <w:rStyle w:val="13"/>
          <w:rFonts w:hint="eastAsia" w:ascii="仿宋_GB2312" w:eastAsia="仿宋_GB2312"/>
          <w:sz w:val="24"/>
          <w:szCs w:val="24"/>
        </w:rPr>
        <w:instrText xml:space="preserve"> </w:instrText>
      </w:r>
      <w:r>
        <w:rPr>
          <w:rFonts w:hint="eastAsia" w:ascii="仿宋_GB2312" w:eastAsia="仿宋_GB2312"/>
          <w:color w:val="000000"/>
          <w:sz w:val="24"/>
          <w:szCs w:val="24"/>
        </w:rPr>
        <w:instrText xml:space="preserve">HYPERLINK \l "_Toc491162067"</w:instrText>
      </w:r>
      <w:r>
        <w:rPr>
          <w:rStyle w:val="13"/>
          <w:rFonts w:hint="eastAsia" w:ascii="仿宋_GB2312" w:eastAsia="仿宋_GB2312"/>
          <w:sz w:val="24"/>
          <w:szCs w:val="24"/>
        </w:rPr>
        <w:instrText xml:space="preserve"> </w:instrText>
      </w:r>
      <w:r>
        <w:rPr>
          <w:rFonts w:hint="eastAsia" w:ascii="仿宋_GB2312" w:eastAsia="仿宋_GB2312"/>
          <w:color w:val="000000"/>
          <w:sz w:val="24"/>
          <w:szCs w:val="24"/>
        </w:rPr>
        <w:fldChar w:fldCharType="separate"/>
      </w:r>
      <w:r>
        <w:rPr>
          <w:rStyle w:val="13"/>
          <w:rFonts w:hint="eastAsia" w:ascii="仿宋_GB2312" w:hAnsi="仿宋" w:eastAsia="仿宋_GB2312"/>
          <w:sz w:val="24"/>
          <w:szCs w:val="24"/>
        </w:rPr>
        <w:t>第三章 评标办法（经抽取后评审的合理低价法）</w:t>
      </w:r>
      <w:r>
        <w:rPr>
          <w:rFonts w:hint="eastAsia" w:ascii="仿宋_GB2312" w:eastAsia="仿宋_GB2312"/>
          <w:color w:val="000000"/>
          <w:sz w:val="24"/>
          <w:szCs w:val="24"/>
        </w:rPr>
        <w:tab/>
      </w: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PAGEREF _Toc491162067 \h </w:instrText>
      </w:r>
      <w:r>
        <w:rPr>
          <w:rFonts w:hint="eastAsia" w:ascii="仿宋_GB2312" w:eastAsia="仿宋_GB2312"/>
          <w:color w:val="000000"/>
          <w:sz w:val="24"/>
          <w:szCs w:val="24"/>
        </w:rPr>
        <w:fldChar w:fldCharType="separate"/>
      </w:r>
      <w:r>
        <w:rPr>
          <w:rFonts w:ascii="仿宋_GB2312" w:eastAsia="仿宋_GB2312"/>
          <w:color w:val="000000"/>
          <w:sz w:val="24"/>
          <w:szCs w:val="24"/>
        </w:rPr>
        <w:t>18</w:t>
      </w:r>
      <w:r>
        <w:rPr>
          <w:rFonts w:hint="eastAsia" w:ascii="仿宋_GB2312" w:eastAsia="仿宋_GB2312"/>
          <w:color w:val="000000"/>
          <w:sz w:val="24"/>
          <w:szCs w:val="24"/>
        </w:rPr>
        <w:fldChar w:fldCharType="end"/>
      </w:r>
      <w:r>
        <w:rPr>
          <w:rFonts w:hint="eastAsia" w:ascii="仿宋_GB2312" w:eastAsia="仿宋_GB2312"/>
          <w:color w:val="000000"/>
          <w:sz w:val="24"/>
          <w:szCs w:val="24"/>
        </w:rPr>
        <w:fldChar w:fldCharType="end"/>
      </w:r>
    </w:p>
    <w:p>
      <w:pPr>
        <w:pStyle w:val="8"/>
        <w:tabs>
          <w:tab w:val="right" w:leader="dot" w:pos="9118"/>
        </w:tabs>
        <w:rPr>
          <w:rFonts w:hint="eastAsia" w:ascii="仿宋_GB2312" w:hAnsi="Calibri" w:eastAsia="仿宋_GB2312"/>
          <w:color w:val="000000"/>
          <w:sz w:val="24"/>
          <w:szCs w:val="24"/>
        </w:rPr>
      </w:pPr>
      <w:r>
        <w:rPr>
          <w:rFonts w:hint="eastAsia" w:ascii="仿宋_GB2312" w:eastAsia="仿宋_GB2312"/>
          <w:color w:val="000000"/>
          <w:sz w:val="24"/>
          <w:szCs w:val="24"/>
        </w:rPr>
        <w:fldChar w:fldCharType="begin"/>
      </w:r>
      <w:r>
        <w:rPr>
          <w:rStyle w:val="13"/>
          <w:rFonts w:hint="eastAsia" w:ascii="仿宋_GB2312" w:eastAsia="仿宋_GB2312"/>
          <w:sz w:val="24"/>
          <w:szCs w:val="24"/>
        </w:rPr>
        <w:instrText xml:space="preserve"> </w:instrText>
      </w:r>
      <w:r>
        <w:rPr>
          <w:rFonts w:hint="eastAsia" w:ascii="仿宋_GB2312" w:eastAsia="仿宋_GB2312"/>
          <w:color w:val="000000"/>
          <w:sz w:val="24"/>
          <w:szCs w:val="24"/>
        </w:rPr>
        <w:instrText xml:space="preserve">HYPERLINK \l "_Toc491162068"</w:instrText>
      </w:r>
      <w:r>
        <w:rPr>
          <w:rStyle w:val="13"/>
          <w:rFonts w:hint="eastAsia" w:ascii="仿宋_GB2312" w:eastAsia="仿宋_GB2312"/>
          <w:sz w:val="24"/>
          <w:szCs w:val="24"/>
        </w:rPr>
        <w:instrText xml:space="preserve"> </w:instrText>
      </w:r>
      <w:r>
        <w:rPr>
          <w:rFonts w:hint="eastAsia" w:ascii="仿宋_GB2312" w:eastAsia="仿宋_GB2312"/>
          <w:color w:val="000000"/>
          <w:sz w:val="24"/>
          <w:szCs w:val="24"/>
        </w:rPr>
        <w:fldChar w:fldCharType="separate"/>
      </w:r>
      <w:r>
        <w:rPr>
          <w:rStyle w:val="13"/>
          <w:rFonts w:hint="eastAsia" w:ascii="仿宋_GB2312" w:hAnsi="仿宋" w:eastAsia="仿宋_GB2312"/>
          <w:sz w:val="24"/>
          <w:szCs w:val="24"/>
        </w:rPr>
        <w:t>第四章 合同条款格式</w:t>
      </w:r>
      <w:r>
        <w:rPr>
          <w:rFonts w:hint="eastAsia" w:ascii="仿宋_GB2312" w:eastAsia="仿宋_GB2312"/>
          <w:color w:val="000000"/>
          <w:sz w:val="24"/>
          <w:szCs w:val="24"/>
        </w:rPr>
        <w:tab/>
      </w: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PAGEREF _Toc491162068 \h </w:instrText>
      </w:r>
      <w:r>
        <w:rPr>
          <w:rFonts w:hint="eastAsia" w:ascii="仿宋_GB2312" w:eastAsia="仿宋_GB2312"/>
          <w:color w:val="000000"/>
          <w:sz w:val="24"/>
          <w:szCs w:val="24"/>
        </w:rPr>
        <w:fldChar w:fldCharType="separate"/>
      </w:r>
      <w:r>
        <w:rPr>
          <w:rFonts w:ascii="仿宋_GB2312" w:eastAsia="仿宋_GB2312"/>
          <w:color w:val="000000"/>
          <w:sz w:val="24"/>
          <w:szCs w:val="24"/>
        </w:rPr>
        <w:t>21</w:t>
      </w:r>
      <w:r>
        <w:rPr>
          <w:rFonts w:hint="eastAsia" w:ascii="仿宋_GB2312" w:eastAsia="仿宋_GB2312"/>
          <w:color w:val="000000"/>
          <w:sz w:val="24"/>
          <w:szCs w:val="24"/>
        </w:rPr>
        <w:fldChar w:fldCharType="end"/>
      </w:r>
      <w:r>
        <w:rPr>
          <w:rFonts w:hint="eastAsia" w:ascii="仿宋_GB2312" w:eastAsia="仿宋_GB2312"/>
          <w:color w:val="000000"/>
          <w:sz w:val="24"/>
          <w:szCs w:val="24"/>
        </w:rPr>
        <w:fldChar w:fldCharType="end"/>
      </w:r>
    </w:p>
    <w:p>
      <w:pPr>
        <w:pStyle w:val="8"/>
        <w:tabs>
          <w:tab w:val="right" w:leader="dot" w:pos="9118"/>
        </w:tabs>
        <w:rPr>
          <w:rFonts w:hint="eastAsia" w:ascii="仿宋_GB2312" w:hAnsi="Calibri" w:eastAsia="仿宋_GB2312"/>
          <w:color w:val="000000"/>
          <w:szCs w:val="22"/>
        </w:rPr>
      </w:pPr>
      <w:r>
        <w:rPr>
          <w:rFonts w:hint="eastAsia" w:ascii="仿宋_GB2312" w:eastAsia="仿宋_GB2312"/>
          <w:color w:val="000000"/>
          <w:sz w:val="24"/>
          <w:szCs w:val="24"/>
        </w:rPr>
        <w:fldChar w:fldCharType="begin"/>
      </w:r>
      <w:r>
        <w:rPr>
          <w:rStyle w:val="13"/>
          <w:rFonts w:hint="eastAsia" w:ascii="仿宋_GB2312" w:eastAsia="仿宋_GB2312"/>
          <w:sz w:val="24"/>
          <w:szCs w:val="24"/>
        </w:rPr>
        <w:instrText xml:space="preserve"> </w:instrText>
      </w:r>
      <w:r>
        <w:rPr>
          <w:rFonts w:hint="eastAsia" w:ascii="仿宋_GB2312" w:eastAsia="仿宋_GB2312"/>
          <w:color w:val="000000"/>
          <w:sz w:val="24"/>
          <w:szCs w:val="24"/>
        </w:rPr>
        <w:instrText xml:space="preserve">HYPERLINK \l "_Toc491162069"</w:instrText>
      </w:r>
      <w:r>
        <w:rPr>
          <w:rStyle w:val="13"/>
          <w:rFonts w:hint="eastAsia" w:ascii="仿宋_GB2312" w:eastAsia="仿宋_GB2312"/>
          <w:sz w:val="24"/>
          <w:szCs w:val="24"/>
        </w:rPr>
        <w:instrText xml:space="preserve"> </w:instrText>
      </w:r>
      <w:r>
        <w:rPr>
          <w:rFonts w:hint="eastAsia" w:ascii="仿宋_GB2312" w:eastAsia="仿宋_GB2312"/>
          <w:color w:val="000000"/>
          <w:sz w:val="24"/>
          <w:szCs w:val="24"/>
        </w:rPr>
        <w:fldChar w:fldCharType="separate"/>
      </w:r>
      <w:r>
        <w:rPr>
          <w:rStyle w:val="13"/>
          <w:rFonts w:hint="eastAsia" w:ascii="仿宋_GB2312" w:hAnsi="仿宋" w:eastAsia="仿宋_GB2312"/>
          <w:sz w:val="24"/>
          <w:szCs w:val="24"/>
        </w:rPr>
        <w:t>第五章 图纸</w:t>
      </w:r>
      <w:r>
        <w:rPr>
          <w:rFonts w:hint="eastAsia" w:ascii="仿宋_GB2312" w:eastAsia="仿宋_GB2312"/>
          <w:color w:val="000000"/>
          <w:sz w:val="24"/>
          <w:szCs w:val="24"/>
        </w:rPr>
        <w:tab/>
      </w: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PAGEREF _Toc491162069 \h </w:instrText>
      </w:r>
      <w:r>
        <w:rPr>
          <w:rFonts w:hint="eastAsia" w:ascii="仿宋_GB2312" w:eastAsia="仿宋_GB2312"/>
          <w:color w:val="000000"/>
          <w:sz w:val="24"/>
          <w:szCs w:val="24"/>
        </w:rPr>
        <w:fldChar w:fldCharType="separate"/>
      </w:r>
      <w:r>
        <w:rPr>
          <w:rFonts w:ascii="仿宋_GB2312" w:eastAsia="仿宋_GB2312"/>
          <w:color w:val="000000"/>
          <w:sz w:val="24"/>
          <w:szCs w:val="24"/>
        </w:rPr>
        <w:t>22</w:t>
      </w:r>
      <w:r>
        <w:rPr>
          <w:rFonts w:hint="eastAsia" w:ascii="仿宋_GB2312" w:eastAsia="仿宋_GB2312"/>
          <w:color w:val="000000"/>
          <w:sz w:val="24"/>
          <w:szCs w:val="24"/>
        </w:rPr>
        <w:fldChar w:fldCharType="end"/>
      </w:r>
      <w:r>
        <w:rPr>
          <w:rFonts w:hint="eastAsia" w:ascii="仿宋_GB2312" w:eastAsia="仿宋_GB2312"/>
          <w:color w:val="000000"/>
          <w:sz w:val="24"/>
          <w:szCs w:val="24"/>
        </w:rPr>
        <w:fldChar w:fldCharType="end"/>
      </w:r>
    </w:p>
    <w:p>
      <w:pPr>
        <w:pStyle w:val="8"/>
        <w:tabs>
          <w:tab w:val="right" w:leader="dot" w:pos="9118"/>
        </w:tabs>
        <w:rPr>
          <w:rFonts w:hint="eastAsia" w:ascii="仿宋_GB2312" w:hAnsi="Calibri" w:eastAsia="仿宋_GB2312"/>
          <w:color w:val="000000"/>
          <w:szCs w:val="22"/>
        </w:rPr>
      </w:pPr>
      <w:r>
        <w:rPr>
          <w:rFonts w:hint="eastAsia" w:ascii="仿宋_GB2312" w:hAnsi="宋体" w:eastAsia="仿宋_GB2312"/>
          <w:color w:val="000000"/>
          <w:szCs w:val="24"/>
        </w:rPr>
        <w:fldChar w:fldCharType="end"/>
      </w:r>
      <w:r>
        <w:rPr>
          <w:rFonts w:hint="eastAsia" w:ascii="仿宋_GB2312" w:eastAsia="仿宋_GB2312"/>
          <w:color w:val="000000"/>
          <w:sz w:val="24"/>
          <w:szCs w:val="24"/>
        </w:rPr>
        <w:fldChar w:fldCharType="begin"/>
      </w:r>
      <w:r>
        <w:rPr>
          <w:rStyle w:val="13"/>
          <w:rFonts w:hint="eastAsia" w:ascii="仿宋_GB2312" w:eastAsia="仿宋_GB2312"/>
          <w:sz w:val="24"/>
          <w:szCs w:val="24"/>
        </w:rPr>
        <w:instrText xml:space="preserve"> </w:instrText>
      </w:r>
      <w:r>
        <w:rPr>
          <w:rFonts w:hint="eastAsia" w:ascii="仿宋_GB2312" w:eastAsia="仿宋_GB2312"/>
          <w:color w:val="000000"/>
          <w:sz w:val="24"/>
          <w:szCs w:val="24"/>
        </w:rPr>
        <w:instrText xml:space="preserve">HYPERLINK \l "_Toc491162069"</w:instrText>
      </w:r>
      <w:r>
        <w:rPr>
          <w:rStyle w:val="13"/>
          <w:rFonts w:hint="eastAsia" w:ascii="仿宋_GB2312" w:eastAsia="仿宋_GB2312"/>
          <w:sz w:val="24"/>
          <w:szCs w:val="24"/>
        </w:rPr>
        <w:instrText xml:space="preserve"> </w:instrText>
      </w:r>
      <w:r>
        <w:rPr>
          <w:rFonts w:hint="eastAsia" w:ascii="仿宋_GB2312" w:eastAsia="仿宋_GB2312"/>
          <w:color w:val="000000"/>
          <w:sz w:val="24"/>
          <w:szCs w:val="24"/>
        </w:rPr>
        <w:fldChar w:fldCharType="separate"/>
      </w:r>
      <w:r>
        <w:rPr>
          <w:rStyle w:val="13"/>
          <w:rFonts w:hint="eastAsia" w:ascii="仿宋_GB2312" w:hAnsi="仿宋" w:eastAsia="仿宋_GB2312"/>
          <w:sz w:val="24"/>
          <w:szCs w:val="24"/>
        </w:rPr>
        <w:t>第六章 工程量清单</w:t>
      </w:r>
      <w:r>
        <w:rPr>
          <w:rFonts w:hint="eastAsia" w:ascii="仿宋_GB2312" w:eastAsia="仿宋_GB2312"/>
          <w:color w:val="000000"/>
          <w:sz w:val="24"/>
          <w:szCs w:val="24"/>
        </w:rPr>
        <w:tab/>
      </w: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PAGEREF _Toc491162069 \h </w:instrText>
      </w:r>
      <w:r>
        <w:rPr>
          <w:rFonts w:hint="eastAsia" w:ascii="仿宋_GB2312" w:eastAsia="仿宋_GB2312"/>
          <w:color w:val="000000"/>
          <w:sz w:val="24"/>
          <w:szCs w:val="24"/>
        </w:rPr>
        <w:fldChar w:fldCharType="separate"/>
      </w:r>
      <w:r>
        <w:rPr>
          <w:rFonts w:ascii="仿宋_GB2312" w:eastAsia="仿宋_GB2312"/>
          <w:color w:val="000000"/>
          <w:sz w:val="24"/>
          <w:szCs w:val="24"/>
        </w:rPr>
        <w:t>22</w:t>
      </w:r>
      <w:r>
        <w:rPr>
          <w:rFonts w:hint="eastAsia" w:ascii="仿宋_GB2312" w:eastAsia="仿宋_GB2312"/>
          <w:color w:val="000000"/>
          <w:sz w:val="24"/>
          <w:szCs w:val="24"/>
        </w:rPr>
        <w:fldChar w:fldCharType="end"/>
      </w:r>
      <w:r>
        <w:rPr>
          <w:rFonts w:hint="eastAsia" w:ascii="仿宋_GB2312" w:eastAsia="仿宋_GB2312"/>
          <w:color w:val="000000"/>
          <w:sz w:val="24"/>
          <w:szCs w:val="24"/>
        </w:rPr>
        <w:fldChar w:fldCharType="end"/>
      </w:r>
    </w:p>
    <w:p>
      <w:pPr>
        <w:pStyle w:val="8"/>
        <w:tabs>
          <w:tab w:val="right" w:leader="dot" w:pos="9118"/>
        </w:tabs>
        <w:rPr>
          <w:rFonts w:hint="eastAsia" w:ascii="仿宋_GB2312" w:hAnsi="Calibri" w:eastAsia="仿宋_GB2312"/>
          <w:color w:val="000000"/>
          <w:szCs w:val="22"/>
        </w:rPr>
      </w:pPr>
      <w:r>
        <w:rPr>
          <w:rFonts w:hint="eastAsia" w:ascii="仿宋_GB2312" w:eastAsia="仿宋_GB2312"/>
          <w:color w:val="000000"/>
          <w:sz w:val="24"/>
          <w:szCs w:val="24"/>
        </w:rPr>
        <w:fldChar w:fldCharType="begin"/>
      </w:r>
      <w:r>
        <w:rPr>
          <w:rStyle w:val="13"/>
          <w:rFonts w:hint="eastAsia" w:ascii="仿宋_GB2312" w:eastAsia="仿宋_GB2312"/>
          <w:sz w:val="24"/>
          <w:szCs w:val="24"/>
        </w:rPr>
        <w:instrText xml:space="preserve"> </w:instrText>
      </w:r>
      <w:r>
        <w:rPr>
          <w:rFonts w:hint="eastAsia" w:ascii="仿宋_GB2312" w:eastAsia="仿宋_GB2312"/>
          <w:color w:val="000000"/>
          <w:sz w:val="24"/>
          <w:szCs w:val="24"/>
        </w:rPr>
        <w:instrText xml:space="preserve">HYPERLINK \l "_Toc491162069"</w:instrText>
      </w:r>
      <w:r>
        <w:rPr>
          <w:rStyle w:val="13"/>
          <w:rFonts w:hint="eastAsia" w:ascii="仿宋_GB2312" w:eastAsia="仿宋_GB2312"/>
          <w:sz w:val="24"/>
          <w:szCs w:val="24"/>
        </w:rPr>
        <w:instrText xml:space="preserve"> </w:instrText>
      </w:r>
      <w:r>
        <w:rPr>
          <w:rFonts w:hint="eastAsia" w:ascii="仿宋_GB2312" w:eastAsia="仿宋_GB2312"/>
          <w:color w:val="000000"/>
          <w:sz w:val="24"/>
          <w:szCs w:val="24"/>
        </w:rPr>
        <w:fldChar w:fldCharType="separate"/>
      </w:r>
      <w:r>
        <w:rPr>
          <w:rStyle w:val="13"/>
          <w:rFonts w:hint="eastAsia" w:ascii="仿宋_GB2312" w:hAnsi="仿宋" w:eastAsia="仿宋_GB2312"/>
          <w:sz w:val="24"/>
          <w:szCs w:val="24"/>
        </w:rPr>
        <w:t>第七章 投标文件格式</w:t>
      </w:r>
      <w:r>
        <w:rPr>
          <w:rFonts w:hint="eastAsia" w:ascii="仿宋_GB2312" w:eastAsia="仿宋_GB2312"/>
          <w:color w:val="000000"/>
          <w:sz w:val="24"/>
          <w:szCs w:val="24"/>
        </w:rPr>
        <w:tab/>
      </w:r>
      <w:r>
        <w:rPr>
          <w:rFonts w:hint="eastAsia" w:ascii="仿宋_GB2312" w:eastAsia="仿宋_GB2312"/>
          <w:color w:val="000000"/>
          <w:sz w:val="24"/>
          <w:szCs w:val="24"/>
        </w:rPr>
        <w:fldChar w:fldCharType="begin"/>
      </w:r>
      <w:r>
        <w:rPr>
          <w:rFonts w:hint="eastAsia" w:ascii="仿宋_GB2312" w:eastAsia="仿宋_GB2312"/>
          <w:color w:val="000000"/>
          <w:sz w:val="24"/>
          <w:szCs w:val="24"/>
        </w:rPr>
        <w:instrText xml:space="preserve"> PAGEREF _Toc491162069 \h </w:instrText>
      </w:r>
      <w:r>
        <w:rPr>
          <w:rFonts w:hint="eastAsia" w:ascii="仿宋_GB2312" w:eastAsia="仿宋_GB2312"/>
          <w:color w:val="000000"/>
          <w:sz w:val="24"/>
          <w:szCs w:val="24"/>
        </w:rPr>
        <w:fldChar w:fldCharType="separate"/>
      </w:r>
      <w:r>
        <w:rPr>
          <w:rFonts w:ascii="仿宋_GB2312" w:eastAsia="仿宋_GB2312"/>
          <w:color w:val="000000"/>
          <w:sz w:val="24"/>
          <w:szCs w:val="24"/>
        </w:rPr>
        <w:t>22</w:t>
      </w:r>
      <w:r>
        <w:rPr>
          <w:rFonts w:hint="eastAsia" w:ascii="仿宋_GB2312" w:eastAsia="仿宋_GB2312"/>
          <w:color w:val="000000"/>
          <w:sz w:val="24"/>
          <w:szCs w:val="24"/>
        </w:rPr>
        <w:fldChar w:fldCharType="end"/>
      </w:r>
      <w:r>
        <w:rPr>
          <w:rFonts w:hint="eastAsia" w:ascii="仿宋_GB2312" w:eastAsia="仿宋_GB2312"/>
          <w:color w:val="000000"/>
          <w:sz w:val="24"/>
          <w:szCs w:val="24"/>
        </w:rPr>
        <w:fldChar w:fldCharType="end"/>
      </w:r>
    </w:p>
    <w:p>
      <w:pPr>
        <w:spacing w:line="360" w:lineRule="auto"/>
        <w:rPr>
          <w:rFonts w:hint="eastAsia" w:ascii="仿宋_GB2312" w:hAnsi="宋体" w:eastAsia="仿宋_GB2312"/>
          <w:color w:val="000000"/>
          <w:sz w:val="24"/>
          <w:szCs w:val="24"/>
        </w:rPr>
      </w:pPr>
    </w:p>
    <w:p>
      <w:pPr>
        <w:spacing w:line="360" w:lineRule="auto"/>
        <w:rPr>
          <w:rFonts w:hint="eastAsia" w:ascii="仿宋_GB2312" w:hAnsi="宋体" w:eastAsia="仿宋_GB2312"/>
          <w:color w:val="000000"/>
        </w:rPr>
      </w:pPr>
    </w:p>
    <w:p>
      <w:pPr>
        <w:spacing w:line="360" w:lineRule="auto"/>
        <w:rPr>
          <w:rFonts w:hint="eastAsia" w:ascii="仿宋_GB2312" w:hAnsi="宋体" w:eastAsia="仿宋_GB2312"/>
          <w:color w:val="000000"/>
        </w:rPr>
      </w:pPr>
    </w:p>
    <w:p>
      <w:pPr>
        <w:spacing w:line="360" w:lineRule="auto"/>
        <w:rPr>
          <w:rFonts w:hint="eastAsia" w:ascii="仿宋_GB2312" w:hAnsi="宋体" w:eastAsia="仿宋_GB2312"/>
          <w:color w:val="000000"/>
        </w:rPr>
      </w:pPr>
    </w:p>
    <w:p>
      <w:pPr>
        <w:spacing w:line="360" w:lineRule="auto"/>
        <w:rPr>
          <w:rFonts w:hint="eastAsia" w:ascii="仿宋_GB2312" w:hAnsi="宋体" w:eastAsia="仿宋_GB2312"/>
          <w:color w:val="000000"/>
        </w:rPr>
      </w:pPr>
    </w:p>
    <w:p>
      <w:pPr>
        <w:spacing w:line="360" w:lineRule="auto"/>
        <w:rPr>
          <w:rFonts w:hint="eastAsia" w:ascii="仿宋_GB2312" w:hAnsi="宋体" w:eastAsia="仿宋_GB2312"/>
          <w:color w:val="000000"/>
        </w:rPr>
      </w:pPr>
    </w:p>
    <w:p>
      <w:pPr>
        <w:spacing w:line="360" w:lineRule="auto"/>
        <w:rPr>
          <w:rFonts w:hint="eastAsia" w:ascii="仿宋_GB2312" w:hAnsi="宋体" w:eastAsia="仿宋_GB2312"/>
          <w:color w:val="000000"/>
        </w:rPr>
      </w:pPr>
    </w:p>
    <w:p>
      <w:pPr>
        <w:spacing w:line="360" w:lineRule="auto"/>
        <w:rPr>
          <w:rFonts w:hint="eastAsia" w:ascii="仿宋_GB2312" w:hAnsi="宋体" w:eastAsia="仿宋_GB2312"/>
          <w:b/>
          <w:color w:val="000000"/>
        </w:rPr>
      </w:pPr>
    </w:p>
    <w:p>
      <w:pPr>
        <w:spacing w:line="360" w:lineRule="auto"/>
        <w:rPr>
          <w:rFonts w:hint="eastAsia" w:ascii="仿宋_GB2312" w:hAnsi="宋体" w:eastAsia="仿宋_GB2312"/>
          <w:b/>
          <w:color w:val="000000"/>
        </w:rPr>
      </w:pPr>
    </w:p>
    <w:p>
      <w:pPr>
        <w:pStyle w:val="2"/>
        <w:ind w:right="188" w:rightChars="87"/>
        <w:jc w:val="center"/>
        <w:rPr>
          <w:rFonts w:hint="eastAsia" w:ascii="仿宋_GB2312" w:hAnsi="仿宋" w:eastAsia="仿宋_GB2312"/>
          <w:color w:val="000000"/>
          <w:sz w:val="36"/>
          <w:szCs w:val="36"/>
        </w:rPr>
      </w:pPr>
      <w:bookmarkStart w:id="0" w:name="_Toc185047253"/>
      <w:r>
        <w:rPr>
          <w:rFonts w:hint="eastAsia" w:ascii="仿宋_GB2312" w:hAnsi="仿宋" w:eastAsia="仿宋_GB2312"/>
          <w:color w:val="000000"/>
          <w:sz w:val="36"/>
          <w:szCs w:val="36"/>
        </w:rPr>
        <w:br w:type="page"/>
      </w:r>
      <w:bookmarkStart w:id="1" w:name="_Toc28264"/>
      <w:bookmarkStart w:id="2" w:name="_Toc491162065"/>
      <w:bookmarkStart w:id="3" w:name="_Toc5028"/>
      <w:r>
        <w:rPr>
          <w:rFonts w:hint="eastAsia" w:ascii="仿宋_GB2312" w:hAnsi="仿宋" w:eastAsia="仿宋_GB2312"/>
          <w:color w:val="000000"/>
          <w:sz w:val="36"/>
          <w:szCs w:val="36"/>
        </w:rPr>
        <w:t>第一章 招标公告</w:t>
      </w:r>
      <w:bookmarkEnd w:id="1"/>
      <w:bookmarkEnd w:id="2"/>
      <w:bookmarkEnd w:id="3"/>
    </w:p>
    <w:p>
      <w:pPr>
        <w:spacing w:line="480" w:lineRule="exact"/>
        <w:rPr>
          <w:rFonts w:hint="eastAsia" w:ascii="仿宋_GB2312" w:hAnsi="仿宋" w:eastAsia="仿宋_GB2312"/>
          <w:b/>
          <w:color w:val="000000"/>
          <w:sz w:val="24"/>
          <w:szCs w:val="24"/>
        </w:rPr>
      </w:pPr>
      <w:r>
        <w:rPr>
          <w:rFonts w:hint="eastAsia" w:ascii="仿宋_GB2312" w:hAnsi="仿宋" w:eastAsia="仿宋_GB2312"/>
          <w:b/>
          <w:color w:val="000000"/>
          <w:sz w:val="24"/>
          <w:szCs w:val="24"/>
        </w:rPr>
        <w:t>1．招标条件</w:t>
      </w:r>
    </w:p>
    <w:p>
      <w:pPr>
        <w:wordWrap w:val="0"/>
        <w:spacing w:line="480" w:lineRule="exact"/>
        <w:ind w:firstLine="559" w:firstLineChars="236"/>
        <w:rPr>
          <w:rFonts w:hint="eastAsia" w:ascii="仿宋_GB2312" w:hAnsi="仿宋" w:eastAsia="仿宋_GB2312"/>
          <w:color w:val="000000"/>
          <w:kern w:val="0"/>
          <w:sz w:val="24"/>
          <w:szCs w:val="24"/>
        </w:rPr>
      </w:pPr>
      <w:r>
        <w:rPr>
          <w:rFonts w:hint="eastAsia" w:ascii="仿宋_GB2312" w:hAnsi="仿宋" w:eastAsia="仿宋_GB2312"/>
          <w:color w:val="000000"/>
          <w:sz w:val="24"/>
          <w:szCs w:val="24"/>
        </w:rPr>
        <w:t>1.1</w:t>
      </w:r>
      <w:r>
        <w:rPr>
          <w:rFonts w:hint="eastAsia" w:ascii="仿宋_GB2312" w:hAnsi="仿宋" w:eastAsia="仿宋_GB2312"/>
          <w:color w:val="000000"/>
          <w:kern w:val="0"/>
          <w:sz w:val="24"/>
          <w:szCs w:val="24"/>
        </w:rPr>
        <w:t>本招标项目</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kern w:val="0"/>
          <w:sz w:val="24"/>
          <w:szCs w:val="24"/>
        </w:rPr>
        <w:t>已由</w:t>
      </w:r>
      <w:r>
        <w:rPr>
          <w:rFonts w:hint="eastAsia" w:ascii="仿宋_GB2312" w:hAnsi="仿宋" w:eastAsia="仿宋_GB2312"/>
          <w:b/>
          <w:bCs/>
          <w:color w:val="000000"/>
          <w:sz w:val="24"/>
          <w:szCs w:val="24"/>
          <w:u w:val="single"/>
        </w:rPr>
        <w:t xml:space="preserve">                   </w:t>
      </w:r>
      <w:r>
        <w:rPr>
          <w:rFonts w:hint="eastAsia" w:ascii="仿宋_GB2312" w:hAnsi="仿宋" w:eastAsia="仿宋_GB2312"/>
          <w:color w:val="000000"/>
          <w:sz w:val="24"/>
          <w:szCs w:val="24"/>
        </w:rPr>
        <w:t>（核准机关名称）</w:t>
      </w:r>
      <w:r>
        <w:rPr>
          <w:rFonts w:hint="eastAsia" w:ascii="仿宋_GB2312" w:hAnsi="仿宋" w:eastAsia="仿宋_GB2312"/>
          <w:color w:val="000000"/>
          <w:kern w:val="0"/>
          <w:sz w:val="24"/>
          <w:szCs w:val="24"/>
        </w:rPr>
        <w:t xml:space="preserve"> 以</w:t>
      </w:r>
      <w:r>
        <w:rPr>
          <w:rFonts w:hint="eastAsia" w:ascii="仿宋_GB2312" w:hAnsi="仿宋" w:eastAsia="仿宋_GB2312"/>
          <w:color w:val="000000"/>
          <w:kern w:val="0"/>
          <w:sz w:val="24"/>
          <w:szCs w:val="24"/>
          <w:u w:val="single"/>
        </w:rPr>
        <w:t xml:space="preserve">               </w:t>
      </w:r>
      <w:r>
        <w:rPr>
          <w:rFonts w:hint="eastAsia" w:ascii="仿宋_GB2312" w:hAnsi="仿宋" w:eastAsia="仿宋_GB2312"/>
          <w:color w:val="000000"/>
          <w:kern w:val="0"/>
          <w:sz w:val="24"/>
          <w:szCs w:val="24"/>
        </w:rPr>
        <w:t>批准建设，项目业主为</w:t>
      </w:r>
      <w:r>
        <w:rPr>
          <w:rFonts w:hint="eastAsia" w:ascii="仿宋_GB2312" w:hAnsi="仿宋" w:eastAsia="仿宋_GB2312"/>
          <w:b/>
          <w:bCs/>
          <w:color w:val="000000"/>
          <w:kern w:val="0"/>
          <w:sz w:val="24"/>
          <w:szCs w:val="24"/>
          <w:u w:val="single"/>
        </w:rPr>
        <w:t xml:space="preserve">             </w:t>
      </w:r>
      <w:r>
        <w:rPr>
          <w:rFonts w:hint="eastAsia" w:ascii="仿宋_GB2312" w:hAnsi="仿宋" w:eastAsia="仿宋_GB2312"/>
          <w:color w:val="000000"/>
          <w:kern w:val="0"/>
          <w:sz w:val="24"/>
          <w:szCs w:val="24"/>
        </w:rPr>
        <w:t>，建设资金来源为</w:t>
      </w:r>
      <w:r>
        <w:rPr>
          <w:rFonts w:hint="eastAsia" w:ascii="仿宋_GB2312" w:hAnsi="仿宋" w:eastAsia="仿宋_GB2312"/>
          <w:color w:val="000000"/>
          <w:kern w:val="0"/>
          <w:sz w:val="24"/>
          <w:szCs w:val="24"/>
          <w:u w:val="single"/>
        </w:rPr>
        <w:t xml:space="preserve">  </w:t>
      </w:r>
      <w:r>
        <w:rPr>
          <w:rFonts w:hint="eastAsia" w:ascii="仿宋_GB2312" w:hAnsi="仿宋" w:eastAsia="仿宋_GB2312"/>
          <w:b/>
          <w:bCs/>
          <w:color w:val="000000"/>
          <w:kern w:val="0"/>
          <w:sz w:val="24"/>
          <w:szCs w:val="24"/>
          <w:u w:val="single"/>
        </w:rPr>
        <w:t xml:space="preserve">           </w:t>
      </w:r>
      <w:r>
        <w:rPr>
          <w:rFonts w:hint="eastAsia" w:ascii="仿宋_GB2312" w:hAnsi="仿宋" w:eastAsia="仿宋_GB2312"/>
          <w:color w:val="000000"/>
          <w:kern w:val="0"/>
          <w:sz w:val="24"/>
          <w:szCs w:val="24"/>
        </w:rPr>
        <w:t>，项目出资比例为</w:t>
      </w:r>
      <w:r>
        <w:rPr>
          <w:rFonts w:hint="eastAsia" w:ascii="仿宋_GB2312" w:hAnsi="仿宋" w:eastAsia="仿宋_GB2312"/>
          <w:color w:val="000000"/>
          <w:kern w:val="0"/>
          <w:sz w:val="24"/>
          <w:szCs w:val="24"/>
          <w:u w:val="single"/>
        </w:rPr>
        <w:t xml:space="preserve">         </w:t>
      </w:r>
      <w:r>
        <w:rPr>
          <w:rFonts w:hint="eastAsia" w:ascii="仿宋_GB2312" w:hAnsi="仿宋" w:eastAsia="仿宋_GB2312"/>
          <w:color w:val="000000"/>
          <w:kern w:val="0"/>
          <w:sz w:val="24"/>
          <w:szCs w:val="24"/>
        </w:rPr>
        <w:t>，招标人为</w:t>
      </w:r>
      <w:r>
        <w:rPr>
          <w:rFonts w:hint="eastAsia" w:ascii="仿宋_GB2312" w:hAnsi="仿宋" w:eastAsia="仿宋_GB2312"/>
          <w:b/>
          <w:bCs/>
          <w:color w:val="000000"/>
          <w:kern w:val="0"/>
          <w:sz w:val="24"/>
          <w:szCs w:val="24"/>
          <w:u w:val="single"/>
        </w:rPr>
        <w:t xml:space="preserve">                     </w:t>
      </w:r>
      <w:r>
        <w:rPr>
          <w:rFonts w:hint="eastAsia" w:ascii="仿宋_GB2312" w:hAnsi="仿宋" w:eastAsia="仿宋_GB2312"/>
          <w:color w:val="000000"/>
          <w:kern w:val="0"/>
          <w:sz w:val="24"/>
          <w:szCs w:val="24"/>
        </w:rPr>
        <w:t>。项目</w:t>
      </w:r>
      <w:r>
        <w:rPr>
          <w:rFonts w:hint="eastAsia" w:ascii="仿宋_GB2312" w:hAnsi="仿宋" w:eastAsia="仿宋_GB2312"/>
          <w:color w:val="000000"/>
          <w:kern w:val="0"/>
          <w:sz w:val="24"/>
          <w:szCs w:val="24"/>
          <w:lang w:eastAsia="zh-CN"/>
        </w:rPr>
        <w:t>已</w:t>
      </w:r>
      <w:r>
        <w:rPr>
          <w:rFonts w:hint="eastAsia" w:ascii="仿宋_GB2312" w:hAnsi="仿宋" w:eastAsia="仿宋_GB2312"/>
          <w:color w:val="000000"/>
          <w:kern w:val="0"/>
          <w:sz w:val="24"/>
          <w:szCs w:val="24"/>
        </w:rPr>
        <w:t>具备招标条件，根据《广元市国家投资工程建设项目招标投标管理暂行办法》（广发改【2017】295号）要求，现对该项目的</w:t>
      </w:r>
      <w:r>
        <w:rPr>
          <w:rFonts w:hint="eastAsia" w:ascii="仿宋_GB2312" w:hAnsi="仿宋" w:eastAsia="仿宋_GB2312"/>
          <w:color w:val="000000"/>
          <w:kern w:val="0"/>
          <w:sz w:val="24"/>
          <w:szCs w:val="24"/>
          <w:u w:val="single"/>
        </w:rPr>
        <w:t xml:space="preserve"> 施工 </w:t>
      </w:r>
      <w:r>
        <w:rPr>
          <w:rFonts w:hint="eastAsia" w:ascii="仿宋_GB2312" w:hAnsi="仿宋" w:eastAsia="仿宋_GB2312"/>
          <w:color w:val="000000"/>
          <w:kern w:val="0"/>
          <w:sz w:val="24"/>
          <w:szCs w:val="24"/>
        </w:rPr>
        <w:t>进行公开招标。</w:t>
      </w:r>
    </w:p>
    <w:p>
      <w:pPr>
        <w:spacing w:line="480" w:lineRule="exact"/>
        <w:ind w:firstLine="465" w:firstLineChars="196"/>
        <w:rPr>
          <w:rFonts w:hint="eastAsia" w:ascii="仿宋_GB2312" w:hAnsi="仿宋" w:eastAsia="仿宋_GB2312"/>
          <w:color w:val="000000"/>
          <w:kern w:val="0"/>
          <w:sz w:val="24"/>
          <w:szCs w:val="24"/>
        </w:rPr>
      </w:pPr>
      <w:r>
        <w:rPr>
          <w:rFonts w:hint="eastAsia" w:ascii="仿宋_GB2312" w:hAnsi="仿宋" w:eastAsia="仿宋_GB2312"/>
          <w:color w:val="000000"/>
          <w:kern w:val="0"/>
          <w:sz w:val="24"/>
          <w:szCs w:val="24"/>
        </w:rPr>
        <w:t>1.2本招标项目为广元市行政区域内的国家投资工程建设项目，</w:t>
      </w:r>
      <w:r>
        <w:rPr>
          <w:rFonts w:hint="eastAsia" w:ascii="仿宋_GB2312" w:hAnsi="仿宋" w:eastAsia="仿宋_GB2312"/>
          <w:color w:val="000000"/>
          <w:kern w:val="0"/>
          <w:sz w:val="24"/>
          <w:szCs w:val="24"/>
          <w:u w:val="single"/>
        </w:rPr>
        <w:t xml:space="preserve">               </w:t>
      </w:r>
      <w:r>
        <w:rPr>
          <w:rFonts w:hint="eastAsia" w:ascii="仿宋_GB2312" w:hAnsi="仿宋" w:eastAsia="仿宋_GB2312"/>
          <w:color w:val="000000"/>
          <w:sz w:val="24"/>
          <w:szCs w:val="24"/>
        </w:rPr>
        <w:t>（核准机关名称）核准</w:t>
      </w:r>
      <w:r>
        <w:rPr>
          <w:rFonts w:hint="eastAsia" w:ascii="仿宋_GB2312" w:hAnsi="仿宋" w:eastAsia="仿宋_GB2312"/>
          <w:color w:val="000000"/>
          <w:kern w:val="0"/>
          <w:sz w:val="24"/>
          <w:szCs w:val="24"/>
        </w:rPr>
        <w:t>（招标事项核准文号为：</w:t>
      </w:r>
      <w:r>
        <w:rPr>
          <w:rFonts w:hint="eastAsia" w:ascii="仿宋_GB2312" w:hAnsi="仿宋" w:eastAsia="仿宋_GB2312"/>
          <w:color w:val="000000"/>
          <w:kern w:val="0"/>
          <w:sz w:val="24"/>
          <w:szCs w:val="24"/>
          <w:u w:val="single"/>
        </w:rPr>
        <w:t xml:space="preserve">                 </w:t>
      </w:r>
      <w:r>
        <w:rPr>
          <w:rFonts w:hint="eastAsia" w:ascii="仿宋_GB2312" w:hAnsi="仿宋" w:eastAsia="仿宋_GB2312"/>
          <w:color w:val="000000"/>
          <w:kern w:val="0"/>
          <w:sz w:val="24"/>
          <w:szCs w:val="24"/>
        </w:rPr>
        <w:t>)的招标组织形式为委托招标。招标代理机构是：</w:t>
      </w:r>
      <w:r>
        <w:rPr>
          <w:rFonts w:hint="eastAsia" w:ascii="仿宋_GB2312" w:hAnsi="仿宋" w:eastAsia="仿宋_GB2312"/>
          <w:b/>
          <w:color w:val="000000"/>
          <w:kern w:val="0"/>
          <w:sz w:val="24"/>
          <w:szCs w:val="24"/>
          <w:u w:val="single"/>
        </w:rPr>
        <w:t xml:space="preserve">                           </w:t>
      </w:r>
      <w:r>
        <w:rPr>
          <w:rFonts w:hint="eastAsia" w:ascii="仿宋_GB2312" w:hAnsi="仿宋" w:eastAsia="仿宋_GB2312"/>
          <w:color w:val="000000"/>
          <w:kern w:val="0"/>
          <w:sz w:val="24"/>
          <w:szCs w:val="24"/>
        </w:rPr>
        <w:t>。</w:t>
      </w:r>
    </w:p>
    <w:p>
      <w:pPr>
        <w:spacing w:line="480" w:lineRule="exact"/>
        <w:rPr>
          <w:rFonts w:hint="eastAsia" w:ascii="仿宋_GB2312" w:hAnsi="仿宋" w:eastAsia="仿宋_GB2312"/>
          <w:b/>
          <w:color w:val="000000"/>
          <w:sz w:val="24"/>
          <w:szCs w:val="24"/>
        </w:rPr>
      </w:pPr>
      <w:bookmarkStart w:id="4" w:name="_Toc228352598"/>
      <w:bookmarkStart w:id="5" w:name="_Toc185047238"/>
      <w:r>
        <w:rPr>
          <w:rFonts w:hint="eastAsia" w:ascii="仿宋_GB2312" w:hAnsi="仿宋" w:eastAsia="仿宋_GB2312"/>
          <w:b/>
          <w:color w:val="000000"/>
          <w:sz w:val="24"/>
          <w:szCs w:val="24"/>
        </w:rPr>
        <w:t>2．项目概况与招标范围</w:t>
      </w:r>
      <w:bookmarkEnd w:id="4"/>
      <w:bookmarkEnd w:id="5"/>
    </w:p>
    <w:p>
      <w:pPr>
        <w:spacing w:line="480" w:lineRule="exact"/>
        <w:ind w:firstLine="474" w:firstLineChars="200"/>
        <w:rPr>
          <w:rFonts w:hint="eastAsia" w:ascii="仿宋_GB2312" w:hAnsi="仿宋" w:eastAsia="仿宋_GB2312"/>
          <w:b/>
          <w:color w:val="000000"/>
          <w:sz w:val="24"/>
          <w:szCs w:val="24"/>
        </w:rPr>
      </w:pPr>
      <w:r>
        <w:rPr>
          <w:rFonts w:hint="eastAsia" w:ascii="仿宋_GB2312" w:hAnsi="仿宋" w:eastAsia="仿宋_GB2312"/>
          <w:color w:val="000000"/>
          <w:kern w:val="0"/>
          <w:sz w:val="24"/>
          <w:szCs w:val="24"/>
        </w:rPr>
        <w:t>2.1 建设地点</w:t>
      </w:r>
      <w:r>
        <w:rPr>
          <w:rFonts w:hint="eastAsia" w:ascii="仿宋_GB2312" w:hAnsi="宋体" w:eastAsia="仿宋_GB2312"/>
          <w:color w:val="000000"/>
          <w:szCs w:val="21"/>
        </w:rPr>
        <w:t>：</w:t>
      </w:r>
      <w:r>
        <w:rPr>
          <w:rFonts w:hint="eastAsia" w:ascii="仿宋_GB2312" w:hAnsi="仿宋" w:eastAsia="仿宋_GB2312"/>
          <w:b/>
          <w:color w:val="000000"/>
          <w:kern w:val="0"/>
          <w:sz w:val="24"/>
          <w:szCs w:val="24"/>
          <w:u w:val="single"/>
        </w:rPr>
        <w:t xml:space="preserve">                    </w:t>
      </w:r>
    </w:p>
    <w:p>
      <w:pPr>
        <w:spacing w:line="480" w:lineRule="exact"/>
        <w:ind w:firstLine="465" w:firstLineChars="196"/>
        <w:rPr>
          <w:rFonts w:hint="eastAsia" w:ascii="仿宋_GB2312" w:hAnsi="仿宋" w:eastAsia="仿宋_GB2312"/>
          <w:color w:val="000000"/>
          <w:kern w:val="0"/>
          <w:sz w:val="24"/>
          <w:szCs w:val="24"/>
        </w:rPr>
      </w:pPr>
      <w:bookmarkStart w:id="6" w:name="_Toc185047239"/>
      <w:bookmarkStart w:id="7" w:name="_Toc228352599"/>
      <w:r>
        <w:rPr>
          <w:rFonts w:hint="eastAsia" w:ascii="仿宋_GB2312" w:hAnsi="仿宋" w:eastAsia="仿宋_GB2312"/>
          <w:color w:val="000000"/>
          <w:kern w:val="0"/>
          <w:sz w:val="24"/>
          <w:szCs w:val="24"/>
        </w:rPr>
        <w:t>2.2建设规模：</w:t>
      </w:r>
      <w:r>
        <w:rPr>
          <w:rFonts w:hint="eastAsia" w:ascii="仿宋_GB2312" w:hAnsi="仿宋" w:eastAsia="仿宋_GB2312"/>
          <w:color w:val="000000"/>
          <w:kern w:val="0"/>
          <w:sz w:val="24"/>
          <w:szCs w:val="24"/>
          <w:u w:val="single"/>
        </w:rPr>
        <w:t xml:space="preserve">                        </w:t>
      </w:r>
    </w:p>
    <w:p>
      <w:pPr>
        <w:spacing w:line="480" w:lineRule="exact"/>
        <w:ind w:firstLine="465" w:firstLineChars="196"/>
        <w:rPr>
          <w:rFonts w:hint="eastAsia" w:ascii="仿宋_GB2312" w:hAnsi="仿宋" w:eastAsia="仿宋_GB2312"/>
          <w:color w:val="000000"/>
          <w:kern w:val="0"/>
          <w:sz w:val="24"/>
          <w:szCs w:val="24"/>
          <w:u w:val="single"/>
        </w:rPr>
      </w:pPr>
      <w:r>
        <w:rPr>
          <w:rFonts w:hint="eastAsia" w:ascii="仿宋_GB2312" w:hAnsi="仿宋" w:eastAsia="仿宋_GB2312"/>
          <w:color w:val="000000"/>
          <w:kern w:val="0"/>
          <w:sz w:val="24"/>
          <w:szCs w:val="24"/>
        </w:rPr>
        <w:t>2.3计划投资及资金来源：</w:t>
      </w:r>
      <w:r>
        <w:rPr>
          <w:rFonts w:hint="eastAsia" w:ascii="仿宋_GB2312" w:hAnsi="仿宋" w:eastAsia="仿宋_GB2312"/>
          <w:color w:val="000000"/>
          <w:kern w:val="0"/>
          <w:sz w:val="24"/>
          <w:szCs w:val="24"/>
          <w:u w:val="single"/>
        </w:rPr>
        <w:t xml:space="preserve">                 </w:t>
      </w:r>
    </w:p>
    <w:p>
      <w:pPr>
        <w:spacing w:line="480" w:lineRule="exact"/>
        <w:ind w:firstLine="465" w:firstLineChars="196"/>
        <w:rPr>
          <w:rFonts w:hint="eastAsia" w:ascii="仿宋_GB2312" w:hAnsi="仿宋" w:eastAsia="仿宋_GB2312"/>
          <w:color w:val="000000"/>
          <w:kern w:val="0"/>
          <w:sz w:val="24"/>
          <w:szCs w:val="24"/>
        </w:rPr>
      </w:pPr>
      <w:r>
        <w:rPr>
          <w:rFonts w:hint="eastAsia" w:ascii="仿宋_GB2312" w:hAnsi="仿宋" w:eastAsia="仿宋_GB2312"/>
          <w:color w:val="000000"/>
          <w:kern w:val="0"/>
          <w:sz w:val="24"/>
          <w:szCs w:val="24"/>
        </w:rPr>
        <w:t>2.4工期：</w:t>
      </w:r>
      <w:r>
        <w:rPr>
          <w:rFonts w:hint="eastAsia" w:ascii="仿宋_GB2312" w:hAnsi="仿宋" w:eastAsia="仿宋_GB2312"/>
          <w:color w:val="000000"/>
          <w:kern w:val="0"/>
          <w:sz w:val="24"/>
          <w:szCs w:val="24"/>
          <w:u w:val="single"/>
        </w:rPr>
        <w:t xml:space="preserve">                  </w:t>
      </w:r>
      <w:r>
        <w:rPr>
          <w:rFonts w:hint="eastAsia" w:ascii="仿宋_GB2312" w:hAnsi="仿宋" w:eastAsia="仿宋_GB2312"/>
          <w:color w:val="000000"/>
          <w:kern w:val="0"/>
          <w:sz w:val="24"/>
          <w:szCs w:val="24"/>
        </w:rPr>
        <w:t>。</w:t>
      </w:r>
    </w:p>
    <w:p>
      <w:pPr>
        <w:spacing w:line="480" w:lineRule="exact"/>
        <w:ind w:firstLine="474" w:firstLineChars="200"/>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2.5招标范围：</w:t>
      </w:r>
      <w:r>
        <w:rPr>
          <w:rFonts w:hint="eastAsia" w:ascii="仿宋_GB2312" w:hAnsi="仿宋" w:eastAsia="仿宋_GB2312"/>
          <w:color w:val="000000"/>
          <w:kern w:val="0"/>
          <w:sz w:val="24"/>
          <w:szCs w:val="24"/>
          <w:u w:val="single"/>
        </w:rPr>
        <w:t xml:space="preserve">                              </w:t>
      </w:r>
      <w:r>
        <w:rPr>
          <w:rFonts w:hint="eastAsia" w:ascii="仿宋_GB2312" w:hAnsi="仿宋" w:eastAsia="仿宋_GB2312"/>
          <w:color w:val="000000"/>
          <w:sz w:val="24"/>
          <w:szCs w:val="24"/>
          <w:u w:val="single"/>
        </w:rPr>
        <w:t xml:space="preserve"> </w:t>
      </w:r>
    </w:p>
    <w:p>
      <w:pPr>
        <w:pStyle w:val="6"/>
        <w:spacing w:line="600" w:lineRule="exact"/>
        <w:ind w:firstLine="474" w:firstLineChars="200"/>
        <w:rPr>
          <w:rFonts w:hint="eastAsia" w:ascii="仿宋_GB2312" w:hAnsi="仿宋" w:eastAsia="仿宋_GB2312"/>
          <w:color w:val="000000"/>
          <w:kern w:val="0"/>
          <w:sz w:val="24"/>
          <w:szCs w:val="24"/>
        </w:rPr>
      </w:pPr>
      <w:r>
        <w:rPr>
          <w:rFonts w:hint="eastAsia" w:ascii="仿宋_GB2312" w:hAnsi="仿宋" w:eastAsia="仿宋_GB2312"/>
          <w:color w:val="000000"/>
          <w:kern w:val="0"/>
          <w:sz w:val="24"/>
          <w:szCs w:val="24"/>
        </w:rPr>
        <w:t>2.6标段划分：</w:t>
      </w:r>
    </w:p>
    <w:p>
      <w:pPr>
        <w:pStyle w:val="6"/>
        <w:spacing w:line="600" w:lineRule="exact"/>
        <w:ind w:firstLine="474" w:firstLineChars="200"/>
        <w:rPr>
          <w:rFonts w:hint="eastAsia" w:ascii="仿宋_GB2312" w:hAnsi="仿宋" w:eastAsia="仿宋_GB2312"/>
          <w:color w:val="000000"/>
          <w:kern w:val="0"/>
          <w:sz w:val="24"/>
          <w:szCs w:val="24"/>
        </w:rPr>
      </w:pPr>
      <w:r>
        <w:rPr>
          <w:rFonts w:hint="eastAsia" w:ascii="仿宋_GB2312" w:hAnsi="仿宋" w:eastAsia="仿宋_GB2312"/>
          <w:color w:val="000000"/>
          <w:kern w:val="0"/>
          <w:sz w:val="24"/>
          <w:szCs w:val="24"/>
        </w:rPr>
        <w:t>注：各投标人均可就上述标段投标，但可以中标的数量不超过 1个标段。</w:t>
      </w:r>
    </w:p>
    <w:p>
      <w:pPr>
        <w:spacing w:line="480" w:lineRule="exact"/>
        <w:rPr>
          <w:rFonts w:hint="eastAsia" w:ascii="仿宋_GB2312" w:hAnsi="仿宋" w:eastAsia="仿宋_GB2312"/>
          <w:b/>
          <w:color w:val="000000"/>
          <w:sz w:val="24"/>
          <w:szCs w:val="24"/>
        </w:rPr>
      </w:pPr>
      <w:r>
        <w:rPr>
          <w:rFonts w:hint="eastAsia" w:ascii="仿宋_GB2312" w:hAnsi="仿宋" w:eastAsia="仿宋_GB2312"/>
          <w:b/>
          <w:color w:val="000000"/>
          <w:sz w:val="24"/>
          <w:szCs w:val="24"/>
        </w:rPr>
        <w:t>3．投标人资格要求</w:t>
      </w:r>
    </w:p>
    <w:p>
      <w:pPr>
        <w:spacing w:line="480" w:lineRule="exact"/>
        <w:rPr>
          <w:rFonts w:hint="eastAsia" w:ascii="仿宋_GB2312" w:hAnsi="仿宋" w:eastAsia="仿宋_GB2312"/>
          <w:b/>
          <w:color w:val="000000"/>
          <w:sz w:val="24"/>
          <w:szCs w:val="24"/>
          <w:u w:val="single"/>
        </w:rPr>
      </w:pPr>
      <w:bookmarkStart w:id="8" w:name="_Toc228352600"/>
      <w:bookmarkStart w:id="9" w:name="_Toc185047240"/>
      <w:r>
        <w:rPr>
          <w:rFonts w:hint="eastAsia" w:ascii="仿宋_GB2312" w:hAnsi="仿宋" w:eastAsia="仿宋_GB2312"/>
          <w:color w:val="000000"/>
          <w:sz w:val="24"/>
          <w:szCs w:val="24"/>
        </w:rPr>
        <w:t xml:space="preserve">   3.1本次招标要求投标人须</w:t>
      </w:r>
      <w:r>
        <w:rPr>
          <w:rFonts w:hint="eastAsia" w:ascii="仿宋_GB2312" w:hAnsi="仿宋" w:eastAsia="仿宋_GB2312"/>
          <w:color w:val="000000"/>
          <w:sz w:val="24"/>
          <w:szCs w:val="24"/>
          <w:u w:val="single"/>
        </w:rPr>
        <w:t>进入 “广元市</w:t>
      </w:r>
      <w:r>
        <w:rPr>
          <w:rFonts w:hint="eastAsia" w:ascii="仿宋_GB2312" w:hAnsi="仿宋" w:eastAsia="仿宋_GB2312"/>
          <w:color w:val="000000"/>
          <w:sz w:val="24"/>
          <w:szCs w:val="24"/>
          <w:u w:val="single"/>
          <w:lang w:eastAsia="zh-CN"/>
        </w:rPr>
        <w:t>交通建设项目</w:t>
      </w:r>
      <w:r>
        <w:rPr>
          <w:rFonts w:hint="eastAsia" w:ascii="仿宋_GB2312" w:hAnsi="仿宋" w:eastAsia="仿宋_GB2312"/>
          <w:color w:val="000000"/>
          <w:sz w:val="24"/>
          <w:szCs w:val="24"/>
          <w:u w:val="single"/>
        </w:rPr>
        <w:t xml:space="preserve">施工预选承包商储备库 ”并 具备 XXXX </w:t>
      </w:r>
      <w:r>
        <w:rPr>
          <w:rFonts w:hint="eastAsia" w:ascii="仿宋_GB2312" w:hAnsi="仿宋" w:eastAsia="仿宋_GB2312"/>
          <w:color w:val="000000"/>
          <w:sz w:val="24"/>
          <w:szCs w:val="24"/>
        </w:rPr>
        <w:t>资质；</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的类似项目业绩，并在人员、设备、资金等方面具有相应的能力。</w:t>
      </w:r>
    </w:p>
    <w:bookmarkEnd w:id="8"/>
    <w:bookmarkEnd w:id="9"/>
    <w:p>
      <w:pPr>
        <w:spacing w:line="480" w:lineRule="exact"/>
        <w:ind w:firstLine="559" w:firstLineChars="236"/>
        <w:rPr>
          <w:rFonts w:hint="eastAsia" w:ascii="仿宋_GB2312" w:hAnsi="仿宋" w:eastAsia="仿宋_GB2312"/>
          <w:color w:val="000000"/>
          <w:sz w:val="24"/>
          <w:szCs w:val="24"/>
        </w:rPr>
      </w:pPr>
      <w:r>
        <w:rPr>
          <w:rFonts w:hint="eastAsia" w:ascii="仿宋_GB2312" w:hAnsi="仿宋" w:eastAsia="仿宋_GB2312"/>
          <w:color w:val="000000"/>
          <w:sz w:val="24"/>
          <w:szCs w:val="24"/>
        </w:rPr>
        <w:t>3.2本次招标</w:t>
      </w:r>
      <w:r>
        <w:rPr>
          <w:rFonts w:hint="eastAsia" w:ascii="仿宋_GB2312" w:hAnsi="仿宋" w:eastAsia="仿宋_GB2312"/>
          <w:color w:val="000000"/>
          <w:sz w:val="24"/>
          <w:szCs w:val="24"/>
          <w:u w:val="single"/>
        </w:rPr>
        <w:t xml:space="preserve">           </w:t>
      </w:r>
      <w:r>
        <w:rPr>
          <w:rFonts w:hint="eastAsia" w:ascii="仿宋_GB2312" w:eastAsia="仿宋_GB2312"/>
          <w:color w:val="000000"/>
          <w:sz w:val="24"/>
          <w:szCs w:val="24"/>
        </w:rPr>
        <w:t>（□接受；□不接受）</w:t>
      </w:r>
      <w:r>
        <w:rPr>
          <w:rFonts w:hint="eastAsia" w:ascii="仿宋_GB2312" w:hAnsi="仿宋" w:eastAsia="仿宋_GB2312"/>
          <w:color w:val="000000"/>
          <w:sz w:val="24"/>
          <w:szCs w:val="24"/>
        </w:rPr>
        <w:t>联合体投标。联合体投标的，应满足下列要求：</w:t>
      </w:r>
      <w:r>
        <w:rPr>
          <w:rFonts w:hint="eastAsia" w:ascii="仿宋_GB2312" w:hAnsi="仿宋" w:eastAsia="仿宋_GB2312"/>
          <w:color w:val="000000"/>
          <w:sz w:val="24"/>
          <w:szCs w:val="24"/>
          <w:u w:val="single"/>
        </w:rPr>
        <w:t xml:space="preserve"> 牵头人为XXXX 资质单位，联合体所有成员均必须为进入 “广元市</w:t>
      </w:r>
      <w:r>
        <w:rPr>
          <w:rFonts w:hint="eastAsia" w:ascii="仿宋_GB2312" w:hAnsi="仿宋" w:eastAsia="仿宋_GB2312"/>
          <w:color w:val="000000"/>
          <w:sz w:val="24"/>
          <w:szCs w:val="24"/>
          <w:u w:val="single"/>
          <w:lang w:eastAsia="zh-CN"/>
        </w:rPr>
        <w:t>交通建设项目</w:t>
      </w:r>
      <w:r>
        <w:rPr>
          <w:rFonts w:hint="eastAsia" w:ascii="仿宋_GB2312" w:hAnsi="仿宋" w:eastAsia="仿宋_GB2312"/>
          <w:color w:val="000000"/>
          <w:sz w:val="24"/>
          <w:szCs w:val="24"/>
          <w:u w:val="single"/>
        </w:rPr>
        <w:t xml:space="preserve">施工预选承包商储备库 ”的单位并提交联合体协议书。在进入项目抽取环节时只抽牵头人  </w:t>
      </w:r>
      <w:r>
        <w:rPr>
          <w:rFonts w:hint="eastAsia" w:ascii="仿宋_GB2312" w:hAnsi="仿宋" w:eastAsia="仿宋_GB2312"/>
          <w:color w:val="000000"/>
          <w:sz w:val="24"/>
          <w:szCs w:val="24"/>
        </w:rPr>
        <w:t>。</w:t>
      </w:r>
    </w:p>
    <w:p>
      <w:pPr>
        <w:spacing w:line="480" w:lineRule="exact"/>
        <w:ind w:firstLine="559" w:firstLineChars="236"/>
        <w:rPr>
          <w:rFonts w:hint="eastAsia" w:ascii="仿宋_GB2312" w:hAnsi="仿宋" w:eastAsia="仿宋_GB2312"/>
          <w:color w:val="000000"/>
          <w:sz w:val="24"/>
          <w:szCs w:val="24"/>
          <w:u w:val="single"/>
        </w:rPr>
      </w:pPr>
    </w:p>
    <w:p>
      <w:pPr>
        <w:spacing w:line="480" w:lineRule="exact"/>
        <w:rPr>
          <w:rFonts w:hint="eastAsia" w:ascii="仿宋_GB2312" w:hAnsi="仿宋" w:eastAsia="仿宋_GB2312"/>
          <w:b/>
          <w:color w:val="000000"/>
          <w:sz w:val="24"/>
          <w:szCs w:val="24"/>
        </w:rPr>
      </w:pPr>
      <w:r>
        <w:rPr>
          <w:rFonts w:hint="eastAsia" w:ascii="仿宋_GB2312" w:hAnsi="仿宋" w:eastAsia="仿宋_GB2312"/>
          <w:b/>
          <w:color w:val="000000"/>
          <w:sz w:val="24"/>
          <w:szCs w:val="24"/>
        </w:rPr>
        <w:t>4. 招标文件的获取</w:t>
      </w:r>
    </w:p>
    <w:p>
      <w:pPr>
        <w:wordWrap w:val="0"/>
        <w:spacing w:line="480" w:lineRule="exact"/>
        <w:ind w:firstLine="570"/>
        <w:jc w:val="left"/>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4.1凡有意参加投标者，请于</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年</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月</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日至</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年</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月</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日</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时</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分，登录广元市公共资源交易网（网址：http://www.gyggzy.gov.cn）下载招标文件。</w:t>
      </w:r>
    </w:p>
    <w:p>
      <w:pPr>
        <w:wordWrap w:val="0"/>
        <w:spacing w:line="480" w:lineRule="exact"/>
        <w:jc w:val="left"/>
        <w:rPr>
          <w:rFonts w:hint="eastAsia" w:ascii="仿宋_GB2312" w:hAnsi="仿宋" w:eastAsia="仿宋_GB2312"/>
          <w:b/>
          <w:color w:val="000000"/>
          <w:sz w:val="24"/>
          <w:szCs w:val="24"/>
        </w:rPr>
      </w:pPr>
      <w:r>
        <w:rPr>
          <w:rFonts w:hint="eastAsia" w:ascii="仿宋_GB2312" w:hAnsi="仿宋" w:eastAsia="仿宋_GB2312"/>
          <w:b/>
          <w:color w:val="000000"/>
          <w:sz w:val="24"/>
          <w:szCs w:val="24"/>
        </w:rPr>
        <w:t>5. 投标文件的递交</w:t>
      </w:r>
    </w:p>
    <w:p>
      <w:pPr>
        <w:spacing w:line="480" w:lineRule="exact"/>
        <w:ind w:firstLine="237" w:firstLineChars="100"/>
        <w:jc w:val="left"/>
        <w:rPr>
          <w:rFonts w:hint="eastAsia" w:ascii="仿宋_GB2312" w:hAnsi="仿宋" w:eastAsia="仿宋_GB2312"/>
          <w:b/>
          <w:color w:val="000000"/>
          <w:sz w:val="24"/>
          <w:szCs w:val="24"/>
        </w:rPr>
      </w:pPr>
      <w:r>
        <w:rPr>
          <w:rFonts w:hint="eastAsia" w:ascii="仿宋_GB2312" w:hAnsi="仿宋" w:eastAsia="仿宋_GB2312"/>
          <w:color w:val="000000"/>
          <w:sz w:val="24"/>
          <w:szCs w:val="24"/>
        </w:rPr>
        <w:t xml:space="preserve"> 5.1  投标文件递交的截止时间(投标截止时间，下同）为</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年</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月</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日</w:t>
      </w:r>
      <w:r>
        <w:rPr>
          <w:rFonts w:hint="eastAsia" w:ascii="仿宋_GB2312" w:hAnsi="仿宋" w:eastAsia="仿宋_GB2312"/>
          <w:color w:val="000000"/>
          <w:sz w:val="24"/>
          <w:szCs w:val="24"/>
          <w:u w:val="single"/>
        </w:rPr>
        <w:t>09</w:t>
      </w:r>
      <w:r>
        <w:rPr>
          <w:rFonts w:hint="eastAsia" w:ascii="仿宋_GB2312" w:hAnsi="仿宋" w:eastAsia="仿宋_GB2312"/>
          <w:color w:val="000000"/>
          <w:sz w:val="24"/>
          <w:szCs w:val="24"/>
        </w:rPr>
        <w:t>时</w:t>
      </w:r>
      <w:r>
        <w:rPr>
          <w:rFonts w:hint="eastAsia" w:ascii="仿宋_GB2312" w:hAnsi="仿宋" w:eastAsia="仿宋_GB2312"/>
          <w:color w:val="000000"/>
          <w:sz w:val="24"/>
          <w:szCs w:val="24"/>
          <w:u w:val="single"/>
        </w:rPr>
        <w:t>30</w:t>
      </w:r>
      <w:r>
        <w:rPr>
          <w:rFonts w:hint="eastAsia" w:ascii="仿宋_GB2312" w:hAnsi="仿宋" w:eastAsia="仿宋_GB2312"/>
          <w:color w:val="000000"/>
          <w:sz w:val="24"/>
          <w:szCs w:val="24"/>
        </w:rPr>
        <w:t>分。</w:t>
      </w:r>
    </w:p>
    <w:p>
      <w:pPr>
        <w:spacing w:line="480" w:lineRule="exact"/>
        <w:ind w:firstLine="237" w:firstLineChars="100"/>
        <w:jc w:val="left"/>
        <w:rPr>
          <w:rFonts w:hint="eastAsia" w:ascii="仿宋_GB2312" w:hAnsi="仿宋" w:eastAsia="仿宋_GB2312"/>
          <w:color w:val="000000"/>
          <w:sz w:val="24"/>
          <w:szCs w:val="24"/>
        </w:rPr>
      </w:pPr>
      <w:r>
        <w:rPr>
          <w:rFonts w:hint="eastAsia" w:ascii="仿宋_GB2312" w:hAnsi="仿宋" w:eastAsia="仿宋_GB2312"/>
          <w:color w:val="000000"/>
          <w:sz w:val="24"/>
          <w:szCs w:val="24"/>
        </w:rPr>
        <w:t>5.2递交投标文件的地点为</w:t>
      </w:r>
      <w:r>
        <w:rPr>
          <w:rFonts w:hint="eastAsia" w:ascii="仿宋_GB2312" w:hAnsi="仿宋" w:eastAsia="仿宋_GB2312"/>
          <w:color w:val="000000"/>
          <w:sz w:val="24"/>
          <w:szCs w:val="24"/>
          <w:u w:val="single"/>
        </w:rPr>
        <w:t>广元市公共资源交易中心(广元市万源新区滨湖路市政务服务中心新址C区三楼本项目开标室)</w:t>
      </w:r>
      <w:r>
        <w:rPr>
          <w:rFonts w:hint="eastAsia" w:ascii="仿宋_GB2312" w:hAnsi="仿宋" w:eastAsia="仿宋_GB2312"/>
          <w:color w:val="000000"/>
          <w:sz w:val="24"/>
          <w:szCs w:val="24"/>
        </w:rPr>
        <w:t>，逾期送达的或者未送达指定地点的投标文件，视为投标无效。</w:t>
      </w:r>
    </w:p>
    <w:p>
      <w:pPr>
        <w:spacing w:line="480" w:lineRule="exact"/>
        <w:rPr>
          <w:rFonts w:hint="eastAsia" w:ascii="仿宋_GB2312" w:hAnsi="仿宋" w:eastAsia="仿宋_GB2312"/>
          <w:b/>
          <w:color w:val="000000"/>
          <w:sz w:val="24"/>
          <w:szCs w:val="24"/>
        </w:rPr>
      </w:pPr>
      <w:r>
        <w:rPr>
          <w:rFonts w:hint="eastAsia" w:ascii="仿宋_GB2312" w:hAnsi="仿宋" w:eastAsia="仿宋_GB2312"/>
          <w:b/>
          <w:color w:val="000000"/>
          <w:sz w:val="24"/>
          <w:szCs w:val="24"/>
        </w:rPr>
        <w:t>6. 发布公告的媒介</w:t>
      </w:r>
    </w:p>
    <w:p>
      <w:pPr>
        <w:spacing w:line="480" w:lineRule="exact"/>
        <w:ind w:firstLine="474"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本次招标公告同时在</w:t>
      </w:r>
      <w:r>
        <w:rPr>
          <w:rFonts w:hint="eastAsia" w:ascii="仿宋_GB2312" w:hAnsi="仿宋" w:eastAsia="仿宋_GB2312"/>
          <w:color w:val="000000"/>
          <w:sz w:val="24"/>
          <w:szCs w:val="24"/>
          <w:u w:val="single"/>
        </w:rPr>
        <w:t>广元市公共资源交易网</w:t>
      </w:r>
      <w:r>
        <w:rPr>
          <w:rFonts w:hint="eastAsia" w:ascii="仿宋_GB2312" w:hAnsi="仿宋" w:eastAsia="仿宋_GB2312"/>
          <w:color w:val="000000"/>
          <w:sz w:val="24"/>
          <w:szCs w:val="24"/>
        </w:rPr>
        <w:t>（发布公告的所有媒介名称）上发布。</w:t>
      </w:r>
    </w:p>
    <w:p>
      <w:pPr>
        <w:rPr>
          <w:rFonts w:hint="eastAsia" w:ascii="仿宋_GB2312" w:eastAsia="仿宋_GB2312"/>
          <w:b/>
          <w:color w:val="000000"/>
          <w:sz w:val="30"/>
          <w:szCs w:val="30"/>
        </w:rPr>
      </w:pPr>
      <w:r>
        <w:rPr>
          <w:rFonts w:hint="eastAsia" w:ascii="仿宋_GB2312" w:eastAsia="仿宋_GB2312"/>
          <w:b/>
          <w:color w:val="000000"/>
          <w:sz w:val="24"/>
        </w:rPr>
        <w:t>7. 联系方式</w:t>
      </w:r>
    </w:p>
    <w:p>
      <w:pPr>
        <w:rPr>
          <w:rFonts w:hint="eastAsia" w:ascii="仿宋_GB2312" w:eastAsia="仿宋_GB2312"/>
          <w:color w:val="000000"/>
          <w:sz w:val="24"/>
          <w:szCs w:val="24"/>
        </w:rPr>
      </w:pPr>
      <w:r>
        <w:rPr>
          <w:rFonts w:hint="eastAsia" w:ascii="仿宋_GB2312" w:eastAsia="仿宋_GB2312"/>
          <w:color w:val="000000"/>
          <w:sz w:val="24"/>
          <w:szCs w:val="24"/>
        </w:rPr>
        <w:t>招 标 人：</w:t>
      </w:r>
      <w:r>
        <w:rPr>
          <w:rFonts w:hint="eastAsia" w:ascii="仿宋_GB2312" w:eastAsia="仿宋_GB2312"/>
          <w:color w:val="000000"/>
          <w:sz w:val="24"/>
          <w:szCs w:val="24"/>
          <w:u w:val="single"/>
        </w:rPr>
        <w:t xml:space="preserve">                      </w:t>
      </w:r>
    </w:p>
    <w:p>
      <w:pPr>
        <w:rPr>
          <w:rFonts w:hint="eastAsia" w:ascii="仿宋_GB2312" w:eastAsia="仿宋_GB2312"/>
          <w:color w:val="000000"/>
          <w:sz w:val="24"/>
          <w:szCs w:val="24"/>
        </w:rPr>
      </w:pPr>
      <w:r>
        <w:rPr>
          <w:rFonts w:hint="eastAsia" w:ascii="仿宋_GB2312" w:eastAsia="仿宋_GB2312"/>
          <w:color w:val="000000"/>
          <w:sz w:val="24"/>
          <w:szCs w:val="24"/>
        </w:rPr>
        <w:t>地    址：</w:t>
      </w:r>
      <w:r>
        <w:rPr>
          <w:rFonts w:hint="eastAsia" w:ascii="仿宋_GB2312" w:eastAsia="仿宋_GB2312"/>
          <w:color w:val="000000"/>
          <w:sz w:val="24"/>
          <w:szCs w:val="24"/>
          <w:u w:val="single"/>
        </w:rPr>
        <w:t xml:space="preserve">                      </w:t>
      </w:r>
    </w:p>
    <w:p>
      <w:pPr>
        <w:rPr>
          <w:rFonts w:hint="eastAsia" w:ascii="仿宋_GB2312" w:eastAsia="仿宋_GB2312"/>
          <w:color w:val="000000"/>
          <w:sz w:val="24"/>
          <w:szCs w:val="24"/>
        </w:rPr>
      </w:pPr>
      <w:r>
        <w:rPr>
          <w:rFonts w:hint="eastAsia" w:ascii="仿宋_GB2312" w:eastAsia="仿宋_GB2312"/>
          <w:color w:val="000000"/>
          <w:sz w:val="24"/>
          <w:szCs w:val="24"/>
        </w:rPr>
        <w:t>联 系 人：</w:t>
      </w:r>
      <w:r>
        <w:rPr>
          <w:rFonts w:hint="eastAsia" w:ascii="仿宋_GB2312" w:eastAsia="仿宋_GB2312"/>
          <w:color w:val="000000"/>
          <w:sz w:val="24"/>
          <w:szCs w:val="24"/>
          <w:u w:val="single"/>
        </w:rPr>
        <w:t xml:space="preserve">                      </w:t>
      </w:r>
    </w:p>
    <w:p>
      <w:pPr>
        <w:rPr>
          <w:rFonts w:hint="eastAsia" w:ascii="仿宋_GB2312" w:eastAsia="仿宋_GB2312"/>
          <w:color w:val="000000"/>
          <w:sz w:val="24"/>
          <w:szCs w:val="24"/>
        </w:rPr>
      </w:pPr>
      <w:r>
        <w:rPr>
          <w:rFonts w:hint="eastAsia" w:ascii="仿宋_GB2312" w:eastAsia="仿宋_GB2312"/>
          <w:color w:val="000000"/>
          <w:sz w:val="24"/>
          <w:szCs w:val="24"/>
        </w:rPr>
        <w:t>电    话：</w:t>
      </w:r>
      <w:r>
        <w:rPr>
          <w:rFonts w:hint="eastAsia" w:ascii="仿宋_GB2312" w:eastAsia="仿宋_GB2312"/>
          <w:color w:val="000000"/>
          <w:sz w:val="24"/>
          <w:szCs w:val="24"/>
          <w:u w:val="single"/>
        </w:rPr>
        <w:t xml:space="preserve">                      </w:t>
      </w:r>
    </w:p>
    <w:p>
      <w:pPr>
        <w:rPr>
          <w:rFonts w:hint="eastAsia" w:ascii="仿宋_GB2312" w:eastAsia="仿宋_GB2312"/>
          <w:color w:val="000000"/>
          <w:sz w:val="24"/>
          <w:szCs w:val="24"/>
          <w:u w:val="single"/>
        </w:rPr>
      </w:pPr>
      <w:r>
        <w:rPr>
          <w:rFonts w:hint="eastAsia" w:ascii="仿宋_GB2312" w:eastAsia="仿宋_GB2312"/>
          <w:color w:val="000000"/>
          <w:sz w:val="24"/>
          <w:szCs w:val="24"/>
        </w:rPr>
        <w:t>传    真：</w:t>
      </w:r>
      <w:r>
        <w:rPr>
          <w:rFonts w:hint="eastAsia" w:ascii="仿宋_GB2312" w:eastAsia="仿宋_GB2312"/>
          <w:color w:val="000000"/>
          <w:sz w:val="24"/>
          <w:szCs w:val="24"/>
          <w:u w:val="single"/>
        </w:rPr>
        <w:t xml:space="preserve">                     </w:t>
      </w:r>
    </w:p>
    <w:p>
      <w:pPr>
        <w:rPr>
          <w:rFonts w:hint="eastAsia" w:ascii="仿宋_GB2312" w:eastAsia="仿宋_GB2312"/>
          <w:color w:val="000000"/>
          <w:sz w:val="24"/>
          <w:szCs w:val="24"/>
        </w:rPr>
      </w:pPr>
    </w:p>
    <w:p>
      <w:pPr>
        <w:rPr>
          <w:rFonts w:hint="eastAsia" w:ascii="仿宋_GB2312" w:eastAsia="仿宋_GB2312"/>
          <w:color w:val="000000"/>
          <w:sz w:val="24"/>
          <w:szCs w:val="24"/>
          <w:u w:val="single"/>
        </w:rPr>
      </w:pPr>
      <w:r>
        <w:rPr>
          <w:rFonts w:hint="eastAsia" w:ascii="仿宋_GB2312" w:eastAsia="仿宋_GB2312"/>
          <w:color w:val="000000"/>
          <w:sz w:val="24"/>
          <w:szCs w:val="24"/>
        </w:rPr>
        <w:t>招标代理机构：</w:t>
      </w:r>
      <w:r>
        <w:rPr>
          <w:rFonts w:hint="eastAsia" w:ascii="仿宋_GB2312" w:eastAsia="仿宋_GB2312"/>
          <w:color w:val="000000"/>
          <w:sz w:val="24"/>
          <w:szCs w:val="24"/>
          <w:u w:val="single"/>
        </w:rPr>
        <w:t xml:space="preserve">                  </w:t>
      </w:r>
    </w:p>
    <w:p>
      <w:pPr>
        <w:rPr>
          <w:rFonts w:hint="eastAsia" w:ascii="仿宋_GB2312" w:eastAsia="仿宋_GB2312"/>
          <w:color w:val="000000"/>
          <w:sz w:val="24"/>
          <w:szCs w:val="24"/>
        </w:rPr>
      </w:pPr>
      <w:r>
        <w:rPr>
          <w:rFonts w:hint="eastAsia" w:ascii="仿宋_GB2312" w:eastAsia="仿宋_GB2312"/>
          <w:color w:val="000000"/>
          <w:sz w:val="24"/>
          <w:szCs w:val="24"/>
        </w:rPr>
        <w:t>地    址：</w:t>
      </w:r>
      <w:r>
        <w:rPr>
          <w:rFonts w:hint="eastAsia" w:ascii="仿宋_GB2312" w:eastAsia="仿宋_GB2312"/>
          <w:color w:val="000000"/>
          <w:sz w:val="24"/>
          <w:szCs w:val="24"/>
          <w:u w:val="single"/>
        </w:rPr>
        <w:t xml:space="preserve">                      </w:t>
      </w:r>
    </w:p>
    <w:p>
      <w:pPr>
        <w:rPr>
          <w:rFonts w:hint="eastAsia" w:ascii="仿宋_GB2312" w:eastAsia="仿宋_GB2312"/>
          <w:color w:val="000000"/>
          <w:sz w:val="24"/>
          <w:szCs w:val="24"/>
        </w:rPr>
      </w:pPr>
      <w:r>
        <w:rPr>
          <w:rFonts w:hint="eastAsia" w:ascii="仿宋_GB2312" w:eastAsia="仿宋_GB2312"/>
          <w:color w:val="000000"/>
          <w:sz w:val="24"/>
          <w:szCs w:val="24"/>
        </w:rPr>
        <w:t>联 系 人：</w:t>
      </w:r>
      <w:r>
        <w:rPr>
          <w:rFonts w:hint="eastAsia" w:ascii="仿宋_GB2312" w:eastAsia="仿宋_GB2312"/>
          <w:color w:val="000000"/>
          <w:sz w:val="24"/>
          <w:szCs w:val="24"/>
          <w:u w:val="single"/>
        </w:rPr>
        <w:t xml:space="preserve">                      </w:t>
      </w:r>
    </w:p>
    <w:p>
      <w:pPr>
        <w:rPr>
          <w:rFonts w:hint="eastAsia" w:ascii="仿宋_GB2312" w:eastAsia="仿宋_GB2312"/>
          <w:color w:val="000000"/>
          <w:sz w:val="24"/>
          <w:szCs w:val="24"/>
        </w:rPr>
      </w:pPr>
      <w:r>
        <w:rPr>
          <w:rFonts w:hint="eastAsia" w:ascii="仿宋_GB2312" w:eastAsia="仿宋_GB2312"/>
          <w:color w:val="000000"/>
          <w:sz w:val="24"/>
          <w:szCs w:val="24"/>
        </w:rPr>
        <w:t>电    话：</w:t>
      </w:r>
      <w:r>
        <w:rPr>
          <w:rFonts w:hint="eastAsia" w:ascii="仿宋_GB2312" w:eastAsia="仿宋_GB2312"/>
          <w:color w:val="000000"/>
          <w:sz w:val="24"/>
          <w:szCs w:val="24"/>
          <w:u w:val="single"/>
        </w:rPr>
        <w:t xml:space="preserve">                      </w:t>
      </w:r>
    </w:p>
    <w:p>
      <w:pPr>
        <w:rPr>
          <w:rFonts w:hint="eastAsia" w:ascii="仿宋_GB2312" w:eastAsia="仿宋_GB2312"/>
          <w:color w:val="000000"/>
          <w:sz w:val="24"/>
          <w:szCs w:val="24"/>
        </w:rPr>
      </w:pPr>
      <w:r>
        <w:rPr>
          <w:rFonts w:hint="eastAsia" w:ascii="仿宋_GB2312" w:eastAsia="仿宋_GB2312"/>
          <w:color w:val="000000"/>
          <w:sz w:val="24"/>
          <w:szCs w:val="24"/>
        </w:rPr>
        <w:t>传    真：</w:t>
      </w:r>
      <w:r>
        <w:rPr>
          <w:rFonts w:hint="eastAsia" w:ascii="仿宋_GB2312" w:eastAsia="仿宋_GB2312"/>
          <w:color w:val="000000"/>
          <w:sz w:val="24"/>
          <w:szCs w:val="24"/>
          <w:u w:val="single"/>
        </w:rPr>
        <w:t xml:space="preserve">                      </w:t>
      </w:r>
    </w:p>
    <w:p>
      <w:pPr>
        <w:rPr>
          <w:rFonts w:hint="eastAsia" w:ascii="仿宋_GB2312" w:eastAsia="仿宋_GB2312"/>
          <w:color w:val="000000"/>
          <w:sz w:val="24"/>
          <w:szCs w:val="24"/>
        </w:rPr>
      </w:pPr>
      <w:r>
        <w:rPr>
          <w:rFonts w:hint="eastAsia" w:ascii="仿宋_GB2312" w:eastAsia="仿宋_GB2312"/>
          <w:color w:val="000000"/>
          <w:sz w:val="24"/>
          <w:szCs w:val="24"/>
        </w:rPr>
        <w:t xml:space="preserve">            </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pPr>
        <w:spacing w:line="400" w:lineRule="exact"/>
        <w:rPr>
          <w:rFonts w:hint="eastAsia" w:ascii="仿宋_GB2312" w:eastAsia="仿宋_GB2312"/>
          <w:b/>
          <w:color w:val="000000"/>
          <w:sz w:val="24"/>
        </w:rPr>
      </w:pPr>
    </w:p>
    <w:bookmarkEnd w:id="6"/>
    <w:bookmarkEnd w:id="7"/>
    <w:p>
      <w:pPr>
        <w:spacing w:line="400" w:lineRule="exact"/>
        <w:ind w:right="480"/>
        <w:jc w:val="center"/>
        <w:rPr>
          <w:rStyle w:val="18"/>
          <w:rFonts w:hint="default" w:ascii="仿宋_GB2312" w:hAnsi="仿宋" w:eastAsia="仿宋_GB2312" w:cs="仿宋"/>
          <w:color w:val="000000"/>
          <w:sz w:val="36"/>
          <w:szCs w:val="36"/>
        </w:rPr>
      </w:pPr>
      <w:r>
        <w:rPr>
          <w:rFonts w:hint="eastAsia" w:ascii="仿宋_GB2312" w:eastAsia="仿宋_GB2312"/>
          <w:color w:val="000000"/>
          <w:sz w:val="24"/>
        </w:rPr>
        <w:t>广元市公共资源交易网联系电话（兼传真）：0839-5572266。</w:t>
      </w:r>
      <w:r>
        <w:rPr>
          <w:rFonts w:hint="eastAsia" w:ascii="仿宋_GB2312" w:hAnsi="宋体" w:eastAsia="仿宋_GB2312"/>
          <w:color w:val="000000"/>
          <w:sz w:val="36"/>
        </w:rPr>
        <w:br w:type="page"/>
      </w:r>
      <w:bookmarkStart w:id="10" w:name="_Toc491162066"/>
      <w:bookmarkStart w:id="11" w:name="_Toc13145"/>
      <w:r>
        <w:rPr>
          <w:rStyle w:val="18"/>
          <w:rFonts w:hint="default" w:ascii="仿宋_GB2312" w:hAnsi="仿宋" w:eastAsia="仿宋_GB2312" w:cs="仿宋"/>
          <w:color w:val="000000"/>
          <w:sz w:val="36"/>
          <w:szCs w:val="36"/>
        </w:rPr>
        <w:t>第二章 投标人须知</w:t>
      </w:r>
      <w:bookmarkEnd w:id="0"/>
      <w:bookmarkEnd w:id="10"/>
      <w:bookmarkEnd w:id="11"/>
    </w:p>
    <w:p>
      <w:pPr>
        <w:pStyle w:val="3"/>
        <w:jc w:val="center"/>
        <w:rPr>
          <w:rFonts w:hint="eastAsia" w:ascii="仿宋_GB2312" w:hAnsi="宋体" w:eastAsia="仿宋_GB2312"/>
          <w:color w:val="000000"/>
          <w:sz w:val="28"/>
        </w:rPr>
      </w:pPr>
      <w:bookmarkStart w:id="12" w:name="_Toc16499"/>
      <w:bookmarkStart w:id="13" w:name="_Toc185047254"/>
      <w:bookmarkStart w:id="14" w:name="_Toc225045501"/>
      <w:r>
        <w:rPr>
          <w:rFonts w:hint="eastAsia" w:ascii="仿宋_GB2312" w:hAnsi="宋体" w:eastAsia="仿宋_GB2312"/>
          <w:color w:val="000000"/>
          <w:sz w:val="28"/>
        </w:rPr>
        <w:t>投标人须知前附表</w:t>
      </w:r>
      <w:bookmarkEnd w:id="12"/>
      <w:bookmarkEnd w:id="13"/>
      <w:bookmarkEnd w:id="14"/>
    </w:p>
    <w:tbl>
      <w:tblPr>
        <w:tblStyle w:val="10"/>
        <w:tblW w:w="10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19"/>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jc w:val="center"/>
              <w:rPr>
                <w:rFonts w:hint="eastAsia" w:ascii="仿宋_GB2312" w:hAnsi="宋体" w:eastAsia="仿宋_GB2312"/>
                <w:b/>
                <w:color w:val="000000"/>
                <w:sz w:val="24"/>
                <w:szCs w:val="24"/>
              </w:rPr>
            </w:pPr>
            <w:r>
              <w:rPr>
                <w:rFonts w:hint="eastAsia" w:ascii="仿宋_GB2312" w:hAnsi="宋体" w:eastAsia="仿宋_GB2312"/>
                <w:b/>
                <w:color w:val="000000"/>
                <w:sz w:val="24"/>
                <w:szCs w:val="24"/>
              </w:rPr>
              <w:t>条款号</w:t>
            </w:r>
          </w:p>
        </w:tc>
        <w:tc>
          <w:tcPr>
            <w:tcW w:w="2219" w:type="dxa"/>
            <w:vAlign w:val="center"/>
          </w:tcPr>
          <w:p>
            <w:pPr>
              <w:spacing w:line="500" w:lineRule="exact"/>
              <w:jc w:val="center"/>
              <w:rPr>
                <w:rFonts w:hint="eastAsia" w:ascii="仿宋_GB2312" w:hAnsi="宋体" w:eastAsia="仿宋_GB2312"/>
                <w:b/>
                <w:color w:val="000000"/>
                <w:sz w:val="24"/>
                <w:szCs w:val="24"/>
              </w:rPr>
            </w:pPr>
            <w:r>
              <w:rPr>
                <w:rFonts w:hint="eastAsia" w:ascii="仿宋_GB2312" w:hAnsi="宋体" w:eastAsia="仿宋_GB2312"/>
                <w:b/>
                <w:color w:val="000000"/>
                <w:sz w:val="24"/>
                <w:szCs w:val="24"/>
              </w:rPr>
              <w:t>条 款 名 称</w:t>
            </w:r>
          </w:p>
        </w:tc>
        <w:tc>
          <w:tcPr>
            <w:tcW w:w="7655" w:type="dxa"/>
            <w:vAlign w:val="center"/>
          </w:tcPr>
          <w:p>
            <w:pPr>
              <w:spacing w:line="500" w:lineRule="exact"/>
              <w:jc w:val="center"/>
              <w:rPr>
                <w:rFonts w:hint="eastAsia" w:ascii="仿宋_GB2312" w:hAnsi="宋体" w:eastAsia="仿宋_GB2312"/>
                <w:b/>
                <w:color w:val="000000"/>
                <w:sz w:val="24"/>
                <w:szCs w:val="24"/>
              </w:rPr>
            </w:pPr>
            <w:r>
              <w:rPr>
                <w:rFonts w:hint="eastAsia" w:ascii="仿宋_GB2312" w:hAnsi="宋体" w:eastAsia="仿宋_GB2312"/>
                <w:b/>
                <w:color w:val="000000"/>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1.1.2</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项目名称</w:t>
            </w:r>
          </w:p>
        </w:tc>
        <w:tc>
          <w:tcPr>
            <w:tcW w:w="7655" w:type="dxa"/>
            <w:vAlign w:val="center"/>
          </w:tcPr>
          <w:p>
            <w:pPr>
              <w:spacing w:line="50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1.1.3</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建设地点</w:t>
            </w:r>
          </w:p>
        </w:tc>
        <w:tc>
          <w:tcPr>
            <w:tcW w:w="7655" w:type="dxa"/>
            <w:vAlign w:val="center"/>
          </w:tcPr>
          <w:p>
            <w:pPr>
              <w:spacing w:line="50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1.1.4</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资金来源</w:t>
            </w:r>
          </w:p>
        </w:tc>
        <w:tc>
          <w:tcPr>
            <w:tcW w:w="7655" w:type="dxa"/>
            <w:vAlign w:val="center"/>
          </w:tcPr>
          <w:p>
            <w:pPr>
              <w:spacing w:line="50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1.1.5</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出资比例</w:t>
            </w:r>
          </w:p>
        </w:tc>
        <w:tc>
          <w:tcPr>
            <w:tcW w:w="7655" w:type="dxa"/>
            <w:vAlign w:val="center"/>
          </w:tcPr>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1.2.1</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资金落实情况</w:t>
            </w:r>
          </w:p>
        </w:tc>
        <w:tc>
          <w:tcPr>
            <w:tcW w:w="7655" w:type="dxa"/>
            <w:vAlign w:val="center"/>
          </w:tcPr>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1.3.1</w:t>
            </w:r>
          </w:p>
        </w:tc>
        <w:tc>
          <w:tcPr>
            <w:tcW w:w="2219" w:type="dxa"/>
            <w:vAlign w:val="center"/>
          </w:tcPr>
          <w:p>
            <w:pPr>
              <w:autoSpaceDE w:val="0"/>
              <w:autoSpaceDN w:val="0"/>
              <w:adjustRightInd w:val="0"/>
              <w:spacing w:line="500" w:lineRule="exact"/>
              <w:rPr>
                <w:rFonts w:hint="eastAsia" w:ascii="仿宋_GB2312" w:eastAsia="仿宋_GB2312"/>
                <w:color w:val="000000"/>
                <w:sz w:val="24"/>
                <w:szCs w:val="24"/>
              </w:rPr>
            </w:pPr>
            <w:r>
              <w:rPr>
                <w:rFonts w:hint="eastAsia" w:ascii="仿宋_GB2312" w:eastAsia="仿宋_GB2312"/>
                <w:color w:val="000000"/>
                <w:sz w:val="24"/>
                <w:szCs w:val="24"/>
              </w:rPr>
              <w:t>招标范围及内容</w:t>
            </w:r>
          </w:p>
        </w:tc>
        <w:tc>
          <w:tcPr>
            <w:tcW w:w="7655" w:type="dxa"/>
            <w:vAlign w:val="center"/>
          </w:tcPr>
          <w:p>
            <w:pPr>
              <w:spacing w:line="500" w:lineRule="exact"/>
              <w:rPr>
                <w:rFonts w:hint="eastAsia" w:ascii="仿宋_GB2312" w:eastAsia="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1.3.2</w:t>
            </w:r>
          </w:p>
        </w:tc>
        <w:tc>
          <w:tcPr>
            <w:tcW w:w="2219" w:type="dxa"/>
            <w:vAlign w:val="center"/>
          </w:tcPr>
          <w:p>
            <w:pPr>
              <w:spacing w:line="500" w:lineRule="exact"/>
              <w:jc w:val="center"/>
              <w:rPr>
                <w:rFonts w:hint="eastAsia" w:ascii="仿宋_GB2312" w:eastAsia="仿宋_GB2312"/>
                <w:color w:val="000000"/>
                <w:sz w:val="24"/>
                <w:szCs w:val="24"/>
              </w:rPr>
            </w:pPr>
            <w:r>
              <w:rPr>
                <w:rFonts w:hint="eastAsia" w:ascii="仿宋_GB2312" w:eastAsia="仿宋_GB2312"/>
                <w:color w:val="000000"/>
                <w:sz w:val="24"/>
                <w:szCs w:val="24"/>
              </w:rPr>
              <w:t>工期</w:t>
            </w:r>
          </w:p>
        </w:tc>
        <w:tc>
          <w:tcPr>
            <w:tcW w:w="7655" w:type="dxa"/>
            <w:vAlign w:val="center"/>
          </w:tcPr>
          <w:p>
            <w:pPr>
              <w:spacing w:line="500" w:lineRule="exact"/>
              <w:textAlignment w:val="baseline"/>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1.4.1</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投标人资质条件、能力和信誉</w:t>
            </w:r>
          </w:p>
        </w:tc>
        <w:tc>
          <w:tcPr>
            <w:tcW w:w="7655" w:type="dxa"/>
            <w:vAlign w:val="center"/>
          </w:tcPr>
          <w:p>
            <w:pPr>
              <w:spacing w:line="440" w:lineRule="exact"/>
              <w:rPr>
                <w:rFonts w:hint="eastAsia" w:ascii="仿宋_GB2312" w:hAnsi="仿宋" w:eastAsia="仿宋_GB2312"/>
                <w:color w:val="000000"/>
                <w:sz w:val="24"/>
                <w:szCs w:val="24"/>
                <w:u w:val="single"/>
              </w:rPr>
            </w:pPr>
            <w:r>
              <w:rPr>
                <w:rFonts w:hint="eastAsia" w:ascii="仿宋_GB2312" w:hAnsi="宋体" w:eastAsia="仿宋_GB2312"/>
                <w:b/>
                <w:bCs/>
                <w:color w:val="000000"/>
                <w:sz w:val="24"/>
                <w:szCs w:val="24"/>
              </w:rPr>
              <w:t>资质等级要求</w:t>
            </w:r>
            <w:r>
              <w:rPr>
                <w:rFonts w:hint="eastAsia" w:ascii="仿宋_GB2312" w:hAnsi="宋体" w:eastAsia="仿宋_GB2312"/>
                <w:color w:val="000000"/>
                <w:sz w:val="24"/>
                <w:szCs w:val="24"/>
              </w:rPr>
              <w:t>：</w:t>
            </w:r>
            <w:r>
              <w:rPr>
                <w:rFonts w:hint="eastAsia" w:ascii="仿宋_GB2312" w:hAnsi="宋体" w:eastAsia="仿宋_GB2312"/>
                <w:color w:val="000000"/>
                <w:sz w:val="24"/>
                <w:szCs w:val="24"/>
                <w:u w:val="single"/>
              </w:rPr>
              <w:t xml:space="preserve">           </w:t>
            </w:r>
          </w:p>
          <w:p>
            <w:pPr>
              <w:spacing w:line="400" w:lineRule="exact"/>
              <w:rPr>
                <w:rFonts w:hint="eastAsia" w:ascii="仿宋_GB2312" w:hAnsi="宋体" w:eastAsia="仿宋_GB2312"/>
                <w:color w:val="000000"/>
                <w:sz w:val="24"/>
              </w:rPr>
            </w:pPr>
            <w:r>
              <w:rPr>
                <w:rFonts w:hint="eastAsia" w:ascii="仿宋_GB2312" w:hAnsi="宋体" w:eastAsia="仿宋_GB2312"/>
                <w:b/>
                <w:bCs/>
                <w:color w:val="000000"/>
                <w:sz w:val="24"/>
              </w:rPr>
              <w:t>财务要求</w:t>
            </w:r>
            <w:r>
              <w:rPr>
                <w:rFonts w:hint="eastAsia" w:ascii="仿宋_GB2312" w:hAnsi="宋体" w:eastAsia="仿宋_GB2312"/>
                <w:color w:val="000000"/>
                <w:sz w:val="24"/>
              </w:rPr>
              <w:t>：</w:t>
            </w:r>
          </w:p>
          <w:p>
            <w:pPr>
              <w:spacing w:line="400" w:lineRule="exact"/>
              <w:rPr>
                <w:rFonts w:hint="eastAsia" w:ascii="仿宋_GB2312" w:eastAsia="仿宋_GB2312"/>
                <w:color w:val="000000"/>
                <w:sz w:val="24"/>
              </w:rPr>
            </w:pPr>
            <w:r>
              <w:rPr>
                <w:rFonts w:hint="eastAsia" w:ascii="仿宋_GB2312" w:hAnsi="宋体" w:eastAsia="仿宋_GB2312"/>
                <w:color w:val="000000"/>
                <w:sz w:val="24"/>
                <w:szCs w:val="24"/>
              </w:rPr>
              <w:t>近</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年（限定在3年以内）无亏损</w:t>
            </w:r>
            <w:r>
              <w:rPr>
                <w:rFonts w:hint="eastAsia" w:ascii="仿宋_GB2312" w:hAnsi="宋体" w:eastAsia="仿宋_GB2312"/>
                <w:color w:val="000000"/>
                <w:sz w:val="24"/>
              </w:rPr>
              <w:t>。</w:t>
            </w:r>
          </w:p>
          <w:p>
            <w:pPr>
              <w:spacing w:line="440" w:lineRule="exact"/>
              <w:textAlignment w:val="baseline"/>
              <w:rPr>
                <w:rFonts w:hint="eastAsia" w:ascii="仿宋_GB2312" w:hAnsi="宋体" w:eastAsia="仿宋_GB2312"/>
                <w:color w:val="000000"/>
                <w:sz w:val="24"/>
                <w:szCs w:val="24"/>
              </w:rPr>
            </w:pPr>
            <w:r>
              <w:rPr>
                <w:rFonts w:hint="eastAsia" w:ascii="仿宋_GB2312" w:hAnsi="宋体" w:eastAsia="仿宋_GB2312"/>
                <w:b/>
                <w:bCs/>
                <w:color w:val="000000"/>
                <w:sz w:val="24"/>
                <w:szCs w:val="24"/>
              </w:rPr>
              <w:t>业绩要求</w:t>
            </w:r>
            <w:r>
              <w:rPr>
                <w:rFonts w:hint="eastAsia" w:ascii="仿宋_GB2312" w:hAnsi="宋体" w:eastAsia="仿宋_GB2312"/>
                <w:color w:val="000000"/>
                <w:sz w:val="24"/>
                <w:szCs w:val="24"/>
              </w:rPr>
              <w:t>：</w:t>
            </w:r>
          </w:p>
          <w:p>
            <w:pPr>
              <w:spacing w:line="440" w:lineRule="exact"/>
              <w:textAlignment w:val="baseline"/>
              <w:rPr>
                <w:rFonts w:hint="eastAsia" w:ascii="仿宋_GB2312" w:hAnsi="宋体" w:eastAsia="仿宋_GB2312"/>
                <w:color w:val="000000"/>
                <w:sz w:val="24"/>
                <w:szCs w:val="24"/>
              </w:rPr>
            </w:pPr>
            <w:r>
              <w:rPr>
                <w:rFonts w:hint="eastAsia" w:ascii="仿宋_GB2312" w:hAnsi="宋体" w:eastAsia="仿宋_GB2312"/>
                <w:color w:val="000000"/>
                <w:sz w:val="24"/>
                <w:szCs w:val="24"/>
              </w:rPr>
              <w:t>近</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年至</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年）已完成</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类似项目业绩。</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5年内，0～3个</w:t>
            </w:r>
            <w:r>
              <w:rPr>
                <w:rFonts w:hint="eastAsia" w:ascii="仿宋_GB2312" w:hAnsi="宋体" w:eastAsia="仿宋_GB2312"/>
                <w:color w:val="000000"/>
                <w:sz w:val="24"/>
                <w:szCs w:val="24"/>
                <w:lang w:eastAsia="zh-CN"/>
              </w:rPr>
              <w:t>）</w:t>
            </w:r>
          </w:p>
          <w:p>
            <w:pPr>
              <w:spacing w:line="440" w:lineRule="exact"/>
              <w:textAlignment w:val="baseline"/>
              <w:rPr>
                <w:rFonts w:hint="eastAsia" w:ascii="仿宋_GB2312" w:hAnsi="宋体" w:eastAsia="仿宋_GB2312"/>
                <w:color w:val="000000"/>
                <w:sz w:val="24"/>
                <w:szCs w:val="24"/>
                <w:u w:val="single"/>
              </w:rPr>
            </w:pPr>
            <w:r>
              <w:rPr>
                <w:rFonts w:hint="eastAsia" w:ascii="仿宋_GB2312" w:hAnsi="宋体" w:eastAsia="仿宋_GB2312"/>
                <w:color w:val="000000"/>
                <w:sz w:val="24"/>
                <w:szCs w:val="24"/>
              </w:rPr>
              <w:t>类似项目业绩是指：</w:t>
            </w:r>
            <w:r>
              <w:rPr>
                <w:rFonts w:hint="eastAsia" w:ascii="仿宋_GB2312" w:hAnsi="宋体" w:eastAsia="仿宋_GB2312"/>
                <w:color w:val="000000"/>
                <w:sz w:val="24"/>
                <w:szCs w:val="24"/>
                <w:u w:val="single"/>
              </w:rPr>
              <w:t xml:space="preserve">                        </w:t>
            </w:r>
          </w:p>
          <w:p>
            <w:pPr>
              <w:spacing w:line="440" w:lineRule="exact"/>
              <w:rPr>
                <w:rFonts w:hint="eastAsia" w:ascii="仿宋_GB2312" w:hAnsi="宋体" w:eastAsia="仿宋_GB2312"/>
                <w:color w:val="000000"/>
                <w:sz w:val="24"/>
                <w:szCs w:val="24"/>
                <w:u w:val="single"/>
              </w:rPr>
            </w:pPr>
            <w:r>
              <w:rPr>
                <w:rFonts w:hint="eastAsia" w:ascii="仿宋_GB2312" w:hAnsi="宋体" w:eastAsia="仿宋_GB2312"/>
                <w:color w:val="000000"/>
                <w:sz w:val="24"/>
                <w:szCs w:val="24"/>
              </w:rPr>
              <w:t>信誉要求：没有处于投标禁入期内及无不良行为记录。</w:t>
            </w:r>
          </w:p>
          <w:p>
            <w:pPr>
              <w:spacing w:line="44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项目负责人资格：</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（执业资格、职称等要求）。</w:t>
            </w:r>
          </w:p>
          <w:p>
            <w:pPr>
              <w:spacing w:line="44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近</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年已完成不少于</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个（0至1个）类似项目业绩。</w:t>
            </w:r>
          </w:p>
          <w:p>
            <w:pPr>
              <w:spacing w:line="44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lang w:eastAsia="zh-CN"/>
              </w:rPr>
              <w:t>技术</w:t>
            </w:r>
            <w:r>
              <w:rPr>
                <w:rFonts w:hint="eastAsia" w:ascii="仿宋_GB2312" w:hAnsi="宋体" w:eastAsia="仿宋_GB2312"/>
                <w:color w:val="000000"/>
                <w:sz w:val="24"/>
                <w:szCs w:val="24"/>
              </w:rPr>
              <w:t>负责人资格：</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（执业资格、职称等要求）。</w:t>
            </w:r>
          </w:p>
          <w:p>
            <w:pPr>
              <w:spacing w:line="44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近</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年已完成不少于</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个（0至1个）类似项目业绩。</w:t>
            </w:r>
          </w:p>
          <w:p>
            <w:pPr>
              <w:spacing w:line="44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 其他人员要求：</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(根据招标类型设置人员要求)</w:t>
            </w:r>
          </w:p>
          <w:p>
            <w:pPr>
              <w:spacing w:line="44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（1）配备的项目班子人员应是进入</w:t>
            </w:r>
            <w:r>
              <w:rPr>
                <w:rFonts w:hint="eastAsia" w:ascii="仿宋_GB2312" w:hAnsi="仿宋" w:eastAsia="仿宋_GB2312"/>
                <w:color w:val="000000"/>
                <w:sz w:val="24"/>
                <w:szCs w:val="24"/>
              </w:rPr>
              <w:t>“广元市交通建设项目施工预选承包商库 ”里面的班子人员</w:t>
            </w:r>
            <w:r>
              <w:rPr>
                <w:rFonts w:hint="eastAsia" w:ascii="仿宋_GB2312" w:hAnsi="宋体" w:eastAsia="仿宋_GB2312"/>
                <w:color w:val="000000"/>
                <w:sz w:val="24"/>
                <w:szCs w:val="24"/>
              </w:rPr>
              <w:t>，并按 “投标文件格式”的“主要人员简历表”要求填写和提供相应的证明、证件和社保证明。</w:t>
            </w:r>
          </w:p>
          <w:p>
            <w:pPr>
              <w:spacing w:line="44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（2）企业注册地不在四川省行政区域内的外地企业须提供有效的入川承揽业务信息录入证。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1.4.2</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是否接受</w:t>
            </w:r>
          </w:p>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联合体投标</w:t>
            </w:r>
          </w:p>
        </w:tc>
        <w:tc>
          <w:tcPr>
            <w:tcW w:w="7655" w:type="dxa"/>
            <w:vAlign w:val="center"/>
          </w:tcPr>
          <w:p>
            <w:pPr>
              <w:spacing w:line="44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□不接受</w:t>
            </w:r>
          </w:p>
          <w:p>
            <w:pPr>
              <w:spacing w:line="44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□接受，应满足下列要求：</w:t>
            </w:r>
          </w:p>
          <w:p>
            <w:pPr>
              <w:spacing w:line="44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 </w:t>
            </w:r>
            <w:r>
              <w:rPr>
                <w:rFonts w:hint="eastAsia" w:ascii="仿宋_GB2312" w:hAnsi="宋体" w:eastAsia="仿宋_GB2312"/>
                <w:color w:val="000000"/>
                <w:sz w:val="24"/>
                <w:szCs w:val="24"/>
                <w:u w:val="single"/>
              </w:rPr>
              <w:t xml:space="preserve">  </w:t>
            </w:r>
            <w:r>
              <w:rPr>
                <w:rFonts w:hint="eastAsia" w:ascii="仿宋_GB2312" w:hAnsi="仿宋" w:eastAsia="仿宋_GB2312"/>
                <w:color w:val="000000"/>
                <w:sz w:val="24"/>
                <w:szCs w:val="24"/>
                <w:u w:val="single"/>
              </w:rPr>
              <w:t>牵头人为XXXX 资质单位，联合体所有成员均必须为进入 “广元市交通建设项目施工预选承包商储备库 ”的单位并提交联合体协议书。在进入项目抽取环节时只抽牵头人 。</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w:t>
            </w:r>
          </w:p>
          <w:p>
            <w:pPr>
              <w:spacing w:line="440" w:lineRule="exact"/>
              <w:rPr>
                <w:rFonts w:hint="eastAsia" w:ascii="仿宋_GB2312" w:hAnsi="仿宋_GB2312" w:eastAsia="仿宋_GB2312"/>
                <w:color w:val="000000"/>
                <w:sz w:val="24"/>
                <w:szCs w:val="24"/>
              </w:rPr>
            </w:pPr>
            <w:r>
              <w:rPr>
                <w:rFonts w:hint="eastAsia" w:ascii="仿宋_GB2312" w:hAnsi="宋体" w:eastAsia="仿宋_GB2312"/>
                <w:color w:val="000000"/>
                <w:sz w:val="24"/>
                <w:szCs w:val="24"/>
              </w:rPr>
              <w:t>注：本项为单项选择。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1.4.3</w:t>
            </w:r>
          </w:p>
        </w:tc>
        <w:tc>
          <w:tcPr>
            <w:tcW w:w="2219" w:type="dxa"/>
            <w:vAlign w:val="center"/>
          </w:tcPr>
          <w:p>
            <w:pPr>
              <w:spacing w:line="500" w:lineRule="exact"/>
              <w:jc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限制投标的情形</w:t>
            </w:r>
          </w:p>
        </w:tc>
        <w:tc>
          <w:tcPr>
            <w:tcW w:w="7655" w:type="dxa"/>
            <w:vAlign w:val="center"/>
          </w:tcPr>
          <w:p>
            <w:pPr>
              <w:spacing w:line="440" w:lineRule="exact"/>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投标人不得存在下列情形之一：</w:t>
            </w:r>
          </w:p>
          <w:p>
            <w:pPr>
              <w:numPr>
                <w:ilvl w:val="0"/>
                <w:numId w:val="0"/>
              </w:numPr>
              <w:spacing w:line="440" w:lineRule="exact"/>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（1）四川省国家投资建设项目的第一中标候选人以资金、技术、工期等非正当理由放弃中标的，在</w:t>
            </w:r>
            <w:r>
              <w:rPr>
                <w:rFonts w:hint="eastAsia" w:ascii="仿宋_GB2312" w:hAnsi="宋体" w:eastAsia="仿宋_GB2312"/>
                <w:color w:val="000000"/>
                <w:sz w:val="24"/>
                <w:szCs w:val="24"/>
                <w:u w:val="single"/>
                <w:lang w:val="en-US" w:eastAsia="zh-CN"/>
              </w:rPr>
              <w:t xml:space="preserve"> 3 </w:t>
            </w:r>
            <w:r>
              <w:rPr>
                <w:rFonts w:hint="eastAsia" w:ascii="仿宋_GB2312" w:hAnsi="宋体" w:eastAsia="仿宋_GB2312"/>
                <w:color w:val="000000"/>
                <w:sz w:val="24"/>
                <w:szCs w:val="24"/>
                <w:lang w:val="en-US" w:eastAsia="zh-CN"/>
              </w:rPr>
              <w:t>年内不接受其投标；</w:t>
            </w:r>
          </w:p>
          <w:p>
            <w:pPr>
              <w:numPr>
                <w:ilvl w:val="0"/>
                <w:numId w:val="0"/>
              </w:numPr>
              <w:spacing w:line="440" w:lineRule="exact"/>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（2）因重大质量安全违法违规的企业和个人被有关行政主管部门行政处罚的，在</w:t>
            </w:r>
            <w:r>
              <w:rPr>
                <w:rFonts w:hint="eastAsia" w:ascii="仿宋_GB2312" w:hAnsi="宋体" w:eastAsia="仿宋_GB2312"/>
                <w:color w:val="000000"/>
                <w:sz w:val="24"/>
                <w:szCs w:val="24"/>
                <w:u w:val="single"/>
                <w:lang w:val="en-US" w:eastAsia="zh-CN"/>
              </w:rPr>
              <w:t xml:space="preserve"> 3 </w:t>
            </w:r>
            <w:r>
              <w:rPr>
                <w:rFonts w:hint="eastAsia" w:ascii="仿宋_GB2312" w:hAnsi="宋体" w:eastAsia="仿宋_GB2312"/>
                <w:color w:val="000000"/>
                <w:sz w:val="24"/>
                <w:szCs w:val="24"/>
                <w:lang w:val="en-US" w:eastAsia="zh-CN"/>
              </w:rPr>
              <w:t>年内不接受其投标；</w:t>
            </w:r>
          </w:p>
          <w:p>
            <w:pPr>
              <w:numPr>
                <w:ilvl w:val="0"/>
                <w:numId w:val="0"/>
              </w:numPr>
              <w:spacing w:line="440" w:lineRule="exact"/>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（3）近半年内在所有招投标和合同履行过程中因招投标或安全质量违法违规被监督部门行政处罚的；</w:t>
            </w:r>
          </w:p>
          <w:p>
            <w:pPr>
              <w:numPr>
                <w:ilvl w:val="0"/>
                <w:numId w:val="0"/>
              </w:numPr>
              <w:spacing w:line="440" w:lineRule="exact"/>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（4）近3年内在招投标和合同履行过程中有腐败行为并被司法机关认定为犯罪的；</w:t>
            </w:r>
          </w:p>
          <w:p>
            <w:pPr>
              <w:numPr>
                <w:ilvl w:val="0"/>
                <w:numId w:val="0"/>
              </w:numPr>
              <w:spacing w:line="440" w:lineRule="exact"/>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（5）近3年内，在招标人（包括与本项目招标人有股权或隶属关系的招标人）的既往项目合同履行过程中，被监督部门或司法机关认定投标人不履行合同、项目负责人或主要技术责任人被招标人撤换的；</w:t>
            </w:r>
          </w:p>
          <w:p>
            <w:pPr>
              <w:numPr>
                <w:ilvl w:val="0"/>
                <w:numId w:val="0"/>
              </w:numPr>
              <w:spacing w:line="440" w:lineRule="exact"/>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（6）投标人与招标人相互参股或相互任职。</w:t>
            </w:r>
          </w:p>
          <w:p>
            <w:pPr>
              <w:widowControl w:val="0"/>
              <w:numPr>
                <w:ilvl w:val="0"/>
                <w:numId w:val="0"/>
              </w:numPr>
              <w:spacing w:line="440" w:lineRule="exact"/>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有下列情形之一，不得在同一项目（标段）中同时投标：</w:t>
            </w:r>
          </w:p>
          <w:p>
            <w:pPr>
              <w:widowControl w:val="0"/>
              <w:numPr>
                <w:ilvl w:val="0"/>
                <w:numId w:val="0"/>
              </w:numPr>
              <w:spacing w:line="440" w:lineRule="exact"/>
              <w:ind w:firstLine="237" w:firstLineChars="100"/>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1）法定代表人为同一人；</w:t>
            </w:r>
          </w:p>
          <w:p>
            <w:pPr>
              <w:widowControl w:val="0"/>
              <w:numPr>
                <w:ilvl w:val="0"/>
                <w:numId w:val="0"/>
              </w:numPr>
              <w:spacing w:line="440" w:lineRule="exact"/>
              <w:ind w:firstLine="237" w:firstLineChars="100"/>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2）母公司与其全资子公司；</w:t>
            </w:r>
          </w:p>
          <w:p>
            <w:pPr>
              <w:widowControl w:val="0"/>
              <w:numPr>
                <w:ilvl w:val="0"/>
                <w:numId w:val="0"/>
              </w:numPr>
              <w:spacing w:line="440" w:lineRule="exact"/>
              <w:ind w:firstLine="237" w:firstLineChars="100"/>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3）母公司与其控股公司（直接或间接持股不低于30%）；</w:t>
            </w:r>
          </w:p>
          <w:p>
            <w:pPr>
              <w:widowControl w:val="0"/>
              <w:numPr>
                <w:ilvl w:val="0"/>
                <w:numId w:val="0"/>
              </w:numPr>
              <w:spacing w:line="440" w:lineRule="exact"/>
              <w:ind w:firstLine="237" w:firstLineChars="100"/>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4）被同一法人直接或间接持股不低于30%的两个及两个以上法人；</w:t>
            </w:r>
          </w:p>
          <w:p>
            <w:pPr>
              <w:widowControl w:val="0"/>
              <w:numPr>
                <w:ilvl w:val="0"/>
                <w:numId w:val="0"/>
              </w:numPr>
              <w:spacing w:line="440" w:lineRule="exact"/>
              <w:ind w:firstLine="237" w:firstLineChars="100"/>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5)具有投资参股关系的关联企业；</w:t>
            </w:r>
          </w:p>
          <w:p>
            <w:pPr>
              <w:widowControl w:val="0"/>
              <w:numPr>
                <w:ilvl w:val="0"/>
                <w:numId w:val="0"/>
              </w:numPr>
              <w:spacing w:line="440" w:lineRule="exact"/>
              <w:ind w:firstLine="237" w:firstLineChars="100"/>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6)相互任职或工作的；</w:t>
            </w:r>
          </w:p>
          <w:p>
            <w:pPr>
              <w:numPr>
                <w:ilvl w:val="0"/>
                <w:numId w:val="0"/>
              </w:numPr>
              <w:spacing w:line="440" w:lineRule="exact"/>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（7）在省交通运输厅信用等级评价中评为D级。</w:t>
            </w:r>
          </w:p>
          <w:p>
            <w:pPr>
              <w:numPr>
                <w:ilvl w:val="0"/>
                <w:numId w:val="0"/>
              </w:numPr>
              <w:spacing w:line="440" w:lineRule="exact"/>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注：除以上限制投标的情形和法律法规另有规定外，招标人不再另增加限制投标的情形。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1.5.1</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投标人提出问题的</w:t>
            </w:r>
          </w:p>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截止时间</w:t>
            </w:r>
          </w:p>
        </w:tc>
        <w:tc>
          <w:tcPr>
            <w:tcW w:w="7655" w:type="dxa"/>
            <w:vAlign w:val="bottom"/>
          </w:tcPr>
          <w:p>
            <w:pPr>
              <w:adjustRightInd w:val="0"/>
              <w:snapToGrid w:val="0"/>
              <w:spacing w:line="360" w:lineRule="auto"/>
              <w:jc w:val="both"/>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 </w:t>
            </w:r>
            <w:r>
              <w:rPr>
                <w:rFonts w:hint="eastAsia" w:ascii="仿宋_GB2312" w:hAnsi="宋体" w:eastAsia="仿宋_GB2312"/>
                <w:color w:val="00000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1.5.2</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招标人书面澄清的</w:t>
            </w:r>
          </w:p>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时间</w:t>
            </w:r>
          </w:p>
        </w:tc>
        <w:tc>
          <w:tcPr>
            <w:tcW w:w="7655" w:type="dxa"/>
            <w:vAlign w:val="bottom"/>
          </w:tcPr>
          <w:p>
            <w:pPr>
              <w:adjustRightInd w:val="0"/>
              <w:snapToGrid w:val="0"/>
              <w:spacing w:line="360" w:lineRule="auto"/>
              <w:jc w:val="both"/>
              <w:rPr>
                <w:rFonts w:hint="eastAsia" w:ascii="仿宋_GB2312" w:hAnsi="宋体" w:eastAsia="仿宋_GB2312"/>
                <w:color w:val="000000"/>
                <w:sz w:val="24"/>
                <w:szCs w:val="24"/>
              </w:rPr>
            </w:pP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1.6</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分包</w:t>
            </w:r>
          </w:p>
        </w:tc>
        <w:tc>
          <w:tcPr>
            <w:tcW w:w="7655" w:type="dxa"/>
            <w:vAlign w:val="center"/>
          </w:tcPr>
          <w:p>
            <w:pPr>
              <w:spacing w:line="44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□不允许</w:t>
            </w:r>
          </w:p>
          <w:p>
            <w:pPr>
              <w:spacing w:line="44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□允许</w:t>
            </w:r>
          </w:p>
          <w:p>
            <w:pPr>
              <w:adjustRightInd w:val="0"/>
              <w:snapToGrid w:val="0"/>
              <w:spacing w:line="440" w:lineRule="exact"/>
              <w:jc w:val="left"/>
              <w:rPr>
                <w:rFonts w:ascii="仿宋_GB2312" w:hAnsi="宋体" w:eastAsia="仿宋_GB2312"/>
                <w:color w:val="000000"/>
                <w:sz w:val="24"/>
                <w:szCs w:val="24"/>
              </w:rPr>
            </w:pPr>
            <w:r>
              <w:rPr>
                <w:rFonts w:hint="eastAsia" w:ascii="仿宋_GB2312" w:hAnsi="宋体" w:eastAsia="仿宋_GB2312"/>
                <w:color w:val="000000"/>
                <w:sz w:val="24"/>
                <w:szCs w:val="24"/>
              </w:rPr>
              <w:t>分包内容要求：</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w:t>
            </w:r>
          </w:p>
          <w:p>
            <w:pPr>
              <w:adjustRightInd w:val="0"/>
              <w:snapToGrid w:val="0"/>
              <w:spacing w:line="440" w:lineRule="exact"/>
              <w:jc w:val="left"/>
              <w:rPr>
                <w:rFonts w:ascii="仿宋_GB2312" w:hAnsi="宋体" w:eastAsia="仿宋_GB2312"/>
                <w:color w:val="000000"/>
                <w:sz w:val="24"/>
                <w:szCs w:val="24"/>
              </w:rPr>
            </w:pPr>
            <w:r>
              <w:rPr>
                <w:rFonts w:hint="eastAsia" w:ascii="仿宋_GB2312" w:hAnsi="宋体" w:eastAsia="仿宋_GB2312"/>
                <w:color w:val="000000"/>
                <w:sz w:val="24"/>
                <w:szCs w:val="24"/>
              </w:rPr>
              <w:t>分包金额要求：</w:t>
            </w:r>
            <w:r>
              <w:rPr>
                <w:rFonts w:hint="eastAsia" w:ascii="仿宋_GB2312" w:hAnsi="宋体" w:eastAsia="仿宋_GB2312"/>
                <w:color w:val="000000"/>
                <w:sz w:val="24"/>
                <w:szCs w:val="24"/>
                <w:u w:val="single"/>
              </w:rPr>
              <w:t xml:space="preserve">       </w:t>
            </w:r>
          </w:p>
          <w:p>
            <w:pPr>
              <w:adjustRightInd w:val="0"/>
              <w:snapToGrid w:val="0"/>
              <w:spacing w:line="440" w:lineRule="exact"/>
              <w:jc w:val="left"/>
              <w:rPr>
                <w:rFonts w:ascii="仿宋_GB2312" w:hAnsi="宋体" w:eastAsia="仿宋_GB2312"/>
                <w:color w:val="000000"/>
                <w:sz w:val="24"/>
                <w:szCs w:val="24"/>
              </w:rPr>
            </w:pPr>
            <w:r>
              <w:rPr>
                <w:rFonts w:hint="eastAsia" w:ascii="仿宋_GB2312" w:hAnsi="宋体" w:eastAsia="仿宋_GB2312"/>
                <w:color w:val="000000"/>
                <w:sz w:val="24"/>
                <w:szCs w:val="24"/>
              </w:rPr>
              <w:t>接受分包的第三人资质要求：</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 </w:t>
            </w:r>
          </w:p>
          <w:p>
            <w:pPr>
              <w:spacing w:line="44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注：本项为单项选择。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2.1</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构成招标文件的其他材料</w:t>
            </w:r>
          </w:p>
        </w:tc>
        <w:tc>
          <w:tcPr>
            <w:tcW w:w="7655" w:type="dxa"/>
            <w:vAlign w:val="center"/>
          </w:tcPr>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答疑及补遗文件（若有时）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2.2.2</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投标截止时间</w:t>
            </w:r>
          </w:p>
        </w:tc>
        <w:tc>
          <w:tcPr>
            <w:tcW w:w="7655" w:type="dxa"/>
            <w:vAlign w:val="center"/>
          </w:tcPr>
          <w:p>
            <w:pPr>
              <w:spacing w:line="500" w:lineRule="exact"/>
              <w:jc w:val="left"/>
              <w:rPr>
                <w:rFonts w:hint="eastAsia" w:ascii="仿宋_GB2312" w:hAnsi="宋体" w:eastAsia="仿宋_GB2312"/>
                <w:color w:val="000000"/>
                <w:sz w:val="24"/>
                <w:szCs w:val="24"/>
              </w:rPr>
            </w:pP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月</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日</w:t>
            </w:r>
            <w:r>
              <w:rPr>
                <w:rFonts w:hint="eastAsia" w:ascii="仿宋_GB2312" w:hAnsi="宋体" w:eastAsia="仿宋_GB2312"/>
                <w:color w:val="000000"/>
                <w:sz w:val="24"/>
                <w:szCs w:val="24"/>
                <w:u w:val="single"/>
              </w:rPr>
              <w:t xml:space="preserve"> 9 </w:t>
            </w:r>
            <w:r>
              <w:rPr>
                <w:rFonts w:hint="eastAsia" w:ascii="仿宋_GB2312" w:hAnsi="宋体" w:eastAsia="仿宋_GB2312"/>
                <w:color w:val="000000"/>
                <w:sz w:val="24"/>
                <w:szCs w:val="24"/>
              </w:rPr>
              <w:t>时</w:t>
            </w:r>
            <w:r>
              <w:rPr>
                <w:rFonts w:hint="eastAsia" w:ascii="仿宋_GB2312" w:hAnsi="宋体" w:eastAsia="仿宋_GB2312"/>
                <w:color w:val="000000"/>
                <w:sz w:val="24"/>
                <w:szCs w:val="24"/>
                <w:u w:val="single"/>
              </w:rPr>
              <w:t xml:space="preserve"> 30</w:t>
            </w:r>
            <w:r>
              <w:rPr>
                <w:rFonts w:hint="eastAsia" w:ascii="仿宋_GB2312" w:hAnsi="宋体" w:eastAsia="仿宋_GB2312"/>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3.1.1</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构成投标文件的其他材料</w:t>
            </w:r>
          </w:p>
        </w:tc>
        <w:tc>
          <w:tcPr>
            <w:tcW w:w="7655" w:type="dxa"/>
            <w:vAlign w:val="center"/>
          </w:tcPr>
          <w:p>
            <w:pPr>
              <w:spacing w:line="500" w:lineRule="exact"/>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1）投标企业法定代表人或拟任该项目的项目负责人必须持本人身份证和企业有效证件（有效证件指营业执照副本、资质证书副本、安全生产许可证副本、项目负责人注册证、广元市工程建设项目预选承包商储备库入库证书）原件到场开标，否则投标文件不予接收；</w:t>
            </w:r>
          </w:p>
          <w:p>
            <w:pPr>
              <w:spacing w:line="500" w:lineRule="exact"/>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（2）联合体投标的由牵头人在递交投标文件时同时提交联合体协议书，否则投标文件不予接收。</w:t>
            </w:r>
          </w:p>
          <w:p>
            <w:pPr>
              <w:spacing w:line="500" w:lineRule="exact"/>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（3）投标人及拟派项目班子人员未进入“广元市交通建设项目施工预选承包商储备库 ”的，拒收投标文件。</w:t>
            </w:r>
          </w:p>
          <w:p>
            <w:pPr>
              <w:spacing w:line="500" w:lineRule="exact"/>
              <w:jc w:val="left"/>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4</w:t>
            </w:r>
            <w:r>
              <w:rPr>
                <w:rFonts w:hint="eastAsia" w:ascii="仿宋_GB2312" w:hAnsi="宋体" w:eastAsia="仿宋_GB2312"/>
                <w:color w:val="000000"/>
                <w:sz w:val="24"/>
                <w:szCs w:val="24"/>
                <w:lang w:eastAsia="zh-CN"/>
              </w:rPr>
              <w:t>）投标人应附四川省交通运输厅网站能反映投标人当前信用等级的页面打印件。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3.3.1</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投标有效期</w:t>
            </w:r>
          </w:p>
        </w:tc>
        <w:tc>
          <w:tcPr>
            <w:tcW w:w="7655" w:type="dxa"/>
            <w:vAlign w:val="center"/>
          </w:tcPr>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个日历天（从投标截止之日算起，若招标人或监督部门因工作需要则顺延）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4" w:hRule="atLeast"/>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3.4.1</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投标保证金</w:t>
            </w:r>
          </w:p>
        </w:tc>
        <w:tc>
          <w:tcPr>
            <w:tcW w:w="7655" w:type="dxa"/>
            <w:vAlign w:val="center"/>
          </w:tcPr>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投标保证金的金额：</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u w:val="none"/>
                <w:lang w:eastAsia="zh-CN"/>
              </w:rPr>
              <w:t>万</w:t>
            </w:r>
            <w:r>
              <w:rPr>
                <w:rFonts w:hint="eastAsia" w:ascii="仿宋_GB2312" w:hAnsi="宋体" w:eastAsia="仿宋_GB2312"/>
                <w:color w:val="000000"/>
                <w:sz w:val="24"/>
                <w:szCs w:val="24"/>
              </w:rPr>
              <w:t>元（小写）。</w:t>
            </w:r>
          </w:p>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投标人可以选择下列两种形式之一提交：</w:t>
            </w:r>
          </w:p>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w:t>
            </w:r>
            <w:r>
              <w:rPr>
                <w:rFonts w:hint="eastAsia" w:ascii="仿宋_GB2312" w:hAnsi="宋体" w:eastAsia="仿宋_GB2312"/>
                <w:color w:val="000000"/>
                <w:sz w:val="24"/>
                <w:szCs w:val="24"/>
                <w:lang w:val="en-US" w:eastAsia="zh-CN"/>
              </w:rPr>
              <w:t xml:space="preserve"> </w:t>
            </w:r>
            <w:r>
              <w:rPr>
                <w:rFonts w:hint="eastAsia" w:ascii="仿宋_GB2312" w:hAnsi="宋体" w:eastAsia="仿宋_GB2312"/>
                <w:color w:val="000000"/>
                <w:sz w:val="24"/>
                <w:szCs w:val="24"/>
              </w:rPr>
              <w:t>以银行转账方式交纳的。投标保证金通过投标人的基本账户先转入投标人开通的中国建设银行网银账户，再通过中国建设银行企业高版网银的网上支付方式（非网上转帐方式）支付到广元市政务服务中心投标保证金专用帐户。</w:t>
            </w:r>
          </w:p>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投标保证金应在投标截止时间前支付到达广元市政务服务中心投标保证金专用账户。</w:t>
            </w:r>
          </w:p>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注：投标企业提供的基本账户应与在广元市公共资源交易网注册时提供的基本账户保持一致，若出现不一致，按提供弄虚资料作废标处理，由投标人自行负责。</w:t>
            </w:r>
          </w:p>
          <w:p>
            <w:pPr>
              <w:spacing w:line="500" w:lineRule="exact"/>
              <w:rPr>
                <w:rFonts w:hint="eastAsia" w:ascii="仿宋_GB2312" w:hAnsi="仿宋_GB2312" w:eastAsia="仿宋_GB2312"/>
                <w:color w:val="000000"/>
                <w:kern w:val="0"/>
                <w:sz w:val="24"/>
                <w:szCs w:val="24"/>
              </w:rPr>
            </w:pPr>
            <w:r>
              <w:rPr>
                <w:rFonts w:hint="eastAsia" w:ascii="仿宋_GB2312" w:hAnsi="宋体" w:eastAsia="仿宋_GB2312"/>
                <w:color w:val="000000"/>
                <w:sz w:val="24"/>
                <w:szCs w:val="24"/>
              </w:rPr>
              <w:t>□</w:t>
            </w:r>
            <w:r>
              <w:rPr>
                <w:rFonts w:hint="eastAsia" w:ascii="仿宋_GB2312" w:hAnsi="宋体" w:eastAsia="仿宋_GB2312"/>
                <w:color w:val="000000"/>
                <w:sz w:val="24"/>
                <w:szCs w:val="24"/>
                <w:lang w:val="en-US" w:eastAsia="zh-CN"/>
              </w:rPr>
              <w:t xml:space="preserve"> </w:t>
            </w:r>
            <w:r>
              <w:rPr>
                <w:rFonts w:hint="eastAsia" w:ascii="仿宋_GB2312" w:hAnsi="宋体" w:eastAsia="仿宋_GB2312"/>
                <w:color w:val="000000"/>
                <w:sz w:val="24"/>
                <w:szCs w:val="24"/>
              </w:rPr>
              <w:t>以银行保函形式提交。采用保函递交投标保证金的，提交广元市行政辖区内银行的保函，出具保函的时间不得少于本项目投标有效期时间，投标人需将保函扫描件附入投标文件中，并在</w:t>
            </w:r>
            <w:r>
              <w:rPr>
                <w:rFonts w:hint="eastAsia" w:ascii="仿宋_GB2312" w:hAnsi="宋体" w:eastAsia="仿宋_GB2312"/>
                <w:color w:val="000000"/>
                <w:sz w:val="24"/>
                <w:szCs w:val="24"/>
                <w:lang w:eastAsia="zh-CN"/>
              </w:rPr>
              <w:t>递交</w:t>
            </w:r>
            <w:r>
              <w:rPr>
                <w:rFonts w:hint="eastAsia" w:ascii="仿宋_GB2312" w:hAnsi="宋体" w:eastAsia="仿宋_GB2312"/>
                <w:color w:val="000000"/>
                <w:sz w:val="24"/>
                <w:szCs w:val="24"/>
              </w:rPr>
              <w:t>投标</w:t>
            </w:r>
            <w:r>
              <w:rPr>
                <w:rFonts w:hint="eastAsia" w:ascii="仿宋_GB2312" w:hAnsi="宋体" w:eastAsia="仿宋_GB2312"/>
                <w:color w:val="000000"/>
                <w:sz w:val="24"/>
                <w:szCs w:val="24"/>
                <w:lang w:eastAsia="zh-CN"/>
              </w:rPr>
              <w:t>文件时</w:t>
            </w:r>
            <w:r>
              <w:rPr>
                <w:rFonts w:hint="eastAsia" w:ascii="仿宋_GB2312" w:hAnsi="宋体" w:eastAsia="仿宋_GB2312"/>
                <w:color w:val="000000"/>
                <w:sz w:val="24"/>
                <w:szCs w:val="24"/>
              </w:rPr>
              <w:t>将保函原件递交给招标人。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993" w:type="dxa"/>
            <w:vAlign w:val="center"/>
          </w:tcPr>
          <w:p>
            <w:pPr>
              <w:spacing w:line="46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3.4.3</w:t>
            </w:r>
          </w:p>
        </w:tc>
        <w:tc>
          <w:tcPr>
            <w:tcW w:w="2219" w:type="dxa"/>
            <w:vAlign w:val="center"/>
          </w:tcPr>
          <w:p>
            <w:pPr>
              <w:spacing w:line="46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投标保证金的退还</w:t>
            </w:r>
          </w:p>
        </w:tc>
        <w:tc>
          <w:tcPr>
            <w:tcW w:w="7655" w:type="dxa"/>
            <w:vAlign w:val="center"/>
          </w:tcPr>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未被抽中的投标人递交的投标保证金在公示期结束之后退还；被抽中的投标人递交的投标保证金在书面合同签订后3</w:t>
            </w:r>
            <w:r>
              <w:rPr>
                <w:rFonts w:hint="eastAsia" w:ascii="仿宋_GB2312" w:hAnsi="宋体" w:eastAsia="仿宋_GB2312"/>
                <w:color w:val="000000"/>
                <w:sz w:val="24"/>
                <w:szCs w:val="24"/>
                <w:lang w:eastAsia="zh-CN"/>
              </w:rPr>
              <w:t>个工作</w:t>
            </w:r>
            <w:r>
              <w:rPr>
                <w:rFonts w:hint="eastAsia" w:ascii="仿宋_GB2312" w:hAnsi="宋体" w:eastAsia="仿宋_GB2312"/>
                <w:color w:val="000000"/>
                <w:sz w:val="24"/>
                <w:szCs w:val="24"/>
              </w:rPr>
              <w:t>日内退还投标人的投标保证金。</w:t>
            </w:r>
          </w:p>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注：投标人提交的投标保函，超过投标有效期（包括延长期）的，自动失效。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993" w:type="dxa"/>
            <w:vAlign w:val="center"/>
          </w:tcPr>
          <w:p>
            <w:pPr>
              <w:spacing w:line="46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3.4.4</w:t>
            </w:r>
          </w:p>
        </w:tc>
        <w:tc>
          <w:tcPr>
            <w:tcW w:w="2219" w:type="dxa"/>
            <w:vAlign w:val="center"/>
          </w:tcPr>
          <w:p>
            <w:pPr>
              <w:spacing w:line="46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投标保证金不予退还的情形</w:t>
            </w:r>
          </w:p>
        </w:tc>
        <w:tc>
          <w:tcPr>
            <w:tcW w:w="7655" w:type="dxa"/>
            <w:vAlign w:val="center"/>
          </w:tcPr>
          <w:p>
            <w:pPr>
              <w:spacing w:line="46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“拒签合同”是指：</w:t>
            </w:r>
          </w:p>
          <w:p>
            <w:pPr>
              <w:spacing w:line="46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（1）明示不与招标人签订合同；</w:t>
            </w:r>
          </w:p>
          <w:p>
            <w:pPr>
              <w:spacing w:line="46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（2）没有明示但不按照招标文件、中标人的投标文件、中标通知书要求与招标人签订合同。</w:t>
            </w:r>
          </w:p>
          <w:p>
            <w:pPr>
              <w:spacing w:line="46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投标人在投标活动中串通投标、弄虚作假的，投标保证金也不予退还。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6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3.5.2</w:t>
            </w:r>
          </w:p>
        </w:tc>
        <w:tc>
          <w:tcPr>
            <w:tcW w:w="2219" w:type="dxa"/>
            <w:vAlign w:val="center"/>
          </w:tcPr>
          <w:p>
            <w:pPr>
              <w:spacing w:line="46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近年财务状况的年份要求</w:t>
            </w:r>
          </w:p>
        </w:tc>
        <w:tc>
          <w:tcPr>
            <w:tcW w:w="7655" w:type="dxa"/>
            <w:vAlign w:val="center"/>
          </w:tcPr>
          <w:p>
            <w:pPr>
              <w:spacing w:line="46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年至</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Align w:val="center"/>
          </w:tcPr>
          <w:p>
            <w:pPr>
              <w:spacing w:line="46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3.5.3</w:t>
            </w:r>
          </w:p>
        </w:tc>
        <w:tc>
          <w:tcPr>
            <w:tcW w:w="2219" w:type="dxa"/>
            <w:vAlign w:val="center"/>
          </w:tcPr>
          <w:p>
            <w:pPr>
              <w:spacing w:line="46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近年完成的类似项目的年份要求</w:t>
            </w:r>
          </w:p>
        </w:tc>
        <w:tc>
          <w:tcPr>
            <w:tcW w:w="7655" w:type="dxa"/>
            <w:vAlign w:val="center"/>
          </w:tcPr>
          <w:p>
            <w:pPr>
              <w:spacing w:line="46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近</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年至</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w:t>
            </w:r>
          </w:p>
          <w:p>
            <w:pPr>
              <w:spacing w:line="46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注：应与1.4.1和第五章“投标文件格式”衔接。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6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3.6.1</w:t>
            </w:r>
          </w:p>
        </w:tc>
        <w:tc>
          <w:tcPr>
            <w:tcW w:w="2219" w:type="dxa"/>
            <w:vAlign w:val="center"/>
          </w:tcPr>
          <w:p>
            <w:pPr>
              <w:spacing w:line="46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投标文件格式</w:t>
            </w:r>
          </w:p>
        </w:tc>
        <w:tc>
          <w:tcPr>
            <w:tcW w:w="7655" w:type="dxa"/>
            <w:vAlign w:val="center"/>
          </w:tcPr>
          <w:p>
            <w:pPr>
              <w:widowControl/>
              <w:spacing w:line="460" w:lineRule="exact"/>
              <w:jc w:val="left"/>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（1）投标人不得对招标文件格式中的内容进行删减或修改。</w:t>
            </w:r>
          </w:p>
          <w:p>
            <w:pPr>
              <w:widowControl/>
              <w:spacing w:line="460" w:lineRule="exact"/>
              <w:jc w:val="left"/>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2）投标人可以在格式内容之外另行说明和增加相关的内容作为投标文件的组成部分。另行说明或自行增加的内容、以及按投标文件格式在空格（下划线）由投标人填写的内容，不得与招标文件的强制性审查标准和禁止性规定相抵触。</w:t>
            </w:r>
          </w:p>
          <w:p>
            <w:pPr>
              <w:widowControl/>
              <w:spacing w:line="460" w:lineRule="exact"/>
              <w:jc w:val="left"/>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（3）按投标文件格式在空格（下划线）由投标人填写的内容，确实没有需要填写的，可以在空格中用“/”标示,也可以不填（空白）。但招标文件中另有规定的从其规定。</w:t>
            </w:r>
          </w:p>
          <w:p>
            <w:pPr>
              <w:widowControl/>
              <w:spacing w:line="460" w:lineRule="exact"/>
              <w:jc w:val="left"/>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（4）投标文件应对招标文件提出的所有实质性要求和条件作出实质性响应，并且实质性响应的内容不得互相矛盾。</w:t>
            </w:r>
          </w:p>
          <w:p>
            <w:pPr>
              <w:widowControl/>
              <w:spacing w:line="460" w:lineRule="exact"/>
              <w:jc w:val="left"/>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（5）投标文件应内容完整，字迹清晰可辨。投标文件（不包括所附证明材料）字迹或印章模糊导致无法确认关键技术方案、关键工期、关键工程质量保证措施、投标价格的，应作废标处理。</w:t>
            </w:r>
          </w:p>
          <w:p>
            <w:pPr>
              <w:spacing w:line="460" w:lineRule="exact"/>
              <w:rPr>
                <w:rFonts w:hint="eastAsia" w:ascii="仿宋_GB2312" w:hAnsi="宋体" w:eastAsia="仿宋_GB2312"/>
                <w:color w:val="000000"/>
                <w:sz w:val="24"/>
                <w:szCs w:val="24"/>
              </w:rPr>
            </w:pPr>
            <w:r>
              <w:rPr>
                <w:rFonts w:hint="eastAsia" w:ascii="仿宋_GB2312" w:hAnsi="宋体" w:eastAsia="仿宋_GB2312"/>
                <w:color w:val="000000"/>
                <w:kern w:val="0"/>
                <w:sz w:val="24"/>
                <w:szCs w:val="24"/>
              </w:rPr>
              <w:t>（6）投标文件所附证明材料应内容完整并清晰可辨。所附证明材料内容不完整或字迹模糊的、印章模糊的，评标委员会应要求投标人提供原件核验。核验按第三章“评标办法”注（2）的要求办理。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3.6.2</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投标文件份数</w:t>
            </w:r>
          </w:p>
        </w:tc>
        <w:tc>
          <w:tcPr>
            <w:tcW w:w="7655" w:type="dxa"/>
            <w:vAlign w:val="center"/>
          </w:tcPr>
          <w:p>
            <w:pPr>
              <w:spacing w:line="500" w:lineRule="exact"/>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纸质投标文件</w:t>
            </w:r>
            <w:r>
              <w:rPr>
                <w:rFonts w:hint="eastAsia" w:ascii="仿宋_GB2312" w:hAnsi="宋体" w:eastAsia="仿宋_GB2312"/>
                <w:color w:val="000000"/>
                <w:kern w:val="0"/>
                <w:sz w:val="24"/>
                <w:szCs w:val="24"/>
                <w:u w:val="single" w:color="auto"/>
                <w:lang w:eastAsia="zh-CN"/>
              </w:rPr>
              <w:t>壹</w:t>
            </w:r>
            <w:r>
              <w:rPr>
                <w:rFonts w:hint="eastAsia" w:ascii="仿宋_GB2312" w:hAnsi="宋体" w:eastAsia="仿宋_GB2312"/>
                <w:color w:val="000000"/>
                <w:kern w:val="0"/>
                <w:sz w:val="24"/>
                <w:szCs w:val="24"/>
              </w:rPr>
              <w:t>份。电子文档</w:t>
            </w:r>
            <w:r>
              <w:rPr>
                <w:rFonts w:hint="eastAsia" w:ascii="仿宋_GB2312" w:hAnsi="宋体" w:eastAsia="仿宋_GB2312"/>
                <w:color w:val="000000"/>
                <w:kern w:val="0"/>
                <w:sz w:val="24"/>
                <w:szCs w:val="24"/>
                <w:u w:val="single" w:color="auto"/>
              </w:rPr>
              <w:t>壹</w:t>
            </w:r>
            <w:r>
              <w:rPr>
                <w:rFonts w:hint="eastAsia" w:ascii="仿宋_GB2312" w:hAnsi="宋体" w:eastAsia="仿宋_GB2312"/>
                <w:color w:val="000000"/>
                <w:kern w:val="0"/>
                <w:sz w:val="24"/>
                <w:szCs w:val="24"/>
              </w:rPr>
              <w:t>份。当电子标书与纸质标书不一致时，以纸质标书为准，但电子标书和纸质标书内容不一致造成的评标差错由投标人自行承担。</w:t>
            </w:r>
            <w:r>
              <w:rPr>
                <w:rFonts w:hint="eastAsia" w:ascii="仿宋_GB2312" w:hAnsi="宋体" w:eastAsia="仿宋_GB2312"/>
                <w:color w:val="000000"/>
                <w:kern w:val="0"/>
                <w:sz w:val="24"/>
                <w:szCs w:val="24"/>
                <w:lang w:eastAsia="zh-CN"/>
              </w:rPr>
              <w:t>（电子文档包括全套纸质投标文件的</w:t>
            </w:r>
            <w:r>
              <w:rPr>
                <w:rFonts w:hint="eastAsia" w:ascii="仿宋_GB2312" w:hAnsi="宋体" w:eastAsia="仿宋_GB2312"/>
                <w:color w:val="000000"/>
                <w:kern w:val="0"/>
                <w:sz w:val="24"/>
                <w:szCs w:val="24"/>
                <w:lang w:val="en-US" w:eastAsia="zh-CN"/>
              </w:rPr>
              <w:t>PDF扫描件及4.1.1要求的excel文件</w:t>
            </w:r>
            <w:r>
              <w:rPr>
                <w:rFonts w:hint="eastAsia" w:ascii="仿宋_GB2312" w:hAnsi="宋体" w:eastAsia="仿宋_GB2312"/>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3.6.3</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装订要求</w:t>
            </w:r>
          </w:p>
        </w:tc>
        <w:tc>
          <w:tcPr>
            <w:tcW w:w="7655" w:type="dxa"/>
            <w:vAlign w:val="center"/>
          </w:tcPr>
          <w:p>
            <w:pPr>
              <w:autoSpaceDE w:val="0"/>
              <w:autoSpaceDN w:val="0"/>
              <w:adjustRightInd w:val="0"/>
              <w:spacing w:line="360" w:lineRule="exact"/>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投标文件一律用A4复印纸编制。</w:t>
            </w:r>
          </w:p>
          <w:p>
            <w:pPr>
              <w:spacing w:line="500" w:lineRule="exact"/>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投标文件应采用粘贴方式左侧装订，不得采用活页夹等可随时拆换的方式装订，不得有零散页。投标文件应严格按照第四章“投标文件格式”中的目录按次序装订。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4.1.1</w:t>
            </w:r>
          </w:p>
        </w:tc>
        <w:tc>
          <w:tcPr>
            <w:tcW w:w="2219" w:type="dxa"/>
            <w:vAlign w:val="center"/>
          </w:tcPr>
          <w:p>
            <w:pPr>
              <w:spacing w:line="500" w:lineRule="exact"/>
              <w:jc w:val="center"/>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lang w:eastAsia="zh-CN"/>
              </w:rPr>
              <w:t>电子文档</w:t>
            </w:r>
            <w:r>
              <w:rPr>
                <w:rFonts w:hint="eastAsia" w:ascii="仿宋_GB2312" w:hAnsi="宋体" w:eastAsia="仿宋_GB2312"/>
                <w:color w:val="000000"/>
                <w:kern w:val="0"/>
                <w:sz w:val="24"/>
                <w:szCs w:val="24"/>
              </w:rPr>
              <w:t>和纸质投标文件的包装和密封</w:t>
            </w:r>
          </w:p>
        </w:tc>
        <w:tc>
          <w:tcPr>
            <w:tcW w:w="7655" w:type="dxa"/>
            <w:vAlign w:val="center"/>
          </w:tcPr>
          <w:p>
            <w:pPr>
              <w:spacing w:line="500" w:lineRule="exact"/>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投标文件的包装都应在其封套的封口处加贴封条，并在封套的封口处加盖投标人单位章（鲜章）。</w:t>
            </w:r>
          </w:p>
          <w:p>
            <w:pPr>
              <w:spacing w:line="580" w:lineRule="exact"/>
              <w:rPr>
                <w:rFonts w:hint="eastAsia" w:ascii="仿宋_GB2312" w:hAnsi="宋体" w:eastAsia="仿宋_GB2312"/>
                <w:color w:val="000000"/>
                <w:kern w:val="0"/>
                <w:sz w:val="24"/>
                <w:szCs w:val="24"/>
              </w:rPr>
            </w:pPr>
            <w:r>
              <w:rPr>
                <w:rFonts w:hint="eastAsia" w:ascii="仿宋_GB2312" w:hAnsi="宋体" w:eastAsia="仿宋_GB2312"/>
                <w:color w:val="000000"/>
                <w:kern w:val="0"/>
                <w:sz w:val="24"/>
                <w:szCs w:val="24"/>
              </w:rPr>
              <w:t>电子文档内容包括：“企业基本信息.xls”和“人员信息.xls”，基本信息包括“企业名称、统一信用代码证号”，人员信息包括 “人员姓名、身份证号码”。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4.1.2</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封套上写明</w:t>
            </w:r>
          </w:p>
        </w:tc>
        <w:tc>
          <w:tcPr>
            <w:tcW w:w="7655" w:type="dxa"/>
            <w:vAlign w:val="center"/>
          </w:tcPr>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招标人的地址： </w:t>
            </w:r>
          </w:p>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招标人名称： </w:t>
            </w:r>
          </w:p>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（项目名称）</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标段投标文件</w:t>
            </w:r>
          </w:p>
          <w:p>
            <w:pPr>
              <w:spacing w:line="500" w:lineRule="exact"/>
              <w:rPr>
                <w:rFonts w:hint="eastAsia" w:ascii="仿宋_GB2312" w:hAnsi="宋体" w:eastAsia="仿宋_GB2312"/>
                <w:color w:val="000000"/>
                <w:sz w:val="24"/>
                <w:szCs w:val="24"/>
                <w:u w:val="single"/>
              </w:rPr>
            </w:pPr>
            <w:r>
              <w:rPr>
                <w:rFonts w:hint="eastAsia" w:ascii="仿宋_GB2312" w:hAnsi="宋体" w:eastAsia="仿宋_GB2312"/>
                <w:color w:val="000000"/>
                <w:sz w:val="24"/>
                <w:szCs w:val="24"/>
              </w:rPr>
              <w:t>在</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年</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月</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 xml:space="preserve">日 </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时</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4.2.2</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递交投标文件地点</w:t>
            </w:r>
          </w:p>
        </w:tc>
        <w:tc>
          <w:tcPr>
            <w:tcW w:w="7655" w:type="dxa"/>
            <w:vAlign w:val="center"/>
          </w:tcPr>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u w:val="single"/>
              </w:rPr>
              <w:t>广元市公共资源交易中心(广元市万源新区滨湖路市政务服务中心新址C区三楼本项目开标室)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4.2.3</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是否退还投标文件</w:t>
            </w:r>
          </w:p>
        </w:tc>
        <w:tc>
          <w:tcPr>
            <w:tcW w:w="7655" w:type="dxa"/>
            <w:vAlign w:val="center"/>
          </w:tcPr>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5.1</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开标时间和地点</w:t>
            </w:r>
          </w:p>
        </w:tc>
        <w:tc>
          <w:tcPr>
            <w:tcW w:w="7655" w:type="dxa"/>
            <w:vAlign w:val="center"/>
          </w:tcPr>
          <w:p>
            <w:pPr>
              <w:spacing w:line="46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开标时间：同投标截止时间</w:t>
            </w:r>
          </w:p>
          <w:p>
            <w:pPr>
              <w:spacing w:line="460" w:lineRule="exact"/>
              <w:rPr>
                <w:rFonts w:hint="eastAsia" w:ascii="仿宋_GB2312" w:hAnsi="宋体" w:eastAsia="仿宋_GB2312"/>
                <w:b/>
                <w:color w:val="000000"/>
                <w:sz w:val="24"/>
                <w:szCs w:val="24"/>
                <w:u w:val="single"/>
              </w:rPr>
            </w:pPr>
            <w:r>
              <w:rPr>
                <w:rFonts w:hint="eastAsia" w:ascii="仿宋_GB2312" w:hAnsi="宋体" w:eastAsia="仿宋_GB2312"/>
                <w:color w:val="000000"/>
                <w:sz w:val="24"/>
                <w:szCs w:val="24"/>
              </w:rPr>
              <w:t>开标地点:</w:t>
            </w:r>
            <w:r>
              <w:rPr>
                <w:rFonts w:hint="eastAsia" w:ascii="仿宋_GB2312" w:hAnsi="宋体" w:eastAsia="仿宋_GB2312"/>
                <w:bCs/>
                <w:color w:val="000000"/>
                <w:sz w:val="24"/>
                <w:szCs w:val="24"/>
                <w:u w:val="single"/>
              </w:rPr>
              <w:t xml:space="preserve"> 广元市公共资源交易中心(广元市万源新区滨湖路市政务服务中心新址C区三楼本项目开标室)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5.2</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开标程序</w:t>
            </w:r>
          </w:p>
        </w:tc>
        <w:tc>
          <w:tcPr>
            <w:tcW w:w="7655" w:type="dxa"/>
            <w:vAlign w:val="center"/>
          </w:tcPr>
          <w:p>
            <w:pPr>
              <w:adjustRightInd w:val="0"/>
              <w:snapToGrid w:val="0"/>
              <w:spacing w:line="460" w:lineRule="exact"/>
              <w:ind w:left="592" w:hanging="593" w:hangingChars="250"/>
              <w:rPr>
                <w:rFonts w:hint="eastAsia" w:ascii="仿宋_GB2312" w:hAnsi="宋体" w:eastAsia="仿宋_GB2312"/>
                <w:color w:val="000000"/>
                <w:sz w:val="24"/>
                <w:szCs w:val="24"/>
              </w:rPr>
            </w:pPr>
            <w:r>
              <w:rPr>
                <w:rFonts w:hint="eastAsia" w:ascii="仿宋_GB2312" w:hAnsi="宋体" w:eastAsia="仿宋_GB2312"/>
                <w:color w:val="000000"/>
                <w:sz w:val="24"/>
                <w:szCs w:val="24"/>
              </w:rPr>
              <w:t>(1)根据投标人的报名情况进行编号；</w:t>
            </w:r>
          </w:p>
          <w:p>
            <w:pPr>
              <w:spacing w:line="460" w:lineRule="exact"/>
              <w:ind w:left="592" w:hanging="593" w:hangingChars="250"/>
              <w:rPr>
                <w:rFonts w:hint="eastAsia" w:ascii="仿宋_GB2312" w:hAnsi="宋体" w:eastAsia="仿宋_GB2312"/>
                <w:color w:val="000000"/>
                <w:sz w:val="24"/>
                <w:szCs w:val="24"/>
                <w:u w:val="single"/>
              </w:rPr>
            </w:pPr>
            <w:r>
              <w:rPr>
                <w:rFonts w:hint="eastAsia" w:ascii="仿宋_GB2312" w:hAnsi="宋体" w:eastAsia="仿宋_GB2312"/>
                <w:color w:val="000000"/>
                <w:sz w:val="24"/>
                <w:szCs w:val="24"/>
              </w:rPr>
              <w:t>(2)随机抽取投标人。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6.1.1</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评标委员会的组建</w:t>
            </w:r>
          </w:p>
        </w:tc>
        <w:tc>
          <w:tcPr>
            <w:tcW w:w="7655" w:type="dxa"/>
            <w:vAlign w:val="center"/>
          </w:tcPr>
          <w:p>
            <w:pPr>
              <w:spacing w:line="460" w:lineRule="exact"/>
              <w:ind w:left="80" w:leftChars="37"/>
              <w:rPr>
                <w:rFonts w:hint="eastAsia" w:ascii="仿宋_GB2312" w:hAnsi="宋体" w:eastAsia="仿宋_GB2312"/>
                <w:color w:val="000000"/>
                <w:sz w:val="24"/>
                <w:szCs w:val="24"/>
              </w:rPr>
            </w:pPr>
            <w:r>
              <w:rPr>
                <w:rFonts w:hint="eastAsia" w:ascii="仿宋_GB2312" w:hAnsi="宋体" w:eastAsia="仿宋_GB2312"/>
                <w:color w:val="000000"/>
                <w:sz w:val="24"/>
              </w:rPr>
              <w:t>评标委员会共</w:t>
            </w:r>
            <w:r>
              <w:rPr>
                <w:rFonts w:hint="eastAsia" w:ascii="仿宋_GB2312" w:hAnsi="宋体" w:eastAsia="仿宋_GB2312"/>
                <w:color w:val="000000"/>
                <w:sz w:val="24"/>
                <w:u w:val="single"/>
              </w:rPr>
              <w:t xml:space="preserve"> 3 </w:t>
            </w:r>
            <w:r>
              <w:rPr>
                <w:rFonts w:hint="eastAsia" w:ascii="仿宋_GB2312" w:hAnsi="宋体" w:eastAsia="仿宋_GB2312"/>
                <w:color w:val="000000"/>
                <w:sz w:val="24"/>
              </w:rPr>
              <w:t>人组成。评标委员会的组成和评标专家的确定方式按川办发[2003]13号第九条、《四川省人民政府关于进一步规范国家投资工程建设项目招标投标工作的意见》（川府发【2014】62号）第一条第（三）项规定执行。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6.3</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评标办法</w:t>
            </w:r>
          </w:p>
        </w:tc>
        <w:tc>
          <w:tcPr>
            <w:tcW w:w="7655" w:type="dxa"/>
            <w:vAlign w:val="center"/>
          </w:tcPr>
          <w:p>
            <w:pPr>
              <w:spacing w:line="46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经抽取后评审的合理低价法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93" w:type="dxa"/>
            <w:vAlign w:val="center"/>
          </w:tcPr>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7.1</w:t>
            </w:r>
          </w:p>
        </w:tc>
        <w:tc>
          <w:tcPr>
            <w:tcW w:w="2219"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是否授权评标委员会确定中标人</w:t>
            </w:r>
          </w:p>
        </w:tc>
        <w:tc>
          <w:tcPr>
            <w:tcW w:w="7655" w:type="dxa"/>
            <w:vAlign w:val="center"/>
          </w:tcPr>
          <w:p>
            <w:pPr>
              <w:spacing w:line="46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否,推荐的中标候选人数：</w:t>
            </w:r>
            <w:r>
              <w:rPr>
                <w:rFonts w:hint="eastAsia" w:ascii="仿宋_GB2312" w:hAnsi="宋体" w:eastAsia="仿宋_GB2312"/>
                <w:color w:val="000000"/>
                <w:sz w:val="24"/>
                <w:szCs w:val="24"/>
                <w:u w:val="single"/>
              </w:rPr>
              <w:t>1～3</w:t>
            </w:r>
            <w:r>
              <w:rPr>
                <w:rFonts w:hint="eastAsia" w:ascii="仿宋_GB2312" w:hAnsi="宋体" w:eastAsia="仿宋_GB2312"/>
                <w:color w:val="00000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7.2.1</w:t>
            </w:r>
          </w:p>
        </w:tc>
        <w:tc>
          <w:tcPr>
            <w:tcW w:w="2219" w:type="dxa"/>
            <w:vAlign w:val="center"/>
          </w:tcPr>
          <w:p>
            <w:pPr>
              <w:spacing w:line="500" w:lineRule="exact"/>
              <w:ind w:firstLine="474"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履约担保</w:t>
            </w:r>
          </w:p>
        </w:tc>
        <w:tc>
          <w:tcPr>
            <w:tcW w:w="7655" w:type="dxa"/>
            <w:vAlign w:val="center"/>
          </w:tcPr>
          <w:p>
            <w:pPr>
              <w:spacing w:line="460" w:lineRule="exact"/>
              <w:ind w:left="-347" w:leftChars="-160" w:firstLine="332" w:firstLineChars="140"/>
              <w:jc w:val="left"/>
              <w:rPr>
                <w:rFonts w:hint="eastAsia" w:ascii="仿宋_GB2312" w:hAnsi="宋体" w:eastAsia="仿宋_GB2312"/>
                <w:color w:val="000000"/>
                <w:sz w:val="24"/>
                <w:szCs w:val="24"/>
              </w:rPr>
            </w:pPr>
            <w:r>
              <w:rPr>
                <w:rFonts w:hint="eastAsia" w:ascii="仿宋_GB2312" w:hAnsi="仿宋" w:eastAsia="仿宋_GB2312" w:cs="仿宋"/>
                <w:color w:val="000000"/>
                <w:sz w:val="24"/>
                <w:szCs w:val="24"/>
              </w:rPr>
              <w:t>□施工招标：</w:t>
            </w:r>
            <w:r>
              <w:rPr>
                <w:rFonts w:hint="eastAsia" w:ascii="仿宋_GB2312" w:hAnsi="宋体" w:eastAsia="仿宋_GB2312"/>
                <w:color w:val="000000"/>
                <w:sz w:val="24"/>
                <w:szCs w:val="24"/>
              </w:rPr>
              <w:t>本项目招标控制价</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元。其中：不可竞争费</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u w:val="none"/>
                <w:lang w:eastAsia="zh-CN"/>
              </w:rPr>
              <w:t>万</w:t>
            </w:r>
            <w:r>
              <w:rPr>
                <w:rFonts w:hint="eastAsia" w:ascii="仿宋_GB2312" w:hAnsi="宋体" w:eastAsia="仿宋_GB2312"/>
                <w:color w:val="000000"/>
                <w:sz w:val="24"/>
                <w:szCs w:val="24"/>
              </w:rPr>
              <w:t>元（包含</w:t>
            </w:r>
            <w:r>
              <w:rPr>
                <w:rFonts w:hint="eastAsia" w:ascii="仿宋_GB2312" w:hAnsi="宋体" w:eastAsia="仿宋_GB2312"/>
                <w:color w:val="000000"/>
                <w:sz w:val="24"/>
                <w:szCs w:val="24"/>
                <w:lang w:eastAsia="zh-CN"/>
              </w:rPr>
              <w:t>含</w:t>
            </w:r>
            <w:r>
              <w:rPr>
                <w:rFonts w:hint="eastAsia" w:ascii="仿宋_GB2312" w:hAnsi="宋体" w:eastAsia="仿宋_GB2312"/>
                <w:color w:val="000000"/>
                <w:sz w:val="24"/>
                <w:szCs w:val="24"/>
              </w:rPr>
              <w:t>安全文明施工费、规费、专业工程暂估价、暂列金</w:t>
            </w:r>
            <w:r>
              <w:rPr>
                <w:rFonts w:hint="eastAsia" w:ascii="仿宋_GB2312" w:hAnsi="宋体" w:eastAsia="仿宋_GB2312"/>
                <w:color w:val="000000"/>
                <w:sz w:val="24"/>
                <w:szCs w:val="24"/>
                <w:lang w:eastAsia="zh-CN"/>
              </w:rPr>
              <w:t>等</w:t>
            </w:r>
            <w:r>
              <w:rPr>
                <w:rFonts w:hint="eastAsia" w:ascii="仿宋_GB2312" w:hAnsi="宋体" w:eastAsia="仿宋_GB2312"/>
                <w:color w:val="000000"/>
                <w:sz w:val="24"/>
                <w:szCs w:val="24"/>
              </w:rPr>
              <w:t>）</w:t>
            </w:r>
          </w:p>
          <w:p>
            <w:pPr>
              <w:spacing w:line="460" w:lineRule="exact"/>
              <w:ind w:left="-347" w:leftChars="-160" w:firstLine="332" w:firstLineChars="140"/>
              <w:jc w:val="left"/>
              <w:rPr>
                <w:rFonts w:hint="eastAsia" w:ascii="仿宋_GB2312" w:hAnsi="宋体" w:eastAsia="仿宋_GB2312"/>
                <w:color w:val="000000"/>
                <w:sz w:val="24"/>
                <w:szCs w:val="24"/>
                <w:u w:val="single"/>
              </w:rPr>
            </w:pPr>
            <w:r>
              <w:rPr>
                <w:rFonts w:hint="eastAsia" w:ascii="仿宋_GB2312" w:hAnsi="宋体" w:eastAsia="仿宋_GB2312"/>
                <w:color w:val="000000"/>
                <w:sz w:val="24"/>
                <w:szCs w:val="24"/>
              </w:rPr>
              <w:t>履约保证金：</w:t>
            </w:r>
            <w:r>
              <w:rPr>
                <w:rFonts w:hint="eastAsia" w:ascii="仿宋_GB2312" w:hAnsi="宋体" w:eastAsia="仿宋_GB2312"/>
                <w:color w:val="000000"/>
                <w:sz w:val="24"/>
                <w:szCs w:val="24"/>
                <w:u w:val="single"/>
              </w:rPr>
              <w:t>中标价的10%.</w:t>
            </w:r>
          </w:p>
          <w:p>
            <w:pPr>
              <w:spacing w:line="460" w:lineRule="exact"/>
              <w:ind w:left="-347" w:leftChars="-160" w:firstLine="332" w:firstLineChars="140"/>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履约担保的形式：履约担保总额中，其中现金占</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％，保函函担保占</w:t>
            </w:r>
          </w:p>
          <w:p>
            <w:pPr>
              <w:spacing w:line="460" w:lineRule="exact"/>
              <w:ind w:left="-347" w:leftChars="-160" w:firstLine="332" w:firstLineChars="140"/>
              <w:jc w:val="left"/>
              <w:rPr>
                <w:rFonts w:hint="eastAsia" w:ascii="仿宋_GB2312" w:hAnsi="宋体" w:eastAsia="仿宋_GB2312"/>
                <w:color w:val="000000"/>
                <w:sz w:val="24"/>
                <w:szCs w:val="24"/>
              </w:rPr>
            </w:pP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w:t>
            </w:r>
            <w:r>
              <w:rPr>
                <w:rFonts w:hint="eastAsia" w:ascii="仿宋_GB2312" w:hAnsi="宋体" w:eastAsia="仿宋_GB2312"/>
                <w:color w:val="FF0000"/>
                <w:sz w:val="24"/>
                <w:szCs w:val="24"/>
              </w:rPr>
              <w:t>以现金担保的必须通过中标人的基本账户以银行转账方式缴纳。以以银行保函形式提交的，必须提交广元市行政辖区内银行的保函，出具保函函的时间不得少于本项目履约期限时间。</w:t>
            </w:r>
          </w:p>
          <w:p>
            <w:pPr>
              <w:spacing w:line="460" w:lineRule="exact"/>
              <w:ind w:left="-347" w:leftChars="-160" w:firstLine="332" w:firstLineChars="140"/>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缴纳时间：中标通知书发出后7个工作日内，并在签订合同协议书之前。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8</w:t>
            </w:r>
          </w:p>
        </w:tc>
        <w:tc>
          <w:tcPr>
            <w:tcW w:w="9874" w:type="dxa"/>
            <w:gridSpan w:val="2"/>
            <w:vAlign w:val="center"/>
          </w:tcPr>
          <w:p>
            <w:pPr>
              <w:spacing w:line="46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ind w:left="-347" w:leftChars="-160" w:firstLine="564" w:firstLineChars="238"/>
              <w:rPr>
                <w:rFonts w:hint="eastAsia" w:ascii="仿宋_GB2312" w:hAnsi="宋体" w:eastAsia="仿宋_GB2312"/>
                <w:color w:val="000000"/>
                <w:sz w:val="24"/>
                <w:szCs w:val="24"/>
              </w:rPr>
            </w:pPr>
            <w:r>
              <w:rPr>
                <w:rFonts w:hint="eastAsia" w:ascii="仿宋_GB2312" w:hAnsi="宋体" w:eastAsia="仿宋_GB2312"/>
                <w:color w:val="000000"/>
                <w:sz w:val="24"/>
                <w:szCs w:val="24"/>
              </w:rPr>
              <w:t>8.1</w:t>
            </w:r>
          </w:p>
        </w:tc>
        <w:tc>
          <w:tcPr>
            <w:tcW w:w="2219" w:type="dxa"/>
            <w:vAlign w:val="center"/>
          </w:tcPr>
          <w:p>
            <w:pPr>
              <w:spacing w:line="500" w:lineRule="exact"/>
              <w:ind w:left="-347" w:leftChars="-160" w:firstLine="332" w:firstLineChars="140"/>
              <w:rPr>
                <w:rFonts w:hint="eastAsia" w:ascii="仿宋_GB2312" w:hAnsi="宋体" w:eastAsia="仿宋_GB2312"/>
                <w:color w:val="000000"/>
                <w:sz w:val="24"/>
                <w:szCs w:val="24"/>
              </w:rPr>
            </w:pPr>
            <w:r>
              <w:rPr>
                <w:rFonts w:hint="eastAsia" w:ascii="仿宋_GB2312" w:hAnsi="宋体" w:eastAsia="仿宋_GB2312"/>
                <w:color w:val="000000"/>
                <w:sz w:val="24"/>
                <w:szCs w:val="24"/>
              </w:rPr>
              <w:t>招标代理服务费</w:t>
            </w:r>
          </w:p>
        </w:tc>
        <w:tc>
          <w:tcPr>
            <w:tcW w:w="7655" w:type="dxa"/>
            <w:vAlign w:val="center"/>
          </w:tcPr>
          <w:p>
            <w:pPr>
              <w:spacing w:line="560" w:lineRule="exact"/>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招标代理服务费由招标人支付。</w:t>
            </w:r>
          </w:p>
          <w:p>
            <w:pPr>
              <w:spacing w:line="560" w:lineRule="exact"/>
              <w:rPr>
                <w:rFonts w:hint="eastAsia" w:ascii="仿宋_GB2312" w:hAnsi="仿宋" w:eastAsia="仿宋_GB2312" w:cs="仿宋"/>
                <w:color w:val="000000"/>
                <w:sz w:val="24"/>
                <w:szCs w:val="24"/>
              </w:rPr>
            </w:pPr>
            <w:r>
              <w:rPr>
                <w:rFonts w:hint="eastAsia" w:ascii="仿宋_GB2312" w:hAnsi="宋体" w:eastAsia="仿宋_GB2312"/>
                <w:color w:val="000000"/>
                <w:szCs w:val="21"/>
              </w:rPr>
              <w:t>招</w:t>
            </w:r>
            <w:r>
              <w:rPr>
                <w:rFonts w:hint="eastAsia" w:ascii="仿宋_GB2312" w:hAnsi="仿宋" w:eastAsia="仿宋_GB2312" w:cs="仿宋"/>
                <w:color w:val="000000"/>
                <w:sz w:val="24"/>
                <w:szCs w:val="24"/>
              </w:rPr>
              <w:t>标代理服务费不计入投标报价，中标后，按 “计价格[2002]1980号”规定的招标代理服务收费标准，以招标人和招标代理机构签订并已备案的《四川省国家投资工程建设项目委托招标代理合同》（四川省发展和改革委员会、四川省工商行政管理局制定的规范文本）中确定的下浮比例，计算出招标代理服务费，支付给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ind w:left="-347" w:leftChars="-160" w:firstLine="564" w:firstLineChars="238"/>
              <w:rPr>
                <w:rFonts w:hint="eastAsia" w:ascii="仿宋_GB2312" w:hAnsi="宋体" w:eastAsia="仿宋_GB2312"/>
                <w:color w:val="000000"/>
                <w:sz w:val="24"/>
                <w:szCs w:val="24"/>
              </w:rPr>
            </w:pPr>
            <w:r>
              <w:rPr>
                <w:rFonts w:hint="eastAsia" w:ascii="仿宋_GB2312" w:hAnsi="宋体" w:eastAsia="仿宋_GB2312"/>
                <w:color w:val="000000"/>
                <w:sz w:val="24"/>
                <w:szCs w:val="24"/>
              </w:rPr>
              <w:t>8.2</w:t>
            </w:r>
          </w:p>
        </w:tc>
        <w:tc>
          <w:tcPr>
            <w:tcW w:w="2219" w:type="dxa"/>
            <w:vAlign w:val="center"/>
          </w:tcPr>
          <w:p>
            <w:pPr>
              <w:spacing w:line="500" w:lineRule="exact"/>
              <w:ind w:left="-347" w:leftChars="-160" w:firstLine="332" w:firstLineChars="140"/>
              <w:rPr>
                <w:rFonts w:hint="eastAsia" w:ascii="仿宋_GB2312" w:hAnsi="宋体" w:eastAsia="仿宋_GB2312"/>
                <w:color w:val="000000"/>
                <w:sz w:val="24"/>
                <w:szCs w:val="24"/>
              </w:rPr>
            </w:pPr>
            <w:r>
              <w:rPr>
                <w:rFonts w:hint="eastAsia" w:ascii="仿宋_GB2312" w:hAnsi="宋体" w:eastAsia="仿宋_GB2312"/>
                <w:color w:val="000000"/>
                <w:sz w:val="24"/>
                <w:szCs w:val="24"/>
              </w:rPr>
              <w:t>报价唯一</w:t>
            </w:r>
          </w:p>
        </w:tc>
        <w:tc>
          <w:tcPr>
            <w:tcW w:w="7655" w:type="dxa"/>
            <w:vAlign w:val="center"/>
          </w:tcPr>
          <w:p>
            <w:pPr>
              <w:spacing w:line="560" w:lineRule="exact"/>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报价函报价只能有一个有效报价。即：</w:t>
            </w:r>
          </w:p>
          <w:p>
            <w:pPr>
              <w:spacing w:line="560" w:lineRule="exact"/>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（1）只允许有一个报价，任何有选择和保留的报价将不予接受。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ind w:left="-347" w:leftChars="-160" w:firstLine="564" w:firstLineChars="238"/>
              <w:rPr>
                <w:rFonts w:hint="eastAsia" w:ascii="仿宋_GB2312" w:hAnsi="宋体" w:eastAsia="仿宋_GB2312"/>
                <w:color w:val="000000"/>
                <w:sz w:val="24"/>
                <w:szCs w:val="24"/>
              </w:rPr>
            </w:pPr>
            <w:r>
              <w:rPr>
                <w:rFonts w:hint="eastAsia" w:ascii="仿宋_GB2312" w:hAnsi="宋体" w:eastAsia="仿宋_GB2312"/>
                <w:color w:val="000000"/>
                <w:sz w:val="24"/>
                <w:szCs w:val="24"/>
              </w:rPr>
              <w:t>8.3</w:t>
            </w:r>
          </w:p>
        </w:tc>
        <w:tc>
          <w:tcPr>
            <w:tcW w:w="2219" w:type="dxa"/>
            <w:vAlign w:val="center"/>
          </w:tcPr>
          <w:p>
            <w:pPr>
              <w:spacing w:line="500" w:lineRule="exact"/>
              <w:ind w:left="-347" w:leftChars="-160" w:firstLine="332" w:firstLineChars="140"/>
              <w:rPr>
                <w:rFonts w:hint="eastAsia" w:ascii="仿宋_GB2312" w:hAnsi="宋体" w:eastAsia="仿宋_GB2312"/>
                <w:color w:val="000000"/>
                <w:sz w:val="24"/>
                <w:szCs w:val="24"/>
              </w:rPr>
            </w:pPr>
            <w:r>
              <w:rPr>
                <w:rFonts w:hint="eastAsia" w:ascii="仿宋_GB2312" w:hAnsi="宋体" w:eastAsia="仿宋_GB2312"/>
                <w:color w:val="000000"/>
                <w:sz w:val="24"/>
                <w:szCs w:val="24"/>
              </w:rPr>
              <w:t>投标报价</w:t>
            </w:r>
          </w:p>
        </w:tc>
        <w:tc>
          <w:tcPr>
            <w:tcW w:w="7655" w:type="dxa"/>
            <w:vAlign w:val="center"/>
          </w:tcPr>
          <w:p>
            <w:pPr>
              <w:spacing w:line="560" w:lineRule="exact"/>
              <w:rPr>
                <w:rFonts w:hint="eastAsia" w:ascii="仿宋_GB2312" w:hAnsi="仿宋" w:eastAsia="仿宋_GB2312" w:cs="仿宋"/>
                <w:color w:val="000000"/>
                <w:sz w:val="24"/>
                <w:szCs w:val="24"/>
                <w:u w:val="single"/>
              </w:rPr>
            </w:pPr>
            <w:r>
              <w:rPr>
                <w:rFonts w:hint="eastAsia" w:ascii="仿宋_GB2312" w:hAnsi="仿宋" w:eastAsia="仿宋_GB2312" w:cs="仿宋"/>
                <w:color w:val="000000"/>
                <w:sz w:val="24"/>
                <w:szCs w:val="24"/>
              </w:rPr>
              <w:t>投标报价按施工招标控制价中可竞争性费用（不含安全文明施工费、规费、专业工程暂估价、暂列金等不可竞争性费用）下浮一定比例报价，</w:t>
            </w:r>
            <w:r>
              <w:rPr>
                <w:rFonts w:hint="eastAsia" w:ascii="仿宋_GB2312" w:hAnsi="仿宋" w:eastAsia="仿宋_GB2312" w:cs="仿宋"/>
                <w:color w:val="000000"/>
                <w:sz w:val="24"/>
                <w:szCs w:val="24"/>
                <w:lang w:eastAsia="zh-CN"/>
              </w:rPr>
              <w:t>下浮比例在</w:t>
            </w:r>
            <w:r>
              <w:rPr>
                <w:rFonts w:hint="eastAsia" w:ascii="仿宋_GB2312" w:hAnsi="仿宋" w:eastAsia="仿宋_GB2312" w:cs="仿宋"/>
                <w:color w:val="000000"/>
                <w:sz w:val="24"/>
                <w:szCs w:val="24"/>
                <w:u w:val="single"/>
                <w:lang w:val="en-US" w:eastAsia="zh-CN"/>
              </w:rPr>
              <w:t>5%</w:t>
            </w:r>
            <w:r>
              <w:rPr>
                <w:rFonts w:hint="eastAsia" w:ascii="仿宋_GB2312" w:hAnsi="仿宋" w:eastAsia="仿宋_GB2312" w:cs="仿宋"/>
                <w:color w:val="000000"/>
                <w:sz w:val="24"/>
                <w:szCs w:val="24"/>
                <w:lang w:val="en-US" w:eastAsia="zh-CN"/>
              </w:rPr>
              <w:t>～</w:t>
            </w:r>
            <w:r>
              <w:rPr>
                <w:rFonts w:hint="eastAsia" w:ascii="仿宋_GB2312" w:hAnsi="仿宋" w:eastAsia="仿宋_GB2312" w:cs="仿宋"/>
                <w:color w:val="000000"/>
                <w:sz w:val="24"/>
                <w:szCs w:val="24"/>
                <w:u w:val="single"/>
                <w:lang w:val="en-US" w:eastAsia="zh-CN"/>
              </w:rPr>
              <w:t>15%</w:t>
            </w:r>
            <w:r>
              <w:rPr>
                <w:rFonts w:hint="eastAsia" w:ascii="仿宋_GB2312" w:hAnsi="仿宋" w:eastAsia="仿宋_GB2312" w:cs="仿宋"/>
                <w:color w:val="000000"/>
                <w:sz w:val="24"/>
                <w:szCs w:val="24"/>
                <w:lang w:val="en-US" w:eastAsia="zh-CN"/>
              </w:rPr>
              <w:t>之间，超过上限或下限的投标人直接按废标处理</w:t>
            </w:r>
            <w:r>
              <w:rPr>
                <w:rFonts w:hint="eastAsia" w:ascii="仿宋_GB2312" w:hAnsi="仿宋" w:eastAsia="仿宋_GB2312"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ind w:left="-347" w:leftChars="-160" w:firstLine="332" w:firstLineChars="140"/>
              <w:rPr>
                <w:rFonts w:hint="eastAsia" w:ascii="仿宋_GB2312" w:hAnsi="宋体" w:eastAsia="仿宋_GB2312"/>
                <w:color w:val="000000"/>
                <w:sz w:val="24"/>
                <w:szCs w:val="24"/>
              </w:rPr>
            </w:pPr>
            <w:r>
              <w:rPr>
                <w:rFonts w:hint="eastAsia" w:ascii="仿宋_GB2312" w:hAnsi="宋体" w:eastAsia="仿宋_GB2312"/>
                <w:color w:val="000000"/>
                <w:sz w:val="24"/>
                <w:szCs w:val="24"/>
              </w:rPr>
              <w:t>8.4</w:t>
            </w:r>
          </w:p>
        </w:tc>
        <w:tc>
          <w:tcPr>
            <w:tcW w:w="2219" w:type="dxa"/>
            <w:vAlign w:val="center"/>
          </w:tcPr>
          <w:p>
            <w:pPr>
              <w:spacing w:line="500" w:lineRule="exact"/>
              <w:ind w:left="-347" w:leftChars="-160" w:firstLine="332" w:firstLineChars="140"/>
              <w:rPr>
                <w:rFonts w:hint="eastAsia" w:ascii="仿宋_GB2312" w:hAnsi="宋体" w:eastAsia="仿宋_GB2312"/>
                <w:color w:val="000000"/>
                <w:sz w:val="24"/>
                <w:szCs w:val="24"/>
              </w:rPr>
            </w:pPr>
            <w:r>
              <w:rPr>
                <w:rFonts w:hint="eastAsia" w:ascii="仿宋_GB2312" w:hAnsi="宋体" w:eastAsia="仿宋_GB2312"/>
                <w:color w:val="000000"/>
                <w:sz w:val="24"/>
                <w:szCs w:val="24"/>
              </w:rPr>
              <w:t>中标价</w:t>
            </w:r>
          </w:p>
        </w:tc>
        <w:tc>
          <w:tcPr>
            <w:tcW w:w="7655" w:type="dxa"/>
            <w:vAlign w:val="center"/>
          </w:tcPr>
          <w:p>
            <w:pPr>
              <w:spacing w:line="560" w:lineRule="exact"/>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以中标的投标人在报价函中的投标报价为准。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ind w:left="-347" w:leftChars="-160" w:firstLine="332" w:firstLineChars="140"/>
              <w:rPr>
                <w:rFonts w:hint="eastAsia" w:ascii="仿宋_GB2312" w:hAnsi="宋体" w:eastAsia="仿宋_GB2312"/>
                <w:color w:val="000000"/>
                <w:sz w:val="24"/>
                <w:szCs w:val="24"/>
              </w:rPr>
            </w:pPr>
            <w:r>
              <w:rPr>
                <w:rFonts w:hint="eastAsia" w:ascii="仿宋_GB2312" w:hAnsi="宋体" w:eastAsia="仿宋_GB2312"/>
                <w:color w:val="000000"/>
                <w:sz w:val="24"/>
                <w:szCs w:val="24"/>
              </w:rPr>
              <w:t>8.5</w:t>
            </w:r>
          </w:p>
        </w:tc>
        <w:tc>
          <w:tcPr>
            <w:tcW w:w="2219" w:type="dxa"/>
            <w:vAlign w:val="center"/>
          </w:tcPr>
          <w:p>
            <w:pPr>
              <w:spacing w:line="500" w:lineRule="exact"/>
              <w:ind w:left="-347" w:leftChars="-160" w:firstLine="332" w:firstLineChars="140"/>
              <w:rPr>
                <w:rFonts w:hint="eastAsia" w:ascii="仿宋_GB2312" w:hAnsi="宋体" w:eastAsia="仿宋_GB2312"/>
                <w:color w:val="000000"/>
                <w:sz w:val="24"/>
                <w:szCs w:val="24"/>
              </w:rPr>
            </w:pPr>
            <w:r>
              <w:rPr>
                <w:rFonts w:hint="eastAsia" w:ascii="仿宋_GB2312" w:hAnsi="宋体" w:eastAsia="仿宋_GB2312"/>
                <w:color w:val="000000"/>
                <w:sz w:val="24"/>
                <w:szCs w:val="24"/>
              </w:rPr>
              <w:t>确定中标人</w:t>
            </w:r>
          </w:p>
        </w:tc>
        <w:tc>
          <w:tcPr>
            <w:tcW w:w="7655" w:type="dxa"/>
            <w:vAlign w:val="center"/>
          </w:tcPr>
          <w:p>
            <w:pPr>
              <w:adjustRightInd w:val="0"/>
              <w:snapToGrid w:val="0"/>
              <w:spacing w:line="360" w:lineRule="auto"/>
              <w:rPr>
                <w:rFonts w:ascii="仿宋_GB2312" w:hAnsi="宋体" w:eastAsia="仿宋_GB2312"/>
                <w:color w:val="000000"/>
                <w:sz w:val="24"/>
                <w:szCs w:val="24"/>
              </w:rPr>
            </w:pPr>
            <w:r>
              <w:rPr>
                <w:rFonts w:hint="eastAsia" w:ascii="仿宋_GB2312" w:hAnsi="宋体" w:eastAsia="仿宋_GB2312"/>
                <w:color w:val="000000"/>
                <w:sz w:val="24"/>
                <w:szCs w:val="24"/>
              </w:rPr>
              <w:t>招标人（或招标人授权的评标委员会）按照评标委员会推荐中标候选人的顺序确定中标人。投标人应在所投标的每个标段中配备不同的项目经理和技术负责人等项目管理人员。如投标人被推荐为中标候选人的多个合同段配置了相同的项目经理和技术负责人等项目管理人员，则</w:t>
            </w:r>
            <w:bookmarkStart w:id="15" w:name="由招标人选择中标的合同段"/>
            <w:r>
              <w:rPr>
                <w:rFonts w:hint="eastAsia" w:ascii="仿宋_GB2312" w:hAnsi="宋体" w:eastAsia="仿宋_GB2312"/>
                <w:color w:val="000000"/>
                <w:sz w:val="24"/>
                <w:szCs w:val="24"/>
              </w:rPr>
              <w:t>由招标人选择中标的合同段。</w:t>
            </w:r>
            <w:bookmarkEnd w:id="15"/>
          </w:p>
          <w:p>
            <w:pPr>
              <w:adjustRightInd w:val="0"/>
              <w:snapToGrid w:val="0"/>
              <w:spacing w:line="360" w:lineRule="auto"/>
              <w:rPr>
                <w:rFonts w:ascii="仿宋_GB2312" w:hAnsi="宋体" w:eastAsia="仿宋_GB2312"/>
                <w:color w:val="000000"/>
                <w:sz w:val="24"/>
                <w:szCs w:val="24"/>
              </w:rPr>
            </w:pPr>
            <w:r>
              <w:rPr>
                <w:rFonts w:hint="eastAsia" w:ascii="仿宋_GB2312" w:hAnsi="宋体" w:eastAsia="仿宋_GB2312"/>
                <w:color w:val="000000"/>
                <w:sz w:val="24"/>
                <w:szCs w:val="24"/>
              </w:rPr>
              <w:t>注：(1)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560" w:lineRule="exact"/>
              <w:rPr>
                <w:rFonts w:hint="eastAsia" w:ascii="仿宋_GB2312" w:hAnsi="仿宋" w:eastAsia="仿宋_GB2312" w:cs="仿宋"/>
                <w:color w:val="000000"/>
                <w:sz w:val="24"/>
                <w:szCs w:val="24"/>
              </w:rPr>
            </w:pPr>
            <w:r>
              <w:rPr>
                <w:rFonts w:hint="eastAsia" w:ascii="仿宋_GB2312" w:hAnsi="宋体" w:eastAsia="仿宋_GB2312"/>
                <w:color w:val="000000"/>
                <w:sz w:val="24"/>
                <w:szCs w:val="24"/>
              </w:rPr>
              <w:t>(2)根据七部委2013年4月修订的30号令《工程建设项目施工招标投标办法》第五十八条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ind w:left="-347" w:leftChars="-160" w:firstLine="332" w:firstLineChars="140"/>
              <w:rPr>
                <w:rFonts w:hint="eastAsia" w:ascii="仿宋_GB2312" w:hAnsi="宋体" w:eastAsia="仿宋_GB2312"/>
                <w:color w:val="000000"/>
                <w:sz w:val="24"/>
                <w:szCs w:val="24"/>
              </w:rPr>
            </w:pPr>
            <w:r>
              <w:rPr>
                <w:rFonts w:hint="eastAsia" w:ascii="仿宋_GB2312" w:hAnsi="宋体" w:eastAsia="仿宋_GB2312"/>
                <w:color w:val="000000"/>
                <w:sz w:val="24"/>
                <w:szCs w:val="24"/>
              </w:rPr>
              <w:t>8.6</w:t>
            </w:r>
          </w:p>
        </w:tc>
        <w:tc>
          <w:tcPr>
            <w:tcW w:w="2219" w:type="dxa"/>
            <w:vAlign w:val="center"/>
          </w:tcPr>
          <w:p>
            <w:pPr>
              <w:spacing w:line="480" w:lineRule="exact"/>
              <w:jc w:val="center"/>
              <w:rPr>
                <w:rFonts w:hint="eastAsia" w:ascii="仿宋_GB2312" w:hAnsi="宋体" w:eastAsia="仿宋_GB2312"/>
                <w:color w:val="000000"/>
                <w:sz w:val="24"/>
                <w:szCs w:val="24"/>
              </w:rPr>
            </w:pPr>
            <w:r>
              <w:rPr>
                <w:rFonts w:hint="eastAsia" w:ascii="仿宋_GB2312" w:hAnsi="仿宋" w:eastAsia="仿宋_GB2312" w:cs="仿宋"/>
                <w:color w:val="000000"/>
                <w:sz w:val="24"/>
                <w:szCs w:val="24"/>
              </w:rPr>
              <w:t>合同中履行过程</w:t>
            </w:r>
            <w:r>
              <w:rPr>
                <w:rFonts w:hint="eastAsia" w:ascii="仿宋_GB2312" w:hAnsi="仿宋" w:eastAsia="仿宋_GB2312" w:cs="仿宋"/>
                <w:color w:val="000000"/>
                <w:sz w:val="24"/>
                <w:szCs w:val="24"/>
                <w:lang w:eastAsia="zh-CN"/>
              </w:rPr>
              <w:t>中材料单价调整</w:t>
            </w:r>
          </w:p>
        </w:tc>
        <w:tc>
          <w:tcPr>
            <w:tcW w:w="7655" w:type="dxa"/>
            <w:vAlign w:val="center"/>
          </w:tcPr>
          <w:p>
            <w:pPr>
              <w:adjustRightInd w:val="0"/>
              <w:snapToGrid w:val="0"/>
              <w:spacing w:line="360" w:lineRule="auto"/>
              <w:jc w:val="left"/>
              <w:rPr>
                <w:rFonts w:ascii="仿宋_GB2312" w:hAnsi="仿宋" w:eastAsia="仿宋_GB2312" w:cs="仿宋"/>
                <w:color w:val="000000"/>
                <w:sz w:val="24"/>
                <w:szCs w:val="24"/>
              </w:rPr>
            </w:pPr>
            <w:bookmarkStart w:id="16" w:name="价格可以调整"/>
            <w:r>
              <w:rPr>
                <w:rFonts w:hint="eastAsia" w:ascii="仿宋_GB2312" w:hAnsi="仿宋" w:eastAsia="仿宋_GB2312" w:cs="仿宋"/>
                <w:color w:val="000000"/>
                <w:sz w:val="24"/>
                <w:szCs w:val="24"/>
              </w:rPr>
              <w:t>□可以调整。按合同条款处理。</w:t>
            </w:r>
          </w:p>
          <w:bookmarkEnd w:id="16"/>
          <w:p>
            <w:pPr>
              <w:adjustRightInd w:val="0"/>
              <w:snapToGrid w:val="0"/>
              <w:spacing w:line="360" w:lineRule="auto"/>
              <w:jc w:val="left"/>
              <w:rPr>
                <w:rFonts w:ascii="仿宋_GB2312" w:hAnsi="仿宋" w:eastAsia="仿宋_GB2312" w:cs="仿宋"/>
                <w:color w:val="000000"/>
                <w:sz w:val="24"/>
                <w:szCs w:val="24"/>
              </w:rPr>
            </w:pPr>
            <w:bookmarkStart w:id="17" w:name="价格不可以调整"/>
            <w:r>
              <w:rPr>
                <w:rFonts w:hint="eastAsia" w:ascii="仿宋_GB2312" w:hAnsi="仿宋" w:eastAsia="仿宋_GB2312" w:cs="仿宋"/>
                <w:color w:val="000000"/>
                <w:sz w:val="24"/>
                <w:szCs w:val="24"/>
              </w:rPr>
              <w:t>□不可以调整。在履行合同时，应按照合同约定的单价和价格作价进行支付，即投标报价表中标明的单价和价格在合同执行过程中是固定不变的，不因物价波动而调整，风险和收益由承包人自行承担。但因法律变化引起的价格调整除外。</w:t>
            </w:r>
            <w:bookmarkEnd w:id="17"/>
          </w:p>
          <w:p>
            <w:pPr>
              <w:adjustRightInd w:val="0"/>
              <w:snapToGrid w:val="0"/>
              <w:spacing w:line="360" w:lineRule="auto"/>
              <w:rPr>
                <w:rFonts w:ascii="仿宋_GB2312" w:hAnsi="仿宋" w:eastAsia="仿宋_GB2312" w:cs="仿宋"/>
                <w:color w:val="000000"/>
                <w:sz w:val="24"/>
                <w:szCs w:val="24"/>
              </w:rPr>
            </w:pPr>
            <w:r>
              <w:rPr>
                <w:rFonts w:hint="eastAsia" w:ascii="仿宋_GB2312" w:hAnsi="仿宋" w:eastAsia="仿宋_GB2312" w:cs="仿宋"/>
                <w:color w:val="000000"/>
                <w:sz w:val="24"/>
                <w:szCs w:val="24"/>
              </w:rPr>
              <w:t>注：(1)本项为单项选择。</w:t>
            </w:r>
          </w:p>
          <w:p>
            <w:pPr>
              <w:adjustRightInd w:val="0"/>
              <w:snapToGrid w:val="0"/>
              <w:spacing w:line="360" w:lineRule="auto"/>
              <w:rPr>
                <w:rFonts w:ascii="仿宋_GB2312" w:hAnsi="仿宋" w:eastAsia="仿宋_GB2312" w:cs="仿宋"/>
                <w:color w:val="000000"/>
                <w:sz w:val="24"/>
                <w:szCs w:val="24"/>
              </w:rPr>
            </w:pPr>
            <w:r>
              <w:rPr>
                <w:rFonts w:hint="eastAsia" w:ascii="仿宋_GB2312" w:hAnsi="仿宋" w:eastAsia="仿宋_GB2312" w:cs="仿宋"/>
                <w:color w:val="000000"/>
                <w:sz w:val="24"/>
                <w:szCs w:val="24"/>
              </w:rPr>
              <w:t>(2)价格调整相关规定：</w:t>
            </w:r>
          </w:p>
          <w:p>
            <w:pPr>
              <w:adjustRightInd w:val="0"/>
              <w:snapToGrid w:val="0"/>
              <w:spacing w:line="360" w:lineRule="auto"/>
              <w:rPr>
                <w:rFonts w:ascii="仿宋_GB2312" w:hAnsi="仿宋" w:eastAsia="仿宋_GB2312" w:cs="仿宋"/>
                <w:color w:val="000000"/>
                <w:sz w:val="24"/>
                <w:szCs w:val="24"/>
              </w:rPr>
            </w:pPr>
            <w:r>
              <w:rPr>
                <w:rFonts w:hint="eastAsia" w:ascii="仿宋_GB2312" w:hAnsi="仿宋" w:eastAsia="仿宋_GB2312" w:cs="仿宋"/>
                <w:color w:val="000000"/>
                <w:sz w:val="24"/>
                <w:szCs w:val="24"/>
              </w:rPr>
              <w:t>《工程建设项目施工招标投标办法》（七部委2013年4月修订的30号令）“第三十条施工招标项目工期较长的，招标文件中可以规定工程造价指数体系、价格调整因素和调整方法。”</w:t>
            </w:r>
          </w:p>
          <w:p>
            <w:pPr>
              <w:adjustRightInd w:val="0"/>
              <w:snapToGrid w:val="0"/>
              <w:spacing w:line="360" w:lineRule="auto"/>
              <w:rPr>
                <w:rFonts w:ascii="仿宋_GB2312" w:hAnsi="仿宋" w:eastAsia="仿宋_GB2312" w:cs="仿宋"/>
                <w:color w:val="000000"/>
                <w:sz w:val="24"/>
                <w:szCs w:val="24"/>
              </w:rPr>
            </w:pPr>
            <w:r>
              <w:rPr>
                <w:rFonts w:hint="eastAsia" w:ascii="仿宋_GB2312" w:hAnsi="仿宋" w:eastAsia="仿宋_GB2312" w:cs="仿宋"/>
                <w:color w:val="000000"/>
                <w:sz w:val="24"/>
                <w:szCs w:val="24"/>
              </w:rPr>
              <w:t>(3)即使是价格可以调整的合同，中标人也应自己承担在投标文件中自主报价低于市场价格所带来的风险。</w:t>
            </w:r>
          </w:p>
          <w:p>
            <w:pPr>
              <w:adjustRightInd w:val="0"/>
              <w:snapToGrid w:val="0"/>
              <w:spacing w:line="360" w:lineRule="auto"/>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(4)即使是价格不可以调整的合同，招标人因未按照合同约定的时间和要求提供原材料、设备、场地、资金、技术资料等，造成工期延误的，招标人也应承担停工、窝工等损失以及原材料由此上涨所带来的损失。双方都有责任的，应当各自承担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80" w:lineRule="exact"/>
              <w:ind w:left="-347" w:leftChars="-160" w:firstLine="332" w:firstLineChars="140"/>
              <w:rPr>
                <w:rFonts w:hint="eastAsia" w:ascii="仿宋_GB2312" w:hAnsi="宋体" w:eastAsia="仿宋_GB2312"/>
                <w:color w:val="000000"/>
                <w:sz w:val="24"/>
                <w:szCs w:val="24"/>
              </w:rPr>
            </w:pPr>
            <w:r>
              <w:rPr>
                <w:rFonts w:hint="eastAsia" w:ascii="仿宋_GB2312" w:hAnsi="宋体" w:eastAsia="仿宋_GB2312"/>
                <w:color w:val="000000"/>
                <w:sz w:val="24"/>
                <w:szCs w:val="24"/>
              </w:rPr>
              <w:t>8.7</w:t>
            </w:r>
          </w:p>
        </w:tc>
        <w:tc>
          <w:tcPr>
            <w:tcW w:w="2219" w:type="dxa"/>
            <w:vAlign w:val="center"/>
          </w:tcPr>
          <w:p>
            <w:pPr>
              <w:spacing w:line="480" w:lineRule="exact"/>
              <w:ind w:left="-347" w:leftChars="-160" w:firstLine="332" w:firstLineChars="140"/>
              <w:rPr>
                <w:rFonts w:hint="eastAsia" w:ascii="仿宋_GB2312" w:hAnsi="宋体" w:eastAsia="仿宋_GB2312"/>
                <w:color w:val="000000"/>
                <w:sz w:val="24"/>
                <w:szCs w:val="24"/>
              </w:rPr>
            </w:pPr>
            <w:r>
              <w:rPr>
                <w:rFonts w:hint="eastAsia" w:ascii="仿宋_GB2312" w:hAnsi="宋体" w:eastAsia="仿宋_GB2312"/>
                <w:color w:val="000000"/>
                <w:sz w:val="24"/>
                <w:szCs w:val="24"/>
              </w:rPr>
              <w:t>严禁转包和违法分包包</w:t>
            </w:r>
          </w:p>
        </w:tc>
        <w:tc>
          <w:tcPr>
            <w:tcW w:w="7655" w:type="dxa"/>
            <w:vAlign w:val="center"/>
          </w:tcPr>
          <w:p>
            <w:pPr>
              <w:spacing w:line="480" w:lineRule="exact"/>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未经行政主管部门批准，中标人不能变更负责人。</w:t>
            </w:r>
          </w:p>
          <w:p>
            <w:pPr>
              <w:spacing w:line="480" w:lineRule="exact"/>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凡招标文件未明确可以分包的，中标人不得进行分包。</w:t>
            </w:r>
          </w:p>
          <w:p>
            <w:pPr>
              <w:spacing w:line="480" w:lineRule="exact"/>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中标人</w:t>
            </w:r>
            <w:r>
              <w:rPr>
                <w:rFonts w:hint="eastAsia" w:ascii="仿宋_GB2312" w:hAnsi="仿宋" w:eastAsia="仿宋_GB2312" w:cs="仿宋"/>
                <w:color w:val="000000"/>
                <w:sz w:val="24"/>
                <w:szCs w:val="24"/>
                <w:lang w:eastAsia="zh-CN"/>
              </w:rPr>
              <w:t>项目</w:t>
            </w:r>
            <w:r>
              <w:rPr>
                <w:rFonts w:hint="eastAsia" w:ascii="仿宋_GB2312" w:hAnsi="仿宋" w:eastAsia="仿宋_GB2312" w:cs="仿宋"/>
                <w:color w:val="000000"/>
                <w:sz w:val="24"/>
                <w:szCs w:val="24"/>
              </w:rPr>
              <w:t>负责人与投标文件不符的视为转包。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80" w:lineRule="exact"/>
              <w:ind w:left="-347" w:leftChars="-160" w:firstLine="332" w:firstLineChars="140"/>
              <w:rPr>
                <w:rFonts w:hint="eastAsia" w:ascii="仿宋_GB2312" w:hAnsi="宋体" w:eastAsia="仿宋_GB2312"/>
                <w:color w:val="000000"/>
                <w:sz w:val="24"/>
                <w:szCs w:val="24"/>
              </w:rPr>
            </w:pPr>
            <w:r>
              <w:rPr>
                <w:rFonts w:hint="eastAsia" w:ascii="仿宋_GB2312" w:hAnsi="宋体" w:eastAsia="仿宋_GB2312"/>
                <w:color w:val="000000"/>
                <w:sz w:val="24"/>
                <w:szCs w:val="24"/>
              </w:rPr>
              <w:t>8.8</w:t>
            </w:r>
          </w:p>
        </w:tc>
        <w:tc>
          <w:tcPr>
            <w:tcW w:w="2219" w:type="dxa"/>
            <w:vAlign w:val="center"/>
          </w:tcPr>
          <w:p>
            <w:pPr>
              <w:spacing w:line="480" w:lineRule="exact"/>
              <w:ind w:left="-347" w:leftChars="-160" w:firstLine="332" w:firstLineChars="140"/>
              <w:rPr>
                <w:rFonts w:hint="eastAsia" w:ascii="仿宋_GB2312" w:hAnsi="宋体" w:eastAsia="仿宋_GB2312"/>
                <w:color w:val="000000"/>
                <w:sz w:val="24"/>
                <w:szCs w:val="24"/>
              </w:rPr>
            </w:pPr>
            <w:r>
              <w:rPr>
                <w:rFonts w:hint="eastAsia" w:ascii="仿宋_GB2312" w:hAnsi="宋体" w:eastAsia="仿宋_GB2312"/>
                <w:color w:val="000000"/>
                <w:sz w:val="24"/>
                <w:szCs w:val="24"/>
              </w:rPr>
              <w:t>合同备案</w:t>
            </w:r>
          </w:p>
        </w:tc>
        <w:tc>
          <w:tcPr>
            <w:tcW w:w="7655" w:type="dxa"/>
            <w:vAlign w:val="center"/>
          </w:tcPr>
          <w:p>
            <w:pPr>
              <w:spacing w:line="480" w:lineRule="exact"/>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承包合同按有关规定备案</w:t>
            </w:r>
          </w:p>
          <w:p>
            <w:pPr>
              <w:spacing w:line="480" w:lineRule="exact"/>
              <w:rPr>
                <w:rFonts w:hint="eastAsia" w:ascii="仿宋_GB2312" w:hAnsi="仿宋" w:eastAsia="仿宋_GB2312" w:cs="仿宋"/>
                <w:color w:val="000000"/>
                <w:spacing w:val="-6"/>
                <w:sz w:val="24"/>
                <w:szCs w:val="24"/>
              </w:rPr>
            </w:pPr>
            <w:r>
              <w:rPr>
                <w:rFonts w:hint="eastAsia" w:ascii="仿宋_GB2312" w:hAnsi="仿宋" w:eastAsia="仿宋_GB2312" w:cs="仿宋"/>
                <w:color w:val="000000"/>
                <w:spacing w:val="-6"/>
                <w:sz w:val="24"/>
                <w:szCs w:val="24"/>
              </w:rPr>
              <w:t>双方当事人就合同产生纠纷时，以备案的中标合同作为根据。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80" w:lineRule="exact"/>
              <w:ind w:left="-347" w:leftChars="-160" w:firstLine="332" w:firstLineChars="140"/>
              <w:rPr>
                <w:rFonts w:hint="eastAsia" w:ascii="仿宋_GB2312" w:hAnsi="宋体" w:eastAsia="仿宋_GB2312"/>
                <w:color w:val="000000"/>
                <w:sz w:val="24"/>
                <w:szCs w:val="24"/>
              </w:rPr>
            </w:pPr>
            <w:r>
              <w:rPr>
                <w:rFonts w:hint="eastAsia" w:ascii="仿宋_GB2312" w:hAnsi="宋体" w:eastAsia="仿宋_GB2312"/>
                <w:color w:val="000000"/>
                <w:sz w:val="24"/>
                <w:szCs w:val="24"/>
              </w:rPr>
              <w:t>8.9</w:t>
            </w:r>
          </w:p>
        </w:tc>
        <w:tc>
          <w:tcPr>
            <w:tcW w:w="2219" w:type="dxa"/>
            <w:vAlign w:val="center"/>
          </w:tcPr>
          <w:p>
            <w:pPr>
              <w:spacing w:line="480" w:lineRule="exact"/>
              <w:ind w:left="-347" w:leftChars="-160" w:firstLine="332" w:firstLineChars="140"/>
              <w:rPr>
                <w:rFonts w:hint="eastAsia" w:ascii="仿宋_GB2312" w:hAnsi="宋体" w:eastAsia="仿宋_GB2312"/>
                <w:color w:val="000000"/>
                <w:sz w:val="24"/>
                <w:szCs w:val="24"/>
              </w:rPr>
            </w:pPr>
            <w:r>
              <w:rPr>
                <w:rFonts w:hint="eastAsia" w:ascii="仿宋_GB2312" w:hAnsi="宋体" w:eastAsia="仿宋_GB2312"/>
                <w:color w:val="000000"/>
                <w:sz w:val="24"/>
                <w:szCs w:val="24"/>
              </w:rPr>
              <w:t>投标文件中的真实性要求</w:t>
            </w:r>
          </w:p>
        </w:tc>
        <w:tc>
          <w:tcPr>
            <w:tcW w:w="7655" w:type="dxa"/>
            <w:vAlign w:val="center"/>
          </w:tcPr>
          <w:p>
            <w:pPr>
              <w:spacing w:line="480" w:lineRule="exact"/>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投标人所递交的投标文件（包括有关资料、澄清）应真实可信，不存在虚假（包括隐瞒），投标人声明不存在限制投标情形，但被发现存在投标限制情形的，构成隐瞒，属于虚假投标行为。</w:t>
            </w:r>
          </w:p>
          <w:p>
            <w:pPr>
              <w:spacing w:line="480" w:lineRule="exact"/>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如投标文件存在虚假，在评标阶段，评标委员会应该将该投标文件作废标处理；中标候选人确定后发现的，招标人和招标行政监督部门可以取消中标候选人或中标资格。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500" w:lineRule="exact"/>
              <w:ind w:left="-347" w:leftChars="-160" w:firstLine="332" w:firstLineChars="140"/>
              <w:rPr>
                <w:rFonts w:hint="eastAsia" w:ascii="仿宋_GB2312" w:hAnsi="宋体" w:eastAsia="仿宋_GB2312"/>
                <w:color w:val="000000"/>
                <w:sz w:val="24"/>
                <w:szCs w:val="24"/>
              </w:rPr>
            </w:pPr>
            <w:r>
              <w:rPr>
                <w:rFonts w:hint="eastAsia" w:ascii="仿宋_GB2312" w:hAnsi="宋体" w:eastAsia="仿宋_GB2312"/>
                <w:color w:val="000000"/>
                <w:sz w:val="24"/>
                <w:szCs w:val="24"/>
              </w:rPr>
              <w:t>8.10</w:t>
            </w:r>
          </w:p>
        </w:tc>
        <w:tc>
          <w:tcPr>
            <w:tcW w:w="2219" w:type="dxa"/>
            <w:vAlign w:val="center"/>
          </w:tcPr>
          <w:p>
            <w:pPr>
              <w:spacing w:line="480" w:lineRule="exact"/>
              <w:ind w:left="-347" w:leftChars="-160" w:firstLine="332" w:firstLineChars="140"/>
              <w:rPr>
                <w:rFonts w:hint="eastAsia" w:ascii="仿宋_GB2312" w:hAnsi="宋体" w:eastAsia="仿宋_GB2312"/>
                <w:color w:val="000000"/>
                <w:sz w:val="24"/>
                <w:szCs w:val="24"/>
              </w:rPr>
            </w:pPr>
            <w:r>
              <w:rPr>
                <w:rFonts w:hint="eastAsia" w:ascii="仿宋_GB2312" w:hAnsi="仿宋" w:eastAsia="仿宋_GB2312" w:cs="仿宋"/>
                <w:color w:val="000000"/>
                <w:sz w:val="24"/>
                <w:szCs w:val="24"/>
              </w:rPr>
              <w:t>评标结果公示期</w:t>
            </w:r>
          </w:p>
        </w:tc>
        <w:tc>
          <w:tcPr>
            <w:tcW w:w="7655" w:type="dxa"/>
            <w:vAlign w:val="center"/>
          </w:tcPr>
          <w:p>
            <w:pPr>
              <w:spacing w:line="500" w:lineRule="exact"/>
              <w:rPr>
                <w:rFonts w:hint="eastAsia" w:ascii="仿宋_GB2312" w:hAnsi="仿宋" w:eastAsia="仿宋_GB2312" w:cs="仿宋"/>
                <w:color w:val="000000"/>
                <w:kern w:val="0"/>
                <w:sz w:val="24"/>
                <w:szCs w:val="24"/>
              </w:rPr>
            </w:pPr>
            <w:r>
              <w:rPr>
                <w:rFonts w:hint="eastAsia" w:ascii="仿宋_GB2312" w:hAnsi="仿宋" w:eastAsia="仿宋_GB2312" w:cs="仿宋"/>
                <w:color w:val="000000"/>
                <w:sz w:val="24"/>
                <w:szCs w:val="24"/>
              </w:rPr>
              <w:t>在广元市公共资源服务中心网站公示三个工作日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80" w:lineRule="exact"/>
              <w:ind w:left="-347" w:leftChars="-160" w:firstLine="332" w:firstLineChars="140"/>
              <w:rPr>
                <w:rFonts w:hint="eastAsia" w:ascii="仿宋_GB2312" w:hAnsi="宋体" w:eastAsia="仿宋_GB2312"/>
                <w:color w:val="000000"/>
                <w:sz w:val="24"/>
                <w:szCs w:val="24"/>
              </w:rPr>
            </w:pPr>
            <w:r>
              <w:rPr>
                <w:rFonts w:hint="eastAsia" w:ascii="仿宋_GB2312" w:hAnsi="宋体" w:eastAsia="仿宋_GB2312"/>
                <w:color w:val="000000"/>
                <w:sz w:val="24"/>
                <w:szCs w:val="24"/>
              </w:rPr>
              <w:t>8.11</w:t>
            </w:r>
          </w:p>
        </w:tc>
        <w:tc>
          <w:tcPr>
            <w:tcW w:w="2219" w:type="dxa"/>
            <w:vAlign w:val="center"/>
          </w:tcPr>
          <w:p>
            <w:pPr>
              <w:spacing w:line="480" w:lineRule="exact"/>
              <w:ind w:left="-347" w:leftChars="-160" w:firstLine="332" w:firstLineChars="140"/>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随机抽取方式</w:t>
            </w:r>
          </w:p>
        </w:tc>
        <w:tc>
          <w:tcPr>
            <w:tcW w:w="7655" w:type="dxa"/>
            <w:vAlign w:val="center"/>
          </w:tcPr>
          <w:p>
            <w:pPr>
              <w:spacing w:line="480" w:lineRule="exact"/>
              <w:jc w:val="left"/>
              <w:rPr>
                <w:rFonts w:hint="eastAsia" w:ascii="仿宋_GB2312" w:hAnsi="仿宋" w:eastAsia="仿宋_GB2312" w:cs="仿宋"/>
                <w:color w:val="FF0000"/>
                <w:kern w:val="0"/>
                <w:sz w:val="24"/>
                <w:szCs w:val="24"/>
              </w:rPr>
            </w:pPr>
            <w:r>
              <w:rPr>
                <w:rFonts w:hint="eastAsia" w:ascii="仿宋_GB2312" w:hAnsi="仿宋" w:eastAsia="仿宋_GB2312" w:cs="仿宋"/>
                <w:color w:val="FF0000"/>
                <w:kern w:val="0"/>
                <w:sz w:val="24"/>
                <w:szCs w:val="24"/>
              </w:rPr>
              <w:t>摇号抽取：用抽取球随机抽取。</w:t>
            </w:r>
          </w:p>
          <w:p>
            <w:pPr>
              <w:spacing w:line="480" w:lineRule="exact"/>
              <w:jc w:val="lef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随机抽取工作由招标人或招标代理机构实施。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480" w:lineRule="exact"/>
              <w:ind w:left="-347" w:leftChars="-160" w:firstLine="332" w:firstLineChars="140"/>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8.12</w:t>
            </w:r>
          </w:p>
        </w:tc>
        <w:tc>
          <w:tcPr>
            <w:tcW w:w="2219" w:type="dxa"/>
            <w:vAlign w:val="center"/>
          </w:tcPr>
          <w:p>
            <w:pPr>
              <w:spacing w:line="580" w:lineRule="exac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报价相同企业排序</w:t>
            </w:r>
          </w:p>
        </w:tc>
        <w:tc>
          <w:tcPr>
            <w:tcW w:w="7655" w:type="dxa"/>
            <w:vAlign w:val="center"/>
          </w:tcPr>
          <w:p>
            <w:pPr>
              <w:spacing w:line="560" w:lineRule="exact"/>
              <w:rPr>
                <w:rFonts w:hint="eastAsia" w:ascii="仿宋_GB2312" w:hAnsi="仿宋" w:eastAsia="仿宋_GB2312" w:cs="仿宋"/>
                <w:color w:val="FF0000"/>
                <w:kern w:val="0"/>
                <w:sz w:val="24"/>
                <w:szCs w:val="24"/>
              </w:rPr>
            </w:pPr>
            <w:r>
              <w:rPr>
                <w:rFonts w:hint="eastAsia" w:ascii="仿宋_GB2312" w:hAnsi="仿宋" w:eastAsia="仿宋_GB2312" w:cs="仿宋"/>
                <w:color w:val="FF0000"/>
                <w:sz w:val="24"/>
                <w:szCs w:val="24"/>
              </w:rPr>
              <w:t>业主或招标代理机构现场随机选取</w:t>
            </w:r>
            <w:r>
              <w:rPr>
                <w:rFonts w:ascii="仿宋_GB2312" w:hAnsi="仿宋" w:eastAsia="仿宋_GB2312" w:cs="仿宋"/>
                <w:color w:val="FF0000"/>
                <w:sz w:val="24"/>
                <w:szCs w:val="24"/>
              </w:rPr>
              <w:t>1</w:t>
            </w:r>
            <w:r>
              <w:rPr>
                <w:rFonts w:hint="eastAsia" w:ascii="仿宋_GB2312" w:hAnsi="仿宋" w:eastAsia="仿宋_GB2312" w:cs="仿宋"/>
                <w:color w:val="FF0000"/>
                <w:sz w:val="24"/>
                <w:szCs w:val="24"/>
              </w:rPr>
              <w:t>名投标人代表检查抽取箱密封等情况并签字确认。由代理机构或业主代表把编号为</w:t>
            </w:r>
            <w:r>
              <w:rPr>
                <w:rFonts w:ascii="仿宋_GB2312" w:hAnsi="仿宋" w:eastAsia="仿宋_GB2312" w:cs="仿宋"/>
                <w:color w:val="FF0000"/>
                <w:sz w:val="24"/>
                <w:szCs w:val="24"/>
              </w:rPr>
              <w:t>1</w:t>
            </w:r>
            <w:r>
              <w:rPr>
                <w:rFonts w:hint="eastAsia" w:ascii="仿宋_GB2312" w:hAnsi="仿宋" w:eastAsia="仿宋_GB2312" w:cs="仿宋"/>
                <w:color w:val="FF0000"/>
                <w:sz w:val="24"/>
                <w:szCs w:val="24"/>
              </w:rPr>
              <w:t>、</w:t>
            </w:r>
            <w:r>
              <w:rPr>
                <w:rFonts w:ascii="仿宋_GB2312" w:hAnsi="仿宋" w:eastAsia="仿宋_GB2312" w:cs="仿宋"/>
                <w:color w:val="FF0000"/>
                <w:sz w:val="24"/>
                <w:szCs w:val="24"/>
              </w:rPr>
              <w:t>2</w:t>
            </w:r>
            <w:r>
              <w:rPr>
                <w:rFonts w:hint="eastAsia" w:ascii="仿宋_GB2312" w:hAnsi="仿宋" w:eastAsia="仿宋_GB2312" w:cs="仿宋"/>
                <w:color w:val="FF0000"/>
                <w:sz w:val="24"/>
                <w:szCs w:val="24"/>
              </w:rPr>
              <w:t>、</w:t>
            </w:r>
            <w:r>
              <w:rPr>
                <w:rFonts w:ascii="仿宋_GB2312" w:hAnsi="仿宋" w:eastAsia="仿宋_GB2312" w:cs="仿宋"/>
                <w:color w:val="FF0000"/>
                <w:sz w:val="24"/>
                <w:szCs w:val="24"/>
              </w:rPr>
              <w:t>3</w:t>
            </w:r>
            <w:r>
              <w:rPr>
                <w:rFonts w:hint="eastAsia" w:ascii="仿宋_GB2312" w:hAnsi="仿宋" w:eastAsia="仿宋_GB2312" w:cs="仿宋"/>
                <w:color w:val="FF0000"/>
                <w:sz w:val="24"/>
                <w:szCs w:val="24"/>
              </w:rPr>
              <w:t>……的抽取球放入箱内，直到完本次与所有报价相同的投标人数量的抽取球为止，由投标人确认无误后由代理机构对箱内的抽取球摇匀，直到现场投标人无异议为止；由电脑对报价相同的投标人的抽取顺序进行随机排序，然后报价相同的投标人按电脑随机排序的顺序分别抽取球，再按抽取编号顺序由小到大对报价相同的投标人排序，编号为</w:t>
            </w:r>
            <w:r>
              <w:rPr>
                <w:rFonts w:ascii="仿宋_GB2312" w:hAnsi="仿宋" w:eastAsia="仿宋_GB2312" w:cs="仿宋"/>
                <w:color w:val="FF0000"/>
                <w:sz w:val="24"/>
                <w:szCs w:val="24"/>
              </w:rPr>
              <w:t>1</w:t>
            </w:r>
            <w:r>
              <w:rPr>
                <w:rFonts w:hint="eastAsia" w:ascii="仿宋_GB2312" w:hAnsi="仿宋" w:eastAsia="仿宋_GB2312" w:cs="仿宋"/>
                <w:color w:val="FF0000"/>
                <w:sz w:val="24"/>
                <w:szCs w:val="24"/>
              </w:rPr>
              <w:t>的为第一名，编号</w:t>
            </w:r>
            <w:r>
              <w:rPr>
                <w:rFonts w:ascii="仿宋_GB2312" w:hAnsi="仿宋" w:eastAsia="仿宋_GB2312" w:cs="仿宋"/>
                <w:color w:val="FF0000"/>
                <w:sz w:val="24"/>
                <w:szCs w:val="24"/>
              </w:rPr>
              <w:t>2</w:t>
            </w:r>
            <w:r>
              <w:rPr>
                <w:rFonts w:hint="eastAsia" w:ascii="仿宋_GB2312" w:hAnsi="仿宋" w:eastAsia="仿宋_GB2312" w:cs="仿宋"/>
                <w:color w:val="FF0000"/>
                <w:sz w:val="24"/>
                <w:szCs w:val="24"/>
              </w:rPr>
              <w:t>为第二名，依次为对应为</w:t>
            </w:r>
            <w:r>
              <w:rPr>
                <w:rFonts w:ascii="仿宋_GB2312" w:hAnsi="仿宋" w:eastAsia="仿宋_GB2312" w:cs="仿宋"/>
                <w:color w:val="FF0000"/>
                <w:sz w:val="24"/>
                <w:szCs w:val="24"/>
              </w:rPr>
              <w:t>3</w:t>
            </w:r>
            <w:r>
              <w:rPr>
                <w:rFonts w:hint="eastAsia" w:ascii="仿宋_GB2312" w:hAnsi="仿宋" w:eastAsia="仿宋_GB2312" w:cs="仿宋"/>
                <w:color w:val="FF0000"/>
                <w:sz w:val="24"/>
                <w:szCs w:val="24"/>
              </w:rPr>
              <w:t>、</w:t>
            </w:r>
            <w:r>
              <w:rPr>
                <w:rFonts w:ascii="仿宋_GB2312" w:hAnsi="仿宋" w:eastAsia="仿宋_GB2312" w:cs="仿宋"/>
                <w:color w:val="FF0000"/>
                <w:sz w:val="24"/>
                <w:szCs w:val="24"/>
              </w:rPr>
              <w:t>4</w:t>
            </w:r>
            <w:r>
              <w:rPr>
                <w:rFonts w:hint="eastAsia" w:ascii="仿宋_GB2312" w:hAnsi="仿宋" w:eastAsia="仿宋_GB2312" w:cs="仿宋"/>
                <w:color w:val="FF0000"/>
                <w:sz w:val="24"/>
                <w:szCs w:val="24"/>
              </w:rPr>
              <w:t>、</w:t>
            </w:r>
            <w:r>
              <w:rPr>
                <w:rFonts w:ascii="仿宋_GB2312" w:hAnsi="仿宋" w:eastAsia="仿宋_GB2312" w:cs="仿宋"/>
                <w:color w:val="FF0000"/>
                <w:sz w:val="24"/>
                <w:szCs w:val="24"/>
              </w:rPr>
              <w:t>5</w:t>
            </w:r>
            <w:r>
              <w:rPr>
                <w:rFonts w:hint="eastAsia" w:ascii="仿宋_GB2312" w:hAnsi="仿宋" w:eastAsia="仿宋_GB2312" w:cs="仿宋"/>
                <w:color w:val="FF0000"/>
                <w:sz w:val="24"/>
                <w:szCs w:val="24"/>
              </w:rPr>
              <w:t>……</w:t>
            </w:r>
            <w:r>
              <w:rPr>
                <w:rFonts w:ascii="仿宋_GB2312" w:hAnsi="仿宋" w:eastAsia="仿宋_GB2312" w:cs="仿宋"/>
                <w:color w:val="FF0000"/>
                <w:sz w:val="24"/>
                <w:szCs w:val="24"/>
              </w:rPr>
              <w:t>N</w:t>
            </w:r>
            <w:r>
              <w:rPr>
                <w:rFonts w:hint="eastAsia" w:ascii="仿宋_GB2312" w:hAnsi="仿宋" w:eastAsia="仿宋_GB2312" w:cs="仿宋"/>
                <w:color w:val="FF0000"/>
                <w:sz w:val="24"/>
                <w:szCs w:val="24"/>
              </w:rPr>
              <w:t>名。再由专家进行最后排序。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7" w:type="dxa"/>
            <w:gridSpan w:val="3"/>
            <w:vAlign w:val="center"/>
          </w:tcPr>
          <w:p>
            <w:pPr>
              <w:spacing w:line="480" w:lineRule="exac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注：本投标须知表中内容与招标文件其他地方不一致或相矛盾时，以本须知表为准。</w:t>
            </w:r>
          </w:p>
          <w:p>
            <w:pPr>
              <w:spacing w:line="480" w:lineRule="exact"/>
              <w:rPr>
                <w:rFonts w:hint="eastAsia" w:ascii="仿宋_GB2312" w:hAnsi="仿宋" w:eastAsia="仿宋_GB2312" w:cs="仿宋"/>
                <w:color w:val="000000"/>
                <w:kern w:val="0"/>
                <w:sz w:val="24"/>
                <w:szCs w:val="24"/>
              </w:rPr>
            </w:pPr>
            <w:r>
              <w:rPr>
                <w:rFonts w:hint="eastAsia" w:ascii="仿宋_GB2312" w:hAnsi="仿宋" w:eastAsia="仿宋_GB2312" w:cs="仿宋"/>
                <w:color w:val="000000"/>
                <w:kern w:val="0"/>
                <w:sz w:val="24"/>
                <w:szCs w:val="24"/>
              </w:rPr>
              <w:t>当补遗书与招标文件对应内容不一致时，以补遗书为准。</w:t>
            </w:r>
          </w:p>
        </w:tc>
      </w:tr>
    </w:tbl>
    <w:p>
      <w:pPr>
        <w:spacing w:line="360" w:lineRule="auto"/>
        <w:jc w:val="left"/>
        <w:rPr>
          <w:rFonts w:hint="eastAsia" w:ascii="仿宋_GB2312" w:hAnsi="宋体" w:eastAsia="仿宋_GB2312"/>
          <w:color w:val="000000"/>
          <w:sz w:val="24"/>
        </w:rPr>
        <w:sectPr>
          <w:footerReference r:id="rId3" w:type="default"/>
          <w:endnotePr>
            <w:numFmt w:val="decimal"/>
          </w:endnotePr>
          <w:pgSz w:w="11906" w:h="16838"/>
          <w:pgMar w:top="1247" w:right="1247" w:bottom="1247" w:left="1361" w:header="851" w:footer="1417" w:gutter="0"/>
          <w:pgNumType w:start="1"/>
          <w:cols w:space="720" w:num="1"/>
          <w:rtlGutter w:val="0"/>
          <w:docGrid w:type="linesAndChars" w:linePitch="592" w:charSpace="-620"/>
        </w:sectPr>
      </w:pPr>
    </w:p>
    <w:p>
      <w:pPr>
        <w:pStyle w:val="3"/>
        <w:spacing w:line="500" w:lineRule="exact"/>
        <w:rPr>
          <w:rFonts w:hint="eastAsia" w:ascii="仿宋_GB2312" w:hAnsi="宋体" w:eastAsia="仿宋_GB2312"/>
          <w:color w:val="000000"/>
          <w:szCs w:val="24"/>
        </w:rPr>
      </w:pPr>
      <w:bookmarkStart w:id="18" w:name="_Toc225045506"/>
      <w:bookmarkStart w:id="19" w:name="_Toc18294"/>
      <w:bookmarkStart w:id="20" w:name="_Toc270862369"/>
      <w:bookmarkStart w:id="21" w:name="_Toc185047286"/>
      <w:r>
        <w:rPr>
          <w:rFonts w:hint="eastAsia" w:ascii="仿宋_GB2312" w:hAnsi="宋体" w:eastAsia="仿宋_GB2312"/>
          <w:color w:val="000000"/>
          <w:szCs w:val="24"/>
          <w:lang w:eastAsia="zh-CN"/>
        </w:rPr>
        <w:t>1</w:t>
      </w:r>
      <w:r>
        <w:rPr>
          <w:rFonts w:hint="eastAsia" w:ascii="仿宋_GB2312" w:hAnsi="宋体" w:eastAsia="仿宋_GB2312"/>
          <w:color w:val="000000"/>
          <w:szCs w:val="24"/>
        </w:rPr>
        <w:t>．开标</w:t>
      </w:r>
      <w:bookmarkEnd w:id="18"/>
      <w:bookmarkEnd w:id="19"/>
      <w:bookmarkEnd w:id="20"/>
      <w:bookmarkEnd w:id="21"/>
    </w:p>
    <w:p>
      <w:pPr>
        <w:pStyle w:val="4"/>
        <w:spacing w:line="500" w:lineRule="exact"/>
        <w:rPr>
          <w:rFonts w:hint="eastAsia" w:ascii="仿宋_GB2312" w:hAnsi="宋体" w:eastAsia="仿宋_GB2312"/>
          <w:color w:val="000000"/>
          <w:sz w:val="24"/>
          <w:szCs w:val="24"/>
        </w:rPr>
      </w:pPr>
      <w:bookmarkStart w:id="22" w:name="_Toc185047287"/>
      <w:r>
        <w:rPr>
          <w:rFonts w:hint="eastAsia" w:ascii="仿宋_GB2312" w:hAnsi="宋体" w:eastAsia="仿宋_GB2312"/>
          <w:color w:val="000000"/>
          <w:sz w:val="24"/>
          <w:szCs w:val="24"/>
        </w:rPr>
        <w:t>1.1</w:t>
      </w:r>
      <w:bookmarkEnd w:id="22"/>
      <w:bookmarkStart w:id="23" w:name="_Toc185047288"/>
      <w:r>
        <w:rPr>
          <w:rFonts w:hint="eastAsia" w:ascii="仿宋_GB2312" w:hAnsi="宋体" w:eastAsia="仿宋_GB2312"/>
          <w:color w:val="000000"/>
          <w:sz w:val="24"/>
          <w:szCs w:val="24"/>
        </w:rPr>
        <w:t>开标程序</w:t>
      </w:r>
      <w:bookmarkEnd w:id="23"/>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主持人按下列程序进行开标：</w:t>
      </w:r>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(l）宣布开标纪律；</w:t>
      </w:r>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(2）公布在投标截止时间前递交投标文件的投标人名称，并点名确认投标人的报价人员是否到场；</w:t>
      </w:r>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(3）宣布开标人、唱标人、记录人、监标人等有关人员姓名；</w:t>
      </w:r>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(4）在开标环节中导入投标文件电子版时，投标单位或拟派项目班子人员中有一人为未进入“广元市交通建设项目预选承包商库 ”的，拒收投标文件。</w:t>
      </w:r>
    </w:p>
    <w:p>
      <w:pPr>
        <w:spacing w:line="500" w:lineRule="exact"/>
        <w:ind w:firstLine="480" w:firstLineChars="200"/>
        <w:rPr>
          <w:rFonts w:hint="eastAsia" w:ascii="仿宋_GB2312" w:hAnsi="宋体" w:eastAsia="仿宋_GB2312"/>
          <w:color w:val="FF0000"/>
          <w:sz w:val="24"/>
          <w:szCs w:val="24"/>
        </w:rPr>
      </w:pPr>
      <w:r>
        <w:rPr>
          <w:rFonts w:hint="eastAsia" w:ascii="仿宋_GB2312" w:hAnsi="宋体" w:eastAsia="仿宋_GB2312"/>
          <w:color w:val="000000"/>
          <w:sz w:val="24"/>
          <w:szCs w:val="24"/>
        </w:rPr>
        <w:t>（5）根据投标人须知前附表8.11，</w:t>
      </w:r>
      <w:r>
        <w:rPr>
          <w:rFonts w:hint="eastAsia" w:ascii="仿宋_GB2312" w:hAnsi="宋体" w:eastAsia="仿宋_GB2312"/>
          <w:color w:val="FF0000"/>
          <w:sz w:val="24"/>
          <w:szCs w:val="24"/>
        </w:rPr>
        <w:t>采用抽取球抽取方式产生各投标人的具体编号方式为：投标人在递交投标文件截止时间前签到。</w:t>
      </w:r>
    </w:p>
    <w:p>
      <w:pPr>
        <w:spacing w:line="500" w:lineRule="exact"/>
        <w:ind w:firstLine="480" w:firstLineChars="200"/>
        <w:rPr>
          <w:rFonts w:ascii="仿宋_GB2312" w:hAnsi="宋体" w:eastAsia="仿宋_GB2312"/>
          <w:color w:val="FF0000"/>
          <w:sz w:val="24"/>
          <w:szCs w:val="24"/>
        </w:rPr>
      </w:pPr>
      <w:r>
        <w:rPr>
          <w:rFonts w:hint="eastAsia" w:ascii="仿宋_GB2312" w:hAnsi="宋体" w:eastAsia="仿宋_GB2312"/>
          <w:color w:val="FF0000"/>
          <w:sz w:val="24"/>
          <w:szCs w:val="24"/>
        </w:rPr>
        <w:t>（一）投标人按签到顺序依次随机</w:t>
      </w:r>
      <w:r>
        <w:rPr>
          <w:rFonts w:hint="eastAsia" w:ascii="仿宋_GB2312" w:hAnsi="宋体" w:eastAsia="仿宋_GB2312"/>
          <w:color w:val="FF0000"/>
          <w:sz w:val="24"/>
          <w:szCs w:val="24"/>
          <w:lang w:eastAsia="zh-CN"/>
        </w:rPr>
        <w:t>抽取</w:t>
      </w:r>
      <w:r>
        <w:rPr>
          <w:rFonts w:hint="eastAsia" w:ascii="仿宋_GB2312" w:hAnsi="宋体" w:eastAsia="仿宋_GB2312"/>
          <w:color w:val="FF0000"/>
          <w:sz w:val="24"/>
          <w:szCs w:val="24"/>
        </w:rPr>
        <w:t>事先准备好的号球，由代理机构或业主代表登记后放入</w:t>
      </w:r>
      <w:r>
        <w:rPr>
          <w:rFonts w:hint="eastAsia" w:ascii="仿宋_GB2312" w:hAnsi="宋体" w:eastAsia="仿宋_GB2312"/>
          <w:color w:val="FF0000"/>
          <w:sz w:val="24"/>
          <w:szCs w:val="24"/>
          <w:lang w:eastAsia="zh-CN"/>
        </w:rPr>
        <w:t>经现场确认的空</w:t>
      </w:r>
      <w:r>
        <w:rPr>
          <w:rFonts w:hint="eastAsia" w:ascii="仿宋_GB2312" w:hAnsi="宋体" w:eastAsia="仿宋_GB2312"/>
          <w:color w:val="FF0000"/>
          <w:sz w:val="24"/>
          <w:szCs w:val="24"/>
        </w:rPr>
        <w:t>抽取箱，投标人并在号球登记表上签字确认。登记完成后，由监督人员签字确认；</w:t>
      </w:r>
    </w:p>
    <w:p>
      <w:pPr>
        <w:spacing w:line="500" w:lineRule="exact"/>
        <w:ind w:firstLine="480" w:firstLineChars="200"/>
        <w:rPr>
          <w:rFonts w:ascii="仿宋_GB2312" w:hAnsi="宋体" w:eastAsia="仿宋_GB2312"/>
          <w:color w:val="FF0000"/>
          <w:sz w:val="24"/>
          <w:szCs w:val="24"/>
        </w:rPr>
      </w:pPr>
      <w:r>
        <w:rPr>
          <w:rFonts w:hint="eastAsia" w:ascii="仿宋_GB2312" w:hAnsi="宋体" w:eastAsia="仿宋_GB2312"/>
          <w:color w:val="FF0000"/>
          <w:sz w:val="24"/>
          <w:szCs w:val="24"/>
        </w:rPr>
        <w:t>（二）业主或招标代理机构现场随机选取</w:t>
      </w:r>
      <w:r>
        <w:rPr>
          <w:rFonts w:ascii="仿宋_GB2312" w:hAnsi="宋体" w:eastAsia="仿宋_GB2312"/>
          <w:color w:val="FF0000"/>
          <w:sz w:val="24"/>
          <w:szCs w:val="24"/>
        </w:rPr>
        <w:t>3</w:t>
      </w:r>
      <w:r>
        <w:rPr>
          <w:rFonts w:hint="eastAsia" w:ascii="仿宋_GB2312" w:hAnsi="宋体" w:eastAsia="仿宋_GB2312"/>
          <w:color w:val="FF0000"/>
          <w:sz w:val="24"/>
          <w:szCs w:val="24"/>
        </w:rPr>
        <w:t>名投标人代表检查抽取箱密封等情况并签字确认，由所有投标人确认无误后由代理机构对箱内的抽取球摇匀，直到现场投标人无异议为止；再由</w:t>
      </w:r>
      <w:r>
        <w:rPr>
          <w:rFonts w:ascii="仿宋_GB2312" w:hAnsi="宋体" w:eastAsia="仿宋_GB2312"/>
          <w:color w:val="FF0000"/>
          <w:sz w:val="24"/>
          <w:szCs w:val="24"/>
        </w:rPr>
        <w:t>10</w:t>
      </w:r>
      <w:r>
        <w:rPr>
          <w:rFonts w:hint="eastAsia" w:ascii="仿宋_GB2312" w:hAnsi="宋体" w:eastAsia="仿宋_GB2312"/>
          <w:color w:val="FF0000"/>
          <w:sz w:val="24"/>
          <w:szCs w:val="24"/>
        </w:rPr>
        <w:t>名投标人代表依次现场在抽取箱随机</w:t>
      </w:r>
      <w:r>
        <w:rPr>
          <w:rFonts w:hint="eastAsia" w:ascii="仿宋_GB2312" w:hAnsi="宋体" w:eastAsia="仿宋_GB2312"/>
          <w:color w:val="FF0000"/>
          <w:sz w:val="24"/>
          <w:szCs w:val="24"/>
          <w:lang w:eastAsia="zh-CN"/>
        </w:rPr>
        <w:t>分别</w:t>
      </w:r>
      <w:r>
        <w:rPr>
          <w:rFonts w:hint="eastAsia" w:ascii="仿宋_GB2312" w:hAnsi="宋体" w:eastAsia="仿宋_GB2312"/>
          <w:color w:val="FF0000"/>
          <w:sz w:val="24"/>
          <w:szCs w:val="24"/>
        </w:rPr>
        <w:t>抽取一个球；</w:t>
      </w:r>
    </w:p>
    <w:p>
      <w:pPr>
        <w:spacing w:line="500" w:lineRule="exact"/>
        <w:ind w:firstLine="480" w:firstLineChars="200"/>
        <w:rPr>
          <w:rFonts w:hint="eastAsia" w:ascii="仿宋_GB2312" w:hAnsi="宋体" w:eastAsia="仿宋_GB2312"/>
          <w:color w:val="FF0000"/>
          <w:sz w:val="24"/>
          <w:szCs w:val="24"/>
        </w:rPr>
      </w:pPr>
      <w:r>
        <w:rPr>
          <w:rFonts w:hint="eastAsia" w:ascii="仿宋_GB2312" w:hAnsi="宋体" w:eastAsia="仿宋_GB2312"/>
          <w:color w:val="FF0000"/>
          <w:sz w:val="24"/>
          <w:szCs w:val="24"/>
        </w:rPr>
        <w:t>（三）按照以上抽取程序在箱内</w:t>
      </w:r>
      <w:r>
        <w:rPr>
          <w:rFonts w:hint="eastAsia" w:ascii="仿宋_GB2312" w:hAnsi="宋体" w:eastAsia="仿宋_GB2312"/>
          <w:color w:val="FF0000"/>
          <w:sz w:val="24"/>
          <w:szCs w:val="24"/>
          <w:lang w:eastAsia="zh-CN"/>
        </w:rPr>
        <w:t>抽取</w:t>
      </w:r>
      <w:r>
        <w:rPr>
          <w:rFonts w:hint="eastAsia" w:ascii="仿宋_GB2312" w:hAnsi="宋体" w:eastAsia="仿宋_GB2312"/>
          <w:color w:val="FF0000"/>
          <w:sz w:val="24"/>
          <w:szCs w:val="24"/>
          <w:lang w:val="en-US" w:eastAsia="zh-CN"/>
        </w:rPr>
        <w:t>10个号球后</w:t>
      </w:r>
      <w:r>
        <w:rPr>
          <w:rFonts w:hint="eastAsia" w:ascii="仿宋_GB2312" w:hAnsi="宋体" w:eastAsia="仿宋_GB2312"/>
          <w:color w:val="FF0000"/>
          <w:sz w:val="24"/>
          <w:szCs w:val="24"/>
        </w:rPr>
        <w:t>由唱标人当场宣布被抽中投标报价人名称</w:t>
      </w:r>
      <w:r>
        <w:rPr>
          <w:rFonts w:hint="eastAsia" w:ascii="仿宋_GB2312" w:hAnsi="宋体" w:eastAsia="仿宋_GB2312"/>
          <w:color w:val="FF0000"/>
          <w:sz w:val="24"/>
          <w:szCs w:val="24"/>
          <w:lang w:eastAsia="zh-CN"/>
        </w:rPr>
        <w:t>并记录</w:t>
      </w:r>
      <w:r>
        <w:rPr>
          <w:rFonts w:hint="eastAsia" w:ascii="仿宋_GB2312" w:hAnsi="宋体" w:eastAsia="仿宋_GB2312"/>
          <w:color w:val="FF0000"/>
          <w:sz w:val="24"/>
          <w:szCs w:val="24"/>
        </w:rPr>
        <w:t>，再审核比对</w:t>
      </w:r>
      <w:r>
        <w:rPr>
          <w:rFonts w:hint="eastAsia" w:ascii="仿宋_GB2312" w:hAnsi="宋体" w:eastAsia="仿宋_GB2312"/>
          <w:color w:val="FF0000"/>
          <w:sz w:val="24"/>
          <w:szCs w:val="24"/>
          <w:lang w:eastAsia="zh-CN"/>
        </w:rPr>
        <w:t>抽中的</w:t>
      </w:r>
      <w:r>
        <w:rPr>
          <w:rFonts w:hint="eastAsia" w:ascii="仿宋_GB2312" w:hAnsi="宋体" w:eastAsia="仿宋_GB2312"/>
          <w:color w:val="FF0000"/>
          <w:sz w:val="24"/>
          <w:szCs w:val="24"/>
        </w:rPr>
        <w:t>投标人及其项目管理机构人员等信息是否为广元市储备库的承包商相关信息，核对投标保证金、保函等资料，</w:t>
      </w:r>
      <w:r>
        <w:rPr>
          <w:rFonts w:hint="eastAsia" w:ascii="仿宋_GB2312" w:hAnsi="宋体" w:eastAsia="仿宋_GB2312"/>
          <w:color w:val="FF0000"/>
          <w:sz w:val="24"/>
          <w:szCs w:val="24"/>
          <w:lang w:eastAsia="zh-CN"/>
        </w:rPr>
        <w:t>审核资料不符和</w:t>
      </w:r>
      <w:r>
        <w:rPr>
          <w:rFonts w:hint="eastAsia" w:ascii="仿宋_GB2312" w:hAnsi="宋体" w:eastAsia="仿宋_GB2312"/>
          <w:color w:val="FF0000"/>
          <w:sz w:val="24"/>
          <w:szCs w:val="24"/>
        </w:rPr>
        <w:t>信息比对有误的投标人不得</w:t>
      </w:r>
      <w:r>
        <w:rPr>
          <w:rFonts w:hint="eastAsia" w:ascii="仿宋_GB2312" w:hAnsi="宋体" w:eastAsia="仿宋_GB2312"/>
          <w:color w:val="FF0000"/>
          <w:sz w:val="24"/>
          <w:szCs w:val="24"/>
          <w:lang w:eastAsia="zh-CN"/>
        </w:rPr>
        <w:t>参与报价，然后继续在剩余的号球中抽取一家投标人</w:t>
      </w:r>
      <w:r>
        <w:rPr>
          <w:rFonts w:hint="eastAsia" w:ascii="仿宋_GB2312" w:hAnsi="宋体" w:eastAsia="仿宋_GB2312"/>
          <w:color w:val="FF0000"/>
          <w:sz w:val="24"/>
          <w:szCs w:val="24"/>
        </w:rPr>
        <w:t>直到抽出所有符合《广元市国家投资工程建设项目招标投标管理暂行办法》（广发改〔</w:t>
      </w:r>
      <w:r>
        <w:rPr>
          <w:rFonts w:ascii="仿宋_GB2312" w:hAnsi="宋体" w:eastAsia="仿宋_GB2312"/>
          <w:color w:val="FF0000"/>
          <w:sz w:val="24"/>
          <w:szCs w:val="24"/>
        </w:rPr>
        <w:t>2017</w:t>
      </w:r>
      <w:r>
        <w:rPr>
          <w:rFonts w:hint="eastAsia" w:ascii="仿宋_GB2312" w:hAnsi="宋体" w:eastAsia="仿宋_GB2312"/>
          <w:color w:val="FF0000"/>
          <w:sz w:val="24"/>
          <w:szCs w:val="24"/>
        </w:rPr>
        <w:t>〕</w:t>
      </w:r>
      <w:r>
        <w:rPr>
          <w:rFonts w:ascii="仿宋_GB2312" w:hAnsi="宋体" w:eastAsia="仿宋_GB2312"/>
          <w:color w:val="FF0000"/>
          <w:sz w:val="24"/>
          <w:szCs w:val="24"/>
        </w:rPr>
        <w:t>295</w:t>
      </w:r>
      <w:r>
        <w:rPr>
          <w:rFonts w:hint="eastAsia" w:ascii="仿宋_GB2312" w:hAnsi="宋体" w:eastAsia="仿宋_GB2312"/>
          <w:color w:val="FF0000"/>
          <w:sz w:val="24"/>
          <w:szCs w:val="24"/>
        </w:rPr>
        <w:t>号）规定的抽取报价单位数量为止。然后</w:t>
      </w:r>
      <w:r>
        <w:rPr>
          <w:rFonts w:hint="eastAsia" w:ascii="仿宋_GB2312" w:hAnsi="宋体" w:eastAsia="仿宋_GB2312"/>
          <w:color w:val="FF0000"/>
          <w:sz w:val="24"/>
          <w:szCs w:val="24"/>
          <w:lang w:eastAsia="zh-CN"/>
        </w:rPr>
        <w:t>由业主或代理机构现场公布投标人报价</w:t>
      </w:r>
      <w:r>
        <w:rPr>
          <w:rFonts w:hint="eastAsia" w:ascii="仿宋_GB2312" w:hAnsi="宋体" w:eastAsia="仿宋_GB2312"/>
          <w:color w:val="FF0000"/>
          <w:sz w:val="24"/>
          <w:szCs w:val="24"/>
        </w:rPr>
        <w:t>；</w:t>
      </w:r>
    </w:p>
    <w:p>
      <w:pPr>
        <w:spacing w:line="500" w:lineRule="exact"/>
        <w:ind w:firstLine="480" w:firstLineChars="200"/>
        <w:rPr>
          <w:rFonts w:ascii="仿宋_GB2312" w:hAnsi="宋体" w:eastAsia="仿宋_GB2312"/>
          <w:color w:val="FF0000"/>
          <w:sz w:val="24"/>
          <w:szCs w:val="24"/>
        </w:rPr>
      </w:pPr>
      <w:r>
        <w:rPr>
          <w:rFonts w:hint="eastAsia" w:ascii="仿宋_GB2312" w:hAnsi="宋体" w:eastAsia="仿宋_GB2312"/>
          <w:color w:val="FF0000"/>
          <w:sz w:val="24"/>
          <w:szCs w:val="24"/>
          <w:lang w:eastAsia="zh-CN"/>
        </w:rPr>
        <w:t>（四）</w:t>
      </w:r>
      <w:r>
        <w:rPr>
          <w:rFonts w:hint="eastAsia" w:ascii="仿宋_GB2312" w:hAnsi="宋体" w:eastAsia="仿宋_GB2312"/>
          <w:color w:val="FF0000"/>
          <w:sz w:val="24"/>
          <w:szCs w:val="24"/>
        </w:rPr>
        <w:t>将抽中报价的投标人的资料送入评标室，现场退还未抽中的投标人资料。抽取后报价相同的投标人的排序程序：</w:t>
      </w:r>
    </w:p>
    <w:p>
      <w:pPr>
        <w:spacing w:line="500" w:lineRule="exact"/>
        <w:ind w:firstLine="480" w:firstLineChars="200"/>
        <w:rPr>
          <w:rFonts w:ascii="仿宋_GB2312" w:hAnsi="宋体" w:eastAsia="仿宋_GB2312"/>
          <w:color w:val="FF0000"/>
          <w:sz w:val="24"/>
          <w:szCs w:val="24"/>
        </w:rPr>
      </w:pPr>
      <w:r>
        <w:rPr>
          <w:rFonts w:hint="eastAsia" w:ascii="仿宋_GB2312" w:hAnsi="宋体" w:eastAsia="仿宋_GB2312"/>
          <w:color w:val="FF0000"/>
          <w:sz w:val="24"/>
          <w:szCs w:val="24"/>
        </w:rPr>
        <w:t>（一）由业主及招标代理机构点名确认报价相同的投标人是否到场；</w:t>
      </w:r>
    </w:p>
    <w:p>
      <w:pPr>
        <w:spacing w:line="500" w:lineRule="exact"/>
        <w:ind w:firstLine="480" w:firstLineChars="200"/>
        <w:rPr>
          <w:rFonts w:ascii="仿宋_GB2312" w:hAnsi="宋体" w:eastAsia="仿宋_GB2312"/>
          <w:color w:val="FF0000"/>
          <w:sz w:val="24"/>
          <w:szCs w:val="24"/>
        </w:rPr>
      </w:pPr>
      <w:r>
        <w:rPr>
          <w:rFonts w:hint="eastAsia" w:ascii="仿宋_GB2312" w:hAnsi="宋体" w:eastAsia="仿宋_GB2312"/>
          <w:color w:val="FF0000"/>
          <w:sz w:val="24"/>
          <w:szCs w:val="24"/>
        </w:rPr>
        <w:t>（二）宣布唱标人、记录人、监督人等有关人员姓名；</w:t>
      </w:r>
    </w:p>
    <w:p>
      <w:pPr>
        <w:spacing w:line="500" w:lineRule="exact"/>
        <w:ind w:firstLine="480" w:firstLineChars="200"/>
        <w:rPr>
          <w:rFonts w:ascii="仿宋_GB2312" w:hAnsi="宋体" w:eastAsia="仿宋_GB2312"/>
          <w:color w:val="FF0000"/>
          <w:sz w:val="24"/>
          <w:szCs w:val="24"/>
        </w:rPr>
      </w:pPr>
      <w:r>
        <w:rPr>
          <w:rFonts w:hint="eastAsia" w:ascii="仿宋_GB2312" w:hAnsi="宋体" w:eastAsia="仿宋_GB2312"/>
          <w:color w:val="FF0000"/>
          <w:sz w:val="24"/>
          <w:szCs w:val="24"/>
        </w:rPr>
        <w:t>（三）业主或招标代理机构现场随机选取</w:t>
      </w:r>
      <w:r>
        <w:rPr>
          <w:rFonts w:ascii="仿宋_GB2312" w:hAnsi="宋体" w:eastAsia="仿宋_GB2312"/>
          <w:color w:val="FF0000"/>
          <w:sz w:val="24"/>
          <w:szCs w:val="24"/>
        </w:rPr>
        <w:t>1</w:t>
      </w:r>
      <w:r>
        <w:rPr>
          <w:rFonts w:hint="eastAsia" w:ascii="仿宋_GB2312" w:hAnsi="宋体" w:eastAsia="仿宋_GB2312"/>
          <w:color w:val="FF0000"/>
          <w:sz w:val="24"/>
          <w:szCs w:val="24"/>
        </w:rPr>
        <w:t>名投标人代表检查抽取箱密封等情况并签字确认。由代理机构或业主代表把编号为</w:t>
      </w:r>
      <w:r>
        <w:rPr>
          <w:rFonts w:ascii="仿宋_GB2312" w:hAnsi="宋体" w:eastAsia="仿宋_GB2312"/>
          <w:color w:val="FF0000"/>
          <w:sz w:val="24"/>
          <w:szCs w:val="24"/>
        </w:rPr>
        <w:t>1</w:t>
      </w:r>
      <w:r>
        <w:rPr>
          <w:rFonts w:hint="eastAsia" w:ascii="仿宋_GB2312" w:hAnsi="宋体" w:eastAsia="仿宋_GB2312"/>
          <w:color w:val="FF0000"/>
          <w:sz w:val="24"/>
          <w:szCs w:val="24"/>
        </w:rPr>
        <w:t>、</w:t>
      </w:r>
      <w:r>
        <w:rPr>
          <w:rFonts w:ascii="仿宋_GB2312" w:hAnsi="宋体" w:eastAsia="仿宋_GB2312"/>
          <w:color w:val="FF0000"/>
          <w:sz w:val="24"/>
          <w:szCs w:val="24"/>
        </w:rPr>
        <w:t>2</w:t>
      </w:r>
      <w:r>
        <w:rPr>
          <w:rFonts w:hint="eastAsia" w:ascii="仿宋_GB2312" w:hAnsi="宋体" w:eastAsia="仿宋_GB2312"/>
          <w:color w:val="FF0000"/>
          <w:sz w:val="24"/>
          <w:szCs w:val="24"/>
        </w:rPr>
        <w:t>、</w:t>
      </w:r>
      <w:r>
        <w:rPr>
          <w:rFonts w:ascii="仿宋_GB2312" w:hAnsi="宋体" w:eastAsia="仿宋_GB2312"/>
          <w:color w:val="FF0000"/>
          <w:sz w:val="24"/>
          <w:szCs w:val="24"/>
        </w:rPr>
        <w:t>3</w:t>
      </w:r>
      <w:r>
        <w:rPr>
          <w:rFonts w:hint="eastAsia" w:ascii="仿宋_GB2312" w:hAnsi="宋体" w:eastAsia="仿宋_GB2312"/>
          <w:color w:val="FF0000"/>
          <w:sz w:val="24"/>
          <w:szCs w:val="24"/>
        </w:rPr>
        <w:t>……的抽取球放入箱内，直到放完本次与所有报价相同的投标人数量的抽取球为止，由投标人确认无误后由代理机构对箱内的抽取球摇匀，直到现场投标人无异议为止；</w:t>
      </w:r>
    </w:p>
    <w:p>
      <w:pPr>
        <w:spacing w:line="500" w:lineRule="exact"/>
        <w:ind w:firstLine="480" w:firstLineChars="200"/>
        <w:rPr>
          <w:rFonts w:ascii="仿宋_GB2312" w:hAnsi="宋体" w:eastAsia="仿宋_GB2312"/>
          <w:color w:val="FF0000"/>
          <w:sz w:val="24"/>
          <w:szCs w:val="24"/>
        </w:rPr>
      </w:pPr>
      <w:r>
        <w:rPr>
          <w:rFonts w:hint="eastAsia" w:ascii="仿宋_GB2312" w:hAnsi="宋体" w:eastAsia="仿宋_GB2312"/>
          <w:color w:val="FF0000"/>
          <w:sz w:val="24"/>
          <w:szCs w:val="24"/>
        </w:rPr>
        <w:t>（四）由电脑对报价相同的投标人的抽取顺序进行随机排序，然后报价相同的投标人按电脑随机排序的顺序分别抽取球，再按抽取编号顺序由小到大对报价相同的投标人排序，编号为</w:t>
      </w:r>
      <w:r>
        <w:rPr>
          <w:rFonts w:ascii="仿宋_GB2312" w:hAnsi="宋体" w:eastAsia="仿宋_GB2312"/>
          <w:color w:val="FF0000"/>
          <w:sz w:val="24"/>
          <w:szCs w:val="24"/>
        </w:rPr>
        <w:t>1</w:t>
      </w:r>
      <w:r>
        <w:rPr>
          <w:rFonts w:hint="eastAsia" w:ascii="仿宋_GB2312" w:hAnsi="宋体" w:eastAsia="仿宋_GB2312"/>
          <w:color w:val="FF0000"/>
          <w:sz w:val="24"/>
          <w:szCs w:val="24"/>
        </w:rPr>
        <w:t>的为第一名，编号</w:t>
      </w:r>
      <w:r>
        <w:rPr>
          <w:rFonts w:ascii="仿宋_GB2312" w:hAnsi="宋体" w:eastAsia="仿宋_GB2312"/>
          <w:color w:val="FF0000"/>
          <w:sz w:val="24"/>
          <w:szCs w:val="24"/>
        </w:rPr>
        <w:t>2</w:t>
      </w:r>
      <w:r>
        <w:rPr>
          <w:rFonts w:hint="eastAsia" w:ascii="仿宋_GB2312" w:hAnsi="宋体" w:eastAsia="仿宋_GB2312"/>
          <w:color w:val="FF0000"/>
          <w:sz w:val="24"/>
          <w:szCs w:val="24"/>
        </w:rPr>
        <w:t>为第二名，依次为对应为</w:t>
      </w:r>
      <w:r>
        <w:rPr>
          <w:rFonts w:ascii="仿宋_GB2312" w:hAnsi="宋体" w:eastAsia="仿宋_GB2312"/>
          <w:color w:val="FF0000"/>
          <w:sz w:val="24"/>
          <w:szCs w:val="24"/>
        </w:rPr>
        <w:t>3</w:t>
      </w:r>
      <w:r>
        <w:rPr>
          <w:rFonts w:hint="eastAsia" w:ascii="仿宋_GB2312" w:hAnsi="宋体" w:eastAsia="仿宋_GB2312"/>
          <w:color w:val="FF0000"/>
          <w:sz w:val="24"/>
          <w:szCs w:val="24"/>
        </w:rPr>
        <w:t>、</w:t>
      </w:r>
      <w:r>
        <w:rPr>
          <w:rFonts w:ascii="仿宋_GB2312" w:hAnsi="宋体" w:eastAsia="仿宋_GB2312"/>
          <w:color w:val="FF0000"/>
          <w:sz w:val="24"/>
          <w:szCs w:val="24"/>
        </w:rPr>
        <w:t>4</w:t>
      </w:r>
      <w:r>
        <w:rPr>
          <w:rFonts w:hint="eastAsia" w:ascii="仿宋_GB2312" w:hAnsi="宋体" w:eastAsia="仿宋_GB2312"/>
          <w:color w:val="FF0000"/>
          <w:sz w:val="24"/>
          <w:szCs w:val="24"/>
        </w:rPr>
        <w:t>、</w:t>
      </w:r>
      <w:r>
        <w:rPr>
          <w:rFonts w:ascii="仿宋_GB2312" w:hAnsi="宋体" w:eastAsia="仿宋_GB2312"/>
          <w:color w:val="FF0000"/>
          <w:sz w:val="24"/>
          <w:szCs w:val="24"/>
        </w:rPr>
        <w:t>5</w:t>
      </w:r>
      <w:r>
        <w:rPr>
          <w:rFonts w:hint="eastAsia" w:ascii="仿宋_GB2312" w:hAnsi="宋体" w:eastAsia="仿宋_GB2312"/>
          <w:color w:val="FF0000"/>
          <w:sz w:val="24"/>
          <w:szCs w:val="24"/>
        </w:rPr>
        <w:t>……</w:t>
      </w:r>
      <w:r>
        <w:rPr>
          <w:rFonts w:ascii="仿宋_GB2312" w:hAnsi="宋体" w:eastAsia="仿宋_GB2312"/>
          <w:color w:val="FF0000"/>
          <w:sz w:val="24"/>
          <w:szCs w:val="24"/>
        </w:rPr>
        <w:t>N</w:t>
      </w:r>
      <w:r>
        <w:rPr>
          <w:rFonts w:hint="eastAsia" w:ascii="仿宋_GB2312" w:hAnsi="宋体" w:eastAsia="仿宋_GB2312"/>
          <w:color w:val="FF0000"/>
          <w:sz w:val="24"/>
          <w:szCs w:val="24"/>
        </w:rPr>
        <w:t>名。再由专家进行最后排序。</w:t>
      </w:r>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（6） 投标报价以招标控制价为基准，下浮一定比例，报价只报下浮比例，下浮比例的百分比整数后保留两位小数（即：XX.XX%）。</w:t>
      </w:r>
      <w:r>
        <w:rPr>
          <w:rFonts w:hint="eastAsia" w:ascii="仿宋_GB2312" w:hAnsi="仿宋" w:eastAsia="仿宋_GB2312" w:cs="仿宋"/>
          <w:color w:val="000000"/>
          <w:sz w:val="24"/>
          <w:szCs w:val="24"/>
        </w:rPr>
        <w:t>投标报价按财政评审的施工招标控制价中可竞争性费用（不含安全文明施工费、规费、专业工程暂估价、暂列金等不可竞争性费用）作为控制价，下浮比例由投标人自主决定</w:t>
      </w:r>
      <w:r>
        <w:rPr>
          <w:rFonts w:hint="eastAsia" w:ascii="仿宋_GB2312" w:hAnsi="宋体" w:eastAsia="仿宋_GB2312"/>
          <w:color w:val="000000"/>
          <w:sz w:val="24"/>
          <w:szCs w:val="24"/>
        </w:rPr>
        <w:t>（报价函格式见附表一）。</w:t>
      </w:r>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(7）未被抽取的投标人，招标人现场退还投标文件、各类证书原件和投标保证金银行保函，对现金转账方式缴纳的投标保证金按招标文件约定退还；</w:t>
      </w:r>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(8）报价结束后，由招标人宣布报价情况，并由投标人签字确认；</w:t>
      </w:r>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(9）开标结束。</w:t>
      </w:r>
    </w:p>
    <w:p>
      <w:pPr>
        <w:pStyle w:val="3"/>
        <w:spacing w:line="500" w:lineRule="exact"/>
        <w:rPr>
          <w:rFonts w:hint="eastAsia" w:ascii="仿宋_GB2312" w:hAnsi="宋体" w:eastAsia="仿宋_GB2312"/>
          <w:color w:val="000000"/>
          <w:szCs w:val="24"/>
        </w:rPr>
      </w:pPr>
      <w:bookmarkStart w:id="24" w:name="_Toc11327"/>
      <w:bookmarkStart w:id="25" w:name="_Toc225045507"/>
      <w:bookmarkStart w:id="26" w:name="_Toc270862370"/>
      <w:bookmarkStart w:id="27" w:name="_Toc185047289"/>
      <w:r>
        <w:rPr>
          <w:rFonts w:hint="eastAsia" w:ascii="仿宋_GB2312" w:hAnsi="宋体" w:eastAsia="仿宋_GB2312"/>
          <w:color w:val="000000"/>
          <w:szCs w:val="24"/>
          <w:lang w:eastAsia="zh-CN"/>
        </w:rPr>
        <w:t>2</w:t>
      </w:r>
      <w:r>
        <w:rPr>
          <w:rFonts w:hint="eastAsia" w:ascii="仿宋_GB2312" w:hAnsi="宋体" w:eastAsia="仿宋_GB2312"/>
          <w:color w:val="000000"/>
          <w:szCs w:val="24"/>
        </w:rPr>
        <w:t>．评标</w:t>
      </w:r>
      <w:bookmarkEnd w:id="24"/>
      <w:bookmarkEnd w:id="25"/>
      <w:bookmarkEnd w:id="26"/>
      <w:bookmarkEnd w:id="27"/>
    </w:p>
    <w:p>
      <w:pPr>
        <w:pStyle w:val="4"/>
        <w:spacing w:line="500" w:lineRule="exact"/>
        <w:rPr>
          <w:rFonts w:hint="eastAsia" w:ascii="仿宋_GB2312" w:hAnsi="宋体" w:eastAsia="仿宋_GB2312"/>
          <w:color w:val="000000"/>
          <w:sz w:val="24"/>
          <w:szCs w:val="24"/>
        </w:rPr>
      </w:pPr>
      <w:bookmarkStart w:id="28" w:name="_Toc185047290"/>
      <w:r>
        <w:rPr>
          <w:rFonts w:hint="eastAsia" w:ascii="仿宋_GB2312" w:hAnsi="宋体" w:eastAsia="仿宋_GB2312"/>
          <w:color w:val="000000"/>
          <w:sz w:val="24"/>
          <w:szCs w:val="24"/>
        </w:rPr>
        <w:t>2.1 评标委员会</w:t>
      </w:r>
      <w:bookmarkEnd w:id="28"/>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2.1.1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2.1.2 评标委员会成员有下列情形之一的，应当回避：</w:t>
      </w:r>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(1）招标人或投标人的主要负责人的近亲属；</w:t>
      </w:r>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(2）项目主管部门或者行政监督部门的人员：</w:t>
      </w:r>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(3）与投标人有经济利益关系，可能影响对投标公正评审的；</w:t>
      </w:r>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(4）曾因在招标、评标以及其他与招标投标有关活动中从事违法行为而受过行政处罚或刑事处罚的。</w:t>
      </w:r>
    </w:p>
    <w:p>
      <w:pPr>
        <w:pStyle w:val="4"/>
        <w:spacing w:line="500" w:lineRule="exact"/>
        <w:rPr>
          <w:rFonts w:hint="eastAsia" w:ascii="仿宋_GB2312" w:hAnsi="宋体" w:eastAsia="仿宋_GB2312"/>
          <w:color w:val="000000"/>
          <w:sz w:val="24"/>
          <w:szCs w:val="24"/>
        </w:rPr>
      </w:pPr>
      <w:bookmarkStart w:id="29" w:name="_Toc185047291"/>
      <w:r>
        <w:rPr>
          <w:rFonts w:hint="eastAsia" w:ascii="仿宋_GB2312" w:hAnsi="宋体" w:eastAsia="仿宋_GB2312"/>
          <w:color w:val="000000"/>
          <w:sz w:val="24"/>
          <w:szCs w:val="24"/>
        </w:rPr>
        <w:t>2.2 评标原则</w:t>
      </w:r>
      <w:bookmarkEnd w:id="29"/>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评标活动遵循公平、公正、科学和择优的原则。</w:t>
      </w:r>
    </w:p>
    <w:p>
      <w:pPr>
        <w:pStyle w:val="4"/>
        <w:spacing w:line="500" w:lineRule="exact"/>
        <w:rPr>
          <w:rFonts w:hint="eastAsia" w:ascii="仿宋_GB2312" w:hAnsi="宋体" w:eastAsia="仿宋_GB2312"/>
          <w:color w:val="000000"/>
          <w:sz w:val="24"/>
          <w:szCs w:val="24"/>
        </w:rPr>
      </w:pPr>
      <w:bookmarkStart w:id="30" w:name="_Toc185047292"/>
      <w:r>
        <w:rPr>
          <w:rFonts w:hint="eastAsia" w:ascii="仿宋_GB2312" w:hAnsi="宋体" w:eastAsia="仿宋_GB2312"/>
          <w:color w:val="000000"/>
          <w:sz w:val="24"/>
          <w:szCs w:val="24"/>
        </w:rPr>
        <w:t>2.3 评标</w:t>
      </w:r>
      <w:bookmarkEnd w:id="30"/>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评标委员会按照第三章“评标办法”规定的方法、评审因素、标准和程序对投标文件进行评审。第三章“评标办法”没有规定的方法、评审因素和标准，不作为评标依据。</w:t>
      </w:r>
    </w:p>
    <w:p>
      <w:pPr>
        <w:pStyle w:val="3"/>
        <w:spacing w:line="500" w:lineRule="exact"/>
        <w:rPr>
          <w:rFonts w:hint="eastAsia" w:ascii="仿宋_GB2312" w:hAnsi="宋体" w:eastAsia="仿宋_GB2312"/>
          <w:color w:val="000000"/>
          <w:szCs w:val="24"/>
        </w:rPr>
      </w:pPr>
      <w:bookmarkStart w:id="31" w:name="_Toc185047298"/>
      <w:bookmarkStart w:id="32" w:name="_Toc29129"/>
      <w:bookmarkStart w:id="33" w:name="_Toc225045509"/>
      <w:bookmarkStart w:id="34" w:name="_Toc270862372"/>
      <w:r>
        <w:rPr>
          <w:rFonts w:hint="eastAsia" w:ascii="仿宋_GB2312" w:hAnsi="宋体" w:eastAsia="仿宋_GB2312"/>
          <w:color w:val="000000"/>
          <w:szCs w:val="24"/>
          <w:lang w:eastAsia="zh-CN"/>
        </w:rPr>
        <w:t>3</w:t>
      </w:r>
      <w:r>
        <w:rPr>
          <w:rFonts w:hint="eastAsia" w:ascii="仿宋_GB2312" w:hAnsi="宋体" w:eastAsia="仿宋_GB2312"/>
          <w:color w:val="000000"/>
          <w:szCs w:val="24"/>
        </w:rPr>
        <w:t>．重新招标</w:t>
      </w:r>
      <w:bookmarkEnd w:id="31"/>
      <w:bookmarkEnd w:id="32"/>
      <w:bookmarkEnd w:id="33"/>
      <w:bookmarkEnd w:id="34"/>
      <w:r>
        <w:rPr>
          <w:rFonts w:hint="eastAsia" w:ascii="仿宋_GB2312" w:hAnsi="宋体" w:eastAsia="仿宋_GB2312"/>
          <w:color w:val="000000"/>
          <w:szCs w:val="24"/>
          <w:lang w:eastAsia="zh-CN"/>
        </w:rPr>
        <w:t>和不适用情形</w:t>
      </w:r>
    </w:p>
    <w:p>
      <w:pPr>
        <w:pStyle w:val="4"/>
        <w:spacing w:line="500" w:lineRule="exact"/>
        <w:rPr>
          <w:rFonts w:hint="eastAsia" w:ascii="仿宋_GB2312" w:hAnsi="宋体" w:eastAsia="仿宋_GB2312"/>
          <w:color w:val="000000"/>
          <w:sz w:val="24"/>
          <w:szCs w:val="24"/>
        </w:rPr>
      </w:pPr>
      <w:bookmarkStart w:id="35" w:name="_Toc185047299"/>
      <w:r>
        <w:rPr>
          <w:rFonts w:hint="eastAsia" w:ascii="仿宋_GB2312" w:hAnsi="宋体" w:eastAsia="仿宋_GB2312"/>
          <w:color w:val="000000"/>
          <w:sz w:val="24"/>
          <w:szCs w:val="24"/>
        </w:rPr>
        <w:t>3.1 重新招标</w:t>
      </w:r>
      <w:bookmarkEnd w:id="35"/>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有下列情形之一的，招标人将重新招标：</w:t>
      </w:r>
    </w:p>
    <w:p>
      <w:p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(l）递交投标文件不足三家；</w:t>
      </w:r>
    </w:p>
    <w:p>
      <w:pPr>
        <w:numPr>
          <w:ilvl w:val="0"/>
          <w:numId w:val="1"/>
        </w:num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通过符合性审查的投标企业少于2家；</w:t>
      </w:r>
    </w:p>
    <w:p>
      <w:pPr>
        <w:numPr>
          <w:ilvl w:val="0"/>
          <w:numId w:val="1"/>
        </w:num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第一中标候选人以资金、技术、工期等非正当理由放弃中标，没收投标保证金不能弥补第一、第二中标候选人报价差额的；</w:t>
      </w:r>
    </w:p>
    <w:p>
      <w:pPr>
        <w:numPr>
          <w:ilvl w:val="0"/>
          <w:numId w:val="1"/>
        </w:numPr>
        <w:spacing w:line="50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法律法规规定的其它情形。</w:t>
      </w:r>
    </w:p>
    <w:p>
      <w:pPr>
        <w:pStyle w:val="3"/>
        <w:spacing w:line="500" w:lineRule="exact"/>
        <w:rPr>
          <w:rFonts w:hint="eastAsia" w:ascii="仿宋_GB2312" w:hAnsi="宋体" w:eastAsia="仿宋_GB2312"/>
          <w:color w:val="000000"/>
          <w:szCs w:val="24"/>
          <w:lang w:val="en-US" w:eastAsia="zh-CN"/>
        </w:rPr>
      </w:pPr>
      <w:bookmarkStart w:id="36" w:name="_Toc225045510"/>
      <w:bookmarkStart w:id="37" w:name="_Toc14958"/>
      <w:bookmarkStart w:id="38" w:name="_Toc270862373"/>
      <w:bookmarkStart w:id="39" w:name="_Toc185047301"/>
      <w:r>
        <w:rPr>
          <w:rFonts w:hint="eastAsia" w:ascii="仿宋_GB2312" w:hAnsi="宋体" w:eastAsia="仿宋_GB2312"/>
          <w:color w:val="000000"/>
          <w:szCs w:val="24"/>
          <w:lang w:val="en-US" w:eastAsia="zh-CN"/>
        </w:rPr>
        <w:t>3.2不适用情形</w:t>
      </w:r>
    </w:p>
    <w:p>
      <w:p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本市国家投资工程建设项目招投标活动有下列情形之一的，不适用本招标方法。</w:t>
      </w:r>
    </w:p>
    <w:p>
      <w:pPr>
        <w:numPr>
          <w:ilvl w:val="0"/>
          <w:numId w:val="2"/>
        </w:numPr>
        <w:spacing w:line="5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项目技术工艺较复杂；</w:t>
      </w:r>
    </w:p>
    <w:p>
      <w:pPr>
        <w:spacing w:line="500" w:lineRule="exact"/>
        <w:ind w:firstLine="360" w:firstLineChars="150"/>
        <w:rPr>
          <w:rFonts w:hint="eastAsia" w:ascii="仿宋_GB2312" w:hAnsi="宋体" w:eastAsia="仿宋_GB2312"/>
          <w:color w:val="000000"/>
          <w:sz w:val="24"/>
          <w:szCs w:val="24"/>
        </w:rPr>
      </w:pPr>
      <w:r>
        <w:rPr>
          <w:rFonts w:hint="eastAsia" w:ascii="仿宋_GB2312" w:hAnsi="宋体" w:eastAsia="仿宋_GB2312"/>
          <w:color w:val="000000"/>
          <w:sz w:val="24"/>
          <w:szCs w:val="24"/>
        </w:rPr>
        <w:t>（2）项目安全等级要求高；</w:t>
      </w:r>
    </w:p>
    <w:p>
      <w:pPr>
        <w:spacing w:line="500" w:lineRule="exact"/>
        <w:ind w:firstLine="360" w:firstLineChars="150"/>
        <w:rPr>
          <w:rFonts w:hint="eastAsia" w:ascii="仿宋_GB2312" w:hAnsi="宋体" w:eastAsia="仿宋_GB2312"/>
          <w:color w:val="000000"/>
          <w:sz w:val="24"/>
          <w:szCs w:val="24"/>
        </w:rPr>
      </w:pPr>
      <w:r>
        <w:rPr>
          <w:rFonts w:hint="eastAsia" w:ascii="仿宋_GB2312" w:hAnsi="宋体" w:eastAsia="仿宋_GB2312"/>
          <w:color w:val="000000"/>
          <w:sz w:val="24"/>
          <w:szCs w:val="24"/>
        </w:rPr>
        <w:t>（3）投资计划有特殊要求；</w:t>
      </w:r>
    </w:p>
    <w:p>
      <w:pPr>
        <w:spacing w:line="500" w:lineRule="exact"/>
        <w:ind w:firstLine="360" w:firstLineChars="150"/>
        <w:rPr>
          <w:rFonts w:hint="eastAsia" w:ascii="仿宋_GB2312" w:hAnsi="宋体" w:eastAsia="仿宋_GB2312"/>
          <w:color w:val="000000"/>
          <w:sz w:val="24"/>
          <w:szCs w:val="24"/>
        </w:rPr>
      </w:pPr>
      <w:r>
        <w:rPr>
          <w:rFonts w:hint="eastAsia" w:ascii="仿宋_GB2312" w:hAnsi="宋体" w:eastAsia="仿宋_GB2312"/>
          <w:color w:val="000000"/>
          <w:sz w:val="24"/>
          <w:szCs w:val="24"/>
        </w:rPr>
        <w:t>（4）广元市工程建设项目预选承包商储备库企业不能满足招标资质和条件要求，或满足资质和条件要求少于3家；</w:t>
      </w:r>
    </w:p>
    <w:p>
      <w:pPr>
        <w:spacing w:line="500" w:lineRule="exact"/>
        <w:ind w:firstLine="360" w:firstLineChars="150"/>
        <w:rPr>
          <w:rFonts w:hint="eastAsia" w:ascii="仿宋_GB2312" w:hAnsi="宋体" w:eastAsia="仿宋_GB2312"/>
          <w:color w:val="000000"/>
          <w:sz w:val="24"/>
          <w:szCs w:val="24"/>
        </w:rPr>
      </w:pPr>
      <w:r>
        <w:rPr>
          <w:rFonts w:hint="eastAsia" w:ascii="仿宋_GB2312" w:hAnsi="宋体" w:eastAsia="仿宋_GB2312"/>
          <w:color w:val="000000"/>
          <w:sz w:val="24"/>
          <w:szCs w:val="24"/>
        </w:rPr>
        <w:t>（5）规划策划设计方案征集；</w:t>
      </w:r>
    </w:p>
    <w:p>
      <w:pPr>
        <w:spacing w:line="500" w:lineRule="exact"/>
        <w:ind w:firstLine="360" w:firstLineChars="150"/>
        <w:rPr>
          <w:rFonts w:hint="eastAsia" w:ascii="仿宋_GB2312" w:hAnsi="宋体" w:eastAsia="仿宋_GB2312"/>
          <w:color w:val="000000"/>
          <w:sz w:val="24"/>
          <w:szCs w:val="24"/>
        </w:rPr>
      </w:pPr>
      <w:r>
        <w:rPr>
          <w:rFonts w:hint="eastAsia" w:ascii="仿宋_GB2312" w:hAnsi="宋体" w:eastAsia="仿宋_GB2312"/>
          <w:color w:val="000000"/>
          <w:sz w:val="24"/>
          <w:szCs w:val="24"/>
        </w:rPr>
        <w:t>（6）不适用本招标办法的其他情形。</w:t>
      </w:r>
    </w:p>
    <w:p>
      <w:pPr>
        <w:spacing w:line="500" w:lineRule="exact"/>
        <w:ind w:firstLine="360" w:firstLineChars="150"/>
        <w:rPr>
          <w:rFonts w:hint="eastAsia" w:ascii="仿宋_GB2312" w:hAnsi="宋体" w:eastAsia="仿宋_GB2312"/>
          <w:color w:val="000000"/>
          <w:sz w:val="24"/>
          <w:szCs w:val="24"/>
        </w:rPr>
      </w:pPr>
    </w:p>
    <w:p>
      <w:pPr>
        <w:spacing w:line="500" w:lineRule="exact"/>
        <w:ind w:firstLine="360" w:firstLineChars="150"/>
        <w:rPr>
          <w:rFonts w:hint="eastAsia" w:ascii="仿宋_GB2312" w:hAnsi="宋体" w:eastAsia="仿宋_GB2312"/>
          <w:color w:val="000000"/>
          <w:sz w:val="24"/>
          <w:szCs w:val="24"/>
        </w:rPr>
      </w:pPr>
    </w:p>
    <w:p>
      <w:pPr>
        <w:spacing w:line="500" w:lineRule="exact"/>
        <w:ind w:firstLine="360" w:firstLineChars="150"/>
        <w:rPr>
          <w:rFonts w:hint="eastAsia" w:ascii="仿宋_GB2312" w:hAnsi="宋体" w:eastAsia="仿宋_GB2312"/>
          <w:color w:val="000000"/>
          <w:sz w:val="24"/>
          <w:szCs w:val="24"/>
        </w:rPr>
      </w:pPr>
    </w:p>
    <w:p>
      <w:pPr>
        <w:spacing w:line="500" w:lineRule="exact"/>
        <w:ind w:firstLine="360" w:firstLineChars="150"/>
        <w:rPr>
          <w:rFonts w:hint="eastAsia" w:ascii="仿宋_GB2312" w:hAnsi="宋体" w:eastAsia="仿宋_GB2312"/>
          <w:color w:val="000000"/>
          <w:sz w:val="24"/>
          <w:szCs w:val="24"/>
        </w:rPr>
      </w:pPr>
    </w:p>
    <w:p>
      <w:pPr>
        <w:spacing w:line="500" w:lineRule="exact"/>
        <w:ind w:firstLine="360" w:firstLineChars="150"/>
        <w:rPr>
          <w:rFonts w:hint="eastAsia" w:ascii="仿宋_GB2312" w:hAnsi="宋体" w:eastAsia="仿宋_GB2312"/>
          <w:color w:val="000000"/>
          <w:sz w:val="24"/>
          <w:szCs w:val="24"/>
        </w:rPr>
      </w:pPr>
    </w:p>
    <w:p>
      <w:pPr>
        <w:spacing w:line="500" w:lineRule="exact"/>
        <w:ind w:firstLine="360" w:firstLineChars="150"/>
        <w:rPr>
          <w:rFonts w:hint="eastAsia" w:ascii="仿宋_GB2312" w:hAnsi="宋体" w:eastAsia="仿宋_GB2312"/>
          <w:color w:val="000000"/>
          <w:sz w:val="24"/>
          <w:szCs w:val="24"/>
        </w:rPr>
      </w:pPr>
    </w:p>
    <w:p>
      <w:pPr>
        <w:spacing w:line="500" w:lineRule="exact"/>
        <w:ind w:firstLine="360" w:firstLineChars="150"/>
        <w:rPr>
          <w:rFonts w:hint="eastAsia" w:ascii="仿宋_GB2312" w:hAnsi="宋体" w:eastAsia="仿宋_GB2312"/>
          <w:color w:val="000000"/>
          <w:sz w:val="24"/>
          <w:szCs w:val="24"/>
        </w:rPr>
      </w:pPr>
    </w:p>
    <w:p/>
    <w:p>
      <w:pPr>
        <w:spacing w:line="360" w:lineRule="auto"/>
        <w:rPr>
          <w:rFonts w:hint="eastAsia" w:ascii="仿宋_GB2312" w:hAnsi="宋体" w:eastAsia="仿宋_GB2312"/>
          <w:b/>
          <w:color w:val="000000"/>
          <w:kern w:val="0"/>
          <w:sz w:val="24"/>
        </w:rPr>
      </w:pPr>
      <w:r>
        <w:rPr>
          <w:rFonts w:hint="eastAsia" w:ascii="仿宋_GB2312" w:hAnsi="宋体" w:eastAsia="仿宋_GB2312"/>
          <w:color w:val="000000"/>
          <w:szCs w:val="24"/>
        </w:rPr>
        <w:br w:type="page"/>
      </w:r>
      <w:r>
        <w:rPr>
          <w:rFonts w:hint="eastAsia" w:ascii="仿宋_GB2312" w:hAnsi="宋体" w:eastAsia="仿宋_GB2312"/>
          <w:b/>
          <w:color w:val="000000"/>
          <w:kern w:val="0"/>
          <w:sz w:val="24"/>
        </w:rPr>
        <w:t>附表</w:t>
      </w:r>
      <w:r>
        <w:rPr>
          <w:rFonts w:hint="eastAsia" w:ascii="仿宋_GB2312" w:hAnsi="宋体" w:eastAsia="仿宋_GB2312"/>
          <w:b/>
          <w:color w:val="000000"/>
          <w:kern w:val="0"/>
          <w:sz w:val="24"/>
          <w:lang w:eastAsia="zh-CN"/>
        </w:rPr>
        <w:t>一</w:t>
      </w:r>
      <w:r>
        <w:rPr>
          <w:rFonts w:hint="eastAsia" w:ascii="仿宋_GB2312" w:hAnsi="宋体" w:eastAsia="仿宋_GB2312"/>
          <w:b/>
          <w:color w:val="000000"/>
          <w:kern w:val="0"/>
          <w:sz w:val="24"/>
        </w:rPr>
        <w:t>：问题澄清通知</w:t>
      </w:r>
    </w:p>
    <w:p>
      <w:pPr>
        <w:rPr>
          <w:rFonts w:hint="eastAsia" w:ascii="仿宋_GB2312" w:hAnsi="宋体" w:eastAsia="仿宋_GB2312"/>
          <w:color w:val="000000"/>
        </w:rPr>
      </w:pPr>
    </w:p>
    <w:p>
      <w:pPr>
        <w:spacing w:line="360" w:lineRule="auto"/>
        <w:ind w:firstLine="481" w:firstLineChars="200"/>
        <w:jc w:val="center"/>
        <w:rPr>
          <w:rFonts w:hint="eastAsia" w:ascii="仿宋_GB2312" w:hAnsi="宋体" w:eastAsia="仿宋_GB2312"/>
          <w:b/>
          <w:color w:val="000000"/>
          <w:kern w:val="0"/>
          <w:sz w:val="24"/>
        </w:rPr>
      </w:pPr>
      <w:r>
        <w:rPr>
          <w:rFonts w:hint="eastAsia" w:ascii="仿宋_GB2312" w:hAnsi="宋体" w:eastAsia="仿宋_GB2312"/>
          <w:b/>
          <w:color w:val="000000"/>
          <w:kern w:val="0"/>
          <w:sz w:val="24"/>
        </w:rPr>
        <w:t>问题澄清通知</w:t>
      </w:r>
    </w:p>
    <w:p>
      <w:pPr>
        <w:spacing w:line="360" w:lineRule="auto"/>
        <w:ind w:firstLine="440" w:firstLineChars="200"/>
        <w:jc w:val="center"/>
        <w:rPr>
          <w:rFonts w:hint="eastAsia" w:ascii="仿宋_GB2312" w:hAnsi="宋体" w:eastAsia="仿宋_GB2312"/>
          <w:color w:val="000000"/>
          <w:szCs w:val="21"/>
        </w:rPr>
      </w:pPr>
      <w:r>
        <w:rPr>
          <w:rFonts w:hint="eastAsia" w:ascii="仿宋_GB2312" w:hAnsi="宋体" w:eastAsia="仿宋_GB2312"/>
          <w:color w:val="000000"/>
          <w:szCs w:val="21"/>
        </w:rPr>
        <w:t>编号：</w:t>
      </w:r>
    </w:p>
    <w:p>
      <w:pPr>
        <w:spacing w:line="360" w:lineRule="auto"/>
        <w:ind w:firstLine="440" w:firstLineChars="200"/>
        <w:rPr>
          <w:rFonts w:hint="eastAsia" w:ascii="仿宋_GB2312" w:hAnsi="宋体" w:eastAsia="仿宋_GB2312"/>
          <w:color w:val="000000"/>
          <w:szCs w:val="21"/>
          <w:u w:val="single"/>
        </w:rPr>
      </w:pPr>
    </w:p>
    <w:p>
      <w:pPr>
        <w:spacing w:line="600" w:lineRule="auto"/>
        <w:ind w:firstLine="440" w:firstLineChars="200"/>
        <w:rPr>
          <w:rFonts w:hint="eastAsia" w:ascii="仿宋_GB2312" w:hAnsi="宋体" w:eastAsia="仿宋_GB2312"/>
          <w:color w:val="000000"/>
          <w:szCs w:val="21"/>
        </w:rPr>
      </w:pP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（投标人名称）: </w:t>
      </w:r>
    </w:p>
    <w:p>
      <w:pPr>
        <w:spacing w:line="600" w:lineRule="auto"/>
        <w:ind w:firstLine="440" w:firstLineChars="200"/>
        <w:rPr>
          <w:rFonts w:hint="eastAsia" w:ascii="仿宋_GB2312" w:hAnsi="宋体" w:eastAsia="仿宋_GB2312"/>
          <w:color w:val="000000"/>
          <w:szCs w:val="21"/>
        </w:rPr>
      </w:pP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（项目名称）</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标段勘察设计招标的评标委员会，对你方的投标文件进行了仔细的审查，现需你方对下列问题以书面形式予以澄清：</w:t>
      </w:r>
    </w:p>
    <w:p>
      <w:pPr>
        <w:spacing w:line="600" w:lineRule="auto"/>
        <w:ind w:firstLine="440" w:firstLineChars="200"/>
        <w:rPr>
          <w:rFonts w:hint="eastAsia" w:ascii="仿宋_GB2312" w:hAnsi="宋体" w:eastAsia="仿宋_GB2312"/>
          <w:color w:val="000000"/>
          <w:szCs w:val="21"/>
        </w:rPr>
      </w:pPr>
      <w:r>
        <w:rPr>
          <w:rFonts w:hint="eastAsia" w:ascii="仿宋_GB2312" w:hAnsi="宋体" w:eastAsia="仿宋_GB2312"/>
          <w:color w:val="000000"/>
          <w:szCs w:val="21"/>
        </w:rPr>
        <w:t>1、</w:t>
      </w:r>
    </w:p>
    <w:p>
      <w:pPr>
        <w:spacing w:line="600" w:lineRule="auto"/>
        <w:ind w:firstLine="440" w:firstLineChars="200"/>
        <w:rPr>
          <w:rFonts w:hint="eastAsia" w:ascii="仿宋_GB2312" w:hAnsi="宋体" w:eastAsia="仿宋_GB2312"/>
          <w:color w:val="000000"/>
          <w:szCs w:val="21"/>
        </w:rPr>
      </w:pPr>
      <w:r>
        <w:rPr>
          <w:rFonts w:hint="eastAsia" w:ascii="仿宋_GB2312" w:hAnsi="宋体" w:eastAsia="仿宋_GB2312"/>
          <w:color w:val="000000"/>
          <w:szCs w:val="21"/>
        </w:rPr>
        <w:t>2、</w:t>
      </w:r>
    </w:p>
    <w:p>
      <w:pPr>
        <w:spacing w:line="600" w:lineRule="auto"/>
        <w:ind w:firstLine="440" w:firstLineChars="200"/>
        <w:rPr>
          <w:rFonts w:hint="eastAsia" w:ascii="仿宋_GB2312" w:hAnsi="宋体" w:eastAsia="仿宋_GB2312"/>
          <w:color w:val="000000"/>
          <w:szCs w:val="21"/>
        </w:rPr>
      </w:pPr>
      <w:r>
        <w:rPr>
          <w:rFonts w:hint="eastAsia" w:ascii="仿宋_GB2312" w:hAnsi="宋体" w:eastAsia="仿宋_GB2312"/>
          <w:color w:val="000000"/>
          <w:szCs w:val="21"/>
        </w:rPr>
        <w:t>……</w:t>
      </w:r>
    </w:p>
    <w:p>
      <w:pPr>
        <w:spacing w:line="600" w:lineRule="auto"/>
        <w:ind w:firstLine="440" w:firstLineChars="200"/>
        <w:rPr>
          <w:rFonts w:hint="eastAsia" w:ascii="仿宋_GB2312" w:hAnsi="宋体" w:eastAsia="仿宋_GB2312"/>
          <w:color w:val="000000"/>
          <w:szCs w:val="21"/>
        </w:rPr>
      </w:pPr>
      <w:r>
        <w:rPr>
          <w:rFonts w:hint="eastAsia" w:ascii="仿宋_GB2312" w:hAnsi="宋体" w:eastAsia="仿宋_GB2312"/>
          <w:color w:val="000000"/>
          <w:szCs w:val="21"/>
        </w:rPr>
        <w:t>请将上述问题的澄清于</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年</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月</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日</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时前递交至</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（详细地址）或传真至</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（传真号码）。采用传真方式的，应在</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年</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月</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日</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时前将原件递交至</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（详细地址）。</w:t>
      </w:r>
    </w:p>
    <w:p>
      <w:pPr>
        <w:spacing w:line="600" w:lineRule="auto"/>
        <w:ind w:firstLine="5390" w:firstLineChars="2450"/>
        <w:rPr>
          <w:rFonts w:hint="eastAsia" w:ascii="仿宋_GB2312" w:hAnsi="宋体" w:eastAsia="仿宋_GB2312"/>
          <w:color w:val="000000"/>
          <w:szCs w:val="21"/>
        </w:rPr>
      </w:pPr>
    </w:p>
    <w:p>
      <w:pPr>
        <w:spacing w:line="600" w:lineRule="auto"/>
        <w:ind w:firstLine="5390" w:firstLineChars="2450"/>
        <w:rPr>
          <w:rFonts w:hint="eastAsia" w:ascii="仿宋_GB2312" w:hAnsi="宋体" w:eastAsia="仿宋_GB2312"/>
          <w:color w:val="000000"/>
          <w:szCs w:val="21"/>
        </w:rPr>
      </w:pPr>
    </w:p>
    <w:p>
      <w:pPr>
        <w:spacing w:line="600" w:lineRule="auto"/>
        <w:ind w:firstLine="2750" w:firstLineChars="1250"/>
        <w:rPr>
          <w:rFonts w:hint="eastAsia" w:ascii="仿宋_GB2312" w:hAnsi="宋体" w:eastAsia="仿宋_GB2312"/>
          <w:color w:val="000000"/>
          <w:szCs w:val="21"/>
        </w:rPr>
      </w:pPr>
      <w:r>
        <w:rPr>
          <w:rFonts w:hint="eastAsia" w:ascii="仿宋_GB2312" w:hAnsi="宋体" w:eastAsia="仿宋_GB2312"/>
          <w:color w:val="000000"/>
          <w:szCs w:val="21"/>
        </w:rPr>
        <w:t>评标工作组负责人：</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（签字）</w:t>
      </w:r>
    </w:p>
    <w:p>
      <w:pPr>
        <w:spacing w:line="600" w:lineRule="auto"/>
        <w:ind w:firstLine="2750" w:firstLineChars="1250"/>
        <w:rPr>
          <w:rFonts w:hint="eastAsia" w:ascii="仿宋_GB2312" w:hAnsi="宋体" w:eastAsia="仿宋_GB2312"/>
          <w:color w:val="000000"/>
          <w:szCs w:val="21"/>
        </w:rPr>
      </w:pPr>
      <w:r>
        <w:rPr>
          <w:rFonts w:hint="eastAsia" w:ascii="仿宋_GB2312" w:hAnsi="宋体" w:eastAsia="仿宋_GB2312"/>
          <w:color w:val="000000"/>
          <w:szCs w:val="21"/>
        </w:rPr>
        <w:t>招标人或招标代理机构：</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（盖单位章或负责人签字）</w:t>
      </w:r>
    </w:p>
    <w:p>
      <w:pPr>
        <w:spacing w:line="600" w:lineRule="auto"/>
        <w:rPr>
          <w:rFonts w:hint="eastAsia" w:ascii="仿宋_GB2312" w:hAnsi="宋体" w:eastAsia="仿宋_GB2312"/>
          <w:color w:val="000000"/>
          <w:szCs w:val="21"/>
          <w:u w:val="single"/>
        </w:rPr>
      </w:pPr>
    </w:p>
    <w:p>
      <w:pPr>
        <w:spacing w:line="600" w:lineRule="auto"/>
        <w:ind w:firstLine="5720" w:firstLineChars="2600"/>
        <w:rPr>
          <w:rFonts w:hint="eastAsia" w:ascii="仿宋_GB2312" w:hAnsi="宋体" w:eastAsia="仿宋_GB2312"/>
          <w:color w:val="000000"/>
          <w:szCs w:val="21"/>
        </w:rPr>
      </w:pP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年</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月</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日</w:t>
      </w:r>
    </w:p>
    <w:p>
      <w:pPr>
        <w:spacing w:line="360" w:lineRule="auto"/>
        <w:ind w:firstLine="5720" w:firstLineChars="2600"/>
        <w:rPr>
          <w:rFonts w:hint="eastAsia" w:ascii="仿宋_GB2312" w:hAnsi="宋体" w:eastAsia="仿宋_GB2312"/>
          <w:color w:val="000000"/>
          <w:szCs w:val="21"/>
        </w:rPr>
        <w:sectPr>
          <w:headerReference r:id="rId4" w:type="default"/>
          <w:pgSz w:w="11906" w:h="16838"/>
          <w:pgMar w:top="1247" w:right="1247" w:bottom="1247" w:left="1361" w:header="851" w:footer="992" w:gutter="0"/>
          <w:cols w:space="720" w:num="1"/>
          <w:rtlGutter w:val="0"/>
          <w:docGrid w:linePitch="312" w:charSpace="0"/>
        </w:sectPr>
      </w:pPr>
    </w:p>
    <w:p>
      <w:pPr>
        <w:pStyle w:val="3"/>
        <w:rPr>
          <w:rFonts w:hint="eastAsia" w:ascii="仿宋_GB2312" w:hAnsi="宋体" w:eastAsia="仿宋_GB2312"/>
          <w:color w:val="000000"/>
          <w:lang w:val="en-US" w:eastAsia="zh-CN"/>
        </w:rPr>
      </w:pPr>
      <w:r>
        <w:rPr>
          <w:rFonts w:hint="eastAsia" w:ascii="仿宋_GB2312" w:hAnsi="宋体" w:eastAsia="仿宋_GB2312"/>
          <w:color w:val="000000"/>
          <w:lang w:val="en-US" w:eastAsia="zh-CN"/>
        </w:rPr>
        <w:t>附表二：问题的澄清</w:t>
      </w:r>
    </w:p>
    <w:p>
      <w:pPr>
        <w:rPr>
          <w:rFonts w:hint="eastAsia" w:ascii="仿宋_GB2312" w:hAnsi="宋体" w:eastAsia="仿宋_GB2312"/>
          <w:color w:val="000000"/>
        </w:rPr>
      </w:pPr>
    </w:p>
    <w:p>
      <w:pPr>
        <w:pStyle w:val="3"/>
        <w:jc w:val="center"/>
        <w:rPr>
          <w:rFonts w:hint="eastAsia" w:ascii="仿宋_GB2312" w:hAnsi="宋体" w:eastAsia="仿宋_GB2312"/>
          <w:color w:val="000000"/>
          <w:lang w:val="en-US" w:eastAsia="zh-CN"/>
        </w:rPr>
      </w:pPr>
      <w:r>
        <w:rPr>
          <w:rFonts w:hint="eastAsia" w:ascii="仿宋_GB2312" w:hAnsi="宋体" w:eastAsia="仿宋_GB2312"/>
          <w:color w:val="000000"/>
          <w:lang w:val="en-US" w:eastAsia="zh-CN"/>
        </w:rPr>
        <w:t>问题的澄清</w:t>
      </w:r>
    </w:p>
    <w:p>
      <w:pPr>
        <w:spacing w:line="360" w:lineRule="auto"/>
        <w:ind w:firstLine="4774" w:firstLineChars="2200"/>
        <w:rPr>
          <w:rFonts w:hint="eastAsia" w:ascii="仿宋_GB2312" w:hAnsi="宋体" w:eastAsia="仿宋_GB2312"/>
          <w:color w:val="000000"/>
          <w:szCs w:val="21"/>
        </w:rPr>
      </w:pPr>
      <w:r>
        <w:rPr>
          <w:rFonts w:hint="eastAsia" w:ascii="仿宋_GB2312" w:hAnsi="宋体" w:eastAsia="仿宋_GB2312"/>
          <w:color w:val="000000"/>
          <w:szCs w:val="21"/>
        </w:rPr>
        <w:t>编号：</w:t>
      </w:r>
    </w:p>
    <w:p>
      <w:pPr>
        <w:spacing w:line="600" w:lineRule="auto"/>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(项目名称）</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标段招标评标委员会：</w:t>
      </w:r>
    </w:p>
    <w:p>
      <w:pPr>
        <w:spacing w:line="600" w:lineRule="auto"/>
        <w:ind w:firstLine="434" w:firstLineChars="200"/>
        <w:rPr>
          <w:rFonts w:hint="eastAsia" w:ascii="仿宋_GB2312" w:hAnsi="宋体" w:eastAsia="仿宋_GB2312"/>
          <w:color w:val="000000"/>
          <w:szCs w:val="21"/>
        </w:rPr>
      </w:pPr>
    </w:p>
    <w:p>
      <w:pPr>
        <w:spacing w:line="600" w:lineRule="auto"/>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问题澄清通知（编号：</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）已收悉，现澄清如下：</w:t>
      </w:r>
    </w:p>
    <w:p>
      <w:pPr>
        <w:spacing w:line="600" w:lineRule="auto"/>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1、</w:t>
      </w:r>
    </w:p>
    <w:p>
      <w:pPr>
        <w:spacing w:line="600" w:lineRule="auto"/>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2、</w:t>
      </w:r>
    </w:p>
    <w:p>
      <w:pPr>
        <w:spacing w:line="600" w:lineRule="auto"/>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w:t>
      </w:r>
    </w:p>
    <w:p>
      <w:pPr>
        <w:spacing w:line="600" w:lineRule="auto"/>
        <w:ind w:firstLine="434" w:firstLineChars="200"/>
        <w:rPr>
          <w:rFonts w:hint="eastAsia" w:ascii="仿宋_GB2312" w:hAnsi="宋体" w:eastAsia="仿宋_GB2312"/>
          <w:color w:val="000000"/>
          <w:szCs w:val="21"/>
        </w:rPr>
      </w:pPr>
    </w:p>
    <w:p>
      <w:pPr>
        <w:spacing w:line="600" w:lineRule="auto"/>
        <w:ind w:firstLine="434" w:firstLineChars="200"/>
        <w:rPr>
          <w:rFonts w:hint="eastAsia" w:ascii="仿宋_GB2312" w:hAnsi="宋体" w:eastAsia="仿宋_GB2312"/>
          <w:color w:val="000000"/>
          <w:szCs w:val="21"/>
        </w:rPr>
      </w:pPr>
    </w:p>
    <w:p>
      <w:pPr>
        <w:spacing w:line="600" w:lineRule="auto"/>
        <w:ind w:firstLine="2713" w:firstLineChars="1250"/>
        <w:rPr>
          <w:rFonts w:hint="eastAsia" w:ascii="仿宋_GB2312" w:hAnsi="宋体" w:eastAsia="仿宋_GB2312"/>
          <w:color w:val="000000"/>
          <w:szCs w:val="21"/>
          <w:u w:val="single"/>
        </w:rPr>
      </w:pPr>
      <w:r>
        <w:rPr>
          <w:rFonts w:hint="eastAsia" w:ascii="仿宋_GB2312" w:hAnsi="宋体" w:eastAsia="仿宋_GB2312"/>
          <w:color w:val="000000"/>
          <w:szCs w:val="21"/>
          <w:lang w:eastAsia="zh-CN"/>
        </w:rPr>
        <w:t>法定代表人或项目负责人</w:t>
      </w:r>
      <w:r>
        <w:rPr>
          <w:rFonts w:hint="eastAsia" w:ascii="仿宋_GB2312" w:hAnsi="宋体" w:eastAsia="仿宋_GB2312"/>
          <w:color w:val="000000"/>
          <w:szCs w:val="21"/>
        </w:rPr>
        <w:t>：</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（签字）</w:t>
      </w:r>
    </w:p>
    <w:p>
      <w:pPr>
        <w:spacing w:line="500" w:lineRule="exact"/>
        <w:ind w:firstLine="326" w:firstLineChars="150"/>
        <w:jc w:val="right"/>
        <w:rPr>
          <w:rFonts w:hint="eastAsia" w:ascii="仿宋_GB2312" w:hAnsi="宋体" w:eastAsia="仿宋_GB2312"/>
          <w:color w:val="000000"/>
          <w:szCs w:val="21"/>
        </w:rPr>
      </w:pP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年</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月</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日</w:t>
      </w:r>
    </w:p>
    <w:p>
      <w:pPr>
        <w:spacing w:line="500" w:lineRule="exact"/>
        <w:jc w:val="center"/>
        <w:rPr>
          <w:rFonts w:hint="eastAsia" w:ascii="仿宋_GB2312" w:hAnsi="仿宋" w:eastAsia="仿宋_GB2312"/>
          <w:b/>
          <w:color w:val="000000"/>
          <w:sz w:val="36"/>
        </w:rPr>
      </w:pPr>
      <w:r>
        <w:rPr>
          <w:rFonts w:hint="eastAsia" w:ascii="仿宋_GB2312" w:hAnsi="宋体" w:eastAsia="仿宋_GB2312"/>
          <w:color w:val="000000"/>
          <w:szCs w:val="21"/>
        </w:rPr>
        <w:br w:type="page"/>
      </w:r>
      <w:bookmarkEnd w:id="36"/>
      <w:bookmarkEnd w:id="37"/>
      <w:bookmarkEnd w:id="38"/>
      <w:bookmarkEnd w:id="39"/>
      <w:bookmarkStart w:id="40" w:name="_Toc723"/>
      <w:bookmarkStart w:id="41" w:name="_Toc14733"/>
      <w:bookmarkStart w:id="42" w:name="_Toc16062"/>
      <w:bookmarkStart w:id="43" w:name="_Toc185047325"/>
      <w:bookmarkStart w:id="44" w:name="_Toc491162067"/>
      <w:r>
        <w:rPr>
          <w:rFonts w:hint="eastAsia" w:ascii="仿宋_GB2312" w:hAnsi="仿宋" w:eastAsia="仿宋_GB2312"/>
          <w:b/>
          <w:color w:val="000000"/>
          <w:sz w:val="36"/>
        </w:rPr>
        <w:t>第三章 评标办法（经抽取后评审的合理低价法）</w:t>
      </w:r>
      <w:bookmarkEnd w:id="40"/>
      <w:bookmarkEnd w:id="41"/>
      <w:bookmarkEnd w:id="42"/>
      <w:bookmarkEnd w:id="43"/>
      <w:bookmarkEnd w:id="44"/>
    </w:p>
    <w:p>
      <w:pPr>
        <w:ind w:firstLine="474" w:firstLineChars="200"/>
        <w:jc w:val="center"/>
        <w:rPr>
          <w:rFonts w:hint="eastAsia" w:ascii="仿宋_GB2312" w:hAnsi="宋体" w:eastAsia="仿宋_GB2312"/>
          <w:b/>
          <w:color w:val="000000"/>
          <w:sz w:val="24"/>
        </w:rPr>
      </w:pPr>
      <w:r>
        <w:rPr>
          <w:rFonts w:hint="eastAsia" w:ascii="仿宋_GB2312" w:hAnsi="宋体" w:eastAsia="仿宋_GB2312"/>
          <w:b/>
          <w:color w:val="000000"/>
          <w:sz w:val="24"/>
        </w:rPr>
        <w:t>评标办法前附表</w:t>
      </w:r>
    </w:p>
    <w:tbl>
      <w:tblPr>
        <w:tblStyle w:val="10"/>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2252"/>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10" w:type="dxa"/>
            <w:gridSpan w:val="2"/>
            <w:vAlign w:val="center"/>
          </w:tcPr>
          <w:p>
            <w:pPr>
              <w:jc w:val="center"/>
              <w:rPr>
                <w:rFonts w:hint="eastAsia" w:ascii="仿宋_GB2312" w:hAnsi="宋体" w:eastAsia="仿宋_GB2312"/>
                <w:b/>
                <w:color w:val="000000"/>
                <w:szCs w:val="21"/>
              </w:rPr>
            </w:pPr>
            <w:bookmarkStart w:id="45" w:name="_Toc185047335"/>
            <w:r>
              <w:rPr>
                <w:rFonts w:hint="eastAsia" w:ascii="仿宋_GB2312" w:hAnsi="宋体" w:eastAsia="仿宋_GB2312"/>
                <w:b/>
                <w:color w:val="000000"/>
                <w:szCs w:val="21"/>
              </w:rPr>
              <w:t>条款号</w:t>
            </w:r>
          </w:p>
        </w:tc>
        <w:tc>
          <w:tcPr>
            <w:tcW w:w="2252" w:type="dxa"/>
            <w:vAlign w:val="center"/>
          </w:tcPr>
          <w:p>
            <w:pPr>
              <w:jc w:val="center"/>
              <w:rPr>
                <w:rFonts w:hint="eastAsia" w:ascii="仿宋_GB2312" w:hAnsi="宋体" w:eastAsia="仿宋_GB2312"/>
                <w:b/>
                <w:color w:val="000000"/>
                <w:szCs w:val="21"/>
              </w:rPr>
            </w:pPr>
            <w:r>
              <w:rPr>
                <w:rFonts w:hint="eastAsia" w:ascii="仿宋_GB2312" w:hAnsi="宋体" w:eastAsia="仿宋_GB2312"/>
                <w:b/>
                <w:color w:val="000000"/>
                <w:szCs w:val="21"/>
              </w:rPr>
              <w:t>评审因素</w:t>
            </w:r>
          </w:p>
        </w:tc>
        <w:tc>
          <w:tcPr>
            <w:tcW w:w="5562" w:type="dxa"/>
            <w:vAlign w:val="center"/>
          </w:tcPr>
          <w:p>
            <w:pPr>
              <w:jc w:val="center"/>
              <w:rPr>
                <w:rFonts w:hint="eastAsia" w:ascii="仿宋_GB2312" w:hAnsi="宋体" w:eastAsia="仿宋_GB2312"/>
                <w:b/>
                <w:color w:val="000000"/>
                <w:szCs w:val="21"/>
              </w:rPr>
            </w:pPr>
            <w:r>
              <w:rPr>
                <w:rFonts w:hint="eastAsia" w:ascii="仿宋_GB2312" w:hAnsi="宋体" w:eastAsia="仿宋_GB2312"/>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51" w:type="dxa"/>
            <w:vMerge w:val="restart"/>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2.1.1</w:t>
            </w:r>
          </w:p>
        </w:tc>
        <w:tc>
          <w:tcPr>
            <w:tcW w:w="1559" w:type="dxa"/>
            <w:vMerge w:val="restart"/>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形式评审标准</w:t>
            </w:r>
          </w:p>
        </w:tc>
        <w:tc>
          <w:tcPr>
            <w:tcW w:w="2252" w:type="dxa"/>
            <w:vAlign w:val="center"/>
          </w:tcPr>
          <w:p>
            <w:pPr>
              <w:pStyle w:val="9"/>
              <w:spacing w:line="300" w:lineRule="exact"/>
              <w:rPr>
                <w:rFonts w:hint="eastAsia" w:ascii="仿宋_GB2312" w:eastAsia="仿宋_GB2312"/>
                <w:color w:val="000000"/>
                <w:lang w:val="zh-CN"/>
              </w:rPr>
            </w:pPr>
            <w:r>
              <w:rPr>
                <w:rFonts w:hint="eastAsia" w:ascii="仿宋_GB2312" w:eastAsia="仿宋_GB2312"/>
                <w:color w:val="000000"/>
                <w:lang w:val="zh-CN"/>
              </w:rPr>
              <w:t>投标人名称</w:t>
            </w:r>
          </w:p>
        </w:tc>
        <w:tc>
          <w:tcPr>
            <w:tcW w:w="5562" w:type="dxa"/>
            <w:vAlign w:val="center"/>
          </w:tcPr>
          <w:p>
            <w:pPr>
              <w:pStyle w:val="9"/>
              <w:spacing w:line="300" w:lineRule="exact"/>
              <w:rPr>
                <w:rFonts w:hint="eastAsia" w:ascii="仿宋_GB2312" w:eastAsia="仿宋_GB2312"/>
                <w:color w:val="000000"/>
                <w:lang w:val="zh-CN"/>
              </w:rPr>
            </w:pPr>
            <w:r>
              <w:rPr>
                <w:rFonts w:hint="eastAsia" w:ascii="仿宋_GB2312" w:eastAsia="仿宋_GB2312"/>
                <w:color w:val="000000"/>
                <w:lang w:val="zh-CN"/>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exact"/>
          <w:jc w:val="center"/>
        </w:trPr>
        <w:tc>
          <w:tcPr>
            <w:tcW w:w="851" w:type="dxa"/>
            <w:vMerge w:val="continue"/>
            <w:vAlign w:val="center"/>
          </w:tcPr>
          <w:p>
            <w:pPr>
              <w:spacing w:line="360" w:lineRule="auto"/>
              <w:jc w:val="center"/>
              <w:rPr>
                <w:rFonts w:hint="eastAsia" w:ascii="仿宋_GB2312" w:hAnsi="宋体" w:eastAsia="仿宋_GB2312"/>
                <w:color w:val="000000"/>
                <w:szCs w:val="21"/>
              </w:rPr>
            </w:pPr>
          </w:p>
        </w:tc>
        <w:tc>
          <w:tcPr>
            <w:tcW w:w="1559" w:type="dxa"/>
            <w:vMerge w:val="continue"/>
            <w:vAlign w:val="center"/>
          </w:tcPr>
          <w:p>
            <w:pPr>
              <w:spacing w:line="360" w:lineRule="auto"/>
              <w:jc w:val="center"/>
              <w:rPr>
                <w:rFonts w:hint="eastAsia" w:ascii="仿宋_GB2312" w:hAnsi="宋体" w:eastAsia="仿宋_GB2312"/>
                <w:color w:val="000000"/>
                <w:szCs w:val="21"/>
              </w:rPr>
            </w:pPr>
          </w:p>
        </w:tc>
        <w:tc>
          <w:tcPr>
            <w:tcW w:w="2252" w:type="dxa"/>
            <w:vAlign w:val="center"/>
          </w:tcPr>
          <w:p>
            <w:pPr>
              <w:pStyle w:val="9"/>
              <w:spacing w:line="300" w:lineRule="exact"/>
              <w:rPr>
                <w:rFonts w:hint="eastAsia" w:ascii="仿宋_GB2312" w:eastAsia="仿宋_GB2312"/>
                <w:color w:val="000000"/>
                <w:lang w:val="zh-CN"/>
              </w:rPr>
            </w:pPr>
            <w:r>
              <w:rPr>
                <w:rFonts w:hint="eastAsia" w:ascii="仿宋_GB2312" w:eastAsia="仿宋_GB2312"/>
                <w:color w:val="000000"/>
                <w:lang w:val="zh-CN"/>
              </w:rPr>
              <w:t>投标文件格式</w:t>
            </w:r>
          </w:p>
        </w:tc>
        <w:tc>
          <w:tcPr>
            <w:tcW w:w="5562" w:type="dxa"/>
            <w:vAlign w:val="center"/>
          </w:tcPr>
          <w:p>
            <w:pPr>
              <w:pStyle w:val="9"/>
              <w:spacing w:line="300" w:lineRule="exact"/>
              <w:rPr>
                <w:rFonts w:hint="eastAsia" w:ascii="仿宋_GB2312" w:eastAsia="仿宋_GB2312"/>
                <w:color w:val="000000"/>
                <w:lang w:val="zh-CN"/>
              </w:rPr>
            </w:pPr>
            <w:r>
              <w:rPr>
                <w:rFonts w:hint="eastAsia" w:ascii="仿宋_GB2312" w:eastAsia="仿宋_GB2312"/>
                <w:color w:val="000000"/>
                <w:lang w:val="zh-CN"/>
              </w:rPr>
              <w:t>符合第</w:t>
            </w:r>
            <w:r>
              <w:rPr>
                <w:rFonts w:hint="eastAsia" w:ascii="仿宋_GB2312" w:eastAsia="仿宋_GB2312"/>
                <w:color w:val="000000"/>
                <w:lang w:val="zh-CN" w:eastAsia="zh-CN"/>
              </w:rPr>
              <w:t>七</w:t>
            </w:r>
            <w:r>
              <w:rPr>
                <w:rFonts w:hint="eastAsia" w:ascii="仿宋_GB2312" w:eastAsia="仿宋_GB2312"/>
                <w:color w:val="000000"/>
                <w:lang w:val="zh-CN"/>
              </w:rPr>
              <w:t>章“投标文件格式”的要求和符合第二章“投标人须知”第3.6.1 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jc w:val="center"/>
        </w:trPr>
        <w:tc>
          <w:tcPr>
            <w:tcW w:w="851" w:type="dxa"/>
            <w:vMerge w:val="continue"/>
            <w:vAlign w:val="center"/>
          </w:tcPr>
          <w:p>
            <w:pPr>
              <w:spacing w:line="360" w:lineRule="auto"/>
              <w:jc w:val="center"/>
              <w:rPr>
                <w:rFonts w:hint="eastAsia" w:ascii="仿宋_GB2312" w:hAnsi="宋体" w:eastAsia="仿宋_GB2312"/>
                <w:color w:val="000000"/>
                <w:szCs w:val="21"/>
              </w:rPr>
            </w:pPr>
          </w:p>
        </w:tc>
        <w:tc>
          <w:tcPr>
            <w:tcW w:w="1559" w:type="dxa"/>
            <w:vMerge w:val="continue"/>
            <w:vAlign w:val="center"/>
          </w:tcPr>
          <w:p>
            <w:pPr>
              <w:spacing w:line="360" w:lineRule="auto"/>
              <w:jc w:val="center"/>
              <w:rPr>
                <w:rFonts w:hint="eastAsia" w:ascii="仿宋_GB2312" w:hAnsi="宋体" w:eastAsia="仿宋_GB2312"/>
                <w:color w:val="000000"/>
                <w:szCs w:val="21"/>
              </w:rPr>
            </w:pPr>
          </w:p>
        </w:tc>
        <w:tc>
          <w:tcPr>
            <w:tcW w:w="2252" w:type="dxa"/>
            <w:vAlign w:val="center"/>
          </w:tcPr>
          <w:p>
            <w:pPr>
              <w:pStyle w:val="9"/>
              <w:spacing w:line="300" w:lineRule="exact"/>
              <w:rPr>
                <w:rFonts w:hint="eastAsia" w:ascii="仿宋_GB2312" w:eastAsia="仿宋_GB2312"/>
                <w:color w:val="000000"/>
                <w:lang w:val="zh-CN"/>
              </w:rPr>
            </w:pPr>
            <w:r>
              <w:rPr>
                <w:rFonts w:hint="eastAsia" w:ascii="仿宋_GB2312" w:eastAsia="仿宋_GB2312"/>
                <w:color w:val="000000"/>
                <w:lang w:val="zh-CN"/>
              </w:rPr>
              <w:t>报价唯一</w:t>
            </w:r>
          </w:p>
        </w:tc>
        <w:tc>
          <w:tcPr>
            <w:tcW w:w="5562" w:type="dxa"/>
            <w:vAlign w:val="center"/>
          </w:tcPr>
          <w:p>
            <w:pPr>
              <w:pStyle w:val="9"/>
              <w:spacing w:line="300" w:lineRule="exact"/>
              <w:rPr>
                <w:rFonts w:hint="eastAsia" w:ascii="仿宋_GB2312" w:eastAsia="仿宋_GB2312"/>
                <w:color w:val="000000"/>
                <w:lang w:val="zh-CN"/>
              </w:rPr>
            </w:pPr>
            <w:r>
              <w:rPr>
                <w:rFonts w:hint="eastAsia" w:ascii="仿宋_GB2312" w:eastAsia="仿宋_GB2312"/>
                <w:color w:val="000000"/>
                <w:lang w:val="zh-CN"/>
              </w:rPr>
              <w:t>只能有一个有效报价，即符合第二章“投标人须知”第8.2款要求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51" w:type="dxa"/>
            <w:vMerge w:val="restart"/>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 w:val="24"/>
                <w:szCs w:val="24"/>
              </w:rPr>
              <w:t>2.1.2</w:t>
            </w:r>
          </w:p>
        </w:tc>
        <w:tc>
          <w:tcPr>
            <w:tcW w:w="1559" w:type="dxa"/>
            <w:vMerge w:val="restart"/>
            <w:vAlign w:val="center"/>
          </w:tcPr>
          <w:p>
            <w:pPr>
              <w:spacing w:line="360" w:lineRule="auto"/>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资格评审</w:t>
            </w:r>
          </w:p>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 w:val="24"/>
                <w:szCs w:val="24"/>
              </w:rPr>
              <w:t>标准</w:t>
            </w:r>
          </w:p>
        </w:tc>
        <w:tc>
          <w:tcPr>
            <w:tcW w:w="225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营业执照</w:t>
            </w:r>
          </w:p>
        </w:tc>
        <w:tc>
          <w:tcPr>
            <w:tcW w:w="556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51" w:type="dxa"/>
            <w:vMerge w:val="continue"/>
            <w:vAlign w:val="center"/>
          </w:tcPr>
          <w:p>
            <w:pPr>
              <w:spacing w:line="360" w:lineRule="auto"/>
              <w:jc w:val="center"/>
              <w:rPr>
                <w:rFonts w:hint="eastAsia" w:ascii="仿宋_GB2312" w:hAnsi="宋体" w:eastAsia="仿宋_GB2312"/>
                <w:color w:val="000000"/>
                <w:sz w:val="24"/>
                <w:szCs w:val="24"/>
              </w:rPr>
            </w:pPr>
          </w:p>
        </w:tc>
        <w:tc>
          <w:tcPr>
            <w:tcW w:w="1559" w:type="dxa"/>
            <w:vMerge w:val="continue"/>
            <w:vAlign w:val="center"/>
          </w:tcPr>
          <w:p>
            <w:pPr>
              <w:spacing w:line="360" w:lineRule="auto"/>
              <w:jc w:val="center"/>
              <w:rPr>
                <w:rFonts w:hint="eastAsia" w:ascii="仿宋_GB2312" w:hAnsi="宋体" w:eastAsia="仿宋_GB2312"/>
                <w:color w:val="000000"/>
                <w:sz w:val="24"/>
                <w:szCs w:val="24"/>
              </w:rPr>
            </w:pPr>
          </w:p>
        </w:tc>
        <w:tc>
          <w:tcPr>
            <w:tcW w:w="225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资质等级</w:t>
            </w:r>
          </w:p>
        </w:tc>
        <w:tc>
          <w:tcPr>
            <w:tcW w:w="556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51" w:type="dxa"/>
            <w:vMerge w:val="continue"/>
            <w:vAlign w:val="center"/>
          </w:tcPr>
          <w:p>
            <w:pPr>
              <w:spacing w:line="360" w:lineRule="auto"/>
              <w:jc w:val="center"/>
              <w:rPr>
                <w:rFonts w:hint="eastAsia" w:ascii="仿宋_GB2312" w:hAnsi="宋体" w:eastAsia="仿宋_GB2312"/>
                <w:color w:val="000000"/>
                <w:sz w:val="24"/>
                <w:szCs w:val="24"/>
              </w:rPr>
            </w:pPr>
          </w:p>
        </w:tc>
        <w:tc>
          <w:tcPr>
            <w:tcW w:w="1559" w:type="dxa"/>
            <w:vMerge w:val="continue"/>
            <w:vAlign w:val="center"/>
          </w:tcPr>
          <w:p>
            <w:pPr>
              <w:spacing w:line="360" w:lineRule="auto"/>
              <w:jc w:val="center"/>
              <w:rPr>
                <w:rFonts w:hint="eastAsia" w:ascii="仿宋_GB2312" w:hAnsi="宋体" w:eastAsia="仿宋_GB2312"/>
                <w:color w:val="000000"/>
                <w:sz w:val="24"/>
                <w:szCs w:val="24"/>
              </w:rPr>
            </w:pPr>
          </w:p>
        </w:tc>
        <w:tc>
          <w:tcPr>
            <w:tcW w:w="225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财务状况</w:t>
            </w:r>
          </w:p>
        </w:tc>
        <w:tc>
          <w:tcPr>
            <w:tcW w:w="556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51" w:type="dxa"/>
            <w:vMerge w:val="continue"/>
            <w:vAlign w:val="center"/>
          </w:tcPr>
          <w:p>
            <w:pPr>
              <w:spacing w:line="360" w:lineRule="auto"/>
              <w:jc w:val="center"/>
              <w:rPr>
                <w:rFonts w:hint="eastAsia" w:ascii="仿宋_GB2312" w:hAnsi="宋体" w:eastAsia="仿宋_GB2312"/>
                <w:color w:val="000000"/>
                <w:sz w:val="24"/>
                <w:szCs w:val="24"/>
              </w:rPr>
            </w:pPr>
          </w:p>
        </w:tc>
        <w:tc>
          <w:tcPr>
            <w:tcW w:w="1559" w:type="dxa"/>
            <w:vMerge w:val="continue"/>
            <w:vAlign w:val="center"/>
          </w:tcPr>
          <w:p>
            <w:pPr>
              <w:spacing w:line="360" w:lineRule="auto"/>
              <w:jc w:val="center"/>
              <w:rPr>
                <w:rFonts w:hint="eastAsia" w:ascii="仿宋_GB2312" w:hAnsi="宋体" w:eastAsia="仿宋_GB2312"/>
                <w:color w:val="000000"/>
                <w:sz w:val="24"/>
                <w:szCs w:val="24"/>
              </w:rPr>
            </w:pPr>
          </w:p>
        </w:tc>
        <w:tc>
          <w:tcPr>
            <w:tcW w:w="225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信誉</w:t>
            </w:r>
          </w:p>
        </w:tc>
        <w:tc>
          <w:tcPr>
            <w:tcW w:w="556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51" w:type="dxa"/>
            <w:vMerge w:val="continue"/>
            <w:vAlign w:val="center"/>
          </w:tcPr>
          <w:p>
            <w:pPr>
              <w:spacing w:line="360" w:lineRule="auto"/>
              <w:jc w:val="center"/>
              <w:rPr>
                <w:rFonts w:hint="eastAsia" w:ascii="仿宋_GB2312" w:hAnsi="宋体" w:eastAsia="仿宋_GB2312"/>
                <w:color w:val="000000"/>
                <w:sz w:val="24"/>
                <w:szCs w:val="24"/>
              </w:rPr>
            </w:pPr>
          </w:p>
        </w:tc>
        <w:tc>
          <w:tcPr>
            <w:tcW w:w="1559" w:type="dxa"/>
            <w:vMerge w:val="continue"/>
            <w:vAlign w:val="center"/>
          </w:tcPr>
          <w:p>
            <w:pPr>
              <w:spacing w:line="360" w:lineRule="auto"/>
              <w:jc w:val="center"/>
              <w:rPr>
                <w:rFonts w:hint="eastAsia" w:ascii="仿宋_GB2312" w:hAnsi="宋体" w:eastAsia="仿宋_GB2312"/>
                <w:color w:val="000000"/>
                <w:sz w:val="24"/>
                <w:szCs w:val="24"/>
              </w:rPr>
            </w:pPr>
          </w:p>
        </w:tc>
        <w:tc>
          <w:tcPr>
            <w:tcW w:w="225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项目负责人</w:t>
            </w:r>
          </w:p>
        </w:tc>
        <w:tc>
          <w:tcPr>
            <w:tcW w:w="556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51" w:type="dxa"/>
            <w:vMerge w:val="continue"/>
            <w:vAlign w:val="center"/>
          </w:tcPr>
          <w:p>
            <w:pPr>
              <w:spacing w:line="360" w:lineRule="auto"/>
              <w:jc w:val="center"/>
              <w:rPr>
                <w:rFonts w:hint="eastAsia" w:ascii="仿宋_GB2312" w:hAnsi="宋体" w:eastAsia="仿宋_GB2312"/>
                <w:color w:val="000000"/>
                <w:sz w:val="24"/>
                <w:szCs w:val="24"/>
              </w:rPr>
            </w:pPr>
          </w:p>
        </w:tc>
        <w:tc>
          <w:tcPr>
            <w:tcW w:w="1559" w:type="dxa"/>
            <w:vMerge w:val="continue"/>
            <w:vAlign w:val="center"/>
          </w:tcPr>
          <w:p>
            <w:pPr>
              <w:spacing w:line="360" w:lineRule="auto"/>
              <w:jc w:val="center"/>
              <w:rPr>
                <w:rFonts w:hint="eastAsia" w:ascii="仿宋_GB2312" w:hAnsi="宋体" w:eastAsia="仿宋_GB2312"/>
                <w:color w:val="000000"/>
                <w:sz w:val="24"/>
                <w:szCs w:val="24"/>
              </w:rPr>
            </w:pPr>
          </w:p>
        </w:tc>
        <w:tc>
          <w:tcPr>
            <w:tcW w:w="225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业绩要求</w:t>
            </w:r>
          </w:p>
        </w:tc>
        <w:tc>
          <w:tcPr>
            <w:tcW w:w="556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51" w:type="dxa"/>
            <w:vMerge w:val="continue"/>
            <w:vAlign w:val="center"/>
          </w:tcPr>
          <w:p>
            <w:pPr>
              <w:spacing w:line="360" w:lineRule="auto"/>
              <w:jc w:val="center"/>
              <w:rPr>
                <w:rFonts w:hint="eastAsia" w:ascii="仿宋_GB2312" w:hAnsi="宋体" w:eastAsia="仿宋_GB2312"/>
                <w:color w:val="000000"/>
                <w:sz w:val="24"/>
                <w:szCs w:val="24"/>
              </w:rPr>
            </w:pPr>
          </w:p>
        </w:tc>
        <w:tc>
          <w:tcPr>
            <w:tcW w:w="1559" w:type="dxa"/>
            <w:vMerge w:val="continue"/>
            <w:vAlign w:val="center"/>
          </w:tcPr>
          <w:p>
            <w:pPr>
              <w:spacing w:line="360" w:lineRule="auto"/>
              <w:jc w:val="center"/>
              <w:rPr>
                <w:rFonts w:hint="eastAsia" w:ascii="仿宋_GB2312" w:hAnsi="宋体" w:eastAsia="仿宋_GB2312"/>
                <w:color w:val="000000"/>
                <w:sz w:val="24"/>
                <w:szCs w:val="24"/>
              </w:rPr>
            </w:pPr>
          </w:p>
        </w:tc>
        <w:tc>
          <w:tcPr>
            <w:tcW w:w="225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其他人员要求</w:t>
            </w:r>
          </w:p>
        </w:tc>
        <w:tc>
          <w:tcPr>
            <w:tcW w:w="556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符合第二章“投标人须知”第1.4.1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851" w:type="dxa"/>
            <w:vMerge w:val="continue"/>
            <w:vAlign w:val="center"/>
          </w:tcPr>
          <w:p>
            <w:pPr>
              <w:spacing w:line="360" w:lineRule="auto"/>
              <w:jc w:val="center"/>
              <w:rPr>
                <w:rFonts w:hint="eastAsia" w:ascii="仿宋_GB2312" w:hAnsi="宋体" w:eastAsia="仿宋_GB2312"/>
                <w:color w:val="000000"/>
                <w:sz w:val="24"/>
                <w:szCs w:val="24"/>
              </w:rPr>
            </w:pPr>
          </w:p>
        </w:tc>
        <w:tc>
          <w:tcPr>
            <w:tcW w:w="1559" w:type="dxa"/>
            <w:vMerge w:val="continue"/>
            <w:vAlign w:val="center"/>
          </w:tcPr>
          <w:p>
            <w:pPr>
              <w:spacing w:line="360" w:lineRule="auto"/>
              <w:jc w:val="center"/>
              <w:rPr>
                <w:rFonts w:hint="eastAsia" w:ascii="仿宋_GB2312" w:hAnsi="宋体" w:eastAsia="仿宋_GB2312"/>
                <w:color w:val="000000"/>
                <w:sz w:val="24"/>
                <w:szCs w:val="24"/>
              </w:rPr>
            </w:pPr>
          </w:p>
        </w:tc>
        <w:tc>
          <w:tcPr>
            <w:tcW w:w="225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联合体投标人</w:t>
            </w:r>
          </w:p>
        </w:tc>
        <w:tc>
          <w:tcPr>
            <w:tcW w:w="556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符合第二章“投标人须知”第1.4.2 项规定（如有）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jc w:val="center"/>
        </w:trPr>
        <w:tc>
          <w:tcPr>
            <w:tcW w:w="851" w:type="dxa"/>
            <w:vMerge w:val="continue"/>
            <w:vAlign w:val="center"/>
          </w:tcPr>
          <w:p>
            <w:pPr>
              <w:spacing w:line="360" w:lineRule="auto"/>
              <w:jc w:val="center"/>
              <w:rPr>
                <w:rFonts w:hint="eastAsia" w:ascii="仿宋_GB2312" w:hAnsi="宋体" w:eastAsia="仿宋_GB2312"/>
                <w:color w:val="000000"/>
                <w:sz w:val="24"/>
                <w:szCs w:val="24"/>
              </w:rPr>
            </w:pPr>
          </w:p>
        </w:tc>
        <w:tc>
          <w:tcPr>
            <w:tcW w:w="1559" w:type="dxa"/>
            <w:vMerge w:val="continue"/>
            <w:vAlign w:val="center"/>
          </w:tcPr>
          <w:p>
            <w:pPr>
              <w:spacing w:line="360" w:lineRule="auto"/>
              <w:jc w:val="center"/>
              <w:rPr>
                <w:rFonts w:hint="eastAsia" w:ascii="仿宋_GB2312" w:hAnsi="宋体" w:eastAsia="仿宋_GB2312"/>
                <w:color w:val="000000"/>
                <w:sz w:val="24"/>
                <w:szCs w:val="24"/>
              </w:rPr>
            </w:pPr>
          </w:p>
        </w:tc>
        <w:tc>
          <w:tcPr>
            <w:tcW w:w="225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省外企业入川备案</w:t>
            </w:r>
          </w:p>
        </w:tc>
        <w:tc>
          <w:tcPr>
            <w:tcW w:w="5562" w:type="dxa"/>
            <w:vAlign w:val="center"/>
          </w:tcPr>
          <w:p>
            <w:pPr>
              <w:pStyle w:val="9"/>
              <w:spacing w:line="300" w:lineRule="exact"/>
              <w:jc w:val="both"/>
              <w:rPr>
                <w:rFonts w:hint="eastAsia" w:ascii="仿宋_GB2312" w:eastAsia="仿宋_GB2312"/>
                <w:color w:val="000000"/>
                <w:szCs w:val="24"/>
                <w:lang w:val="zh-CN"/>
              </w:rPr>
            </w:pPr>
            <w:r>
              <w:rPr>
                <w:rFonts w:hint="eastAsia" w:ascii="仿宋_GB2312" w:eastAsia="仿宋_GB2312"/>
                <w:color w:val="000000"/>
                <w:szCs w:val="24"/>
                <w:lang w:val="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exact"/>
          <w:jc w:val="center"/>
        </w:trPr>
        <w:tc>
          <w:tcPr>
            <w:tcW w:w="851" w:type="dxa"/>
            <w:vMerge w:val="continue"/>
            <w:vAlign w:val="center"/>
          </w:tcPr>
          <w:p>
            <w:pPr>
              <w:spacing w:line="360" w:lineRule="auto"/>
              <w:jc w:val="center"/>
              <w:rPr>
                <w:rFonts w:hint="eastAsia" w:ascii="仿宋_GB2312" w:hAnsi="宋体" w:eastAsia="仿宋_GB2312"/>
                <w:color w:val="000000"/>
                <w:sz w:val="24"/>
                <w:szCs w:val="24"/>
              </w:rPr>
            </w:pPr>
          </w:p>
        </w:tc>
        <w:tc>
          <w:tcPr>
            <w:tcW w:w="1559" w:type="dxa"/>
            <w:vMerge w:val="continue"/>
            <w:vAlign w:val="center"/>
          </w:tcPr>
          <w:p>
            <w:pPr>
              <w:spacing w:line="360" w:lineRule="auto"/>
              <w:jc w:val="center"/>
              <w:rPr>
                <w:rFonts w:hint="eastAsia" w:ascii="仿宋_GB2312" w:hAnsi="宋体" w:eastAsia="仿宋_GB2312"/>
                <w:color w:val="000000"/>
                <w:sz w:val="24"/>
                <w:szCs w:val="24"/>
              </w:rPr>
            </w:pPr>
          </w:p>
        </w:tc>
        <w:tc>
          <w:tcPr>
            <w:tcW w:w="2252" w:type="dxa"/>
            <w:vAlign w:val="center"/>
          </w:tcPr>
          <w:p>
            <w:pPr>
              <w:pStyle w:val="9"/>
              <w:spacing w:line="360" w:lineRule="auto"/>
              <w:jc w:val="both"/>
              <w:rPr>
                <w:rFonts w:hint="eastAsia" w:ascii="仿宋_GB2312" w:eastAsia="仿宋_GB2312"/>
                <w:color w:val="000000"/>
                <w:szCs w:val="24"/>
                <w:lang w:val="zh-CN"/>
              </w:rPr>
            </w:pPr>
            <w:r>
              <w:rPr>
                <w:rFonts w:hint="eastAsia" w:ascii="仿宋_GB2312" w:hAnsi="宋体" w:eastAsia="仿宋_GB2312"/>
                <w:color w:val="000000"/>
                <w:sz w:val="24"/>
                <w:szCs w:val="24"/>
                <w:lang w:val="en-US" w:eastAsia="zh-CN"/>
              </w:rPr>
              <w:t>省交通运输厅信用等级评价</w:t>
            </w:r>
          </w:p>
        </w:tc>
        <w:tc>
          <w:tcPr>
            <w:tcW w:w="5562" w:type="dxa"/>
            <w:vAlign w:val="center"/>
          </w:tcPr>
          <w:p>
            <w:pPr>
              <w:pStyle w:val="9"/>
              <w:spacing w:line="300" w:lineRule="exact"/>
              <w:jc w:val="both"/>
              <w:rPr>
                <w:rFonts w:hint="eastAsia" w:ascii="仿宋_GB2312" w:eastAsia="仿宋_GB2312"/>
                <w:color w:val="000000"/>
                <w:szCs w:val="24"/>
                <w:lang w:val="en-US" w:eastAsia="zh-CN"/>
              </w:rPr>
            </w:pPr>
            <w:r>
              <w:rPr>
                <w:rFonts w:hint="eastAsia" w:ascii="仿宋_GB2312" w:eastAsia="仿宋_GB2312"/>
                <w:color w:val="000000"/>
                <w:szCs w:val="24"/>
                <w:lang w:val="en-US" w:eastAsia="zh-CN"/>
              </w:rPr>
              <w:t>D级以上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jc w:val="center"/>
        </w:trPr>
        <w:tc>
          <w:tcPr>
            <w:tcW w:w="851" w:type="dxa"/>
            <w:vMerge w:val="restart"/>
            <w:vAlign w:val="center"/>
          </w:tcPr>
          <w:p>
            <w:pPr>
              <w:spacing w:line="360" w:lineRule="auto"/>
              <w:jc w:val="center"/>
              <w:rPr>
                <w:rFonts w:hint="eastAsia" w:ascii="仿宋_GB2312" w:hAnsi="宋体" w:eastAsia="仿宋_GB2312"/>
                <w:color w:val="000000"/>
                <w:sz w:val="24"/>
                <w:szCs w:val="24"/>
              </w:rPr>
            </w:pPr>
            <w:r>
              <w:rPr>
                <w:rFonts w:hint="eastAsia" w:ascii="仿宋_GB2312" w:hAnsi="宋体" w:eastAsia="仿宋_GB2312"/>
                <w:color w:val="000000"/>
                <w:szCs w:val="21"/>
              </w:rPr>
              <w:t>2.1.3</w:t>
            </w:r>
          </w:p>
        </w:tc>
        <w:tc>
          <w:tcPr>
            <w:tcW w:w="1559" w:type="dxa"/>
            <w:vMerge w:val="restart"/>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响应性评审</w:t>
            </w:r>
          </w:p>
          <w:p>
            <w:pPr>
              <w:spacing w:line="360" w:lineRule="auto"/>
              <w:jc w:val="center"/>
              <w:rPr>
                <w:rFonts w:hint="eastAsia" w:ascii="仿宋_GB2312" w:hAnsi="宋体" w:eastAsia="仿宋_GB2312"/>
                <w:color w:val="000000"/>
                <w:sz w:val="24"/>
                <w:szCs w:val="24"/>
              </w:rPr>
            </w:pPr>
            <w:r>
              <w:rPr>
                <w:rFonts w:hint="eastAsia" w:ascii="仿宋_GB2312" w:hAnsi="宋体" w:eastAsia="仿宋_GB2312"/>
                <w:color w:val="000000"/>
                <w:szCs w:val="21"/>
              </w:rPr>
              <w:t>标准</w:t>
            </w:r>
          </w:p>
        </w:tc>
        <w:tc>
          <w:tcPr>
            <w:tcW w:w="2252" w:type="dxa"/>
            <w:vAlign w:val="center"/>
          </w:tcPr>
          <w:p>
            <w:pPr>
              <w:pStyle w:val="9"/>
              <w:spacing w:line="500" w:lineRule="exact"/>
              <w:rPr>
                <w:rFonts w:hint="eastAsia" w:ascii="仿宋_GB2312" w:eastAsia="仿宋_GB2312"/>
                <w:color w:val="000000"/>
              </w:rPr>
            </w:pPr>
            <w:r>
              <w:rPr>
                <w:rFonts w:hint="eastAsia" w:ascii="仿宋_GB2312" w:eastAsia="仿宋_GB2312"/>
                <w:color w:val="000000"/>
              </w:rPr>
              <w:t>工期</w:t>
            </w:r>
          </w:p>
        </w:tc>
        <w:tc>
          <w:tcPr>
            <w:tcW w:w="5562" w:type="dxa"/>
            <w:vAlign w:val="center"/>
          </w:tcPr>
          <w:p>
            <w:pPr>
              <w:pStyle w:val="9"/>
              <w:spacing w:line="500" w:lineRule="exact"/>
              <w:rPr>
                <w:rFonts w:hint="eastAsia" w:ascii="仿宋_GB2312" w:eastAsia="仿宋_GB2312"/>
                <w:color w:val="000000"/>
              </w:rPr>
            </w:pPr>
            <w:r>
              <w:rPr>
                <w:rFonts w:hint="eastAsia" w:ascii="仿宋_GB2312" w:eastAsia="仿宋_GB2312"/>
                <w:color w:val="000000"/>
              </w:rPr>
              <w:t>符合第二章“投标人须知”第1.3.2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jc w:val="center"/>
        </w:trPr>
        <w:tc>
          <w:tcPr>
            <w:tcW w:w="851" w:type="dxa"/>
            <w:vMerge w:val="continue"/>
            <w:vAlign w:val="top"/>
          </w:tcPr>
          <w:p>
            <w:pPr>
              <w:spacing w:line="360" w:lineRule="auto"/>
              <w:rPr>
                <w:rFonts w:hint="eastAsia" w:ascii="仿宋_GB2312" w:hAnsi="宋体" w:eastAsia="仿宋_GB2312"/>
                <w:color w:val="000000"/>
                <w:szCs w:val="21"/>
              </w:rPr>
            </w:pPr>
          </w:p>
        </w:tc>
        <w:tc>
          <w:tcPr>
            <w:tcW w:w="1559" w:type="dxa"/>
            <w:vMerge w:val="continue"/>
            <w:vAlign w:val="top"/>
          </w:tcPr>
          <w:p>
            <w:pPr>
              <w:spacing w:line="360" w:lineRule="auto"/>
              <w:rPr>
                <w:rFonts w:hint="eastAsia" w:ascii="仿宋_GB2312" w:hAnsi="宋体" w:eastAsia="仿宋_GB2312"/>
                <w:color w:val="000000"/>
                <w:szCs w:val="21"/>
              </w:rPr>
            </w:pPr>
          </w:p>
        </w:tc>
        <w:tc>
          <w:tcPr>
            <w:tcW w:w="2252" w:type="dxa"/>
            <w:vAlign w:val="center"/>
          </w:tcPr>
          <w:p>
            <w:pPr>
              <w:pStyle w:val="9"/>
              <w:spacing w:line="500" w:lineRule="exact"/>
              <w:rPr>
                <w:rFonts w:hint="eastAsia" w:ascii="仿宋_GB2312" w:eastAsia="仿宋_GB2312"/>
                <w:color w:val="000000"/>
              </w:rPr>
            </w:pPr>
            <w:r>
              <w:rPr>
                <w:rFonts w:hint="eastAsia" w:ascii="仿宋_GB2312" w:eastAsia="仿宋_GB2312"/>
                <w:color w:val="000000"/>
              </w:rPr>
              <w:t>投标有效期</w:t>
            </w:r>
          </w:p>
        </w:tc>
        <w:tc>
          <w:tcPr>
            <w:tcW w:w="5562" w:type="dxa"/>
            <w:vAlign w:val="center"/>
          </w:tcPr>
          <w:p>
            <w:pPr>
              <w:pStyle w:val="9"/>
              <w:spacing w:line="500" w:lineRule="exact"/>
              <w:rPr>
                <w:rFonts w:hint="eastAsia" w:ascii="仿宋_GB2312" w:eastAsia="仿宋_GB2312"/>
                <w:color w:val="000000"/>
              </w:rPr>
            </w:pPr>
            <w:r>
              <w:rPr>
                <w:rFonts w:hint="eastAsia" w:ascii="仿宋_GB2312" w:eastAsia="仿宋_GB2312"/>
                <w:color w:val="000000"/>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exact"/>
          <w:jc w:val="center"/>
        </w:trPr>
        <w:tc>
          <w:tcPr>
            <w:tcW w:w="851" w:type="dxa"/>
            <w:vMerge w:val="continue"/>
            <w:vAlign w:val="top"/>
          </w:tcPr>
          <w:p>
            <w:pPr>
              <w:spacing w:line="360" w:lineRule="auto"/>
              <w:rPr>
                <w:rFonts w:hint="eastAsia" w:ascii="仿宋_GB2312" w:hAnsi="宋体" w:eastAsia="仿宋_GB2312"/>
                <w:color w:val="000000"/>
                <w:szCs w:val="21"/>
              </w:rPr>
            </w:pPr>
          </w:p>
        </w:tc>
        <w:tc>
          <w:tcPr>
            <w:tcW w:w="1559" w:type="dxa"/>
            <w:vMerge w:val="continue"/>
            <w:vAlign w:val="top"/>
          </w:tcPr>
          <w:p>
            <w:pPr>
              <w:spacing w:line="360" w:lineRule="auto"/>
              <w:rPr>
                <w:rFonts w:hint="eastAsia" w:ascii="仿宋_GB2312" w:hAnsi="宋体" w:eastAsia="仿宋_GB2312"/>
                <w:color w:val="000000"/>
                <w:szCs w:val="21"/>
              </w:rPr>
            </w:pPr>
          </w:p>
        </w:tc>
        <w:tc>
          <w:tcPr>
            <w:tcW w:w="2252" w:type="dxa"/>
            <w:vAlign w:val="center"/>
          </w:tcPr>
          <w:p>
            <w:pPr>
              <w:pStyle w:val="9"/>
              <w:spacing w:line="500" w:lineRule="exact"/>
              <w:rPr>
                <w:rFonts w:hint="eastAsia" w:ascii="仿宋_GB2312" w:eastAsia="仿宋_GB2312"/>
                <w:color w:val="000000"/>
              </w:rPr>
            </w:pPr>
            <w:r>
              <w:rPr>
                <w:rFonts w:hint="eastAsia" w:ascii="仿宋_GB2312" w:eastAsia="仿宋_GB2312"/>
                <w:color w:val="000000"/>
              </w:rPr>
              <w:t>投标保证金</w:t>
            </w:r>
          </w:p>
        </w:tc>
        <w:tc>
          <w:tcPr>
            <w:tcW w:w="5562" w:type="dxa"/>
            <w:vAlign w:val="center"/>
          </w:tcPr>
          <w:p>
            <w:pPr>
              <w:pStyle w:val="9"/>
              <w:spacing w:line="500" w:lineRule="exact"/>
              <w:rPr>
                <w:rFonts w:hint="eastAsia" w:ascii="仿宋_GB2312" w:eastAsia="仿宋_GB2312"/>
                <w:color w:val="000000"/>
              </w:rPr>
            </w:pPr>
            <w:r>
              <w:rPr>
                <w:rFonts w:hint="eastAsia" w:ascii="仿宋_GB2312" w:eastAsia="仿宋_GB2312"/>
                <w:color w:val="000000"/>
              </w:rPr>
              <w:t>符合第二章“投标人须知”第3.4.1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851" w:type="dxa"/>
            <w:vMerge w:val="continue"/>
            <w:vAlign w:val="top"/>
          </w:tcPr>
          <w:p>
            <w:pPr>
              <w:spacing w:line="360" w:lineRule="auto"/>
              <w:rPr>
                <w:rFonts w:hint="eastAsia" w:ascii="仿宋_GB2312" w:hAnsi="宋体" w:eastAsia="仿宋_GB2312"/>
                <w:color w:val="000000"/>
                <w:szCs w:val="21"/>
              </w:rPr>
            </w:pPr>
          </w:p>
        </w:tc>
        <w:tc>
          <w:tcPr>
            <w:tcW w:w="1559" w:type="dxa"/>
            <w:vMerge w:val="continue"/>
            <w:vAlign w:val="top"/>
          </w:tcPr>
          <w:p>
            <w:pPr>
              <w:spacing w:line="360" w:lineRule="auto"/>
              <w:rPr>
                <w:rFonts w:hint="eastAsia" w:ascii="仿宋_GB2312" w:hAnsi="宋体" w:eastAsia="仿宋_GB2312"/>
                <w:color w:val="000000"/>
                <w:szCs w:val="21"/>
              </w:rPr>
            </w:pPr>
          </w:p>
        </w:tc>
        <w:tc>
          <w:tcPr>
            <w:tcW w:w="2252" w:type="dxa"/>
            <w:vAlign w:val="center"/>
          </w:tcPr>
          <w:p>
            <w:pPr>
              <w:pStyle w:val="9"/>
              <w:spacing w:line="500" w:lineRule="exact"/>
              <w:rPr>
                <w:rFonts w:hint="eastAsia" w:ascii="仿宋_GB2312" w:eastAsia="仿宋_GB2312"/>
                <w:color w:val="000000"/>
              </w:rPr>
            </w:pPr>
            <w:r>
              <w:rPr>
                <w:rFonts w:hint="eastAsia" w:ascii="仿宋_GB2312" w:eastAsia="仿宋_GB2312"/>
                <w:color w:val="000000"/>
              </w:rPr>
              <w:t>投标报价</w:t>
            </w:r>
          </w:p>
        </w:tc>
        <w:tc>
          <w:tcPr>
            <w:tcW w:w="5562" w:type="dxa"/>
            <w:vAlign w:val="center"/>
          </w:tcPr>
          <w:p>
            <w:pPr>
              <w:pStyle w:val="9"/>
              <w:spacing w:line="500" w:lineRule="exact"/>
              <w:rPr>
                <w:rFonts w:hint="eastAsia" w:ascii="仿宋_GB2312" w:eastAsia="仿宋_GB2312"/>
                <w:color w:val="000000"/>
              </w:rPr>
            </w:pPr>
            <w:r>
              <w:rPr>
                <w:rFonts w:hint="eastAsia" w:ascii="仿宋_GB2312" w:eastAsia="仿宋_GB2312"/>
                <w:color w:val="000000"/>
              </w:rPr>
              <w:t>符合第二章“投标人须知”第8.3项规定</w:t>
            </w:r>
          </w:p>
        </w:tc>
      </w:tr>
    </w:tbl>
    <w:p>
      <w:pPr>
        <w:spacing w:line="400" w:lineRule="exact"/>
        <w:rPr>
          <w:rFonts w:hint="eastAsia" w:ascii="仿宋_GB2312" w:hAnsi="宋体" w:eastAsia="仿宋_GB2312"/>
          <w:color w:val="000000"/>
          <w:sz w:val="18"/>
          <w:szCs w:val="21"/>
        </w:rPr>
      </w:pPr>
      <w:r>
        <w:rPr>
          <w:rFonts w:hint="eastAsia" w:ascii="仿宋_GB2312" w:hAnsi="宋体" w:eastAsia="仿宋_GB2312"/>
          <w:color w:val="000000"/>
          <w:sz w:val="18"/>
          <w:szCs w:val="21"/>
        </w:rPr>
        <w:t>注：（1）投标人应在投标文件中提供评标办法前附表中有关内容的确凿的证明材料复印件。</w:t>
      </w:r>
    </w:p>
    <w:p>
      <w:pPr>
        <w:spacing w:line="400" w:lineRule="exact"/>
        <w:rPr>
          <w:rFonts w:hint="eastAsia" w:ascii="仿宋_GB2312" w:hAnsi="宋体" w:eastAsia="仿宋_GB2312"/>
          <w:color w:val="000000"/>
          <w:sz w:val="18"/>
          <w:szCs w:val="21"/>
        </w:rPr>
      </w:pPr>
      <w:r>
        <w:rPr>
          <w:rFonts w:hint="eastAsia" w:ascii="仿宋_GB2312" w:hAnsi="宋体" w:eastAsia="仿宋_GB2312"/>
          <w:color w:val="000000"/>
          <w:sz w:val="18"/>
          <w:szCs w:val="21"/>
        </w:rPr>
        <w:t xml:space="preserve">    （2）评标委员会在评标过程中，如要求投标人澄清或说明的， 评标委员会要求投标人递交书面澄清或说明的时间距投标人收到评标委员会书面通知的时间不得少于 90 分钟。</w:t>
      </w:r>
    </w:p>
    <w:p>
      <w:pPr>
        <w:spacing w:line="400" w:lineRule="exact"/>
        <w:ind w:firstLine="354" w:firstLineChars="200"/>
        <w:rPr>
          <w:rFonts w:hint="eastAsia" w:ascii="仿宋_GB2312" w:hAnsi="宋体" w:eastAsia="仿宋_GB2312"/>
          <w:color w:val="000000"/>
          <w:sz w:val="18"/>
          <w:szCs w:val="21"/>
        </w:rPr>
      </w:pPr>
      <w:r>
        <w:rPr>
          <w:rFonts w:hint="eastAsia" w:ascii="仿宋_GB2312" w:hAnsi="宋体" w:eastAsia="仿宋_GB2312"/>
          <w:color w:val="000000"/>
          <w:sz w:val="18"/>
          <w:szCs w:val="21"/>
        </w:rPr>
        <w:t>评标委员会认为投标人的澄清或说明不够明确，应再次要求投标人对不明确的内容进行澄清或说明，评标委员会要求投标人再次递交书面澄清或说明的时间距投标人收到评标委员会书面通知的时间不得少于 60 分钟。</w:t>
      </w:r>
    </w:p>
    <w:p>
      <w:pPr>
        <w:spacing w:line="400" w:lineRule="exact"/>
        <w:ind w:firstLine="354" w:firstLineChars="200"/>
        <w:rPr>
          <w:rFonts w:hint="eastAsia" w:ascii="仿宋_GB2312" w:hAnsi="宋体" w:eastAsia="仿宋_GB2312"/>
          <w:color w:val="000000"/>
          <w:sz w:val="18"/>
          <w:szCs w:val="21"/>
        </w:rPr>
      </w:pPr>
      <w:r>
        <w:rPr>
          <w:rFonts w:hint="eastAsia" w:ascii="仿宋_GB2312" w:hAnsi="宋体" w:eastAsia="仿宋_GB2312"/>
          <w:color w:val="000000"/>
          <w:sz w:val="18"/>
          <w:szCs w:val="21"/>
        </w:rPr>
        <w:t>评标委员会成员三分之二以上认为该投标人的两次澄清或说明，都不符合评标委员会要求的，作废标处理。</w:t>
      </w:r>
    </w:p>
    <w:p>
      <w:pPr>
        <w:spacing w:line="400" w:lineRule="exact"/>
        <w:ind w:firstLine="354" w:firstLineChars="200"/>
        <w:rPr>
          <w:rFonts w:hint="eastAsia" w:ascii="仿宋_GB2312" w:hAnsi="宋体" w:eastAsia="仿宋_GB2312"/>
          <w:color w:val="000000"/>
          <w:sz w:val="18"/>
          <w:szCs w:val="21"/>
        </w:rPr>
      </w:pPr>
      <w:r>
        <w:rPr>
          <w:rFonts w:hint="eastAsia" w:ascii="仿宋_GB2312" w:hAnsi="宋体" w:eastAsia="仿宋_GB2312"/>
          <w:color w:val="000000"/>
          <w:sz w:val="18"/>
          <w:szCs w:val="21"/>
        </w:rPr>
        <w:t>（3）投标人串通投标或弄虚作假或有其他违法行为，评标委员会在评标过程中发现，证据确凿的，经评标委员会成员三分之二以上同意，其投标作废标处理；证据不够确凿的，其投标不能作废标处理，但评标委员会在向招标人提交书面评标报告时，应予说明。</w:t>
      </w:r>
    </w:p>
    <w:p>
      <w:pPr>
        <w:spacing w:line="400" w:lineRule="exact"/>
        <w:ind w:firstLine="354" w:firstLineChars="200"/>
        <w:rPr>
          <w:rFonts w:hint="eastAsia" w:ascii="仿宋_GB2312" w:hAnsi="宋体" w:eastAsia="仿宋_GB2312"/>
          <w:color w:val="000000"/>
          <w:sz w:val="18"/>
          <w:szCs w:val="21"/>
        </w:rPr>
      </w:pPr>
      <w:r>
        <w:rPr>
          <w:rFonts w:hint="eastAsia" w:ascii="仿宋_GB2312" w:hAnsi="宋体" w:eastAsia="仿宋_GB2312"/>
          <w:color w:val="000000"/>
          <w:sz w:val="18"/>
          <w:szCs w:val="21"/>
        </w:rPr>
        <w:t>在评标结束后发现投标人串通投标或弄虚作假或有其他违法行为，查证属实的，取消其中标资格。“其他违法违规行为”是指第二章“投标人须知”1.4.3 在前附表中补充的限制投标的违法违规情形。</w:t>
      </w:r>
    </w:p>
    <w:p>
      <w:pPr>
        <w:spacing w:line="400" w:lineRule="exact"/>
        <w:jc w:val="left"/>
        <w:rPr>
          <w:rFonts w:hint="eastAsia" w:ascii="仿宋_GB2312" w:hAnsi="宋体" w:eastAsia="仿宋_GB2312"/>
          <w:color w:val="000000"/>
          <w:sz w:val="36"/>
        </w:rPr>
      </w:pPr>
      <w:r>
        <w:rPr>
          <w:rFonts w:hint="eastAsia" w:ascii="仿宋_GB2312" w:hAnsi="宋体" w:eastAsia="仿宋_GB2312"/>
          <w:color w:val="000000"/>
          <w:sz w:val="18"/>
          <w:szCs w:val="21"/>
        </w:rPr>
        <w:t>评审结论为“不符合”的，要经评标委员会成员三分之二以上同意，并要详细、具体说明“不符合”的理由，附上相关的证据。</w:t>
      </w:r>
    </w:p>
    <w:p>
      <w:pPr>
        <w:widowControl/>
        <w:spacing w:line="400" w:lineRule="exact"/>
        <w:jc w:val="left"/>
        <w:rPr>
          <w:rFonts w:hint="eastAsia" w:ascii="仿宋_GB2312" w:hAnsi="仿宋_GB2312" w:eastAsia="仿宋_GB2312"/>
          <w:color w:val="000000"/>
          <w:sz w:val="24"/>
          <w:szCs w:val="24"/>
        </w:rPr>
      </w:pPr>
      <w:r>
        <w:rPr>
          <w:rStyle w:val="19"/>
          <w:rFonts w:hint="eastAsia" w:ascii="仿宋_GB2312" w:hAnsi="仿宋_GB2312" w:eastAsia="仿宋_GB2312"/>
          <w:color w:val="000000"/>
          <w:szCs w:val="24"/>
        </w:rPr>
        <w:br w:type="page"/>
      </w:r>
      <w:r>
        <w:rPr>
          <w:rStyle w:val="19"/>
          <w:rFonts w:hint="eastAsia" w:ascii="仿宋_GB2312" w:hAnsi="仿宋_GB2312" w:eastAsia="仿宋_GB2312"/>
          <w:color w:val="000000"/>
          <w:szCs w:val="24"/>
        </w:rPr>
        <w:t>1. 评标方法</w:t>
      </w:r>
    </w:p>
    <w:p>
      <w:pPr>
        <w:widowControl/>
        <w:spacing w:line="400" w:lineRule="exact"/>
        <w:ind w:firstLine="707" w:firstLineChars="298"/>
        <w:jc w:val="left"/>
        <w:textAlignment w:val="baseline"/>
        <w:rPr>
          <w:rFonts w:hint="eastAsia" w:ascii="仿宋_GB2312" w:hAnsi="仿宋_GB2312" w:eastAsia="仿宋_GB2312"/>
          <w:color w:val="000000"/>
          <w:sz w:val="24"/>
          <w:szCs w:val="24"/>
        </w:rPr>
      </w:pPr>
      <w:r>
        <w:rPr>
          <w:rFonts w:hint="eastAsia" w:ascii="仿宋_GB2312" w:hAnsi="宋体" w:eastAsia="仿宋_GB2312"/>
          <w:color w:val="000000"/>
          <w:sz w:val="24"/>
          <w:szCs w:val="24"/>
        </w:rPr>
        <w:t>经抽取后评审的合理低价法</w:t>
      </w:r>
      <w:r>
        <w:rPr>
          <w:rFonts w:hint="eastAsia" w:ascii="仿宋_GB2312" w:hAnsi="仿宋_GB2312" w:eastAsia="仿宋_GB2312"/>
          <w:color w:val="000000"/>
          <w:sz w:val="24"/>
          <w:szCs w:val="24"/>
        </w:rPr>
        <w:t>。</w:t>
      </w:r>
      <w:r>
        <w:rPr>
          <w:rFonts w:hint="eastAsia" w:ascii="仿宋_GB2312" w:hAnsi="仿宋_GB2312" w:eastAsia="仿宋_GB2312"/>
          <w:color w:val="000000"/>
          <w:sz w:val="24"/>
          <w:szCs w:val="24"/>
          <w:lang w:eastAsia="zh-CN"/>
        </w:rPr>
        <w:t>按照《广元市国家投资工程建设项目招标投标管理暂行办法》（广发改</w:t>
      </w:r>
      <w:r>
        <w:rPr>
          <w:rFonts w:hint="eastAsia" w:ascii="仿宋_GB2312" w:hAnsi="仿宋_GB2312" w:eastAsia="仿宋_GB2312"/>
          <w:color w:val="000000"/>
          <w:sz w:val="24"/>
          <w:szCs w:val="24"/>
          <w:lang w:val="en-US" w:eastAsia="zh-CN"/>
        </w:rPr>
        <w:t>[2017]295号</w:t>
      </w:r>
      <w:r>
        <w:rPr>
          <w:rFonts w:hint="eastAsia" w:ascii="仿宋_GB2312" w:hAnsi="仿宋_GB2312" w:eastAsia="仿宋_GB2312"/>
          <w:color w:val="000000"/>
          <w:sz w:val="24"/>
          <w:szCs w:val="24"/>
          <w:lang w:eastAsia="zh-CN"/>
        </w:rPr>
        <w:t>）文件第十八条规定。</w:t>
      </w:r>
    </w:p>
    <w:p>
      <w:pPr>
        <w:widowControl/>
        <w:spacing w:line="400" w:lineRule="exact"/>
        <w:jc w:val="left"/>
        <w:rPr>
          <w:rFonts w:hint="eastAsia" w:ascii="仿宋_GB2312" w:hAnsi="仿宋_GB2312" w:eastAsia="仿宋_GB2312"/>
          <w:color w:val="000000"/>
          <w:sz w:val="24"/>
          <w:szCs w:val="24"/>
        </w:rPr>
      </w:pPr>
      <w:r>
        <w:rPr>
          <w:rStyle w:val="19"/>
          <w:rFonts w:hint="eastAsia" w:ascii="仿宋_GB2312" w:hAnsi="仿宋_GB2312" w:eastAsia="仿宋_GB2312"/>
          <w:color w:val="000000"/>
          <w:szCs w:val="24"/>
        </w:rPr>
        <w:t>2. 评审标准</w:t>
      </w:r>
    </w:p>
    <w:p>
      <w:pPr>
        <w:widowControl/>
        <w:spacing w:line="400" w:lineRule="exact"/>
        <w:ind w:firstLine="474" w:firstLineChars="200"/>
        <w:jc w:val="left"/>
        <w:textAlignment w:val="baseline"/>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 xml:space="preserve">   2.1 初步评审标准</w:t>
      </w:r>
    </w:p>
    <w:p>
      <w:pPr>
        <w:widowControl/>
        <w:spacing w:line="400" w:lineRule="exact"/>
        <w:ind w:firstLine="474" w:firstLineChars="200"/>
        <w:jc w:val="left"/>
        <w:textAlignment w:val="baseline"/>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2.1.1 形式评审标准：见评标办法前附表。</w:t>
      </w:r>
    </w:p>
    <w:p>
      <w:pPr>
        <w:widowControl/>
        <w:spacing w:line="400" w:lineRule="exact"/>
        <w:ind w:firstLine="474" w:firstLineChars="200"/>
        <w:jc w:val="left"/>
        <w:textAlignment w:val="baseline"/>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2.1.2 资格评审标准：见评标办法前附表。</w:t>
      </w:r>
    </w:p>
    <w:p>
      <w:pPr>
        <w:widowControl/>
        <w:spacing w:line="400" w:lineRule="exact"/>
        <w:ind w:firstLine="474" w:firstLineChars="200"/>
        <w:jc w:val="left"/>
        <w:textAlignment w:val="baseline"/>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2.1.3 响应性评审标准：见评标办法前附表。</w:t>
      </w:r>
    </w:p>
    <w:p>
      <w:pPr>
        <w:widowControl/>
        <w:spacing w:line="400" w:lineRule="exact"/>
        <w:jc w:val="left"/>
        <w:rPr>
          <w:rStyle w:val="19"/>
          <w:rFonts w:hint="eastAsia" w:ascii="仿宋_GB2312" w:hAnsi="仿宋_GB2312" w:eastAsia="仿宋_GB2312"/>
          <w:color w:val="000000"/>
          <w:szCs w:val="24"/>
        </w:rPr>
      </w:pPr>
      <w:r>
        <w:rPr>
          <w:rStyle w:val="19"/>
          <w:rFonts w:hint="eastAsia" w:ascii="仿宋_GB2312" w:hAnsi="仿宋_GB2312" w:eastAsia="仿宋_GB2312"/>
          <w:color w:val="000000"/>
          <w:szCs w:val="24"/>
        </w:rPr>
        <w:t>3.评审程序</w:t>
      </w:r>
    </w:p>
    <w:p>
      <w:pPr>
        <w:widowControl/>
        <w:spacing w:line="400" w:lineRule="exact"/>
        <w:ind w:firstLine="474" w:firstLineChars="200"/>
        <w:jc w:val="left"/>
        <w:textAlignment w:val="baseline"/>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3.1评标委员会依据本章第2.1款规定的标准对投标文件进行初步评审。有一项不符合评审标准的，作废标处理.</w:t>
      </w:r>
    </w:p>
    <w:p>
      <w:pPr>
        <w:widowControl/>
        <w:spacing w:line="400" w:lineRule="exact"/>
        <w:ind w:firstLine="474" w:firstLineChars="200"/>
        <w:jc w:val="left"/>
        <w:textAlignment w:val="baseline"/>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3.2 投标人有以下情形之一的，其投标作废标处理：</w:t>
      </w:r>
    </w:p>
    <w:p>
      <w:pPr>
        <w:widowControl/>
        <w:spacing w:line="400" w:lineRule="exact"/>
        <w:ind w:firstLine="474" w:firstLineChars="200"/>
        <w:jc w:val="left"/>
        <w:textAlignment w:val="baseline"/>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（1）串通投标或弄虚作假或有其他违法行为的；</w:t>
      </w:r>
    </w:p>
    <w:p>
      <w:pPr>
        <w:widowControl/>
        <w:spacing w:line="400" w:lineRule="exact"/>
        <w:ind w:firstLine="474" w:firstLineChars="200"/>
        <w:jc w:val="left"/>
        <w:textAlignment w:val="baseline"/>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（2）不按评标委员会要求澄清、说明或补正的。</w:t>
      </w:r>
    </w:p>
    <w:p>
      <w:pPr>
        <w:widowControl/>
        <w:spacing w:line="400" w:lineRule="exact"/>
        <w:ind w:firstLine="474" w:firstLineChars="200"/>
        <w:jc w:val="left"/>
        <w:textAlignment w:val="baseline"/>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3.3 投标人的投标报价下浮比例未达到投标人须知前附表8.3报价相关要求的，其投标做废标处理。</w:t>
      </w:r>
    </w:p>
    <w:p>
      <w:pPr>
        <w:widowControl/>
        <w:spacing w:line="400" w:lineRule="exact"/>
        <w:ind w:firstLine="474" w:firstLineChars="200"/>
        <w:jc w:val="left"/>
        <w:textAlignment w:val="baseline"/>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3.4对通过3.1、3.2、3.3款评审的所有投标人的报价下浮比例计算算术平均值，该平均值作为平均报价，将最接近平均报价的三名投标人纳入中标候选人推选范围，其中投标报价下浮比例最高的为第一中标候选人，再按投标报价下浮比例由高到低依次推荐中标候选人，报价相同的，通过随机抽签方式确定排序。</w:t>
      </w:r>
    </w:p>
    <w:p>
      <w:pPr>
        <w:widowControl/>
        <w:spacing w:line="400" w:lineRule="exact"/>
        <w:ind w:firstLine="474" w:firstLineChars="200"/>
        <w:jc w:val="left"/>
        <w:textAlignment w:val="baseline"/>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如果与平均报价最接近的数名投标人报价相同的，在报价相同的几名投标人代表同时在场的情况下，以投标人须知前附表8.1</w:t>
      </w:r>
      <w:r>
        <w:rPr>
          <w:rFonts w:hint="eastAsia" w:ascii="仿宋_GB2312" w:hAnsi="仿宋_GB2312" w:eastAsia="仿宋_GB2312"/>
          <w:color w:val="000000"/>
          <w:sz w:val="24"/>
          <w:szCs w:val="24"/>
          <w:lang w:val="en-US" w:eastAsia="zh-CN"/>
        </w:rPr>
        <w:t>2</w:t>
      </w:r>
      <w:r>
        <w:rPr>
          <w:rFonts w:hint="eastAsia" w:ascii="仿宋_GB2312" w:hAnsi="仿宋_GB2312" w:eastAsia="仿宋_GB2312"/>
          <w:color w:val="000000"/>
          <w:sz w:val="24"/>
          <w:szCs w:val="24"/>
        </w:rPr>
        <w:t>选择的随机抽取的方式确定中标候选人排名。</w:t>
      </w:r>
    </w:p>
    <w:p>
      <w:pPr>
        <w:widowControl/>
        <w:spacing w:line="400" w:lineRule="exact"/>
        <w:ind w:firstLine="474" w:firstLineChars="200"/>
        <w:jc w:val="left"/>
        <w:textAlignment w:val="baseline"/>
        <w:rPr>
          <w:rFonts w:hint="eastAsia" w:ascii="仿宋_GB2312" w:hAnsi="华文中宋" w:eastAsia="仿宋_GB2312"/>
          <w:color w:val="000000"/>
          <w:sz w:val="24"/>
          <w:szCs w:val="24"/>
        </w:rPr>
      </w:pPr>
      <w:r>
        <w:rPr>
          <w:rFonts w:hint="eastAsia" w:ascii="仿宋_GB2312" w:hAnsi="仿宋_GB2312" w:eastAsia="仿宋_GB2312"/>
          <w:color w:val="000000"/>
          <w:sz w:val="24"/>
          <w:szCs w:val="24"/>
        </w:rPr>
        <w:t>评标委员会完成评标后，应当向招标人提交书面评标报告。</w:t>
      </w:r>
    </w:p>
    <w:bookmarkEnd w:id="45"/>
    <w:p>
      <w:pPr>
        <w:spacing w:line="340" w:lineRule="exact"/>
        <w:rPr>
          <w:rFonts w:hint="eastAsia" w:ascii="仿宋_GB2312" w:eastAsia="仿宋_GB2312"/>
          <w:color w:val="000000"/>
        </w:rPr>
      </w:pPr>
      <w:bookmarkStart w:id="46" w:name="_Toc185047510"/>
      <w:bookmarkStart w:id="47" w:name="_Toc1168"/>
    </w:p>
    <w:p>
      <w:pPr>
        <w:spacing w:line="340" w:lineRule="exact"/>
        <w:rPr>
          <w:rFonts w:hint="eastAsia" w:ascii="仿宋_GB2312" w:eastAsia="仿宋_GB2312"/>
          <w:color w:val="000000"/>
        </w:rPr>
      </w:pPr>
    </w:p>
    <w:p>
      <w:pPr>
        <w:spacing w:line="340" w:lineRule="exact"/>
        <w:rPr>
          <w:rFonts w:hint="eastAsia" w:ascii="仿宋_GB2312" w:eastAsia="仿宋_GB2312"/>
          <w:color w:val="000000"/>
        </w:rPr>
      </w:pPr>
    </w:p>
    <w:p>
      <w:pPr>
        <w:spacing w:line="340" w:lineRule="exact"/>
        <w:rPr>
          <w:rFonts w:hint="eastAsia" w:ascii="仿宋_GB2312" w:eastAsia="仿宋_GB2312"/>
          <w:color w:val="000000"/>
        </w:rPr>
      </w:pPr>
    </w:p>
    <w:p>
      <w:pPr>
        <w:spacing w:line="340" w:lineRule="exact"/>
        <w:rPr>
          <w:rFonts w:hint="eastAsia" w:ascii="仿宋_GB2312" w:eastAsia="仿宋_GB2312"/>
          <w:color w:val="000000"/>
        </w:rPr>
      </w:pPr>
    </w:p>
    <w:p>
      <w:pPr>
        <w:spacing w:line="340" w:lineRule="exact"/>
        <w:rPr>
          <w:rFonts w:hint="eastAsia" w:ascii="仿宋_GB2312" w:eastAsia="仿宋_GB2312"/>
          <w:color w:val="000000"/>
        </w:rPr>
      </w:pPr>
    </w:p>
    <w:p>
      <w:pPr>
        <w:spacing w:line="340" w:lineRule="exact"/>
        <w:rPr>
          <w:rFonts w:hint="eastAsia" w:ascii="仿宋_GB2312" w:eastAsia="仿宋_GB2312"/>
          <w:color w:val="000000"/>
        </w:rPr>
      </w:pPr>
    </w:p>
    <w:p>
      <w:pPr>
        <w:spacing w:line="340" w:lineRule="exact"/>
        <w:rPr>
          <w:rFonts w:hint="eastAsia" w:ascii="仿宋_GB2312" w:eastAsia="仿宋_GB2312"/>
          <w:color w:val="000000"/>
        </w:rPr>
      </w:pPr>
    </w:p>
    <w:p>
      <w:pPr>
        <w:spacing w:line="340" w:lineRule="exact"/>
        <w:rPr>
          <w:rFonts w:hint="eastAsia" w:ascii="仿宋_GB2312" w:eastAsia="仿宋_GB2312"/>
          <w:color w:val="000000"/>
        </w:rPr>
      </w:pPr>
    </w:p>
    <w:p>
      <w:pPr>
        <w:spacing w:line="340" w:lineRule="exact"/>
        <w:rPr>
          <w:rFonts w:hint="eastAsia" w:ascii="仿宋_GB2312" w:eastAsia="仿宋_GB2312"/>
          <w:color w:val="000000"/>
        </w:rPr>
      </w:pPr>
    </w:p>
    <w:p>
      <w:pPr>
        <w:spacing w:line="340" w:lineRule="exact"/>
        <w:rPr>
          <w:rFonts w:hint="eastAsia" w:ascii="仿宋_GB2312" w:eastAsia="仿宋_GB2312"/>
          <w:color w:val="000000"/>
        </w:rPr>
      </w:pPr>
    </w:p>
    <w:p>
      <w:pPr>
        <w:adjustRightInd w:val="0"/>
        <w:snapToGrid w:val="0"/>
        <w:spacing w:line="360" w:lineRule="auto"/>
        <w:outlineLvl w:val="2"/>
        <w:rPr>
          <w:rFonts w:hint="eastAsia" w:ascii="仿宋_GB2312" w:eastAsia="仿宋_GB2312"/>
          <w:b/>
          <w:sz w:val="28"/>
          <w:szCs w:val="28"/>
        </w:rPr>
      </w:pPr>
      <w:bookmarkStart w:id="48" w:name="_Toc20016"/>
      <w:bookmarkStart w:id="49" w:name="_Toc28951"/>
      <w:bookmarkStart w:id="50" w:name="_Toc311124866"/>
      <w:bookmarkStart w:id="51" w:name="_Toc399162313"/>
    </w:p>
    <w:p>
      <w:pPr>
        <w:adjustRightInd w:val="0"/>
        <w:snapToGrid w:val="0"/>
        <w:spacing w:line="360" w:lineRule="auto"/>
        <w:outlineLvl w:val="2"/>
        <w:rPr>
          <w:rFonts w:hint="eastAsia" w:ascii="仿宋_GB2312" w:eastAsia="仿宋_GB2312"/>
          <w:b/>
          <w:sz w:val="28"/>
          <w:szCs w:val="28"/>
        </w:rPr>
      </w:pPr>
      <w:r>
        <w:rPr>
          <w:rFonts w:hint="eastAsia" w:ascii="仿宋_GB2312" w:eastAsia="仿宋_GB2312"/>
          <w:b/>
          <w:sz w:val="28"/>
          <w:szCs w:val="28"/>
        </w:rPr>
        <w:br w:type="page"/>
      </w:r>
      <w:r>
        <w:rPr>
          <w:rFonts w:hint="eastAsia" w:ascii="仿宋_GB2312" w:eastAsia="仿宋_GB2312"/>
          <w:b/>
          <w:sz w:val="28"/>
          <w:szCs w:val="28"/>
        </w:rPr>
        <w:t>附表1：开标记录表</w:t>
      </w:r>
    </w:p>
    <w:p>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u w:val="single"/>
        </w:rPr>
        <w:t xml:space="preserve">                  </w:t>
      </w:r>
      <w:r>
        <w:rPr>
          <w:rFonts w:hint="eastAsia" w:ascii="仿宋_GB2312" w:hAnsi="宋体" w:eastAsia="仿宋_GB2312"/>
          <w:szCs w:val="21"/>
        </w:rPr>
        <w:t>（项目名称）</w:t>
      </w:r>
      <w:r>
        <w:rPr>
          <w:rFonts w:hint="eastAsia" w:ascii="仿宋_GB2312" w:hAnsi="宋体" w:eastAsia="仿宋_GB2312"/>
          <w:szCs w:val="21"/>
          <w:u w:val="single"/>
        </w:rPr>
        <w:t xml:space="preserve">            </w:t>
      </w:r>
      <w:r>
        <w:rPr>
          <w:rFonts w:hint="eastAsia" w:ascii="仿宋_GB2312" w:hAnsi="宋体" w:eastAsia="仿宋_GB2312"/>
          <w:szCs w:val="21"/>
        </w:rPr>
        <w:t>标段施工开标记录表</w:t>
      </w:r>
    </w:p>
    <w:p>
      <w:pPr>
        <w:adjustRightInd w:val="0"/>
        <w:snapToGrid w:val="0"/>
        <w:spacing w:line="360" w:lineRule="auto"/>
        <w:jc w:val="left"/>
        <w:rPr>
          <w:rFonts w:hint="eastAsia" w:ascii="仿宋_GB2312" w:hAnsi="宋体" w:eastAsia="仿宋_GB2312"/>
          <w:szCs w:val="21"/>
        </w:rPr>
      </w:pPr>
      <w:r>
        <w:rPr>
          <w:rFonts w:hint="eastAsia" w:ascii="仿宋_GB2312" w:hAnsi="宋体" w:eastAsia="仿宋_GB2312"/>
          <w:szCs w:val="21"/>
        </w:rPr>
        <w:t>开标时间：</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r>
        <w:rPr>
          <w:rFonts w:hint="eastAsia" w:ascii="仿宋_GB2312" w:hAnsi="宋体" w:eastAsia="仿宋_GB2312"/>
          <w:szCs w:val="21"/>
          <w:u w:val="single"/>
        </w:rPr>
        <w:t xml:space="preserve">    </w:t>
      </w:r>
      <w:r>
        <w:rPr>
          <w:rFonts w:hint="eastAsia" w:ascii="仿宋_GB2312" w:hAnsi="宋体" w:eastAsia="仿宋_GB2312"/>
          <w:szCs w:val="21"/>
        </w:rPr>
        <w:t>时</w:t>
      </w:r>
      <w:r>
        <w:rPr>
          <w:rFonts w:hint="eastAsia" w:ascii="仿宋_GB2312" w:hAnsi="宋体" w:eastAsia="仿宋_GB2312"/>
          <w:szCs w:val="21"/>
          <w:u w:val="single"/>
        </w:rPr>
        <w:t xml:space="preserve">   </w:t>
      </w:r>
      <w:r>
        <w:rPr>
          <w:rFonts w:hint="eastAsia" w:ascii="仿宋_GB2312" w:hAnsi="宋体" w:eastAsia="仿宋_GB2312"/>
          <w:szCs w:val="21"/>
        </w:rPr>
        <w:t>分</w:t>
      </w:r>
    </w:p>
    <w:tbl>
      <w:tblPr>
        <w:tblStyle w:val="10"/>
        <w:tblW w:w="91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138"/>
        <w:gridCol w:w="857"/>
        <w:gridCol w:w="1138"/>
        <w:gridCol w:w="1703"/>
        <w:gridCol w:w="855"/>
        <w:gridCol w:w="855"/>
        <w:gridCol w:w="855"/>
        <w:gridCol w:w="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vAlign w:val="center"/>
          </w:tcPr>
          <w:p>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rPr>
              <w:t>序号</w:t>
            </w:r>
          </w:p>
        </w:tc>
        <w:tc>
          <w:tcPr>
            <w:tcW w:w="1138" w:type="dxa"/>
            <w:vAlign w:val="center"/>
          </w:tcPr>
          <w:p>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rPr>
              <w:t>投标人</w:t>
            </w:r>
          </w:p>
        </w:tc>
        <w:tc>
          <w:tcPr>
            <w:tcW w:w="857" w:type="dxa"/>
            <w:vAlign w:val="center"/>
          </w:tcPr>
          <w:p>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rPr>
              <w:t>密封</w:t>
            </w:r>
          </w:p>
          <w:p>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rPr>
              <w:t>情况</w:t>
            </w:r>
          </w:p>
        </w:tc>
        <w:tc>
          <w:tcPr>
            <w:tcW w:w="1138" w:type="dxa"/>
            <w:vAlign w:val="center"/>
          </w:tcPr>
          <w:p>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rPr>
              <w:t>投标</w:t>
            </w:r>
          </w:p>
          <w:p>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rPr>
              <w:t>保证金</w:t>
            </w:r>
          </w:p>
        </w:tc>
        <w:tc>
          <w:tcPr>
            <w:tcW w:w="1703" w:type="dxa"/>
            <w:vAlign w:val="center"/>
          </w:tcPr>
          <w:p>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rPr>
              <w:t>投标</w:t>
            </w:r>
          </w:p>
          <w:p>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rPr>
              <w:t>报价（元）</w:t>
            </w:r>
          </w:p>
        </w:tc>
        <w:tc>
          <w:tcPr>
            <w:tcW w:w="855" w:type="dxa"/>
            <w:vAlign w:val="center"/>
          </w:tcPr>
          <w:p>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rPr>
              <w:t>质量</w:t>
            </w:r>
          </w:p>
          <w:p>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rPr>
              <w:t>目标</w:t>
            </w:r>
          </w:p>
        </w:tc>
        <w:tc>
          <w:tcPr>
            <w:tcW w:w="855" w:type="dxa"/>
            <w:vAlign w:val="center"/>
          </w:tcPr>
          <w:p>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rPr>
              <w:t>工期</w:t>
            </w:r>
          </w:p>
        </w:tc>
        <w:tc>
          <w:tcPr>
            <w:tcW w:w="855" w:type="dxa"/>
            <w:vAlign w:val="center"/>
          </w:tcPr>
          <w:p>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rPr>
              <w:t>备注</w:t>
            </w:r>
          </w:p>
        </w:tc>
        <w:tc>
          <w:tcPr>
            <w:tcW w:w="861" w:type="dxa"/>
            <w:vAlign w:val="center"/>
          </w:tcPr>
          <w:p>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857"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1703"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61" w:type="dxa"/>
            <w:vAlign w:val="center"/>
          </w:tcPr>
          <w:p>
            <w:pPr>
              <w:adjustRightInd w:val="0"/>
              <w:snapToGrid w:val="0"/>
              <w:spacing w:line="360" w:lineRule="auto"/>
              <w:jc w:val="center"/>
              <w:rPr>
                <w:rFonts w:hint="eastAsia"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857"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1703"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61" w:type="dxa"/>
            <w:vAlign w:val="center"/>
          </w:tcPr>
          <w:p>
            <w:pPr>
              <w:adjustRightInd w:val="0"/>
              <w:snapToGrid w:val="0"/>
              <w:spacing w:line="360" w:lineRule="auto"/>
              <w:jc w:val="center"/>
              <w:rPr>
                <w:rFonts w:hint="eastAsia"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857"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1703"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61" w:type="dxa"/>
            <w:vAlign w:val="center"/>
          </w:tcPr>
          <w:p>
            <w:pPr>
              <w:adjustRightInd w:val="0"/>
              <w:snapToGrid w:val="0"/>
              <w:spacing w:line="360" w:lineRule="auto"/>
              <w:jc w:val="center"/>
              <w:rPr>
                <w:rFonts w:hint="eastAsia"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857"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1703"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61" w:type="dxa"/>
            <w:vAlign w:val="center"/>
          </w:tcPr>
          <w:p>
            <w:pPr>
              <w:adjustRightInd w:val="0"/>
              <w:snapToGrid w:val="0"/>
              <w:spacing w:line="360" w:lineRule="auto"/>
              <w:jc w:val="center"/>
              <w:rPr>
                <w:rFonts w:hint="eastAsia"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857"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1703"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61" w:type="dxa"/>
            <w:vAlign w:val="center"/>
          </w:tcPr>
          <w:p>
            <w:pPr>
              <w:adjustRightInd w:val="0"/>
              <w:snapToGrid w:val="0"/>
              <w:spacing w:line="360" w:lineRule="auto"/>
              <w:jc w:val="center"/>
              <w:rPr>
                <w:rFonts w:hint="eastAsia"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857"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1703"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61" w:type="dxa"/>
            <w:vAlign w:val="center"/>
          </w:tcPr>
          <w:p>
            <w:pPr>
              <w:adjustRightInd w:val="0"/>
              <w:snapToGrid w:val="0"/>
              <w:spacing w:line="360" w:lineRule="auto"/>
              <w:jc w:val="center"/>
              <w:rPr>
                <w:rFonts w:hint="eastAsia"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857"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1703"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61" w:type="dxa"/>
            <w:vAlign w:val="center"/>
          </w:tcPr>
          <w:p>
            <w:pPr>
              <w:adjustRightInd w:val="0"/>
              <w:snapToGrid w:val="0"/>
              <w:spacing w:line="360" w:lineRule="auto"/>
              <w:jc w:val="center"/>
              <w:rPr>
                <w:rFonts w:hint="eastAsia"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857"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1703"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61" w:type="dxa"/>
            <w:vAlign w:val="center"/>
          </w:tcPr>
          <w:p>
            <w:pPr>
              <w:adjustRightInd w:val="0"/>
              <w:snapToGrid w:val="0"/>
              <w:spacing w:line="360" w:lineRule="auto"/>
              <w:jc w:val="center"/>
              <w:rPr>
                <w:rFonts w:hint="eastAsia"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4"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857" w:type="dxa"/>
            <w:vAlign w:val="center"/>
          </w:tcPr>
          <w:p>
            <w:pPr>
              <w:adjustRightInd w:val="0"/>
              <w:snapToGrid w:val="0"/>
              <w:spacing w:line="360" w:lineRule="auto"/>
              <w:jc w:val="center"/>
              <w:rPr>
                <w:rFonts w:hint="eastAsia" w:ascii="仿宋_GB2312" w:hAnsi="宋体" w:eastAsia="仿宋_GB2312"/>
                <w:szCs w:val="21"/>
              </w:rPr>
            </w:pPr>
          </w:p>
        </w:tc>
        <w:tc>
          <w:tcPr>
            <w:tcW w:w="1138" w:type="dxa"/>
            <w:vAlign w:val="center"/>
          </w:tcPr>
          <w:p>
            <w:pPr>
              <w:adjustRightInd w:val="0"/>
              <w:snapToGrid w:val="0"/>
              <w:spacing w:line="360" w:lineRule="auto"/>
              <w:jc w:val="center"/>
              <w:rPr>
                <w:rFonts w:hint="eastAsia" w:ascii="仿宋_GB2312" w:hAnsi="宋体" w:eastAsia="仿宋_GB2312"/>
                <w:szCs w:val="21"/>
              </w:rPr>
            </w:pPr>
          </w:p>
        </w:tc>
        <w:tc>
          <w:tcPr>
            <w:tcW w:w="1703"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55" w:type="dxa"/>
            <w:vAlign w:val="center"/>
          </w:tcPr>
          <w:p>
            <w:pPr>
              <w:adjustRightInd w:val="0"/>
              <w:snapToGrid w:val="0"/>
              <w:spacing w:line="360" w:lineRule="auto"/>
              <w:jc w:val="center"/>
              <w:rPr>
                <w:rFonts w:hint="eastAsia" w:ascii="仿宋_GB2312" w:hAnsi="宋体" w:eastAsia="仿宋_GB2312"/>
                <w:szCs w:val="21"/>
              </w:rPr>
            </w:pPr>
          </w:p>
        </w:tc>
        <w:tc>
          <w:tcPr>
            <w:tcW w:w="861" w:type="dxa"/>
            <w:vAlign w:val="center"/>
          </w:tcPr>
          <w:p>
            <w:pPr>
              <w:adjustRightInd w:val="0"/>
              <w:snapToGrid w:val="0"/>
              <w:spacing w:line="360" w:lineRule="auto"/>
              <w:jc w:val="center"/>
              <w:rPr>
                <w:rFonts w:hint="eastAsia" w:ascii="仿宋_GB2312" w:hAnsi="宋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49" w:type="dxa"/>
            <w:gridSpan w:val="3"/>
            <w:vAlign w:val="center"/>
          </w:tcPr>
          <w:p>
            <w:pPr>
              <w:adjustRightInd w:val="0"/>
              <w:snapToGrid w:val="0"/>
              <w:spacing w:line="360" w:lineRule="auto"/>
              <w:jc w:val="center"/>
              <w:rPr>
                <w:rFonts w:hint="eastAsia" w:ascii="仿宋_GB2312" w:hAnsi="宋体" w:eastAsia="仿宋_GB2312"/>
                <w:szCs w:val="21"/>
              </w:rPr>
            </w:pPr>
            <w:r>
              <w:rPr>
                <w:rFonts w:hint="eastAsia" w:ascii="仿宋_GB2312" w:hAnsi="宋体" w:eastAsia="仿宋_GB2312"/>
                <w:szCs w:val="21"/>
              </w:rPr>
              <w:t>招标控制价（元）</w:t>
            </w:r>
          </w:p>
        </w:tc>
        <w:tc>
          <w:tcPr>
            <w:tcW w:w="6267" w:type="dxa"/>
            <w:gridSpan w:val="6"/>
            <w:vAlign w:val="center"/>
          </w:tcPr>
          <w:p>
            <w:pPr>
              <w:adjustRightInd w:val="0"/>
              <w:snapToGrid w:val="0"/>
              <w:spacing w:line="360" w:lineRule="auto"/>
              <w:jc w:val="center"/>
              <w:rPr>
                <w:rFonts w:hint="eastAsia" w:ascii="仿宋_GB2312" w:hAnsi="宋体" w:eastAsia="仿宋_GB2312"/>
                <w:szCs w:val="21"/>
              </w:rPr>
            </w:pPr>
          </w:p>
        </w:tc>
      </w:tr>
    </w:tbl>
    <w:p>
      <w:pPr>
        <w:adjustRightInd w:val="0"/>
        <w:snapToGrid w:val="0"/>
        <w:spacing w:line="360" w:lineRule="auto"/>
        <w:jc w:val="left"/>
        <w:rPr>
          <w:rFonts w:hint="eastAsia" w:ascii="仿宋_GB2312" w:hAnsi="宋体" w:eastAsia="仿宋_GB2312"/>
          <w:szCs w:val="21"/>
        </w:rPr>
      </w:pPr>
    </w:p>
    <w:p>
      <w:pPr>
        <w:adjustRightInd w:val="0"/>
        <w:snapToGrid w:val="0"/>
        <w:spacing w:line="360" w:lineRule="auto"/>
        <w:jc w:val="left"/>
        <w:rPr>
          <w:rFonts w:hint="eastAsia" w:ascii="仿宋_GB2312" w:hAnsi="宋体" w:eastAsia="仿宋_GB2312"/>
          <w:szCs w:val="21"/>
        </w:rPr>
      </w:pPr>
      <w:r>
        <w:rPr>
          <w:rFonts w:hint="eastAsia" w:ascii="仿宋_GB2312" w:hAnsi="宋体" w:eastAsia="仿宋_GB2312"/>
          <w:szCs w:val="21"/>
        </w:rPr>
        <w:t>招标人代表：</w:t>
      </w:r>
      <w:r>
        <w:rPr>
          <w:rFonts w:hint="eastAsia" w:ascii="仿宋_GB2312" w:hAnsi="宋体" w:eastAsia="仿宋_GB2312"/>
          <w:szCs w:val="21"/>
          <w:u w:val="single"/>
        </w:rPr>
        <w:t xml:space="preserve">           </w:t>
      </w:r>
      <w:r>
        <w:rPr>
          <w:rFonts w:hint="eastAsia" w:ascii="仿宋_GB2312" w:hAnsi="宋体" w:eastAsia="仿宋_GB2312"/>
          <w:szCs w:val="21"/>
        </w:rPr>
        <w:t xml:space="preserve">  招标代理机构代表：</w:t>
      </w:r>
      <w:r>
        <w:rPr>
          <w:rFonts w:hint="eastAsia" w:ascii="仿宋_GB2312" w:hAnsi="宋体" w:eastAsia="仿宋_GB2312"/>
          <w:szCs w:val="21"/>
          <w:u w:val="single"/>
        </w:rPr>
        <w:t xml:space="preserve">           </w:t>
      </w:r>
    </w:p>
    <w:p>
      <w:pPr>
        <w:adjustRightInd w:val="0"/>
        <w:snapToGrid w:val="0"/>
        <w:spacing w:line="360" w:lineRule="auto"/>
        <w:jc w:val="left"/>
        <w:rPr>
          <w:rFonts w:hint="eastAsia" w:ascii="仿宋_GB2312" w:hAnsi="宋体" w:eastAsia="仿宋_GB2312"/>
          <w:szCs w:val="21"/>
        </w:rPr>
      </w:pPr>
      <w:r>
        <w:rPr>
          <w:rFonts w:hint="eastAsia" w:ascii="仿宋_GB2312" w:hAnsi="宋体" w:eastAsia="仿宋_GB2312"/>
          <w:szCs w:val="21"/>
        </w:rPr>
        <w:t>记录人：</w:t>
      </w:r>
      <w:r>
        <w:rPr>
          <w:rFonts w:hint="eastAsia" w:ascii="仿宋_GB2312" w:hAnsi="宋体" w:eastAsia="仿宋_GB2312"/>
          <w:szCs w:val="21"/>
          <w:u w:val="single"/>
        </w:rPr>
        <w:t xml:space="preserve">                </w:t>
      </w:r>
      <w:r>
        <w:rPr>
          <w:rFonts w:hint="eastAsia" w:ascii="仿宋_GB2312" w:hAnsi="宋体" w:eastAsia="仿宋_GB2312"/>
          <w:szCs w:val="21"/>
        </w:rPr>
        <w:t xml:space="preserve"> 监督人员：</w:t>
      </w:r>
      <w:r>
        <w:rPr>
          <w:rFonts w:hint="eastAsia" w:ascii="仿宋_GB2312" w:hAnsi="宋体" w:eastAsia="仿宋_GB2312"/>
          <w:szCs w:val="21"/>
          <w:u w:val="single"/>
        </w:rPr>
        <w:t xml:space="preserve">                      </w:t>
      </w:r>
    </w:p>
    <w:p>
      <w:pPr>
        <w:adjustRightInd w:val="0"/>
        <w:snapToGrid w:val="0"/>
        <w:spacing w:line="360" w:lineRule="auto"/>
        <w:ind w:firstLine="5100" w:firstLineChars="2350"/>
        <w:jc w:val="left"/>
        <w:rPr>
          <w:rFonts w:hint="eastAsia" w:ascii="仿宋_GB2312" w:hAnsi="宋体" w:eastAsia="仿宋_GB2312"/>
          <w:szCs w:val="21"/>
        </w:rPr>
      </w:pP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w:t>
      </w:r>
    </w:p>
    <w:p>
      <w:pPr>
        <w:adjustRightInd w:val="0"/>
        <w:snapToGrid w:val="0"/>
        <w:spacing w:line="360" w:lineRule="auto"/>
        <w:jc w:val="left"/>
        <w:rPr>
          <w:rFonts w:hint="eastAsia" w:ascii="仿宋_GB2312" w:hAnsi="宋体" w:eastAsia="仿宋_GB2312"/>
          <w:szCs w:val="21"/>
        </w:rPr>
      </w:pPr>
    </w:p>
    <w:p>
      <w:pPr>
        <w:adjustRightInd w:val="0"/>
        <w:snapToGrid w:val="0"/>
        <w:spacing w:line="360" w:lineRule="auto"/>
        <w:ind w:firstLine="434" w:firstLineChars="200"/>
        <w:jc w:val="left"/>
        <w:rPr>
          <w:rFonts w:hint="eastAsia" w:ascii="仿宋_GB2312" w:hAnsi="宋体" w:eastAsia="仿宋_GB2312"/>
          <w:szCs w:val="21"/>
        </w:rPr>
      </w:pPr>
      <w:r>
        <w:rPr>
          <w:rFonts w:hint="eastAsia" w:ascii="仿宋_GB2312" w:hAnsi="宋体" w:eastAsia="仿宋_GB2312"/>
          <w:szCs w:val="21"/>
        </w:rPr>
        <w:t>注：(1)开标记录表供招标人参考。但至少应包括投标人名称、投标文件的密封情况，投标报价、投标人的法定代表人或委托代理人签名及投标文件的其他主要内容，其他内容可根据实际需要删减。</w:t>
      </w:r>
    </w:p>
    <w:p>
      <w:pPr>
        <w:adjustRightInd w:val="0"/>
        <w:snapToGrid w:val="0"/>
        <w:spacing w:line="360" w:lineRule="auto"/>
        <w:rPr>
          <w:rFonts w:hint="eastAsia" w:ascii="仿宋_GB2312" w:eastAsia="仿宋_GB2312"/>
          <w:b/>
          <w:sz w:val="28"/>
          <w:szCs w:val="28"/>
        </w:rPr>
      </w:pPr>
      <w:r>
        <w:br w:type="page"/>
      </w:r>
      <w:r>
        <w:rPr>
          <w:rFonts w:hint="eastAsia" w:ascii="仿宋_GB2312" w:eastAsia="仿宋_GB2312"/>
          <w:b/>
          <w:sz w:val="28"/>
          <w:szCs w:val="28"/>
        </w:rPr>
        <w:t>附表2：评标委员会签到表</w:t>
      </w:r>
    </w:p>
    <w:p>
      <w:pPr>
        <w:adjustRightInd w:val="0"/>
        <w:snapToGrid w:val="0"/>
        <w:spacing w:line="360" w:lineRule="auto"/>
        <w:jc w:val="center"/>
        <w:rPr>
          <w:rFonts w:ascii="宋体" w:hAnsi="宋体"/>
          <w:sz w:val="27"/>
        </w:rPr>
      </w:pPr>
      <w:r>
        <w:rPr>
          <w:rFonts w:hint="eastAsia" w:ascii="宋体" w:hAnsi="宋体"/>
          <w:b/>
          <w:sz w:val="27"/>
        </w:rPr>
        <w:t>评标委员会签到表</w:t>
      </w:r>
    </w:p>
    <w:p>
      <w:pPr>
        <w:adjustRightInd w:val="0"/>
        <w:snapToGrid w:val="0"/>
        <w:spacing w:line="360" w:lineRule="auto"/>
        <w:rPr>
          <w:rFonts w:ascii="宋体" w:hAnsi="宋体"/>
        </w:rPr>
      </w:pPr>
      <w:r>
        <w:rPr>
          <w:rFonts w:hint="eastAsia" w:ascii="宋体" w:hAnsi="宋体"/>
        </w:rPr>
        <w:t>工程名称：</w:t>
      </w:r>
      <w:r>
        <w:rPr>
          <w:rFonts w:hint="eastAsia" w:ascii="仿宋_GB2312" w:hAnsi="宋体" w:eastAsia="仿宋_GB2312"/>
          <w:szCs w:val="21"/>
          <w:u w:val="single"/>
        </w:rPr>
        <w:t xml:space="preserve">     </w:t>
      </w:r>
      <w:r>
        <w:rPr>
          <w:rFonts w:hint="eastAsia" w:ascii="宋体" w:hAnsi="宋体"/>
        </w:rPr>
        <w:t>(项目名称)</w:t>
      </w:r>
      <w:r>
        <w:rPr>
          <w:rFonts w:hint="eastAsia" w:ascii="仿宋_GB2312" w:hAnsi="宋体" w:eastAsia="仿宋_GB2312"/>
          <w:szCs w:val="21"/>
          <w:u w:val="single"/>
        </w:rPr>
        <w:t xml:space="preserve">     </w:t>
      </w:r>
      <w:r>
        <w:rPr>
          <w:rFonts w:hint="eastAsia" w:ascii="宋体" w:hAnsi="宋体"/>
        </w:rPr>
        <w:t>标段</w:t>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 xml:space="preserve"> </w:t>
      </w:r>
      <w:r>
        <w:rPr>
          <w:rFonts w:hint="eastAsia" w:ascii="宋体" w:hAnsi="宋体"/>
        </w:rPr>
        <w:t>评标时间：      年      月      日</w:t>
      </w:r>
    </w:p>
    <w:tbl>
      <w:tblPr>
        <w:tblStyle w:val="10"/>
        <w:tblW w:w="911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89"/>
        <w:gridCol w:w="1133"/>
        <w:gridCol w:w="1132"/>
        <w:gridCol w:w="3143"/>
        <w:gridCol w:w="1710"/>
        <w:gridCol w:w="12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9" w:type="dxa"/>
            <w:vAlign w:val="center"/>
          </w:tcPr>
          <w:p>
            <w:pPr>
              <w:adjustRightInd w:val="0"/>
              <w:snapToGrid w:val="0"/>
              <w:spacing w:line="360" w:lineRule="auto"/>
              <w:jc w:val="center"/>
              <w:rPr>
                <w:rFonts w:ascii="宋体" w:hAnsi="宋体"/>
              </w:rPr>
            </w:pPr>
            <w:r>
              <w:rPr>
                <w:rFonts w:hint="eastAsia" w:ascii="宋体" w:hAnsi="宋体"/>
              </w:rPr>
              <w:t>序号</w:t>
            </w:r>
          </w:p>
        </w:tc>
        <w:tc>
          <w:tcPr>
            <w:tcW w:w="1133" w:type="dxa"/>
            <w:vAlign w:val="center"/>
          </w:tcPr>
          <w:p>
            <w:pPr>
              <w:adjustRightInd w:val="0"/>
              <w:snapToGrid w:val="0"/>
              <w:spacing w:line="360" w:lineRule="auto"/>
              <w:jc w:val="center"/>
              <w:rPr>
                <w:rFonts w:ascii="宋体" w:hAnsi="宋体"/>
              </w:rPr>
            </w:pPr>
            <w:r>
              <w:rPr>
                <w:rFonts w:hint="eastAsia" w:ascii="宋体" w:hAnsi="宋体"/>
              </w:rPr>
              <w:t>姓名</w:t>
            </w:r>
          </w:p>
        </w:tc>
        <w:tc>
          <w:tcPr>
            <w:tcW w:w="1132" w:type="dxa"/>
            <w:vAlign w:val="center"/>
          </w:tcPr>
          <w:p>
            <w:pPr>
              <w:adjustRightInd w:val="0"/>
              <w:snapToGrid w:val="0"/>
              <w:spacing w:line="360" w:lineRule="auto"/>
              <w:jc w:val="center"/>
              <w:rPr>
                <w:rFonts w:ascii="宋体" w:hAnsi="宋体"/>
              </w:rPr>
            </w:pPr>
            <w:r>
              <w:rPr>
                <w:rFonts w:hint="eastAsia" w:ascii="宋体" w:hAnsi="宋体"/>
              </w:rPr>
              <w:t>职称</w:t>
            </w:r>
          </w:p>
        </w:tc>
        <w:tc>
          <w:tcPr>
            <w:tcW w:w="3143" w:type="dxa"/>
            <w:vAlign w:val="center"/>
          </w:tcPr>
          <w:p>
            <w:pPr>
              <w:adjustRightInd w:val="0"/>
              <w:snapToGrid w:val="0"/>
              <w:spacing w:line="360" w:lineRule="auto"/>
              <w:jc w:val="center"/>
              <w:rPr>
                <w:rFonts w:ascii="宋体" w:hAnsi="宋体"/>
              </w:rPr>
            </w:pPr>
            <w:r>
              <w:rPr>
                <w:rFonts w:hint="eastAsia" w:ascii="宋体" w:hAnsi="宋体"/>
              </w:rPr>
              <w:t>工作单位</w:t>
            </w:r>
          </w:p>
        </w:tc>
        <w:tc>
          <w:tcPr>
            <w:tcW w:w="1710" w:type="dxa"/>
            <w:vAlign w:val="center"/>
          </w:tcPr>
          <w:p>
            <w:pPr>
              <w:adjustRightInd w:val="0"/>
              <w:snapToGrid w:val="0"/>
              <w:spacing w:line="360" w:lineRule="auto"/>
              <w:jc w:val="center"/>
              <w:rPr>
                <w:rFonts w:ascii="宋体" w:hAnsi="宋体"/>
              </w:rPr>
            </w:pPr>
            <w:r>
              <w:rPr>
                <w:rFonts w:hint="eastAsia" w:ascii="宋体" w:hAnsi="宋体"/>
              </w:rPr>
              <w:t>专家证号码</w:t>
            </w:r>
          </w:p>
        </w:tc>
        <w:tc>
          <w:tcPr>
            <w:tcW w:w="1209" w:type="dxa"/>
            <w:vAlign w:val="center"/>
          </w:tcPr>
          <w:p>
            <w:pPr>
              <w:adjustRightInd w:val="0"/>
              <w:snapToGrid w:val="0"/>
              <w:spacing w:line="360" w:lineRule="auto"/>
              <w:jc w:val="center"/>
              <w:rPr>
                <w:rFonts w:ascii="宋体" w:hAnsi="宋体"/>
              </w:rPr>
            </w:pPr>
            <w:r>
              <w:rPr>
                <w:rFonts w:hint="eastAsia" w:ascii="宋体" w:hAnsi="宋体"/>
              </w:rPr>
              <w:t>签到时间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9" w:type="dxa"/>
            <w:vAlign w:val="center"/>
          </w:tcPr>
          <w:p>
            <w:pPr>
              <w:adjustRightInd w:val="0"/>
              <w:snapToGrid w:val="0"/>
              <w:spacing w:line="360" w:lineRule="auto"/>
              <w:jc w:val="center"/>
              <w:rPr>
                <w:rFonts w:ascii="宋体" w:hAnsi="宋体"/>
              </w:rPr>
            </w:pPr>
            <w:r>
              <w:rPr>
                <w:rFonts w:hint="eastAsia" w:ascii="宋体" w:hAnsi="宋体"/>
              </w:rPr>
              <w:t>1</w:t>
            </w:r>
          </w:p>
        </w:tc>
        <w:tc>
          <w:tcPr>
            <w:tcW w:w="1133" w:type="dxa"/>
            <w:vAlign w:val="center"/>
          </w:tcPr>
          <w:p>
            <w:pPr>
              <w:adjustRightInd w:val="0"/>
              <w:snapToGrid w:val="0"/>
              <w:spacing w:line="360" w:lineRule="auto"/>
              <w:jc w:val="center"/>
              <w:rPr>
                <w:rFonts w:ascii="宋体" w:hAnsi="宋体"/>
              </w:rPr>
            </w:pPr>
          </w:p>
        </w:tc>
        <w:tc>
          <w:tcPr>
            <w:tcW w:w="1132" w:type="dxa"/>
            <w:vAlign w:val="center"/>
          </w:tcPr>
          <w:p>
            <w:pPr>
              <w:adjustRightInd w:val="0"/>
              <w:snapToGrid w:val="0"/>
              <w:spacing w:line="360" w:lineRule="auto"/>
              <w:jc w:val="center"/>
              <w:rPr>
                <w:rFonts w:ascii="宋体" w:hAnsi="宋体"/>
              </w:rPr>
            </w:pPr>
          </w:p>
        </w:tc>
        <w:tc>
          <w:tcPr>
            <w:tcW w:w="3143" w:type="dxa"/>
            <w:vAlign w:val="center"/>
          </w:tcPr>
          <w:p>
            <w:pPr>
              <w:adjustRightInd w:val="0"/>
              <w:snapToGrid w:val="0"/>
              <w:spacing w:line="360" w:lineRule="auto"/>
              <w:jc w:val="center"/>
              <w:rPr>
                <w:rFonts w:ascii="宋体" w:hAnsi="宋体"/>
              </w:rPr>
            </w:pPr>
          </w:p>
        </w:tc>
        <w:tc>
          <w:tcPr>
            <w:tcW w:w="1710" w:type="dxa"/>
            <w:vAlign w:val="center"/>
          </w:tcPr>
          <w:p>
            <w:pPr>
              <w:adjustRightInd w:val="0"/>
              <w:snapToGrid w:val="0"/>
              <w:spacing w:line="360" w:lineRule="auto"/>
              <w:jc w:val="center"/>
              <w:rPr>
                <w:rFonts w:ascii="宋体" w:hAnsi="宋体"/>
              </w:rPr>
            </w:pPr>
          </w:p>
        </w:tc>
        <w:tc>
          <w:tcPr>
            <w:tcW w:w="1209" w:type="dxa"/>
            <w:vAlign w:val="center"/>
          </w:tcPr>
          <w:p>
            <w:pPr>
              <w:adjustRightInd w:val="0"/>
              <w:snapToGrid w:val="0"/>
              <w:spacing w:line="360" w:lineRule="auto"/>
              <w:jc w:val="center"/>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9" w:type="dxa"/>
            <w:vAlign w:val="center"/>
          </w:tcPr>
          <w:p>
            <w:pPr>
              <w:adjustRightInd w:val="0"/>
              <w:snapToGrid w:val="0"/>
              <w:spacing w:line="360" w:lineRule="auto"/>
              <w:jc w:val="center"/>
              <w:rPr>
                <w:rFonts w:ascii="宋体" w:hAnsi="宋体"/>
              </w:rPr>
            </w:pPr>
            <w:r>
              <w:rPr>
                <w:rFonts w:hint="eastAsia" w:ascii="宋体" w:hAnsi="宋体"/>
              </w:rPr>
              <w:t>2</w:t>
            </w:r>
          </w:p>
        </w:tc>
        <w:tc>
          <w:tcPr>
            <w:tcW w:w="1133" w:type="dxa"/>
            <w:vAlign w:val="center"/>
          </w:tcPr>
          <w:p>
            <w:pPr>
              <w:adjustRightInd w:val="0"/>
              <w:snapToGrid w:val="0"/>
              <w:spacing w:line="360" w:lineRule="auto"/>
              <w:jc w:val="center"/>
              <w:rPr>
                <w:rFonts w:ascii="宋体" w:hAnsi="宋体"/>
              </w:rPr>
            </w:pPr>
          </w:p>
        </w:tc>
        <w:tc>
          <w:tcPr>
            <w:tcW w:w="1132" w:type="dxa"/>
            <w:vAlign w:val="center"/>
          </w:tcPr>
          <w:p>
            <w:pPr>
              <w:adjustRightInd w:val="0"/>
              <w:snapToGrid w:val="0"/>
              <w:spacing w:line="360" w:lineRule="auto"/>
              <w:jc w:val="center"/>
              <w:rPr>
                <w:rFonts w:ascii="宋体" w:hAnsi="宋体"/>
              </w:rPr>
            </w:pPr>
          </w:p>
        </w:tc>
        <w:tc>
          <w:tcPr>
            <w:tcW w:w="3143" w:type="dxa"/>
            <w:vAlign w:val="center"/>
          </w:tcPr>
          <w:p>
            <w:pPr>
              <w:adjustRightInd w:val="0"/>
              <w:snapToGrid w:val="0"/>
              <w:spacing w:line="360" w:lineRule="auto"/>
              <w:jc w:val="center"/>
              <w:rPr>
                <w:rFonts w:ascii="宋体" w:hAnsi="宋体"/>
              </w:rPr>
            </w:pPr>
          </w:p>
        </w:tc>
        <w:tc>
          <w:tcPr>
            <w:tcW w:w="1710" w:type="dxa"/>
            <w:vAlign w:val="center"/>
          </w:tcPr>
          <w:p>
            <w:pPr>
              <w:adjustRightInd w:val="0"/>
              <w:snapToGrid w:val="0"/>
              <w:spacing w:line="360" w:lineRule="auto"/>
              <w:jc w:val="center"/>
              <w:rPr>
                <w:rFonts w:ascii="宋体" w:hAnsi="宋体"/>
              </w:rPr>
            </w:pPr>
          </w:p>
        </w:tc>
        <w:tc>
          <w:tcPr>
            <w:tcW w:w="1209" w:type="dxa"/>
            <w:vAlign w:val="center"/>
          </w:tcPr>
          <w:p>
            <w:pPr>
              <w:adjustRightInd w:val="0"/>
              <w:snapToGrid w:val="0"/>
              <w:spacing w:line="360" w:lineRule="auto"/>
              <w:jc w:val="center"/>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9" w:type="dxa"/>
            <w:vAlign w:val="center"/>
          </w:tcPr>
          <w:p>
            <w:pPr>
              <w:adjustRightInd w:val="0"/>
              <w:snapToGrid w:val="0"/>
              <w:spacing w:line="360" w:lineRule="auto"/>
              <w:jc w:val="center"/>
              <w:rPr>
                <w:rFonts w:ascii="宋体" w:hAnsi="宋体"/>
              </w:rPr>
            </w:pPr>
            <w:r>
              <w:rPr>
                <w:rFonts w:hint="eastAsia" w:ascii="宋体" w:hAnsi="宋体"/>
              </w:rPr>
              <w:t>3</w:t>
            </w:r>
          </w:p>
        </w:tc>
        <w:tc>
          <w:tcPr>
            <w:tcW w:w="1133" w:type="dxa"/>
            <w:vAlign w:val="center"/>
          </w:tcPr>
          <w:p>
            <w:pPr>
              <w:adjustRightInd w:val="0"/>
              <w:snapToGrid w:val="0"/>
              <w:spacing w:line="360" w:lineRule="auto"/>
              <w:jc w:val="center"/>
              <w:rPr>
                <w:rFonts w:ascii="宋体" w:hAnsi="宋体"/>
              </w:rPr>
            </w:pPr>
          </w:p>
        </w:tc>
        <w:tc>
          <w:tcPr>
            <w:tcW w:w="1132" w:type="dxa"/>
            <w:vAlign w:val="center"/>
          </w:tcPr>
          <w:p>
            <w:pPr>
              <w:adjustRightInd w:val="0"/>
              <w:snapToGrid w:val="0"/>
              <w:spacing w:line="360" w:lineRule="auto"/>
              <w:jc w:val="center"/>
              <w:rPr>
                <w:rFonts w:ascii="宋体" w:hAnsi="宋体"/>
              </w:rPr>
            </w:pPr>
          </w:p>
        </w:tc>
        <w:tc>
          <w:tcPr>
            <w:tcW w:w="3143" w:type="dxa"/>
            <w:vAlign w:val="center"/>
          </w:tcPr>
          <w:p>
            <w:pPr>
              <w:adjustRightInd w:val="0"/>
              <w:snapToGrid w:val="0"/>
              <w:spacing w:line="360" w:lineRule="auto"/>
              <w:jc w:val="center"/>
              <w:rPr>
                <w:rFonts w:ascii="宋体" w:hAnsi="宋体"/>
              </w:rPr>
            </w:pPr>
          </w:p>
        </w:tc>
        <w:tc>
          <w:tcPr>
            <w:tcW w:w="1710" w:type="dxa"/>
            <w:vAlign w:val="center"/>
          </w:tcPr>
          <w:p>
            <w:pPr>
              <w:adjustRightInd w:val="0"/>
              <w:snapToGrid w:val="0"/>
              <w:spacing w:line="360" w:lineRule="auto"/>
              <w:jc w:val="center"/>
              <w:rPr>
                <w:rFonts w:ascii="宋体" w:hAnsi="宋体"/>
              </w:rPr>
            </w:pPr>
          </w:p>
        </w:tc>
        <w:tc>
          <w:tcPr>
            <w:tcW w:w="1209" w:type="dxa"/>
            <w:vAlign w:val="center"/>
          </w:tcPr>
          <w:p>
            <w:pPr>
              <w:adjustRightInd w:val="0"/>
              <w:snapToGrid w:val="0"/>
              <w:spacing w:line="360" w:lineRule="auto"/>
              <w:jc w:val="center"/>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9" w:type="dxa"/>
            <w:vAlign w:val="center"/>
          </w:tcPr>
          <w:p>
            <w:pPr>
              <w:adjustRightInd w:val="0"/>
              <w:snapToGrid w:val="0"/>
              <w:spacing w:line="360" w:lineRule="auto"/>
              <w:jc w:val="center"/>
              <w:rPr>
                <w:rFonts w:ascii="宋体" w:hAnsi="宋体"/>
              </w:rPr>
            </w:pPr>
            <w:r>
              <w:rPr>
                <w:rFonts w:hint="eastAsia" w:ascii="宋体" w:hAnsi="宋体"/>
              </w:rPr>
              <w:t>4</w:t>
            </w:r>
          </w:p>
        </w:tc>
        <w:tc>
          <w:tcPr>
            <w:tcW w:w="1133" w:type="dxa"/>
            <w:vAlign w:val="center"/>
          </w:tcPr>
          <w:p>
            <w:pPr>
              <w:adjustRightInd w:val="0"/>
              <w:snapToGrid w:val="0"/>
              <w:spacing w:line="360" w:lineRule="auto"/>
              <w:jc w:val="center"/>
              <w:rPr>
                <w:rFonts w:ascii="宋体" w:hAnsi="宋体"/>
              </w:rPr>
            </w:pPr>
          </w:p>
        </w:tc>
        <w:tc>
          <w:tcPr>
            <w:tcW w:w="1132" w:type="dxa"/>
            <w:vAlign w:val="center"/>
          </w:tcPr>
          <w:p>
            <w:pPr>
              <w:adjustRightInd w:val="0"/>
              <w:snapToGrid w:val="0"/>
              <w:spacing w:line="360" w:lineRule="auto"/>
              <w:jc w:val="center"/>
              <w:rPr>
                <w:rFonts w:ascii="宋体" w:hAnsi="宋体"/>
              </w:rPr>
            </w:pPr>
          </w:p>
        </w:tc>
        <w:tc>
          <w:tcPr>
            <w:tcW w:w="3143" w:type="dxa"/>
            <w:vAlign w:val="center"/>
          </w:tcPr>
          <w:p>
            <w:pPr>
              <w:adjustRightInd w:val="0"/>
              <w:snapToGrid w:val="0"/>
              <w:spacing w:line="360" w:lineRule="auto"/>
              <w:jc w:val="center"/>
              <w:rPr>
                <w:rFonts w:ascii="宋体" w:hAnsi="宋体"/>
              </w:rPr>
            </w:pPr>
          </w:p>
        </w:tc>
        <w:tc>
          <w:tcPr>
            <w:tcW w:w="1710" w:type="dxa"/>
            <w:vAlign w:val="center"/>
          </w:tcPr>
          <w:p>
            <w:pPr>
              <w:adjustRightInd w:val="0"/>
              <w:snapToGrid w:val="0"/>
              <w:spacing w:line="360" w:lineRule="auto"/>
              <w:jc w:val="center"/>
              <w:rPr>
                <w:rFonts w:ascii="宋体" w:hAnsi="宋体"/>
              </w:rPr>
            </w:pPr>
          </w:p>
        </w:tc>
        <w:tc>
          <w:tcPr>
            <w:tcW w:w="1209" w:type="dxa"/>
            <w:vAlign w:val="center"/>
          </w:tcPr>
          <w:p>
            <w:pPr>
              <w:adjustRightInd w:val="0"/>
              <w:snapToGrid w:val="0"/>
              <w:spacing w:line="360" w:lineRule="auto"/>
              <w:jc w:val="center"/>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9" w:type="dxa"/>
            <w:vAlign w:val="center"/>
          </w:tcPr>
          <w:p>
            <w:pPr>
              <w:adjustRightInd w:val="0"/>
              <w:snapToGrid w:val="0"/>
              <w:spacing w:line="360" w:lineRule="auto"/>
              <w:jc w:val="center"/>
              <w:rPr>
                <w:rFonts w:ascii="宋体" w:hAnsi="宋体"/>
              </w:rPr>
            </w:pPr>
            <w:r>
              <w:rPr>
                <w:rFonts w:hint="eastAsia" w:ascii="宋体" w:hAnsi="宋体"/>
              </w:rPr>
              <w:t>5</w:t>
            </w:r>
          </w:p>
        </w:tc>
        <w:tc>
          <w:tcPr>
            <w:tcW w:w="1133" w:type="dxa"/>
            <w:vAlign w:val="center"/>
          </w:tcPr>
          <w:p>
            <w:pPr>
              <w:adjustRightInd w:val="0"/>
              <w:snapToGrid w:val="0"/>
              <w:spacing w:line="360" w:lineRule="auto"/>
              <w:jc w:val="center"/>
              <w:rPr>
                <w:rFonts w:ascii="宋体" w:hAnsi="宋体"/>
              </w:rPr>
            </w:pPr>
          </w:p>
        </w:tc>
        <w:tc>
          <w:tcPr>
            <w:tcW w:w="1132" w:type="dxa"/>
            <w:vAlign w:val="center"/>
          </w:tcPr>
          <w:p>
            <w:pPr>
              <w:adjustRightInd w:val="0"/>
              <w:snapToGrid w:val="0"/>
              <w:spacing w:line="360" w:lineRule="auto"/>
              <w:jc w:val="center"/>
              <w:rPr>
                <w:rFonts w:ascii="宋体" w:hAnsi="宋体"/>
              </w:rPr>
            </w:pPr>
          </w:p>
        </w:tc>
        <w:tc>
          <w:tcPr>
            <w:tcW w:w="3143" w:type="dxa"/>
            <w:vAlign w:val="center"/>
          </w:tcPr>
          <w:p>
            <w:pPr>
              <w:adjustRightInd w:val="0"/>
              <w:snapToGrid w:val="0"/>
              <w:spacing w:line="360" w:lineRule="auto"/>
              <w:jc w:val="center"/>
              <w:rPr>
                <w:rFonts w:ascii="宋体" w:hAnsi="宋体"/>
              </w:rPr>
            </w:pPr>
          </w:p>
        </w:tc>
        <w:tc>
          <w:tcPr>
            <w:tcW w:w="1710" w:type="dxa"/>
            <w:vAlign w:val="center"/>
          </w:tcPr>
          <w:p>
            <w:pPr>
              <w:adjustRightInd w:val="0"/>
              <w:snapToGrid w:val="0"/>
              <w:spacing w:line="360" w:lineRule="auto"/>
              <w:jc w:val="center"/>
              <w:rPr>
                <w:rFonts w:ascii="宋体" w:hAnsi="宋体"/>
              </w:rPr>
            </w:pPr>
          </w:p>
        </w:tc>
        <w:tc>
          <w:tcPr>
            <w:tcW w:w="1209" w:type="dxa"/>
            <w:vAlign w:val="center"/>
          </w:tcPr>
          <w:p>
            <w:pPr>
              <w:adjustRightInd w:val="0"/>
              <w:snapToGrid w:val="0"/>
              <w:spacing w:line="360" w:lineRule="auto"/>
              <w:jc w:val="center"/>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9" w:type="dxa"/>
            <w:vAlign w:val="center"/>
          </w:tcPr>
          <w:p>
            <w:pPr>
              <w:adjustRightInd w:val="0"/>
              <w:snapToGrid w:val="0"/>
              <w:spacing w:line="360" w:lineRule="auto"/>
              <w:jc w:val="center"/>
              <w:rPr>
                <w:rFonts w:ascii="宋体" w:hAnsi="宋体"/>
              </w:rPr>
            </w:pPr>
            <w:r>
              <w:rPr>
                <w:rFonts w:hint="eastAsia" w:ascii="宋体" w:hAnsi="宋体"/>
              </w:rPr>
              <w:t>6</w:t>
            </w:r>
          </w:p>
        </w:tc>
        <w:tc>
          <w:tcPr>
            <w:tcW w:w="1133" w:type="dxa"/>
            <w:vAlign w:val="center"/>
          </w:tcPr>
          <w:p>
            <w:pPr>
              <w:adjustRightInd w:val="0"/>
              <w:snapToGrid w:val="0"/>
              <w:spacing w:line="360" w:lineRule="auto"/>
              <w:jc w:val="center"/>
              <w:rPr>
                <w:rFonts w:ascii="宋体" w:hAnsi="宋体"/>
              </w:rPr>
            </w:pPr>
          </w:p>
        </w:tc>
        <w:tc>
          <w:tcPr>
            <w:tcW w:w="1132" w:type="dxa"/>
            <w:vAlign w:val="center"/>
          </w:tcPr>
          <w:p>
            <w:pPr>
              <w:adjustRightInd w:val="0"/>
              <w:snapToGrid w:val="0"/>
              <w:spacing w:line="360" w:lineRule="auto"/>
              <w:jc w:val="center"/>
              <w:rPr>
                <w:rFonts w:ascii="宋体" w:hAnsi="宋体"/>
              </w:rPr>
            </w:pPr>
          </w:p>
        </w:tc>
        <w:tc>
          <w:tcPr>
            <w:tcW w:w="3143" w:type="dxa"/>
            <w:vAlign w:val="center"/>
          </w:tcPr>
          <w:p>
            <w:pPr>
              <w:adjustRightInd w:val="0"/>
              <w:snapToGrid w:val="0"/>
              <w:spacing w:line="360" w:lineRule="auto"/>
              <w:jc w:val="center"/>
              <w:rPr>
                <w:rFonts w:ascii="宋体" w:hAnsi="宋体"/>
              </w:rPr>
            </w:pPr>
          </w:p>
        </w:tc>
        <w:tc>
          <w:tcPr>
            <w:tcW w:w="1710" w:type="dxa"/>
            <w:vAlign w:val="center"/>
          </w:tcPr>
          <w:p>
            <w:pPr>
              <w:adjustRightInd w:val="0"/>
              <w:snapToGrid w:val="0"/>
              <w:spacing w:line="360" w:lineRule="auto"/>
              <w:jc w:val="center"/>
              <w:rPr>
                <w:rFonts w:ascii="宋体" w:hAnsi="宋体"/>
              </w:rPr>
            </w:pPr>
          </w:p>
        </w:tc>
        <w:tc>
          <w:tcPr>
            <w:tcW w:w="1209" w:type="dxa"/>
            <w:vAlign w:val="center"/>
          </w:tcPr>
          <w:p>
            <w:pPr>
              <w:adjustRightInd w:val="0"/>
              <w:snapToGrid w:val="0"/>
              <w:spacing w:line="360" w:lineRule="auto"/>
              <w:jc w:val="center"/>
              <w:rPr>
                <w:rFonts w:ascii="宋体" w:hAns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89" w:type="dxa"/>
            <w:vAlign w:val="center"/>
          </w:tcPr>
          <w:p>
            <w:pPr>
              <w:adjustRightInd w:val="0"/>
              <w:snapToGrid w:val="0"/>
              <w:spacing w:line="360" w:lineRule="auto"/>
              <w:jc w:val="center"/>
              <w:rPr>
                <w:rFonts w:ascii="宋体" w:hAnsi="宋体"/>
              </w:rPr>
            </w:pPr>
            <w:r>
              <w:rPr>
                <w:rFonts w:hint="eastAsia" w:ascii="宋体" w:hAnsi="宋体"/>
              </w:rPr>
              <w:t>7</w:t>
            </w:r>
          </w:p>
        </w:tc>
        <w:tc>
          <w:tcPr>
            <w:tcW w:w="1133" w:type="dxa"/>
            <w:vAlign w:val="center"/>
          </w:tcPr>
          <w:p>
            <w:pPr>
              <w:adjustRightInd w:val="0"/>
              <w:snapToGrid w:val="0"/>
              <w:spacing w:line="360" w:lineRule="auto"/>
              <w:jc w:val="center"/>
              <w:rPr>
                <w:rFonts w:ascii="宋体" w:hAnsi="宋体"/>
              </w:rPr>
            </w:pPr>
          </w:p>
        </w:tc>
        <w:tc>
          <w:tcPr>
            <w:tcW w:w="1132" w:type="dxa"/>
            <w:vAlign w:val="center"/>
          </w:tcPr>
          <w:p>
            <w:pPr>
              <w:adjustRightInd w:val="0"/>
              <w:snapToGrid w:val="0"/>
              <w:spacing w:line="360" w:lineRule="auto"/>
              <w:jc w:val="center"/>
              <w:rPr>
                <w:rFonts w:ascii="宋体" w:hAnsi="宋体"/>
              </w:rPr>
            </w:pPr>
          </w:p>
        </w:tc>
        <w:tc>
          <w:tcPr>
            <w:tcW w:w="3143" w:type="dxa"/>
            <w:vAlign w:val="center"/>
          </w:tcPr>
          <w:p>
            <w:pPr>
              <w:adjustRightInd w:val="0"/>
              <w:snapToGrid w:val="0"/>
              <w:spacing w:line="360" w:lineRule="auto"/>
              <w:jc w:val="center"/>
              <w:rPr>
                <w:rFonts w:ascii="宋体" w:hAnsi="宋体"/>
              </w:rPr>
            </w:pPr>
          </w:p>
        </w:tc>
        <w:tc>
          <w:tcPr>
            <w:tcW w:w="1710" w:type="dxa"/>
            <w:vAlign w:val="center"/>
          </w:tcPr>
          <w:p>
            <w:pPr>
              <w:adjustRightInd w:val="0"/>
              <w:snapToGrid w:val="0"/>
              <w:spacing w:line="360" w:lineRule="auto"/>
              <w:jc w:val="center"/>
              <w:rPr>
                <w:rFonts w:ascii="宋体" w:hAnsi="宋体"/>
              </w:rPr>
            </w:pPr>
          </w:p>
        </w:tc>
        <w:tc>
          <w:tcPr>
            <w:tcW w:w="1209" w:type="dxa"/>
            <w:vAlign w:val="center"/>
          </w:tcPr>
          <w:p>
            <w:pPr>
              <w:adjustRightInd w:val="0"/>
              <w:snapToGrid w:val="0"/>
              <w:spacing w:line="360" w:lineRule="auto"/>
              <w:jc w:val="center"/>
              <w:rPr>
                <w:rFonts w:ascii="宋体" w:hAnsi="宋体"/>
              </w:rPr>
            </w:pPr>
          </w:p>
        </w:tc>
      </w:tr>
    </w:tbl>
    <w:p/>
    <w:p>
      <w:pPr>
        <w:spacing w:line="360" w:lineRule="auto"/>
        <w:jc w:val="left"/>
        <w:rPr>
          <w:rFonts w:hint="eastAsia" w:ascii="仿宋_GB2312" w:hAnsi="宋体" w:eastAsia="仿宋_GB2312"/>
          <w:b/>
          <w:color w:val="000000"/>
          <w:kern w:val="0"/>
          <w:sz w:val="24"/>
        </w:rPr>
      </w:pPr>
    </w:p>
    <w:p>
      <w:pPr>
        <w:adjustRightInd w:val="0"/>
        <w:snapToGrid w:val="0"/>
        <w:spacing w:line="360" w:lineRule="auto"/>
        <w:jc w:val="left"/>
        <w:rPr>
          <w:rFonts w:ascii="宋体" w:hAnsi="宋体"/>
          <w:kern w:val="0"/>
        </w:rPr>
      </w:pPr>
      <w:r>
        <w:rPr>
          <w:rFonts w:hint="eastAsia" w:ascii="仿宋_GB2312" w:eastAsia="仿宋_GB2312"/>
          <w:b/>
          <w:sz w:val="28"/>
          <w:szCs w:val="28"/>
        </w:rPr>
        <w:br w:type="page"/>
      </w:r>
      <w:r>
        <w:rPr>
          <w:rFonts w:hint="eastAsia" w:ascii="仿宋_GB2312" w:eastAsia="仿宋_GB2312"/>
          <w:b/>
          <w:sz w:val="28"/>
          <w:szCs w:val="28"/>
        </w:rPr>
        <w:t>附表3：形式评审记录表</w:t>
      </w:r>
    </w:p>
    <w:p>
      <w:pPr>
        <w:adjustRightInd w:val="0"/>
        <w:snapToGrid w:val="0"/>
        <w:spacing w:line="360" w:lineRule="auto"/>
        <w:jc w:val="center"/>
        <w:rPr>
          <w:kern w:val="0"/>
          <w:sz w:val="32"/>
          <w:szCs w:val="32"/>
        </w:rPr>
      </w:pPr>
      <w:r>
        <w:rPr>
          <w:rFonts w:hint="eastAsia"/>
          <w:b/>
          <w:kern w:val="0"/>
          <w:sz w:val="32"/>
          <w:szCs w:val="32"/>
        </w:rPr>
        <w:t>形式评审记录表</w:t>
      </w:r>
    </w:p>
    <w:p>
      <w:pPr>
        <w:adjustRightInd w:val="0"/>
        <w:snapToGrid w:val="0"/>
        <w:spacing w:line="360" w:lineRule="auto"/>
        <w:jc w:val="left"/>
        <w:rPr>
          <w:kern w:val="0"/>
        </w:rPr>
      </w:pPr>
      <w:r>
        <w:rPr>
          <w:rFonts w:hint="eastAsia" w:ascii="宋体" w:hAnsi="宋体"/>
        </w:rPr>
        <w:t>工程名称：</w:t>
      </w:r>
      <w:r>
        <w:rPr>
          <w:rFonts w:hint="eastAsia" w:ascii="仿宋_GB2312" w:hAnsi="宋体" w:eastAsia="仿宋_GB2312"/>
          <w:szCs w:val="21"/>
          <w:u w:val="single"/>
        </w:rPr>
        <w:t xml:space="preserve">     </w:t>
      </w:r>
      <w:r>
        <w:rPr>
          <w:rFonts w:hint="eastAsia" w:ascii="宋体" w:hAnsi="宋体"/>
        </w:rPr>
        <w:t>(项目名称)</w:t>
      </w:r>
      <w:r>
        <w:rPr>
          <w:rFonts w:hint="eastAsia" w:ascii="仿宋_GB2312" w:hAnsi="宋体" w:eastAsia="仿宋_GB2312"/>
          <w:szCs w:val="21"/>
          <w:u w:val="single"/>
        </w:rPr>
        <w:t xml:space="preserve">     </w:t>
      </w:r>
      <w:r>
        <w:rPr>
          <w:rFonts w:hint="eastAsia" w:ascii="宋体" w:hAnsi="宋体"/>
        </w:rPr>
        <w:t>标段</w:t>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ab/>
      </w:r>
      <w:r>
        <w:rPr>
          <w:rFonts w:hint="eastAsia" w:ascii="宋体" w:hAnsi="宋体"/>
          <w:lang w:val="en-US" w:eastAsia="zh-CN"/>
        </w:rPr>
        <w:t xml:space="preserve"> </w:t>
      </w:r>
      <w:r>
        <w:rPr>
          <w:rFonts w:hint="eastAsia" w:ascii="宋体" w:hAnsi="宋体"/>
        </w:rPr>
        <w:t>评标时间：      年      月      日</w:t>
      </w:r>
    </w:p>
    <w:tbl>
      <w:tblPr>
        <w:tblStyle w:val="10"/>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12"/>
        <w:gridCol w:w="777"/>
        <w:gridCol w:w="777"/>
        <w:gridCol w:w="775"/>
        <w:gridCol w:w="775"/>
        <w:gridCol w:w="775"/>
        <w:gridCol w:w="775"/>
        <w:gridCol w:w="775"/>
        <w:gridCol w:w="775"/>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restart"/>
            <w:vAlign w:val="center"/>
          </w:tcPr>
          <w:p>
            <w:pPr>
              <w:adjustRightInd w:val="0"/>
              <w:snapToGrid w:val="0"/>
              <w:spacing w:line="360" w:lineRule="auto"/>
              <w:jc w:val="center"/>
              <w:rPr>
                <w:rFonts w:ascii="宋体" w:hAnsi="宋体"/>
                <w:kern w:val="0"/>
              </w:rPr>
            </w:pPr>
            <w:r>
              <w:rPr>
                <w:rFonts w:hint="eastAsia" w:ascii="宋体" w:hAnsi="宋体"/>
                <w:kern w:val="0"/>
              </w:rPr>
              <w:t>序号</w:t>
            </w:r>
          </w:p>
        </w:tc>
        <w:tc>
          <w:tcPr>
            <w:tcW w:w="1412" w:type="dxa"/>
            <w:vMerge w:val="restart"/>
            <w:vAlign w:val="center"/>
          </w:tcPr>
          <w:p>
            <w:pPr>
              <w:adjustRightInd w:val="0"/>
              <w:snapToGrid w:val="0"/>
              <w:spacing w:line="360" w:lineRule="auto"/>
              <w:jc w:val="center"/>
              <w:rPr>
                <w:rFonts w:ascii="宋体" w:hAnsi="宋体"/>
                <w:kern w:val="0"/>
              </w:rPr>
            </w:pPr>
            <w:r>
              <w:rPr>
                <w:rFonts w:hint="eastAsia" w:ascii="宋体" w:hAnsi="宋体"/>
                <w:kern w:val="0"/>
              </w:rPr>
              <w:t>评审因素</w:t>
            </w:r>
          </w:p>
        </w:tc>
        <w:tc>
          <w:tcPr>
            <w:tcW w:w="6983" w:type="dxa"/>
            <w:gridSpan w:val="9"/>
            <w:vAlign w:val="center"/>
          </w:tcPr>
          <w:p>
            <w:pPr>
              <w:adjustRightInd w:val="0"/>
              <w:snapToGrid w:val="0"/>
              <w:spacing w:line="360" w:lineRule="auto"/>
              <w:jc w:val="center"/>
              <w:rPr>
                <w:rFonts w:ascii="宋体" w:hAnsi="宋体"/>
                <w:kern w:val="0"/>
              </w:rPr>
            </w:pPr>
            <w:r>
              <w:rPr>
                <w:rFonts w:hint="eastAsia"/>
                <w:kern w:val="0"/>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vAlign w:val="center"/>
          </w:tcPr>
          <w:p>
            <w:pPr>
              <w:adjustRightInd w:val="0"/>
              <w:snapToGrid w:val="0"/>
              <w:spacing w:line="360" w:lineRule="auto"/>
              <w:jc w:val="left"/>
              <w:rPr>
                <w:rFonts w:ascii="宋体" w:hAnsi="宋体"/>
                <w:kern w:val="0"/>
              </w:rPr>
            </w:pPr>
          </w:p>
        </w:tc>
        <w:tc>
          <w:tcPr>
            <w:tcW w:w="1412" w:type="dxa"/>
            <w:vMerge w:val="continue"/>
            <w:vAlign w:val="center"/>
          </w:tcPr>
          <w:p>
            <w:pPr>
              <w:adjustRightInd w:val="0"/>
              <w:snapToGrid w:val="0"/>
              <w:spacing w:line="360" w:lineRule="auto"/>
              <w:jc w:val="left"/>
              <w:rPr>
                <w:rFonts w:ascii="宋体" w:hAnsi="宋体"/>
                <w:kern w:val="0"/>
              </w:rPr>
            </w:pPr>
          </w:p>
        </w:tc>
        <w:tc>
          <w:tcPr>
            <w:tcW w:w="777" w:type="dxa"/>
            <w:vAlign w:val="center"/>
          </w:tcPr>
          <w:p>
            <w:pPr>
              <w:adjustRightInd w:val="0"/>
              <w:snapToGrid w:val="0"/>
              <w:spacing w:line="360" w:lineRule="auto"/>
              <w:jc w:val="center"/>
              <w:rPr>
                <w:rFonts w:ascii="宋体" w:hAnsi="宋体"/>
                <w:kern w:val="0"/>
              </w:rPr>
            </w:pPr>
          </w:p>
        </w:tc>
        <w:tc>
          <w:tcPr>
            <w:tcW w:w="777"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9"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黑体" w:hAnsi="宋体" w:eastAsia="黑体"/>
                <w:kern w:val="0"/>
              </w:rPr>
            </w:pPr>
          </w:p>
        </w:tc>
        <w:tc>
          <w:tcPr>
            <w:tcW w:w="1412" w:type="dxa"/>
            <w:vAlign w:val="center"/>
          </w:tcPr>
          <w:p>
            <w:pPr>
              <w:adjustRightInd w:val="0"/>
              <w:snapToGrid w:val="0"/>
              <w:spacing w:line="360" w:lineRule="auto"/>
              <w:jc w:val="center"/>
              <w:rPr>
                <w:rFonts w:ascii="宋体" w:hAnsi="宋体"/>
                <w:kern w:val="0"/>
              </w:rPr>
            </w:pPr>
          </w:p>
        </w:tc>
        <w:tc>
          <w:tcPr>
            <w:tcW w:w="777" w:type="dxa"/>
            <w:vAlign w:val="center"/>
          </w:tcPr>
          <w:p>
            <w:pPr>
              <w:adjustRightInd w:val="0"/>
              <w:snapToGrid w:val="0"/>
              <w:spacing w:line="360" w:lineRule="auto"/>
              <w:jc w:val="center"/>
              <w:rPr>
                <w:rFonts w:ascii="宋体" w:hAnsi="宋体"/>
                <w:kern w:val="0"/>
              </w:rPr>
            </w:pPr>
          </w:p>
        </w:tc>
        <w:tc>
          <w:tcPr>
            <w:tcW w:w="777"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9"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黑体" w:hAnsi="宋体" w:eastAsia="黑体"/>
                <w:kern w:val="0"/>
              </w:rPr>
            </w:pPr>
          </w:p>
        </w:tc>
        <w:tc>
          <w:tcPr>
            <w:tcW w:w="1412" w:type="dxa"/>
            <w:vAlign w:val="center"/>
          </w:tcPr>
          <w:p>
            <w:pPr>
              <w:adjustRightInd w:val="0"/>
              <w:snapToGrid w:val="0"/>
              <w:spacing w:line="360" w:lineRule="auto"/>
              <w:jc w:val="center"/>
              <w:rPr>
                <w:rFonts w:ascii="宋体" w:hAnsi="宋体"/>
                <w:kern w:val="0"/>
              </w:rPr>
            </w:pPr>
          </w:p>
        </w:tc>
        <w:tc>
          <w:tcPr>
            <w:tcW w:w="777" w:type="dxa"/>
            <w:vAlign w:val="center"/>
          </w:tcPr>
          <w:p>
            <w:pPr>
              <w:adjustRightInd w:val="0"/>
              <w:snapToGrid w:val="0"/>
              <w:spacing w:line="360" w:lineRule="auto"/>
              <w:jc w:val="center"/>
              <w:rPr>
                <w:rFonts w:ascii="宋体" w:hAnsi="宋体"/>
                <w:kern w:val="0"/>
              </w:rPr>
            </w:pPr>
          </w:p>
        </w:tc>
        <w:tc>
          <w:tcPr>
            <w:tcW w:w="777"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9"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黑体" w:hAnsi="宋体" w:eastAsia="黑体"/>
                <w:kern w:val="0"/>
              </w:rPr>
            </w:pPr>
          </w:p>
        </w:tc>
        <w:tc>
          <w:tcPr>
            <w:tcW w:w="1412" w:type="dxa"/>
            <w:vAlign w:val="center"/>
          </w:tcPr>
          <w:p>
            <w:pPr>
              <w:adjustRightInd w:val="0"/>
              <w:snapToGrid w:val="0"/>
              <w:spacing w:line="360" w:lineRule="auto"/>
              <w:jc w:val="center"/>
              <w:rPr>
                <w:rFonts w:ascii="宋体" w:hAnsi="宋体"/>
                <w:kern w:val="0"/>
              </w:rPr>
            </w:pPr>
          </w:p>
        </w:tc>
        <w:tc>
          <w:tcPr>
            <w:tcW w:w="777" w:type="dxa"/>
            <w:vAlign w:val="center"/>
          </w:tcPr>
          <w:p>
            <w:pPr>
              <w:adjustRightInd w:val="0"/>
              <w:snapToGrid w:val="0"/>
              <w:spacing w:line="360" w:lineRule="auto"/>
              <w:jc w:val="center"/>
              <w:rPr>
                <w:rFonts w:ascii="宋体" w:hAnsi="宋体"/>
                <w:kern w:val="0"/>
              </w:rPr>
            </w:pPr>
          </w:p>
        </w:tc>
        <w:tc>
          <w:tcPr>
            <w:tcW w:w="777"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9"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黑体" w:hAnsi="宋体" w:eastAsia="黑体"/>
                <w:kern w:val="0"/>
              </w:rPr>
            </w:pPr>
          </w:p>
        </w:tc>
        <w:tc>
          <w:tcPr>
            <w:tcW w:w="1412" w:type="dxa"/>
            <w:vAlign w:val="center"/>
          </w:tcPr>
          <w:p>
            <w:pPr>
              <w:adjustRightInd w:val="0"/>
              <w:snapToGrid w:val="0"/>
              <w:spacing w:line="360" w:lineRule="auto"/>
              <w:jc w:val="center"/>
              <w:rPr>
                <w:rFonts w:ascii="宋体" w:hAnsi="宋体"/>
                <w:kern w:val="0"/>
              </w:rPr>
            </w:pPr>
          </w:p>
        </w:tc>
        <w:tc>
          <w:tcPr>
            <w:tcW w:w="777" w:type="dxa"/>
            <w:vAlign w:val="center"/>
          </w:tcPr>
          <w:p>
            <w:pPr>
              <w:adjustRightInd w:val="0"/>
              <w:snapToGrid w:val="0"/>
              <w:spacing w:line="360" w:lineRule="auto"/>
              <w:jc w:val="center"/>
              <w:rPr>
                <w:rFonts w:ascii="宋体" w:hAnsi="宋体"/>
                <w:kern w:val="0"/>
              </w:rPr>
            </w:pPr>
          </w:p>
        </w:tc>
        <w:tc>
          <w:tcPr>
            <w:tcW w:w="777"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9"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黑体" w:hAnsi="宋体" w:eastAsia="黑体"/>
                <w:kern w:val="0"/>
              </w:rPr>
            </w:pPr>
          </w:p>
        </w:tc>
        <w:tc>
          <w:tcPr>
            <w:tcW w:w="1412" w:type="dxa"/>
            <w:vAlign w:val="center"/>
          </w:tcPr>
          <w:p>
            <w:pPr>
              <w:adjustRightInd w:val="0"/>
              <w:snapToGrid w:val="0"/>
              <w:spacing w:line="360" w:lineRule="auto"/>
              <w:jc w:val="center"/>
              <w:rPr>
                <w:rFonts w:ascii="宋体" w:hAnsi="宋体"/>
                <w:kern w:val="0"/>
              </w:rPr>
            </w:pPr>
          </w:p>
        </w:tc>
        <w:tc>
          <w:tcPr>
            <w:tcW w:w="777" w:type="dxa"/>
            <w:vAlign w:val="center"/>
          </w:tcPr>
          <w:p>
            <w:pPr>
              <w:adjustRightInd w:val="0"/>
              <w:snapToGrid w:val="0"/>
              <w:spacing w:line="360" w:lineRule="auto"/>
              <w:jc w:val="center"/>
              <w:rPr>
                <w:rFonts w:ascii="宋体" w:hAnsi="宋体"/>
                <w:kern w:val="0"/>
              </w:rPr>
            </w:pPr>
          </w:p>
        </w:tc>
        <w:tc>
          <w:tcPr>
            <w:tcW w:w="777"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9"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黑体" w:hAnsi="宋体" w:eastAsia="黑体"/>
                <w:kern w:val="0"/>
              </w:rPr>
            </w:pPr>
          </w:p>
        </w:tc>
        <w:tc>
          <w:tcPr>
            <w:tcW w:w="1412" w:type="dxa"/>
            <w:vAlign w:val="center"/>
          </w:tcPr>
          <w:p>
            <w:pPr>
              <w:adjustRightInd w:val="0"/>
              <w:snapToGrid w:val="0"/>
              <w:spacing w:line="360" w:lineRule="auto"/>
              <w:jc w:val="center"/>
              <w:rPr>
                <w:rFonts w:ascii="宋体" w:hAnsi="宋体"/>
                <w:kern w:val="0"/>
              </w:rPr>
            </w:pPr>
          </w:p>
        </w:tc>
        <w:tc>
          <w:tcPr>
            <w:tcW w:w="777" w:type="dxa"/>
            <w:vAlign w:val="center"/>
          </w:tcPr>
          <w:p>
            <w:pPr>
              <w:adjustRightInd w:val="0"/>
              <w:snapToGrid w:val="0"/>
              <w:spacing w:line="360" w:lineRule="auto"/>
              <w:jc w:val="center"/>
              <w:rPr>
                <w:rFonts w:ascii="宋体" w:hAnsi="宋体"/>
                <w:kern w:val="0"/>
              </w:rPr>
            </w:pPr>
          </w:p>
        </w:tc>
        <w:tc>
          <w:tcPr>
            <w:tcW w:w="777"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9"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3" w:type="dxa"/>
            <w:gridSpan w:val="2"/>
            <w:vAlign w:val="center"/>
          </w:tcPr>
          <w:p>
            <w:pPr>
              <w:adjustRightInd w:val="0"/>
              <w:snapToGrid w:val="0"/>
              <w:spacing w:line="360" w:lineRule="auto"/>
              <w:jc w:val="center"/>
              <w:rPr>
                <w:rFonts w:ascii="宋体" w:hAnsi="宋体"/>
                <w:kern w:val="0"/>
              </w:rPr>
            </w:pPr>
            <w:r>
              <w:rPr>
                <w:rFonts w:hint="eastAsia"/>
                <w:kern w:val="0"/>
              </w:rPr>
              <w:t>是否通过评审</w:t>
            </w:r>
          </w:p>
        </w:tc>
        <w:tc>
          <w:tcPr>
            <w:tcW w:w="777" w:type="dxa"/>
            <w:vAlign w:val="center"/>
          </w:tcPr>
          <w:p>
            <w:pPr>
              <w:adjustRightInd w:val="0"/>
              <w:snapToGrid w:val="0"/>
              <w:spacing w:line="360" w:lineRule="auto"/>
              <w:jc w:val="center"/>
              <w:rPr>
                <w:rFonts w:ascii="宋体" w:hAnsi="宋体"/>
                <w:kern w:val="0"/>
              </w:rPr>
            </w:pPr>
          </w:p>
        </w:tc>
        <w:tc>
          <w:tcPr>
            <w:tcW w:w="777"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5" w:type="dxa"/>
            <w:vAlign w:val="center"/>
          </w:tcPr>
          <w:p>
            <w:pPr>
              <w:adjustRightInd w:val="0"/>
              <w:snapToGrid w:val="0"/>
              <w:spacing w:line="360" w:lineRule="auto"/>
              <w:jc w:val="center"/>
              <w:rPr>
                <w:rFonts w:ascii="宋体" w:hAnsi="宋体"/>
                <w:kern w:val="0"/>
              </w:rPr>
            </w:pPr>
          </w:p>
        </w:tc>
        <w:tc>
          <w:tcPr>
            <w:tcW w:w="779" w:type="dxa"/>
            <w:vAlign w:val="center"/>
          </w:tcPr>
          <w:p>
            <w:pPr>
              <w:adjustRightInd w:val="0"/>
              <w:snapToGrid w:val="0"/>
              <w:spacing w:line="360" w:lineRule="auto"/>
              <w:jc w:val="center"/>
              <w:rPr>
                <w:rFonts w:ascii="宋体" w:hAnsi="宋体"/>
                <w:kern w:val="0"/>
              </w:rPr>
            </w:pPr>
          </w:p>
        </w:tc>
      </w:tr>
    </w:tbl>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r>
        <w:rPr>
          <w:rFonts w:hint="eastAsia" w:ascii="宋体" w:hAnsi="宋体"/>
          <w:kern w:val="0"/>
        </w:rPr>
        <w:t xml:space="preserve">评标委员会（或报价评审组）全体成员签名：                 </w:t>
      </w:r>
    </w:p>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p>
    <w:p>
      <w:pPr>
        <w:adjustRightInd w:val="0"/>
        <w:snapToGrid w:val="0"/>
        <w:spacing w:line="360" w:lineRule="auto"/>
        <w:jc w:val="right"/>
        <w:rPr>
          <w:rFonts w:hint="eastAsia" w:ascii="宋体" w:hAnsi="宋体"/>
          <w:kern w:val="0"/>
        </w:rPr>
      </w:pPr>
    </w:p>
    <w:p>
      <w:pPr>
        <w:adjustRightInd w:val="0"/>
        <w:snapToGrid w:val="0"/>
        <w:spacing w:line="360" w:lineRule="auto"/>
        <w:jc w:val="right"/>
        <w:rPr>
          <w:rFonts w:ascii="宋体" w:hAnsi="宋体"/>
          <w:kern w:val="0"/>
        </w:rPr>
      </w:pPr>
      <w:r>
        <w:rPr>
          <w:rFonts w:hint="eastAsia" w:ascii="宋体" w:hAnsi="宋体"/>
          <w:kern w:val="0"/>
        </w:rPr>
        <w:t>日期：    年   月   日</w:t>
      </w:r>
    </w:p>
    <w:p>
      <w:pPr>
        <w:rPr>
          <w:rFonts w:ascii="仿宋_GB2312" w:eastAsia="仿宋_GB2312"/>
          <w:b/>
          <w:sz w:val="28"/>
          <w:szCs w:val="28"/>
        </w:rPr>
      </w:pPr>
      <w:r>
        <w:br w:type="page"/>
      </w:r>
      <w:r>
        <w:rPr>
          <w:rFonts w:hint="eastAsia" w:ascii="仿宋_GB2312" w:eastAsia="仿宋_GB2312"/>
          <w:b/>
          <w:sz w:val="28"/>
          <w:szCs w:val="28"/>
        </w:rPr>
        <w:t xml:space="preserve">附表4：资格评审记录表 </w:t>
      </w:r>
    </w:p>
    <w:p>
      <w:pPr>
        <w:adjustRightInd w:val="0"/>
        <w:snapToGrid w:val="0"/>
        <w:spacing w:line="360" w:lineRule="auto"/>
        <w:jc w:val="center"/>
        <w:rPr>
          <w:kern w:val="0"/>
          <w:sz w:val="32"/>
          <w:szCs w:val="32"/>
        </w:rPr>
      </w:pPr>
      <w:r>
        <w:rPr>
          <w:rFonts w:hint="eastAsia"/>
          <w:b/>
          <w:kern w:val="0"/>
          <w:sz w:val="32"/>
          <w:szCs w:val="32"/>
        </w:rPr>
        <w:t xml:space="preserve">资格评审记录表 </w:t>
      </w:r>
    </w:p>
    <w:p>
      <w:pPr>
        <w:adjustRightInd w:val="0"/>
        <w:snapToGrid w:val="0"/>
        <w:spacing w:line="360" w:lineRule="auto"/>
        <w:jc w:val="left"/>
        <w:rPr>
          <w:rFonts w:ascii="宋体" w:hAnsi="宋体"/>
          <w:kern w:val="0"/>
        </w:rPr>
      </w:pPr>
      <w:r>
        <w:rPr>
          <w:rFonts w:hint="eastAsia" w:ascii="宋体" w:hAnsi="宋体"/>
          <w:kern w:val="0"/>
        </w:rPr>
        <w:t>工程名称：</w:t>
      </w:r>
      <w:r>
        <w:rPr>
          <w:rFonts w:hint="eastAsia" w:ascii="仿宋_GB2312" w:hAnsi="宋体" w:eastAsia="仿宋_GB2312"/>
          <w:szCs w:val="21"/>
          <w:u w:val="single"/>
        </w:rPr>
        <w:t xml:space="preserve">          </w:t>
      </w:r>
      <w:r>
        <w:rPr>
          <w:rFonts w:hint="eastAsia" w:ascii="宋体" w:hAnsi="宋体"/>
          <w:kern w:val="0"/>
        </w:rPr>
        <w:t>（项目名称）</w:t>
      </w:r>
      <w:r>
        <w:rPr>
          <w:rFonts w:hint="eastAsia" w:ascii="仿宋_GB2312" w:hAnsi="宋体" w:eastAsia="仿宋_GB2312"/>
          <w:szCs w:val="21"/>
          <w:u w:val="single"/>
        </w:rPr>
        <w:t xml:space="preserve">     </w:t>
      </w:r>
      <w:r>
        <w:rPr>
          <w:rFonts w:hint="eastAsia" w:ascii="宋体" w:hAnsi="宋体"/>
          <w:kern w:val="0"/>
        </w:rPr>
        <w:t xml:space="preserve">标段                </w:t>
      </w:r>
      <w:r>
        <w:rPr>
          <w:rFonts w:hint="eastAsia" w:ascii="宋体" w:hAnsi="宋体"/>
          <w:kern w:val="0"/>
          <w:lang w:val="en-US" w:eastAsia="zh-CN"/>
        </w:rPr>
        <w:tab/>
      </w:r>
      <w:r>
        <w:rPr>
          <w:rFonts w:hint="eastAsia" w:ascii="宋体" w:hAnsi="宋体"/>
          <w:kern w:val="0"/>
          <w:lang w:val="en-US" w:eastAsia="zh-CN"/>
        </w:rPr>
        <w:tab/>
      </w:r>
      <w:r>
        <w:rPr>
          <w:rFonts w:hint="eastAsia" w:ascii="宋体" w:hAnsi="宋体"/>
          <w:kern w:val="0"/>
          <w:lang w:val="en-US" w:eastAsia="zh-CN"/>
        </w:rPr>
        <w:tab/>
      </w:r>
      <w:r>
        <w:rPr>
          <w:rFonts w:hint="eastAsia" w:ascii="宋体" w:hAnsi="宋体"/>
          <w:kern w:val="0"/>
        </w:rPr>
        <w:t xml:space="preserve"> </w:t>
      </w:r>
      <w:r>
        <w:rPr>
          <w:rFonts w:hint="eastAsia" w:ascii="宋体" w:hAnsi="宋体"/>
          <w:kern w:val="0"/>
          <w:szCs w:val="21"/>
        </w:rPr>
        <w:t xml:space="preserve">  第  页 共  页</w:t>
      </w:r>
    </w:p>
    <w:tbl>
      <w:tblPr>
        <w:tblStyle w:val="10"/>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11"/>
        <w:gridCol w:w="775"/>
        <w:gridCol w:w="775"/>
        <w:gridCol w:w="777"/>
        <w:gridCol w:w="775"/>
        <w:gridCol w:w="775"/>
        <w:gridCol w:w="777"/>
        <w:gridCol w:w="775"/>
        <w:gridCol w:w="77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restart"/>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1411" w:type="dxa"/>
            <w:vMerge w:val="restart"/>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评审因素</w:t>
            </w:r>
          </w:p>
        </w:tc>
        <w:tc>
          <w:tcPr>
            <w:tcW w:w="6984" w:type="dxa"/>
            <w:gridSpan w:val="9"/>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vAlign w:val="center"/>
          </w:tcPr>
          <w:p>
            <w:pPr>
              <w:adjustRightInd w:val="0"/>
              <w:snapToGrid w:val="0"/>
              <w:spacing w:line="360" w:lineRule="auto"/>
              <w:jc w:val="left"/>
              <w:rPr>
                <w:rFonts w:ascii="宋体" w:hAnsi="宋体"/>
                <w:kern w:val="0"/>
                <w:szCs w:val="21"/>
              </w:rPr>
            </w:pPr>
          </w:p>
        </w:tc>
        <w:tc>
          <w:tcPr>
            <w:tcW w:w="1411" w:type="dxa"/>
            <w:vMerge w:val="continue"/>
            <w:vAlign w:val="center"/>
          </w:tcPr>
          <w:p>
            <w:pPr>
              <w:adjustRightInd w:val="0"/>
              <w:snapToGrid w:val="0"/>
              <w:spacing w:line="360" w:lineRule="auto"/>
              <w:jc w:val="left"/>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2" w:type="dxa"/>
            <w:gridSpan w:val="2"/>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是否通过评审</w:t>
            </w: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bl>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r>
        <w:rPr>
          <w:rFonts w:hint="eastAsia" w:ascii="宋体" w:hAnsi="宋体"/>
          <w:kern w:val="0"/>
        </w:rPr>
        <w:t xml:space="preserve">评标委员会（或报价评审组）全体成员签名：                 </w:t>
      </w:r>
    </w:p>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p>
    <w:p>
      <w:pPr>
        <w:adjustRightInd w:val="0"/>
        <w:snapToGrid w:val="0"/>
        <w:spacing w:line="360" w:lineRule="auto"/>
        <w:jc w:val="right"/>
        <w:rPr>
          <w:rFonts w:hint="eastAsia" w:ascii="宋体" w:hAnsi="宋体"/>
          <w:kern w:val="0"/>
        </w:rPr>
      </w:pPr>
    </w:p>
    <w:p>
      <w:pPr>
        <w:adjustRightInd w:val="0"/>
        <w:snapToGrid w:val="0"/>
        <w:spacing w:line="360" w:lineRule="auto"/>
        <w:jc w:val="right"/>
        <w:rPr>
          <w:rFonts w:ascii="宋体" w:hAnsi="宋体"/>
          <w:kern w:val="0"/>
        </w:rPr>
      </w:pPr>
      <w:r>
        <w:rPr>
          <w:rFonts w:hint="eastAsia" w:ascii="宋体" w:hAnsi="宋体"/>
          <w:kern w:val="0"/>
        </w:rPr>
        <w:t>日期：    年   月   日</w:t>
      </w:r>
    </w:p>
    <w:p>
      <w:pPr>
        <w:rPr>
          <w:rFonts w:ascii="仿宋_GB2312" w:eastAsia="仿宋_GB2312"/>
          <w:b/>
          <w:sz w:val="28"/>
          <w:szCs w:val="28"/>
        </w:rPr>
      </w:pPr>
      <w:r>
        <w:br w:type="page"/>
      </w:r>
      <w:r>
        <w:rPr>
          <w:rFonts w:hint="eastAsia" w:ascii="仿宋_GB2312" w:eastAsia="仿宋_GB2312"/>
          <w:b/>
          <w:sz w:val="28"/>
          <w:szCs w:val="28"/>
        </w:rPr>
        <w:t>附表5：响应性评审记录表</w:t>
      </w:r>
    </w:p>
    <w:p>
      <w:pPr>
        <w:adjustRightInd w:val="0"/>
        <w:snapToGrid w:val="0"/>
        <w:spacing w:line="360" w:lineRule="auto"/>
        <w:jc w:val="center"/>
        <w:rPr>
          <w:kern w:val="0"/>
          <w:sz w:val="32"/>
          <w:szCs w:val="32"/>
        </w:rPr>
      </w:pPr>
      <w:r>
        <w:rPr>
          <w:rFonts w:hint="eastAsia"/>
          <w:b/>
          <w:kern w:val="0"/>
          <w:sz w:val="32"/>
          <w:szCs w:val="32"/>
        </w:rPr>
        <w:t>响应性评审记录表</w:t>
      </w:r>
    </w:p>
    <w:p>
      <w:pPr>
        <w:adjustRightInd w:val="0"/>
        <w:snapToGrid w:val="0"/>
        <w:spacing w:line="360" w:lineRule="auto"/>
        <w:jc w:val="left"/>
        <w:rPr>
          <w:rFonts w:ascii="宋体" w:hAnsi="宋体"/>
          <w:kern w:val="0"/>
        </w:rPr>
      </w:pPr>
      <w:r>
        <w:rPr>
          <w:rFonts w:hint="eastAsia" w:ascii="宋体" w:hAnsi="宋体"/>
          <w:kern w:val="0"/>
        </w:rPr>
        <w:t>工程名称：</w:t>
      </w:r>
      <w:r>
        <w:rPr>
          <w:rFonts w:hint="eastAsia" w:ascii="仿宋_GB2312" w:hAnsi="宋体" w:eastAsia="仿宋_GB2312"/>
          <w:szCs w:val="21"/>
          <w:u w:val="single"/>
        </w:rPr>
        <w:t xml:space="preserve">          </w:t>
      </w:r>
      <w:r>
        <w:rPr>
          <w:rFonts w:hint="eastAsia" w:ascii="宋体" w:hAnsi="宋体"/>
          <w:kern w:val="0"/>
        </w:rPr>
        <w:t>（项目名称）</w:t>
      </w:r>
      <w:r>
        <w:rPr>
          <w:rFonts w:hint="eastAsia" w:ascii="仿宋_GB2312" w:hAnsi="宋体" w:eastAsia="仿宋_GB2312"/>
          <w:szCs w:val="21"/>
          <w:u w:val="single"/>
        </w:rPr>
        <w:t xml:space="preserve">     </w:t>
      </w:r>
      <w:r>
        <w:rPr>
          <w:rFonts w:hint="eastAsia" w:ascii="宋体" w:hAnsi="宋体"/>
          <w:kern w:val="0"/>
        </w:rPr>
        <w:t xml:space="preserve">标段                </w:t>
      </w:r>
      <w:r>
        <w:rPr>
          <w:rFonts w:hint="eastAsia" w:ascii="宋体" w:hAnsi="宋体"/>
          <w:kern w:val="0"/>
          <w:lang w:val="en-US" w:eastAsia="zh-CN"/>
        </w:rPr>
        <w:tab/>
      </w:r>
      <w:r>
        <w:rPr>
          <w:rFonts w:hint="eastAsia" w:ascii="宋体" w:hAnsi="宋体"/>
          <w:kern w:val="0"/>
          <w:lang w:val="en-US" w:eastAsia="zh-CN"/>
        </w:rPr>
        <w:tab/>
      </w:r>
      <w:r>
        <w:rPr>
          <w:rFonts w:hint="eastAsia" w:ascii="宋体" w:hAnsi="宋体"/>
          <w:kern w:val="0"/>
          <w:lang w:val="en-US" w:eastAsia="zh-CN"/>
        </w:rPr>
        <w:tab/>
      </w:r>
      <w:r>
        <w:rPr>
          <w:rFonts w:hint="eastAsia" w:ascii="宋体" w:hAnsi="宋体"/>
          <w:kern w:val="0"/>
        </w:rPr>
        <w:t xml:space="preserve"> </w:t>
      </w:r>
      <w:r>
        <w:rPr>
          <w:rFonts w:hint="eastAsia" w:ascii="宋体" w:hAnsi="宋体"/>
          <w:kern w:val="0"/>
          <w:szCs w:val="21"/>
        </w:rPr>
        <w:t xml:space="preserve">  第  页 共  页</w:t>
      </w:r>
    </w:p>
    <w:tbl>
      <w:tblPr>
        <w:tblStyle w:val="10"/>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11"/>
        <w:gridCol w:w="775"/>
        <w:gridCol w:w="775"/>
        <w:gridCol w:w="777"/>
        <w:gridCol w:w="775"/>
        <w:gridCol w:w="775"/>
        <w:gridCol w:w="777"/>
        <w:gridCol w:w="775"/>
        <w:gridCol w:w="77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restart"/>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1411" w:type="dxa"/>
            <w:vMerge w:val="restart"/>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评审因素</w:t>
            </w:r>
          </w:p>
        </w:tc>
        <w:tc>
          <w:tcPr>
            <w:tcW w:w="6984" w:type="dxa"/>
            <w:gridSpan w:val="9"/>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vAlign w:val="center"/>
          </w:tcPr>
          <w:p>
            <w:pPr>
              <w:adjustRightInd w:val="0"/>
              <w:snapToGrid w:val="0"/>
              <w:spacing w:line="360" w:lineRule="auto"/>
              <w:jc w:val="left"/>
              <w:rPr>
                <w:rFonts w:ascii="宋体" w:hAnsi="宋体"/>
                <w:kern w:val="0"/>
                <w:szCs w:val="21"/>
              </w:rPr>
            </w:pPr>
          </w:p>
        </w:tc>
        <w:tc>
          <w:tcPr>
            <w:tcW w:w="1411" w:type="dxa"/>
            <w:vMerge w:val="continue"/>
            <w:vAlign w:val="center"/>
          </w:tcPr>
          <w:p>
            <w:pPr>
              <w:adjustRightInd w:val="0"/>
              <w:snapToGrid w:val="0"/>
              <w:spacing w:line="360" w:lineRule="auto"/>
              <w:jc w:val="left"/>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adjustRightInd w:val="0"/>
              <w:snapToGrid w:val="0"/>
              <w:spacing w:line="360" w:lineRule="auto"/>
              <w:jc w:val="center"/>
              <w:rPr>
                <w:rFonts w:ascii="宋体" w:hAnsi="宋体"/>
                <w:kern w:val="0"/>
                <w:szCs w:val="21"/>
              </w:rPr>
            </w:pPr>
          </w:p>
        </w:tc>
        <w:tc>
          <w:tcPr>
            <w:tcW w:w="1411"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2" w:type="dxa"/>
            <w:gridSpan w:val="2"/>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是否通过评审</w:t>
            </w: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7"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75" w:type="dxa"/>
            <w:vAlign w:val="center"/>
          </w:tcPr>
          <w:p>
            <w:pPr>
              <w:adjustRightInd w:val="0"/>
              <w:snapToGrid w:val="0"/>
              <w:spacing w:line="360" w:lineRule="auto"/>
              <w:jc w:val="center"/>
              <w:rPr>
                <w:rFonts w:ascii="宋体" w:hAnsi="宋体"/>
                <w:kern w:val="0"/>
                <w:szCs w:val="21"/>
              </w:rPr>
            </w:pPr>
          </w:p>
        </w:tc>
        <w:tc>
          <w:tcPr>
            <w:tcW w:w="780" w:type="dxa"/>
            <w:vAlign w:val="center"/>
          </w:tcPr>
          <w:p>
            <w:pPr>
              <w:adjustRightInd w:val="0"/>
              <w:snapToGrid w:val="0"/>
              <w:spacing w:line="360" w:lineRule="auto"/>
              <w:jc w:val="center"/>
              <w:rPr>
                <w:rFonts w:ascii="宋体" w:hAnsi="宋体"/>
                <w:kern w:val="0"/>
                <w:szCs w:val="21"/>
              </w:rPr>
            </w:pPr>
          </w:p>
        </w:tc>
      </w:tr>
    </w:tbl>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r>
        <w:rPr>
          <w:rFonts w:hint="eastAsia" w:ascii="宋体" w:hAnsi="宋体"/>
          <w:kern w:val="0"/>
        </w:rPr>
        <w:t xml:space="preserve">评标委员会（或报价评审组）全体成员签名：                 </w:t>
      </w:r>
    </w:p>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p>
    <w:p>
      <w:pPr>
        <w:adjustRightInd w:val="0"/>
        <w:snapToGrid w:val="0"/>
        <w:spacing w:line="360" w:lineRule="auto"/>
        <w:jc w:val="right"/>
        <w:rPr>
          <w:rFonts w:hint="eastAsia" w:ascii="宋体" w:hAnsi="宋体"/>
          <w:kern w:val="0"/>
        </w:rPr>
      </w:pPr>
    </w:p>
    <w:p>
      <w:pPr>
        <w:jc w:val="left"/>
        <w:rPr>
          <w:rFonts w:hint="eastAsia" w:ascii="仿宋_GB2312" w:eastAsia="仿宋_GB2312"/>
          <w:b/>
          <w:sz w:val="28"/>
          <w:szCs w:val="28"/>
        </w:rPr>
      </w:pPr>
      <w:r>
        <w:rPr>
          <w:rFonts w:hint="eastAsia" w:ascii="宋体" w:hAnsi="宋体"/>
          <w:kern w:val="0"/>
        </w:rPr>
        <w:t>日期：    年   月   日</w:t>
      </w:r>
      <w:r>
        <w:br w:type="page"/>
      </w:r>
      <w:r>
        <w:rPr>
          <w:rFonts w:hint="eastAsia" w:ascii="仿宋_GB2312" w:eastAsia="仿宋_GB2312"/>
          <w:b/>
          <w:sz w:val="28"/>
          <w:szCs w:val="28"/>
        </w:rPr>
        <w:t>附表6：项目管理机构评审记录表</w:t>
      </w:r>
    </w:p>
    <w:p>
      <w:pPr>
        <w:jc w:val="left"/>
        <w:rPr>
          <w:rFonts w:hint="eastAsia" w:ascii="仿宋_GB2312" w:eastAsia="仿宋_GB2312"/>
          <w:b/>
          <w:sz w:val="28"/>
          <w:szCs w:val="28"/>
        </w:rPr>
      </w:pPr>
    </w:p>
    <w:p>
      <w:pPr>
        <w:adjustRightInd w:val="0"/>
        <w:snapToGrid w:val="0"/>
        <w:spacing w:line="360" w:lineRule="auto"/>
        <w:jc w:val="center"/>
        <w:rPr>
          <w:kern w:val="0"/>
          <w:sz w:val="32"/>
          <w:szCs w:val="32"/>
        </w:rPr>
      </w:pPr>
      <w:r>
        <w:rPr>
          <w:rFonts w:hint="eastAsia"/>
          <w:b/>
          <w:kern w:val="0"/>
          <w:sz w:val="32"/>
          <w:szCs w:val="32"/>
        </w:rPr>
        <w:t>项目管理机构评审记录表</w:t>
      </w:r>
    </w:p>
    <w:p>
      <w:pPr>
        <w:adjustRightInd w:val="0"/>
        <w:snapToGrid w:val="0"/>
        <w:spacing w:line="360" w:lineRule="auto"/>
        <w:jc w:val="left"/>
        <w:rPr>
          <w:rFonts w:ascii="宋体" w:hAnsi="宋体"/>
          <w:kern w:val="0"/>
        </w:rPr>
      </w:pPr>
      <w:r>
        <w:rPr>
          <w:rFonts w:hint="eastAsia" w:ascii="宋体" w:hAnsi="宋体"/>
          <w:kern w:val="0"/>
        </w:rPr>
        <w:t>工程名称：</w:t>
      </w:r>
      <w:r>
        <w:rPr>
          <w:rFonts w:hint="eastAsia" w:ascii="仿宋_GB2312" w:hAnsi="宋体" w:eastAsia="仿宋_GB2312"/>
          <w:szCs w:val="21"/>
          <w:u w:val="single"/>
        </w:rPr>
        <w:t xml:space="preserve">          </w:t>
      </w:r>
      <w:r>
        <w:rPr>
          <w:rFonts w:hint="eastAsia" w:ascii="宋体" w:hAnsi="宋体"/>
          <w:kern w:val="0"/>
        </w:rPr>
        <w:t>（项目名称）</w:t>
      </w:r>
      <w:r>
        <w:rPr>
          <w:rFonts w:hint="eastAsia" w:ascii="仿宋_GB2312" w:hAnsi="宋体" w:eastAsia="仿宋_GB2312"/>
          <w:szCs w:val="21"/>
          <w:u w:val="single"/>
        </w:rPr>
        <w:t xml:space="preserve">     </w:t>
      </w:r>
      <w:r>
        <w:rPr>
          <w:rFonts w:hint="eastAsia" w:ascii="宋体" w:hAnsi="宋体"/>
          <w:kern w:val="0"/>
        </w:rPr>
        <w:t xml:space="preserve">标段                </w:t>
      </w:r>
      <w:r>
        <w:rPr>
          <w:rFonts w:hint="eastAsia" w:ascii="宋体" w:hAnsi="宋体"/>
          <w:kern w:val="0"/>
          <w:lang w:val="en-US" w:eastAsia="zh-CN"/>
        </w:rPr>
        <w:tab/>
      </w:r>
      <w:r>
        <w:rPr>
          <w:rFonts w:hint="eastAsia" w:ascii="宋体" w:hAnsi="宋体"/>
          <w:kern w:val="0"/>
          <w:lang w:val="en-US" w:eastAsia="zh-CN"/>
        </w:rPr>
        <w:tab/>
      </w:r>
      <w:r>
        <w:rPr>
          <w:rFonts w:hint="eastAsia" w:ascii="宋体" w:hAnsi="宋体"/>
          <w:kern w:val="0"/>
          <w:lang w:val="en-US" w:eastAsia="zh-CN"/>
        </w:rPr>
        <w:tab/>
      </w:r>
      <w:r>
        <w:rPr>
          <w:rFonts w:hint="eastAsia" w:ascii="宋体" w:hAnsi="宋体"/>
          <w:kern w:val="0"/>
        </w:rPr>
        <w:t xml:space="preserve"> </w:t>
      </w:r>
      <w:r>
        <w:rPr>
          <w:rFonts w:hint="eastAsia" w:ascii="宋体" w:hAnsi="宋体"/>
          <w:kern w:val="0"/>
          <w:szCs w:val="21"/>
        </w:rPr>
        <w:t xml:space="preserve">  第  页 共  页</w:t>
      </w:r>
    </w:p>
    <w:tbl>
      <w:tblPr>
        <w:tblStyle w:val="10"/>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757"/>
        <w:gridCol w:w="737"/>
        <w:gridCol w:w="738"/>
        <w:gridCol w:w="737"/>
        <w:gridCol w:w="737"/>
        <w:gridCol w:w="737"/>
        <w:gridCol w:w="737"/>
        <w:gridCol w:w="737"/>
        <w:gridCol w:w="737"/>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restart"/>
            <w:vAlign w:val="center"/>
          </w:tcPr>
          <w:p>
            <w:pPr>
              <w:adjustRightInd w:val="0"/>
              <w:snapToGrid w:val="0"/>
              <w:spacing w:line="360" w:lineRule="auto"/>
              <w:jc w:val="center"/>
              <w:rPr>
                <w:rFonts w:ascii="宋体" w:hAnsi="宋体"/>
                <w:kern w:val="0"/>
              </w:rPr>
            </w:pPr>
            <w:r>
              <w:rPr>
                <w:rFonts w:hint="eastAsia" w:ascii="宋体" w:hAnsi="宋体"/>
                <w:kern w:val="0"/>
              </w:rPr>
              <w:t>序号</w:t>
            </w:r>
          </w:p>
        </w:tc>
        <w:tc>
          <w:tcPr>
            <w:tcW w:w="1757" w:type="dxa"/>
            <w:vMerge w:val="restart"/>
            <w:vAlign w:val="center"/>
          </w:tcPr>
          <w:p>
            <w:pPr>
              <w:adjustRightInd w:val="0"/>
              <w:snapToGrid w:val="0"/>
              <w:spacing w:line="360" w:lineRule="auto"/>
              <w:jc w:val="center"/>
              <w:rPr>
                <w:rFonts w:ascii="宋体" w:hAnsi="宋体"/>
                <w:kern w:val="0"/>
              </w:rPr>
            </w:pPr>
            <w:r>
              <w:rPr>
                <w:rFonts w:hint="eastAsia" w:ascii="宋体" w:hAnsi="宋体"/>
                <w:kern w:val="0"/>
              </w:rPr>
              <w:t>评审因素</w:t>
            </w:r>
          </w:p>
        </w:tc>
        <w:tc>
          <w:tcPr>
            <w:tcW w:w="6634" w:type="dxa"/>
            <w:gridSpan w:val="9"/>
            <w:vAlign w:val="center"/>
          </w:tcPr>
          <w:p>
            <w:pPr>
              <w:adjustRightInd w:val="0"/>
              <w:snapToGrid w:val="0"/>
              <w:spacing w:line="360" w:lineRule="auto"/>
              <w:jc w:val="center"/>
              <w:rPr>
                <w:rFonts w:ascii="宋体" w:hAnsi="宋体"/>
                <w:kern w:val="0"/>
              </w:rPr>
            </w:pPr>
            <w:r>
              <w:rPr>
                <w:rFonts w:hint="eastAsia" w:ascii="宋体" w:hAnsi="宋体"/>
                <w:kern w:val="0"/>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Merge w:val="continue"/>
            <w:vAlign w:val="center"/>
          </w:tcPr>
          <w:p>
            <w:pPr>
              <w:adjustRightInd w:val="0"/>
              <w:snapToGrid w:val="0"/>
              <w:spacing w:line="360" w:lineRule="auto"/>
              <w:jc w:val="left"/>
              <w:rPr>
                <w:rFonts w:ascii="宋体" w:hAnsi="宋体"/>
                <w:kern w:val="0"/>
              </w:rPr>
            </w:pPr>
          </w:p>
        </w:tc>
        <w:tc>
          <w:tcPr>
            <w:tcW w:w="1757" w:type="dxa"/>
            <w:vMerge w:val="continue"/>
            <w:vAlign w:val="center"/>
          </w:tcPr>
          <w:p>
            <w:pPr>
              <w:adjustRightInd w:val="0"/>
              <w:snapToGrid w:val="0"/>
              <w:spacing w:line="360" w:lineRule="auto"/>
              <w:jc w:val="left"/>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8"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kern w:val="0"/>
              </w:rPr>
            </w:pPr>
          </w:p>
        </w:tc>
        <w:tc>
          <w:tcPr>
            <w:tcW w:w="175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8"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kern w:val="0"/>
              </w:rPr>
            </w:pPr>
          </w:p>
        </w:tc>
        <w:tc>
          <w:tcPr>
            <w:tcW w:w="175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8"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kern w:val="0"/>
              </w:rPr>
            </w:pPr>
          </w:p>
        </w:tc>
        <w:tc>
          <w:tcPr>
            <w:tcW w:w="175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8"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kern w:val="0"/>
              </w:rPr>
            </w:pPr>
          </w:p>
        </w:tc>
        <w:tc>
          <w:tcPr>
            <w:tcW w:w="175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8"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kern w:val="0"/>
              </w:rPr>
            </w:pPr>
          </w:p>
        </w:tc>
        <w:tc>
          <w:tcPr>
            <w:tcW w:w="175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8"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kern w:val="0"/>
              </w:rPr>
            </w:pPr>
          </w:p>
        </w:tc>
        <w:tc>
          <w:tcPr>
            <w:tcW w:w="175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8"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kern w:val="0"/>
              </w:rPr>
            </w:pPr>
          </w:p>
        </w:tc>
        <w:tc>
          <w:tcPr>
            <w:tcW w:w="175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8"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adjustRightInd w:val="0"/>
              <w:snapToGrid w:val="0"/>
              <w:spacing w:line="360" w:lineRule="auto"/>
              <w:jc w:val="center"/>
              <w:rPr>
                <w:rFonts w:ascii="宋体" w:hAnsi="宋体"/>
                <w:kern w:val="0"/>
              </w:rPr>
            </w:pPr>
          </w:p>
        </w:tc>
        <w:tc>
          <w:tcPr>
            <w:tcW w:w="175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8"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2" w:type="dxa"/>
            <w:gridSpan w:val="2"/>
            <w:vAlign w:val="center"/>
          </w:tcPr>
          <w:p>
            <w:pPr>
              <w:adjustRightInd w:val="0"/>
              <w:snapToGrid w:val="0"/>
              <w:spacing w:line="360" w:lineRule="auto"/>
              <w:jc w:val="center"/>
              <w:rPr>
                <w:rFonts w:ascii="宋体" w:hAnsi="宋体"/>
                <w:kern w:val="0"/>
              </w:rPr>
            </w:pPr>
            <w:r>
              <w:rPr>
                <w:rFonts w:hint="eastAsia" w:ascii="宋体" w:hAnsi="宋体"/>
                <w:kern w:val="0"/>
              </w:rPr>
              <w:t>评审结果汇总</w:t>
            </w:r>
          </w:p>
        </w:tc>
        <w:tc>
          <w:tcPr>
            <w:tcW w:w="737" w:type="dxa"/>
            <w:vAlign w:val="center"/>
          </w:tcPr>
          <w:p>
            <w:pPr>
              <w:adjustRightInd w:val="0"/>
              <w:snapToGrid w:val="0"/>
              <w:spacing w:line="360" w:lineRule="auto"/>
              <w:jc w:val="center"/>
              <w:rPr>
                <w:rFonts w:ascii="宋体" w:hAnsi="宋体"/>
                <w:kern w:val="0"/>
              </w:rPr>
            </w:pPr>
          </w:p>
        </w:tc>
        <w:tc>
          <w:tcPr>
            <w:tcW w:w="738"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2" w:type="dxa"/>
            <w:gridSpan w:val="2"/>
            <w:vAlign w:val="center"/>
          </w:tcPr>
          <w:p>
            <w:pPr>
              <w:adjustRightInd w:val="0"/>
              <w:snapToGrid w:val="0"/>
              <w:spacing w:line="360" w:lineRule="auto"/>
              <w:jc w:val="center"/>
              <w:rPr>
                <w:rFonts w:ascii="宋体" w:hAnsi="宋体"/>
                <w:kern w:val="0"/>
              </w:rPr>
            </w:pPr>
            <w:r>
              <w:rPr>
                <w:rFonts w:hint="eastAsia" w:ascii="宋体" w:hAnsi="宋体"/>
                <w:kern w:val="0"/>
              </w:rPr>
              <w:t>是否通过评审</w:t>
            </w:r>
          </w:p>
        </w:tc>
        <w:tc>
          <w:tcPr>
            <w:tcW w:w="737" w:type="dxa"/>
            <w:vAlign w:val="center"/>
          </w:tcPr>
          <w:p>
            <w:pPr>
              <w:adjustRightInd w:val="0"/>
              <w:snapToGrid w:val="0"/>
              <w:spacing w:line="360" w:lineRule="auto"/>
              <w:jc w:val="center"/>
              <w:rPr>
                <w:rFonts w:ascii="宋体" w:hAnsi="宋体"/>
                <w:kern w:val="0"/>
              </w:rPr>
            </w:pPr>
          </w:p>
        </w:tc>
        <w:tc>
          <w:tcPr>
            <w:tcW w:w="738"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c>
          <w:tcPr>
            <w:tcW w:w="737" w:type="dxa"/>
            <w:vAlign w:val="center"/>
          </w:tcPr>
          <w:p>
            <w:pPr>
              <w:adjustRightInd w:val="0"/>
              <w:snapToGrid w:val="0"/>
              <w:spacing w:line="360" w:lineRule="auto"/>
              <w:jc w:val="center"/>
              <w:rPr>
                <w:rFonts w:ascii="宋体" w:hAnsi="宋体"/>
                <w:kern w:val="0"/>
              </w:rPr>
            </w:pPr>
          </w:p>
        </w:tc>
      </w:tr>
    </w:tbl>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r>
        <w:rPr>
          <w:rFonts w:hint="eastAsia" w:ascii="宋体" w:hAnsi="宋体"/>
          <w:kern w:val="0"/>
        </w:rPr>
        <w:t xml:space="preserve">评标委员会（或报价评审组）全体成员签名：                 </w:t>
      </w:r>
    </w:p>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p>
    <w:p>
      <w:pPr>
        <w:adjustRightInd w:val="0"/>
        <w:snapToGrid w:val="0"/>
        <w:spacing w:line="360" w:lineRule="auto"/>
        <w:jc w:val="right"/>
        <w:rPr>
          <w:rFonts w:hint="eastAsia" w:ascii="宋体" w:hAnsi="宋体"/>
          <w:kern w:val="0"/>
        </w:rPr>
      </w:pPr>
    </w:p>
    <w:p>
      <w:pPr>
        <w:adjustRightInd w:val="0"/>
        <w:snapToGrid w:val="0"/>
        <w:spacing w:line="360" w:lineRule="auto"/>
        <w:jc w:val="right"/>
        <w:rPr>
          <w:rFonts w:ascii="宋体" w:hAnsi="宋体"/>
          <w:kern w:val="0"/>
        </w:rPr>
      </w:pPr>
      <w:r>
        <w:rPr>
          <w:rFonts w:hint="eastAsia" w:ascii="宋体" w:hAnsi="宋体"/>
          <w:kern w:val="0"/>
        </w:rPr>
        <w:t>日期：    年   月   日</w:t>
      </w:r>
    </w:p>
    <w:p>
      <w:pPr>
        <w:rPr>
          <w:rFonts w:ascii="仿宋_GB2312" w:eastAsia="仿宋_GB2312"/>
          <w:b/>
          <w:sz w:val="28"/>
          <w:szCs w:val="28"/>
        </w:rPr>
      </w:pPr>
      <w:r>
        <w:br w:type="page"/>
      </w:r>
      <w:r>
        <w:rPr>
          <w:rFonts w:hint="eastAsia" w:ascii="仿宋_GB2312" w:eastAsia="仿宋_GB2312"/>
          <w:b/>
          <w:sz w:val="28"/>
          <w:szCs w:val="28"/>
        </w:rPr>
        <w:t>附表7：评标结果汇总表</w:t>
      </w:r>
    </w:p>
    <w:p>
      <w:pPr>
        <w:adjustRightInd w:val="0"/>
        <w:snapToGrid w:val="0"/>
        <w:spacing w:line="360" w:lineRule="auto"/>
        <w:jc w:val="center"/>
        <w:rPr>
          <w:kern w:val="0"/>
          <w:sz w:val="32"/>
          <w:szCs w:val="32"/>
        </w:rPr>
      </w:pPr>
      <w:r>
        <w:rPr>
          <w:rFonts w:hint="eastAsia"/>
          <w:b/>
          <w:kern w:val="0"/>
          <w:sz w:val="32"/>
          <w:szCs w:val="32"/>
        </w:rPr>
        <w:t>评标结果汇总表</w:t>
      </w:r>
    </w:p>
    <w:p>
      <w:pPr>
        <w:adjustRightInd w:val="0"/>
        <w:snapToGrid w:val="0"/>
        <w:spacing w:line="360" w:lineRule="auto"/>
        <w:jc w:val="left"/>
        <w:rPr>
          <w:rFonts w:ascii="宋体" w:hAnsi="宋体"/>
          <w:kern w:val="0"/>
          <w:sz w:val="10"/>
          <w:szCs w:val="10"/>
        </w:rPr>
      </w:pPr>
      <w:r>
        <w:rPr>
          <w:rFonts w:hint="eastAsia" w:ascii="宋体" w:hAnsi="宋体"/>
          <w:kern w:val="0"/>
        </w:rPr>
        <w:t>工程名称：</w:t>
      </w:r>
      <w:r>
        <w:rPr>
          <w:rFonts w:hint="eastAsia" w:ascii="仿宋_GB2312" w:hAnsi="宋体" w:eastAsia="仿宋_GB2312"/>
          <w:szCs w:val="21"/>
          <w:u w:val="single"/>
        </w:rPr>
        <w:t xml:space="preserve">          </w:t>
      </w:r>
      <w:r>
        <w:rPr>
          <w:rFonts w:hint="eastAsia" w:ascii="宋体" w:hAnsi="宋体"/>
          <w:kern w:val="0"/>
        </w:rPr>
        <w:t>（项目名称）</w:t>
      </w:r>
      <w:r>
        <w:rPr>
          <w:rFonts w:hint="eastAsia" w:ascii="仿宋_GB2312" w:hAnsi="宋体" w:eastAsia="仿宋_GB2312"/>
          <w:szCs w:val="21"/>
          <w:u w:val="single"/>
        </w:rPr>
        <w:t xml:space="preserve">     </w:t>
      </w:r>
      <w:r>
        <w:rPr>
          <w:rFonts w:hint="eastAsia" w:ascii="宋体" w:hAnsi="宋体"/>
          <w:kern w:val="0"/>
        </w:rPr>
        <w:t xml:space="preserve">标段                </w:t>
      </w:r>
      <w:r>
        <w:rPr>
          <w:rFonts w:hint="eastAsia" w:ascii="宋体" w:hAnsi="宋体"/>
          <w:kern w:val="0"/>
          <w:lang w:val="en-US" w:eastAsia="zh-CN"/>
        </w:rPr>
        <w:tab/>
      </w:r>
      <w:r>
        <w:rPr>
          <w:rFonts w:hint="eastAsia" w:ascii="宋体" w:hAnsi="宋体"/>
          <w:kern w:val="0"/>
          <w:lang w:val="en-US" w:eastAsia="zh-CN"/>
        </w:rPr>
        <w:tab/>
      </w:r>
      <w:r>
        <w:rPr>
          <w:rFonts w:hint="eastAsia" w:ascii="宋体" w:hAnsi="宋体"/>
          <w:kern w:val="0"/>
          <w:lang w:val="en-US" w:eastAsia="zh-CN"/>
        </w:rPr>
        <w:tab/>
      </w:r>
      <w:r>
        <w:rPr>
          <w:rFonts w:hint="eastAsia" w:ascii="宋体" w:hAnsi="宋体"/>
          <w:kern w:val="0"/>
        </w:rPr>
        <w:t xml:space="preserve"> </w:t>
      </w:r>
      <w:r>
        <w:rPr>
          <w:rFonts w:hint="eastAsia" w:ascii="宋体" w:hAnsi="宋体"/>
          <w:kern w:val="0"/>
          <w:szCs w:val="21"/>
        </w:rPr>
        <w:t xml:space="preserve">  第  页 共  页</w:t>
      </w:r>
    </w:p>
    <w:tbl>
      <w:tblPr>
        <w:tblStyle w:val="10"/>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645"/>
        <w:gridCol w:w="963"/>
        <w:gridCol w:w="964"/>
        <w:gridCol w:w="1325"/>
        <w:gridCol w:w="1325"/>
        <w:gridCol w:w="1329"/>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9" w:type="dxa"/>
            <w:vMerge w:val="restart"/>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1645" w:type="dxa"/>
            <w:vMerge w:val="restart"/>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投标人名称</w:t>
            </w:r>
          </w:p>
        </w:tc>
        <w:tc>
          <w:tcPr>
            <w:tcW w:w="1927" w:type="dxa"/>
            <w:gridSpan w:val="2"/>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初步评审</w:t>
            </w:r>
          </w:p>
        </w:tc>
        <w:tc>
          <w:tcPr>
            <w:tcW w:w="3979" w:type="dxa"/>
            <w:gridSpan w:val="3"/>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详细评审</w:t>
            </w:r>
          </w:p>
        </w:tc>
        <w:tc>
          <w:tcPr>
            <w:tcW w:w="966" w:type="dxa"/>
            <w:vMerge w:val="restart"/>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9" w:type="dxa"/>
            <w:vMerge w:val="continue"/>
            <w:vAlign w:val="center"/>
          </w:tcPr>
          <w:p>
            <w:pPr>
              <w:adjustRightInd w:val="0"/>
              <w:snapToGrid w:val="0"/>
              <w:spacing w:line="360" w:lineRule="auto"/>
              <w:jc w:val="left"/>
              <w:rPr>
                <w:rFonts w:ascii="宋体" w:hAnsi="宋体"/>
                <w:kern w:val="0"/>
                <w:szCs w:val="21"/>
              </w:rPr>
            </w:pPr>
          </w:p>
        </w:tc>
        <w:tc>
          <w:tcPr>
            <w:tcW w:w="1645" w:type="dxa"/>
            <w:vMerge w:val="continue"/>
            <w:vAlign w:val="center"/>
          </w:tcPr>
          <w:p>
            <w:pPr>
              <w:adjustRightInd w:val="0"/>
              <w:snapToGrid w:val="0"/>
              <w:spacing w:line="360" w:lineRule="auto"/>
              <w:jc w:val="left"/>
              <w:rPr>
                <w:rFonts w:ascii="宋体" w:hAnsi="宋体"/>
                <w:kern w:val="0"/>
                <w:szCs w:val="21"/>
              </w:rPr>
            </w:pPr>
          </w:p>
        </w:tc>
        <w:tc>
          <w:tcPr>
            <w:tcW w:w="963"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合格</w:t>
            </w:r>
          </w:p>
        </w:tc>
        <w:tc>
          <w:tcPr>
            <w:tcW w:w="96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不合格</w:t>
            </w:r>
          </w:p>
        </w:tc>
        <w:tc>
          <w:tcPr>
            <w:tcW w:w="132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投标报价</w:t>
            </w:r>
          </w:p>
        </w:tc>
        <w:tc>
          <w:tcPr>
            <w:tcW w:w="132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是否低于</w:t>
            </w:r>
          </w:p>
          <w:p>
            <w:pPr>
              <w:adjustRightInd w:val="0"/>
              <w:snapToGrid w:val="0"/>
              <w:spacing w:line="360" w:lineRule="auto"/>
              <w:jc w:val="center"/>
              <w:rPr>
                <w:rFonts w:ascii="宋体" w:hAnsi="宋体"/>
                <w:kern w:val="0"/>
                <w:szCs w:val="21"/>
              </w:rPr>
            </w:pPr>
            <w:r>
              <w:rPr>
                <w:rFonts w:hint="eastAsia" w:ascii="宋体" w:hAnsi="宋体"/>
                <w:kern w:val="0"/>
                <w:szCs w:val="21"/>
              </w:rPr>
              <w:t>成本</w:t>
            </w:r>
          </w:p>
        </w:tc>
        <w:tc>
          <w:tcPr>
            <w:tcW w:w="1329"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排序</w:t>
            </w:r>
          </w:p>
        </w:tc>
        <w:tc>
          <w:tcPr>
            <w:tcW w:w="966" w:type="dxa"/>
            <w:vMerge w:val="continue"/>
            <w:vAlign w:val="center"/>
          </w:tcPr>
          <w:p>
            <w:pPr>
              <w:adjustRightInd w:val="0"/>
              <w:snapToGrid w:val="0"/>
              <w:spacing w:line="360" w:lineRule="auto"/>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9" w:type="dxa"/>
            <w:vAlign w:val="center"/>
          </w:tcPr>
          <w:p>
            <w:pPr>
              <w:adjustRightInd w:val="0"/>
              <w:snapToGrid w:val="0"/>
              <w:spacing w:line="360" w:lineRule="auto"/>
              <w:jc w:val="center"/>
              <w:rPr>
                <w:rFonts w:ascii="黑体" w:hAnsi="宋体" w:eastAsia="黑体"/>
                <w:kern w:val="0"/>
                <w:szCs w:val="21"/>
              </w:rPr>
            </w:pPr>
          </w:p>
        </w:tc>
        <w:tc>
          <w:tcPr>
            <w:tcW w:w="1645" w:type="dxa"/>
            <w:vAlign w:val="center"/>
          </w:tcPr>
          <w:p>
            <w:pPr>
              <w:adjustRightInd w:val="0"/>
              <w:snapToGrid w:val="0"/>
              <w:spacing w:line="360" w:lineRule="auto"/>
              <w:jc w:val="center"/>
              <w:rPr>
                <w:rFonts w:ascii="宋体" w:hAnsi="宋体"/>
                <w:kern w:val="0"/>
                <w:szCs w:val="21"/>
              </w:rPr>
            </w:pPr>
          </w:p>
        </w:tc>
        <w:tc>
          <w:tcPr>
            <w:tcW w:w="963" w:type="dxa"/>
            <w:vAlign w:val="center"/>
          </w:tcPr>
          <w:p>
            <w:pPr>
              <w:adjustRightInd w:val="0"/>
              <w:snapToGrid w:val="0"/>
              <w:spacing w:line="360" w:lineRule="auto"/>
              <w:jc w:val="center"/>
              <w:rPr>
                <w:rFonts w:ascii="宋体" w:hAnsi="宋体"/>
                <w:kern w:val="0"/>
                <w:szCs w:val="21"/>
              </w:rPr>
            </w:pPr>
          </w:p>
        </w:tc>
        <w:tc>
          <w:tcPr>
            <w:tcW w:w="964" w:type="dxa"/>
            <w:vAlign w:val="center"/>
          </w:tcPr>
          <w:p>
            <w:pPr>
              <w:adjustRightInd w:val="0"/>
              <w:snapToGrid w:val="0"/>
              <w:spacing w:line="360" w:lineRule="auto"/>
              <w:jc w:val="center"/>
              <w:rPr>
                <w:rFonts w:ascii="宋体" w:hAnsi="宋体"/>
                <w:kern w:val="0"/>
                <w:szCs w:val="21"/>
              </w:rPr>
            </w:pPr>
          </w:p>
        </w:tc>
        <w:tc>
          <w:tcPr>
            <w:tcW w:w="1325" w:type="dxa"/>
            <w:vAlign w:val="center"/>
          </w:tcPr>
          <w:p>
            <w:pPr>
              <w:adjustRightInd w:val="0"/>
              <w:snapToGrid w:val="0"/>
              <w:spacing w:line="360" w:lineRule="auto"/>
              <w:jc w:val="center"/>
              <w:rPr>
                <w:rFonts w:ascii="宋体" w:hAnsi="宋体"/>
                <w:kern w:val="0"/>
                <w:szCs w:val="21"/>
              </w:rPr>
            </w:pPr>
          </w:p>
        </w:tc>
        <w:tc>
          <w:tcPr>
            <w:tcW w:w="1325" w:type="dxa"/>
            <w:vAlign w:val="center"/>
          </w:tcPr>
          <w:p>
            <w:pPr>
              <w:adjustRightInd w:val="0"/>
              <w:snapToGrid w:val="0"/>
              <w:spacing w:line="360" w:lineRule="auto"/>
              <w:jc w:val="center"/>
              <w:rPr>
                <w:rFonts w:ascii="宋体" w:hAnsi="宋体"/>
                <w:kern w:val="0"/>
                <w:szCs w:val="21"/>
              </w:rPr>
            </w:pPr>
          </w:p>
        </w:tc>
        <w:tc>
          <w:tcPr>
            <w:tcW w:w="1329" w:type="dxa"/>
            <w:vAlign w:val="center"/>
          </w:tcPr>
          <w:p>
            <w:pPr>
              <w:adjustRightInd w:val="0"/>
              <w:snapToGrid w:val="0"/>
              <w:spacing w:line="360" w:lineRule="auto"/>
              <w:jc w:val="center"/>
              <w:rPr>
                <w:rFonts w:ascii="宋体" w:hAnsi="宋体"/>
                <w:kern w:val="0"/>
                <w:szCs w:val="21"/>
              </w:rPr>
            </w:pPr>
          </w:p>
        </w:tc>
        <w:tc>
          <w:tcPr>
            <w:tcW w:w="966"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9" w:type="dxa"/>
            <w:vAlign w:val="center"/>
          </w:tcPr>
          <w:p>
            <w:pPr>
              <w:adjustRightInd w:val="0"/>
              <w:snapToGrid w:val="0"/>
              <w:spacing w:line="360" w:lineRule="auto"/>
              <w:jc w:val="center"/>
              <w:rPr>
                <w:rFonts w:ascii="黑体" w:hAnsi="宋体" w:eastAsia="黑体"/>
                <w:kern w:val="0"/>
                <w:szCs w:val="21"/>
              </w:rPr>
            </w:pPr>
          </w:p>
        </w:tc>
        <w:tc>
          <w:tcPr>
            <w:tcW w:w="1645" w:type="dxa"/>
            <w:vAlign w:val="center"/>
          </w:tcPr>
          <w:p>
            <w:pPr>
              <w:adjustRightInd w:val="0"/>
              <w:snapToGrid w:val="0"/>
              <w:spacing w:line="360" w:lineRule="auto"/>
              <w:jc w:val="center"/>
              <w:rPr>
                <w:rFonts w:ascii="宋体" w:hAnsi="宋体"/>
                <w:kern w:val="0"/>
                <w:szCs w:val="21"/>
              </w:rPr>
            </w:pPr>
          </w:p>
        </w:tc>
        <w:tc>
          <w:tcPr>
            <w:tcW w:w="963" w:type="dxa"/>
            <w:vAlign w:val="center"/>
          </w:tcPr>
          <w:p>
            <w:pPr>
              <w:adjustRightInd w:val="0"/>
              <w:snapToGrid w:val="0"/>
              <w:spacing w:line="360" w:lineRule="auto"/>
              <w:jc w:val="center"/>
              <w:rPr>
                <w:rFonts w:ascii="宋体" w:hAnsi="宋体"/>
                <w:kern w:val="0"/>
                <w:szCs w:val="21"/>
              </w:rPr>
            </w:pPr>
          </w:p>
        </w:tc>
        <w:tc>
          <w:tcPr>
            <w:tcW w:w="964" w:type="dxa"/>
            <w:vAlign w:val="center"/>
          </w:tcPr>
          <w:p>
            <w:pPr>
              <w:adjustRightInd w:val="0"/>
              <w:snapToGrid w:val="0"/>
              <w:spacing w:line="360" w:lineRule="auto"/>
              <w:jc w:val="center"/>
              <w:rPr>
                <w:rFonts w:ascii="宋体" w:hAnsi="宋体"/>
                <w:kern w:val="0"/>
                <w:szCs w:val="21"/>
              </w:rPr>
            </w:pPr>
          </w:p>
        </w:tc>
        <w:tc>
          <w:tcPr>
            <w:tcW w:w="1325" w:type="dxa"/>
            <w:vAlign w:val="center"/>
          </w:tcPr>
          <w:p>
            <w:pPr>
              <w:adjustRightInd w:val="0"/>
              <w:snapToGrid w:val="0"/>
              <w:spacing w:line="360" w:lineRule="auto"/>
              <w:jc w:val="center"/>
              <w:rPr>
                <w:rFonts w:ascii="宋体" w:hAnsi="宋体"/>
                <w:kern w:val="0"/>
                <w:szCs w:val="21"/>
              </w:rPr>
            </w:pPr>
          </w:p>
        </w:tc>
        <w:tc>
          <w:tcPr>
            <w:tcW w:w="1325" w:type="dxa"/>
            <w:vAlign w:val="center"/>
          </w:tcPr>
          <w:p>
            <w:pPr>
              <w:adjustRightInd w:val="0"/>
              <w:snapToGrid w:val="0"/>
              <w:spacing w:line="360" w:lineRule="auto"/>
              <w:jc w:val="center"/>
              <w:rPr>
                <w:rFonts w:ascii="宋体" w:hAnsi="宋体"/>
                <w:kern w:val="0"/>
                <w:szCs w:val="21"/>
              </w:rPr>
            </w:pPr>
          </w:p>
        </w:tc>
        <w:tc>
          <w:tcPr>
            <w:tcW w:w="1329" w:type="dxa"/>
            <w:vAlign w:val="center"/>
          </w:tcPr>
          <w:p>
            <w:pPr>
              <w:adjustRightInd w:val="0"/>
              <w:snapToGrid w:val="0"/>
              <w:spacing w:line="360" w:lineRule="auto"/>
              <w:jc w:val="center"/>
              <w:rPr>
                <w:rFonts w:ascii="宋体" w:hAnsi="宋体"/>
                <w:kern w:val="0"/>
                <w:szCs w:val="21"/>
              </w:rPr>
            </w:pPr>
          </w:p>
        </w:tc>
        <w:tc>
          <w:tcPr>
            <w:tcW w:w="966"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9" w:type="dxa"/>
            <w:vAlign w:val="center"/>
          </w:tcPr>
          <w:p>
            <w:pPr>
              <w:adjustRightInd w:val="0"/>
              <w:snapToGrid w:val="0"/>
              <w:spacing w:line="360" w:lineRule="auto"/>
              <w:jc w:val="center"/>
              <w:rPr>
                <w:rFonts w:ascii="黑体" w:hAnsi="宋体" w:eastAsia="黑体"/>
                <w:kern w:val="0"/>
                <w:szCs w:val="21"/>
              </w:rPr>
            </w:pPr>
          </w:p>
        </w:tc>
        <w:tc>
          <w:tcPr>
            <w:tcW w:w="1645" w:type="dxa"/>
            <w:vAlign w:val="center"/>
          </w:tcPr>
          <w:p>
            <w:pPr>
              <w:adjustRightInd w:val="0"/>
              <w:snapToGrid w:val="0"/>
              <w:spacing w:line="360" w:lineRule="auto"/>
              <w:jc w:val="center"/>
              <w:rPr>
                <w:rFonts w:ascii="宋体" w:hAnsi="宋体"/>
                <w:kern w:val="0"/>
                <w:szCs w:val="21"/>
              </w:rPr>
            </w:pPr>
          </w:p>
        </w:tc>
        <w:tc>
          <w:tcPr>
            <w:tcW w:w="963" w:type="dxa"/>
            <w:vAlign w:val="center"/>
          </w:tcPr>
          <w:p>
            <w:pPr>
              <w:adjustRightInd w:val="0"/>
              <w:snapToGrid w:val="0"/>
              <w:spacing w:line="360" w:lineRule="auto"/>
              <w:jc w:val="center"/>
              <w:rPr>
                <w:rFonts w:ascii="宋体" w:hAnsi="宋体"/>
                <w:kern w:val="0"/>
                <w:szCs w:val="21"/>
              </w:rPr>
            </w:pPr>
          </w:p>
        </w:tc>
        <w:tc>
          <w:tcPr>
            <w:tcW w:w="964" w:type="dxa"/>
            <w:vAlign w:val="center"/>
          </w:tcPr>
          <w:p>
            <w:pPr>
              <w:adjustRightInd w:val="0"/>
              <w:snapToGrid w:val="0"/>
              <w:spacing w:line="360" w:lineRule="auto"/>
              <w:jc w:val="center"/>
              <w:rPr>
                <w:rFonts w:ascii="宋体" w:hAnsi="宋体"/>
                <w:kern w:val="0"/>
                <w:szCs w:val="21"/>
              </w:rPr>
            </w:pPr>
          </w:p>
        </w:tc>
        <w:tc>
          <w:tcPr>
            <w:tcW w:w="1325" w:type="dxa"/>
            <w:vAlign w:val="center"/>
          </w:tcPr>
          <w:p>
            <w:pPr>
              <w:adjustRightInd w:val="0"/>
              <w:snapToGrid w:val="0"/>
              <w:spacing w:line="360" w:lineRule="auto"/>
              <w:jc w:val="center"/>
              <w:rPr>
                <w:rFonts w:ascii="宋体" w:hAnsi="宋体"/>
                <w:kern w:val="0"/>
                <w:szCs w:val="21"/>
              </w:rPr>
            </w:pPr>
          </w:p>
        </w:tc>
        <w:tc>
          <w:tcPr>
            <w:tcW w:w="1325" w:type="dxa"/>
            <w:vAlign w:val="center"/>
          </w:tcPr>
          <w:p>
            <w:pPr>
              <w:adjustRightInd w:val="0"/>
              <w:snapToGrid w:val="0"/>
              <w:spacing w:line="360" w:lineRule="auto"/>
              <w:jc w:val="center"/>
              <w:rPr>
                <w:rFonts w:ascii="宋体" w:hAnsi="宋体"/>
                <w:kern w:val="0"/>
                <w:szCs w:val="21"/>
              </w:rPr>
            </w:pPr>
          </w:p>
        </w:tc>
        <w:tc>
          <w:tcPr>
            <w:tcW w:w="1329" w:type="dxa"/>
            <w:vAlign w:val="center"/>
          </w:tcPr>
          <w:p>
            <w:pPr>
              <w:adjustRightInd w:val="0"/>
              <w:snapToGrid w:val="0"/>
              <w:spacing w:line="360" w:lineRule="auto"/>
              <w:jc w:val="center"/>
              <w:rPr>
                <w:rFonts w:ascii="宋体" w:hAnsi="宋体"/>
                <w:kern w:val="0"/>
                <w:szCs w:val="21"/>
              </w:rPr>
            </w:pPr>
          </w:p>
        </w:tc>
        <w:tc>
          <w:tcPr>
            <w:tcW w:w="966"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9" w:type="dxa"/>
            <w:vAlign w:val="center"/>
          </w:tcPr>
          <w:p>
            <w:pPr>
              <w:adjustRightInd w:val="0"/>
              <w:snapToGrid w:val="0"/>
              <w:spacing w:line="360" w:lineRule="auto"/>
              <w:jc w:val="center"/>
              <w:rPr>
                <w:rFonts w:ascii="黑体" w:hAnsi="宋体" w:eastAsia="黑体"/>
                <w:kern w:val="0"/>
                <w:szCs w:val="21"/>
              </w:rPr>
            </w:pPr>
          </w:p>
        </w:tc>
        <w:tc>
          <w:tcPr>
            <w:tcW w:w="1645" w:type="dxa"/>
            <w:vAlign w:val="center"/>
          </w:tcPr>
          <w:p>
            <w:pPr>
              <w:adjustRightInd w:val="0"/>
              <w:snapToGrid w:val="0"/>
              <w:spacing w:line="360" w:lineRule="auto"/>
              <w:jc w:val="center"/>
              <w:rPr>
                <w:rFonts w:ascii="宋体" w:hAnsi="宋体"/>
                <w:kern w:val="0"/>
                <w:szCs w:val="21"/>
              </w:rPr>
            </w:pPr>
          </w:p>
        </w:tc>
        <w:tc>
          <w:tcPr>
            <w:tcW w:w="963" w:type="dxa"/>
            <w:vAlign w:val="center"/>
          </w:tcPr>
          <w:p>
            <w:pPr>
              <w:adjustRightInd w:val="0"/>
              <w:snapToGrid w:val="0"/>
              <w:spacing w:line="360" w:lineRule="auto"/>
              <w:jc w:val="center"/>
              <w:rPr>
                <w:rFonts w:ascii="宋体" w:hAnsi="宋体"/>
                <w:kern w:val="0"/>
                <w:szCs w:val="21"/>
              </w:rPr>
            </w:pPr>
          </w:p>
        </w:tc>
        <w:tc>
          <w:tcPr>
            <w:tcW w:w="964" w:type="dxa"/>
            <w:vAlign w:val="center"/>
          </w:tcPr>
          <w:p>
            <w:pPr>
              <w:adjustRightInd w:val="0"/>
              <w:snapToGrid w:val="0"/>
              <w:spacing w:line="360" w:lineRule="auto"/>
              <w:jc w:val="center"/>
              <w:rPr>
                <w:rFonts w:ascii="宋体" w:hAnsi="宋体"/>
                <w:kern w:val="0"/>
                <w:szCs w:val="21"/>
              </w:rPr>
            </w:pPr>
          </w:p>
        </w:tc>
        <w:tc>
          <w:tcPr>
            <w:tcW w:w="1325" w:type="dxa"/>
            <w:vAlign w:val="center"/>
          </w:tcPr>
          <w:p>
            <w:pPr>
              <w:adjustRightInd w:val="0"/>
              <w:snapToGrid w:val="0"/>
              <w:spacing w:line="360" w:lineRule="auto"/>
              <w:jc w:val="center"/>
              <w:rPr>
                <w:rFonts w:ascii="宋体" w:hAnsi="宋体"/>
                <w:kern w:val="0"/>
                <w:szCs w:val="21"/>
              </w:rPr>
            </w:pPr>
          </w:p>
        </w:tc>
        <w:tc>
          <w:tcPr>
            <w:tcW w:w="1325" w:type="dxa"/>
            <w:vAlign w:val="center"/>
          </w:tcPr>
          <w:p>
            <w:pPr>
              <w:adjustRightInd w:val="0"/>
              <w:snapToGrid w:val="0"/>
              <w:spacing w:line="360" w:lineRule="auto"/>
              <w:jc w:val="center"/>
              <w:rPr>
                <w:rFonts w:ascii="宋体" w:hAnsi="宋体"/>
                <w:kern w:val="0"/>
                <w:szCs w:val="21"/>
              </w:rPr>
            </w:pPr>
          </w:p>
        </w:tc>
        <w:tc>
          <w:tcPr>
            <w:tcW w:w="1329" w:type="dxa"/>
            <w:vAlign w:val="center"/>
          </w:tcPr>
          <w:p>
            <w:pPr>
              <w:adjustRightInd w:val="0"/>
              <w:snapToGrid w:val="0"/>
              <w:spacing w:line="360" w:lineRule="auto"/>
              <w:jc w:val="center"/>
              <w:rPr>
                <w:rFonts w:ascii="宋体" w:hAnsi="宋体"/>
                <w:kern w:val="0"/>
                <w:szCs w:val="21"/>
              </w:rPr>
            </w:pPr>
          </w:p>
        </w:tc>
        <w:tc>
          <w:tcPr>
            <w:tcW w:w="966"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9" w:type="dxa"/>
            <w:vAlign w:val="center"/>
          </w:tcPr>
          <w:p>
            <w:pPr>
              <w:adjustRightInd w:val="0"/>
              <w:snapToGrid w:val="0"/>
              <w:spacing w:line="360" w:lineRule="auto"/>
              <w:jc w:val="center"/>
              <w:rPr>
                <w:rFonts w:ascii="黑体" w:hAnsi="宋体" w:eastAsia="黑体"/>
                <w:kern w:val="0"/>
                <w:szCs w:val="21"/>
              </w:rPr>
            </w:pPr>
          </w:p>
        </w:tc>
        <w:tc>
          <w:tcPr>
            <w:tcW w:w="1645" w:type="dxa"/>
            <w:vAlign w:val="center"/>
          </w:tcPr>
          <w:p>
            <w:pPr>
              <w:adjustRightInd w:val="0"/>
              <w:snapToGrid w:val="0"/>
              <w:spacing w:line="360" w:lineRule="auto"/>
              <w:jc w:val="center"/>
              <w:rPr>
                <w:rFonts w:ascii="宋体" w:hAnsi="宋体"/>
                <w:kern w:val="0"/>
                <w:szCs w:val="21"/>
              </w:rPr>
            </w:pPr>
          </w:p>
        </w:tc>
        <w:tc>
          <w:tcPr>
            <w:tcW w:w="963" w:type="dxa"/>
            <w:vAlign w:val="center"/>
          </w:tcPr>
          <w:p>
            <w:pPr>
              <w:adjustRightInd w:val="0"/>
              <w:snapToGrid w:val="0"/>
              <w:spacing w:line="360" w:lineRule="auto"/>
              <w:jc w:val="center"/>
              <w:rPr>
                <w:rFonts w:ascii="宋体" w:hAnsi="宋体"/>
                <w:kern w:val="0"/>
                <w:szCs w:val="21"/>
              </w:rPr>
            </w:pPr>
          </w:p>
        </w:tc>
        <w:tc>
          <w:tcPr>
            <w:tcW w:w="964" w:type="dxa"/>
            <w:vAlign w:val="center"/>
          </w:tcPr>
          <w:p>
            <w:pPr>
              <w:adjustRightInd w:val="0"/>
              <w:snapToGrid w:val="0"/>
              <w:spacing w:line="360" w:lineRule="auto"/>
              <w:jc w:val="center"/>
              <w:rPr>
                <w:rFonts w:ascii="宋体" w:hAnsi="宋体"/>
                <w:kern w:val="0"/>
                <w:szCs w:val="21"/>
              </w:rPr>
            </w:pPr>
          </w:p>
        </w:tc>
        <w:tc>
          <w:tcPr>
            <w:tcW w:w="1325" w:type="dxa"/>
            <w:vAlign w:val="center"/>
          </w:tcPr>
          <w:p>
            <w:pPr>
              <w:adjustRightInd w:val="0"/>
              <w:snapToGrid w:val="0"/>
              <w:spacing w:line="360" w:lineRule="auto"/>
              <w:jc w:val="center"/>
              <w:rPr>
                <w:rFonts w:ascii="宋体" w:hAnsi="宋体"/>
                <w:kern w:val="0"/>
                <w:szCs w:val="21"/>
              </w:rPr>
            </w:pPr>
          </w:p>
        </w:tc>
        <w:tc>
          <w:tcPr>
            <w:tcW w:w="1325" w:type="dxa"/>
            <w:vAlign w:val="center"/>
          </w:tcPr>
          <w:p>
            <w:pPr>
              <w:adjustRightInd w:val="0"/>
              <w:snapToGrid w:val="0"/>
              <w:spacing w:line="360" w:lineRule="auto"/>
              <w:jc w:val="center"/>
              <w:rPr>
                <w:rFonts w:ascii="宋体" w:hAnsi="宋体"/>
                <w:kern w:val="0"/>
                <w:szCs w:val="21"/>
              </w:rPr>
            </w:pPr>
          </w:p>
        </w:tc>
        <w:tc>
          <w:tcPr>
            <w:tcW w:w="1329" w:type="dxa"/>
            <w:vAlign w:val="center"/>
          </w:tcPr>
          <w:p>
            <w:pPr>
              <w:adjustRightInd w:val="0"/>
              <w:snapToGrid w:val="0"/>
              <w:spacing w:line="360" w:lineRule="auto"/>
              <w:jc w:val="center"/>
              <w:rPr>
                <w:rFonts w:ascii="宋体" w:hAnsi="宋体"/>
                <w:kern w:val="0"/>
                <w:szCs w:val="21"/>
              </w:rPr>
            </w:pPr>
          </w:p>
        </w:tc>
        <w:tc>
          <w:tcPr>
            <w:tcW w:w="966"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9" w:type="dxa"/>
            <w:vAlign w:val="center"/>
          </w:tcPr>
          <w:p>
            <w:pPr>
              <w:adjustRightInd w:val="0"/>
              <w:snapToGrid w:val="0"/>
              <w:spacing w:line="360" w:lineRule="auto"/>
              <w:jc w:val="center"/>
              <w:rPr>
                <w:rFonts w:ascii="黑体" w:hAnsi="宋体" w:eastAsia="黑体"/>
                <w:kern w:val="0"/>
                <w:szCs w:val="21"/>
              </w:rPr>
            </w:pPr>
          </w:p>
        </w:tc>
        <w:tc>
          <w:tcPr>
            <w:tcW w:w="1645" w:type="dxa"/>
            <w:vAlign w:val="center"/>
          </w:tcPr>
          <w:p>
            <w:pPr>
              <w:adjustRightInd w:val="0"/>
              <w:snapToGrid w:val="0"/>
              <w:spacing w:line="360" w:lineRule="auto"/>
              <w:jc w:val="center"/>
              <w:rPr>
                <w:rFonts w:ascii="宋体" w:hAnsi="宋体"/>
                <w:kern w:val="0"/>
                <w:szCs w:val="21"/>
              </w:rPr>
            </w:pPr>
          </w:p>
        </w:tc>
        <w:tc>
          <w:tcPr>
            <w:tcW w:w="963" w:type="dxa"/>
            <w:vAlign w:val="center"/>
          </w:tcPr>
          <w:p>
            <w:pPr>
              <w:adjustRightInd w:val="0"/>
              <w:snapToGrid w:val="0"/>
              <w:spacing w:line="360" w:lineRule="auto"/>
              <w:jc w:val="center"/>
              <w:rPr>
                <w:rFonts w:ascii="宋体" w:hAnsi="宋体"/>
                <w:kern w:val="0"/>
                <w:szCs w:val="21"/>
              </w:rPr>
            </w:pPr>
          </w:p>
        </w:tc>
        <w:tc>
          <w:tcPr>
            <w:tcW w:w="964" w:type="dxa"/>
            <w:vAlign w:val="center"/>
          </w:tcPr>
          <w:p>
            <w:pPr>
              <w:adjustRightInd w:val="0"/>
              <w:snapToGrid w:val="0"/>
              <w:spacing w:line="360" w:lineRule="auto"/>
              <w:jc w:val="center"/>
              <w:rPr>
                <w:rFonts w:ascii="宋体" w:hAnsi="宋体"/>
                <w:kern w:val="0"/>
                <w:szCs w:val="21"/>
              </w:rPr>
            </w:pPr>
          </w:p>
        </w:tc>
        <w:tc>
          <w:tcPr>
            <w:tcW w:w="1325" w:type="dxa"/>
            <w:vAlign w:val="center"/>
          </w:tcPr>
          <w:p>
            <w:pPr>
              <w:adjustRightInd w:val="0"/>
              <w:snapToGrid w:val="0"/>
              <w:spacing w:line="360" w:lineRule="auto"/>
              <w:jc w:val="center"/>
              <w:rPr>
                <w:rFonts w:ascii="宋体" w:hAnsi="宋体"/>
                <w:kern w:val="0"/>
                <w:szCs w:val="21"/>
              </w:rPr>
            </w:pPr>
          </w:p>
        </w:tc>
        <w:tc>
          <w:tcPr>
            <w:tcW w:w="1325" w:type="dxa"/>
            <w:vAlign w:val="center"/>
          </w:tcPr>
          <w:p>
            <w:pPr>
              <w:adjustRightInd w:val="0"/>
              <w:snapToGrid w:val="0"/>
              <w:spacing w:line="360" w:lineRule="auto"/>
              <w:jc w:val="center"/>
              <w:rPr>
                <w:rFonts w:ascii="宋体" w:hAnsi="宋体"/>
                <w:kern w:val="0"/>
                <w:szCs w:val="21"/>
              </w:rPr>
            </w:pPr>
          </w:p>
        </w:tc>
        <w:tc>
          <w:tcPr>
            <w:tcW w:w="1329" w:type="dxa"/>
            <w:vAlign w:val="center"/>
          </w:tcPr>
          <w:p>
            <w:pPr>
              <w:adjustRightInd w:val="0"/>
              <w:snapToGrid w:val="0"/>
              <w:spacing w:line="360" w:lineRule="auto"/>
              <w:jc w:val="center"/>
              <w:rPr>
                <w:rFonts w:ascii="宋体" w:hAnsi="宋体"/>
                <w:kern w:val="0"/>
                <w:szCs w:val="21"/>
              </w:rPr>
            </w:pPr>
          </w:p>
        </w:tc>
        <w:tc>
          <w:tcPr>
            <w:tcW w:w="966"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4" w:type="dxa"/>
            <w:gridSpan w:val="2"/>
            <w:vMerge w:val="restart"/>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最终推荐的中标候选人及其排序</w:t>
            </w:r>
          </w:p>
        </w:tc>
        <w:tc>
          <w:tcPr>
            <w:tcW w:w="6872" w:type="dxa"/>
            <w:gridSpan w:val="6"/>
            <w:vAlign w:val="center"/>
          </w:tcPr>
          <w:p>
            <w:pPr>
              <w:adjustRightInd w:val="0"/>
              <w:snapToGrid w:val="0"/>
              <w:spacing w:line="360" w:lineRule="auto"/>
              <w:jc w:val="left"/>
              <w:rPr>
                <w:rFonts w:ascii="宋体" w:hAnsi="宋体"/>
                <w:kern w:val="0"/>
                <w:szCs w:val="21"/>
              </w:rPr>
            </w:pPr>
            <w:r>
              <w:rPr>
                <w:rFonts w:hint="eastAsia" w:ascii="宋体" w:hAnsi="宋体"/>
                <w:kern w:val="0"/>
                <w:szCs w:val="21"/>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4" w:type="dxa"/>
            <w:gridSpan w:val="2"/>
            <w:vMerge w:val="continue"/>
            <w:vAlign w:val="center"/>
          </w:tcPr>
          <w:p>
            <w:pPr>
              <w:adjustRightInd w:val="0"/>
              <w:snapToGrid w:val="0"/>
              <w:spacing w:line="360" w:lineRule="auto"/>
              <w:jc w:val="left"/>
              <w:rPr>
                <w:rFonts w:ascii="宋体" w:hAnsi="宋体"/>
                <w:kern w:val="0"/>
                <w:szCs w:val="21"/>
              </w:rPr>
            </w:pPr>
          </w:p>
        </w:tc>
        <w:tc>
          <w:tcPr>
            <w:tcW w:w="6872" w:type="dxa"/>
            <w:gridSpan w:val="6"/>
            <w:vAlign w:val="center"/>
          </w:tcPr>
          <w:p>
            <w:pPr>
              <w:adjustRightInd w:val="0"/>
              <w:snapToGrid w:val="0"/>
              <w:spacing w:line="360" w:lineRule="auto"/>
              <w:jc w:val="left"/>
              <w:rPr>
                <w:rFonts w:ascii="宋体" w:hAnsi="宋体"/>
                <w:kern w:val="0"/>
                <w:szCs w:val="21"/>
              </w:rPr>
            </w:pPr>
            <w:r>
              <w:rPr>
                <w:rFonts w:hint="eastAsia" w:ascii="宋体" w:hAnsi="宋体"/>
                <w:kern w:val="0"/>
                <w:szCs w:val="21"/>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4" w:type="dxa"/>
            <w:gridSpan w:val="2"/>
            <w:vMerge w:val="continue"/>
            <w:vAlign w:val="center"/>
          </w:tcPr>
          <w:p>
            <w:pPr>
              <w:adjustRightInd w:val="0"/>
              <w:snapToGrid w:val="0"/>
              <w:spacing w:line="360" w:lineRule="auto"/>
              <w:jc w:val="left"/>
              <w:rPr>
                <w:rFonts w:ascii="宋体" w:hAnsi="宋体"/>
                <w:kern w:val="0"/>
                <w:szCs w:val="21"/>
              </w:rPr>
            </w:pPr>
          </w:p>
        </w:tc>
        <w:tc>
          <w:tcPr>
            <w:tcW w:w="6872" w:type="dxa"/>
            <w:gridSpan w:val="6"/>
            <w:vAlign w:val="center"/>
          </w:tcPr>
          <w:p>
            <w:pPr>
              <w:adjustRightInd w:val="0"/>
              <w:snapToGrid w:val="0"/>
              <w:spacing w:line="360" w:lineRule="auto"/>
              <w:jc w:val="left"/>
              <w:rPr>
                <w:rFonts w:ascii="宋体" w:hAnsi="宋体"/>
                <w:kern w:val="0"/>
                <w:szCs w:val="21"/>
              </w:rPr>
            </w:pPr>
            <w:r>
              <w:rPr>
                <w:rFonts w:hint="eastAsia" w:ascii="宋体" w:hAnsi="宋体"/>
                <w:kern w:val="0"/>
                <w:szCs w:val="21"/>
              </w:rPr>
              <w:t>第三名：</w:t>
            </w:r>
          </w:p>
        </w:tc>
      </w:tr>
    </w:tbl>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r>
        <w:rPr>
          <w:rFonts w:hint="eastAsia" w:ascii="宋体" w:hAnsi="宋体"/>
          <w:kern w:val="0"/>
        </w:rPr>
        <w:t xml:space="preserve">评标委员会（或报价评审组）全体成员签名：                 </w:t>
      </w:r>
    </w:p>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p>
    <w:p>
      <w:pPr>
        <w:adjustRightInd w:val="0"/>
        <w:snapToGrid w:val="0"/>
        <w:spacing w:line="360" w:lineRule="auto"/>
        <w:jc w:val="right"/>
        <w:rPr>
          <w:rFonts w:hint="eastAsia" w:ascii="宋体" w:hAnsi="宋体"/>
          <w:kern w:val="0"/>
        </w:rPr>
      </w:pPr>
    </w:p>
    <w:p>
      <w:pPr>
        <w:adjustRightInd w:val="0"/>
        <w:snapToGrid w:val="0"/>
        <w:spacing w:line="360" w:lineRule="auto"/>
        <w:jc w:val="right"/>
        <w:rPr>
          <w:rFonts w:ascii="宋体" w:hAnsi="宋体"/>
          <w:kern w:val="0"/>
          <w:szCs w:val="21"/>
        </w:rPr>
      </w:pPr>
      <w:r>
        <w:rPr>
          <w:rFonts w:hint="eastAsia" w:ascii="宋体" w:hAnsi="宋体"/>
          <w:kern w:val="0"/>
        </w:rPr>
        <w:t>日期：    年   月   日</w:t>
      </w:r>
    </w:p>
    <w:p>
      <w:pPr>
        <w:rPr>
          <w:rFonts w:ascii="仿宋_GB2312" w:eastAsia="仿宋_GB2312"/>
          <w:b/>
          <w:sz w:val="28"/>
          <w:szCs w:val="28"/>
        </w:rPr>
      </w:pPr>
      <w:r>
        <w:br w:type="page"/>
      </w:r>
      <w:r>
        <w:rPr>
          <w:rFonts w:hint="eastAsia" w:ascii="仿宋_GB2312" w:eastAsia="仿宋_GB2312"/>
          <w:b/>
          <w:sz w:val="28"/>
          <w:szCs w:val="28"/>
        </w:rPr>
        <w:t>附表8：废标原因汇总表</w:t>
      </w:r>
    </w:p>
    <w:p>
      <w:pPr>
        <w:adjustRightInd w:val="0"/>
        <w:snapToGrid w:val="0"/>
        <w:spacing w:line="360" w:lineRule="auto"/>
        <w:jc w:val="center"/>
        <w:rPr>
          <w:kern w:val="0"/>
          <w:sz w:val="32"/>
          <w:szCs w:val="32"/>
        </w:rPr>
      </w:pPr>
      <w:r>
        <w:rPr>
          <w:rFonts w:hint="eastAsia"/>
          <w:b/>
          <w:kern w:val="0"/>
          <w:sz w:val="32"/>
          <w:szCs w:val="32"/>
        </w:rPr>
        <w:t>废标原因汇总表</w:t>
      </w:r>
    </w:p>
    <w:p>
      <w:pPr>
        <w:adjustRightInd w:val="0"/>
        <w:snapToGrid w:val="0"/>
        <w:spacing w:line="360" w:lineRule="auto"/>
        <w:jc w:val="left"/>
        <w:rPr>
          <w:rFonts w:ascii="宋体" w:hAnsi="宋体"/>
          <w:kern w:val="0"/>
          <w:sz w:val="10"/>
          <w:szCs w:val="10"/>
        </w:rPr>
      </w:pPr>
      <w:r>
        <w:rPr>
          <w:rFonts w:hint="eastAsia" w:ascii="宋体" w:hAnsi="宋体"/>
          <w:kern w:val="0"/>
        </w:rPr>
        <w:t>工程名称：</w:t>
      </w:r>
      <w:r>
        <w:rPr>
          <w:rFonts w:hint="eastAsia" w:ascii="仿宋_GB2312" w:hAnsi="宋体" w:eastAsia="仿宋_GB2312"/>
          <w:szCs w:val="21"/>
          <w:u w:val="single"/>
        </w:rPr>
        <w:t xml:space="preserve">          </w:t>
      </w:r>
      <w:r>
        <w:rPr>
          <w:rFonts w:hint="eastAsia" w:ascii="宋体" w:hAnsi="宋体"/>
          <w:kern w:val="0"/>
        </w:rPr>
        <w:t>（项目名称）</w:t>
      </w:r>
      <w:r>
        <w:rPr>
          <w:rFonts w:hint="eastAsia" w:ascii="仿宋_GB2312" w:hAnsi="宋体" w:eastAsia="仿宋_GB2312"/>
          <w:szCs w:val="21"/>
          <w:u w:val="single"/>
        </w:rPr>
        <w:t xml:space="preserve">     </w:t>
      </w:r>
      <w:r>
        <w:rPr>
          <w:rFonts w:hint="eastAsia" w:ascii="宋体" w:hAnsi="宋体"/>
          <w:kern w:val="0"/>
        </w:rPr>
        <w:t xml:space="preserve">标段                </w:t>
      </w:r>
      <w:r>
        <w:rPr>
          <w:rFonts w:hint="eastAsia" w:ascii="宋体" w:hAnsi="宋体"/>
          <w:kern w:val="0"/>
          <w:lang w:val="en-US" w:eastAsia="zh-CN"/>
        </w:rPr>
        <w:tab/>
      </w:r>
      <w:r>
        <w:rPr>
          <w:rFonts w:hint="eastAsia" w:ascii="宋体" w:hAnsi="宋体"/>
          <w:kern w:val="0"/>
          <w:lang w:val="en-US" w:eastAsia="zh-CN"/>
        </w:rPr>
        <w:tab/>
      </w:r>
      <w:r>
        <w:rPr>
          <w:rFonts w:hint="eastAsia" w:ascii="宋体" w:hAnsi="宋体"/>
          <w:kern w:val="0"/>
          <w:lang w:val="en-US" w:eastAsia="zh-CN"/>
        </w:rPr>
        <w:tab/>
      </w:r>
      <w:r>
        <w:rPr>
          <w:rFonts w:hint="eastAsia" w:ascii="宋体" w:hAnsi="宋体"/>
          <w:kern w:val="0"/>
        </w:rPr>
        <w:t xml:space="preserve"> </w:t>
      </w:r>
      <w:r>
        <w:rPr>
          <w:rFonts w:hint="eastAsia" w:ascii="宋体" w:hAnsi="宋体"/>
          <w:kern w:val="0"/>
          <w:szCs w:val="21"/>
        </w:rPr>
        <w:t xml:space="preserve">  第  页 共  页</w:t>
      </w:r>
    </w:p>
    <w:tbl>
      <w:tblPr>
        <w:tblStyle w:val="10"/>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000"/>
        <w:gridCol w:w="487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2000"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投标人名称</w:t>
            </w:r>
          </w:p>
        </w:tc>
        <w:tc>
          <w:tcPr>
            <w:tcW w:w="4870"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废标原因（应说明违反条款及具体内容）</w:t>
            </w:r>
          </w:p>
        </w:tc>
        <w:tc>
          <w:tcPr>
            <w:tcW w:w="103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vAlign w:val="center"/>
          </w:tcPr>
          <w:p>
            <w:pPr>
              <w:adjustRightInd w:val="0"/>
              <w:snapToGrid w:val="0"/>
              <w:spacing w:line="360" w:lineRule="auto"/>
              <w:jc w:val="center"/>
              <w:rPr>
                <w:rFonts w:ascii="宋体" w:hAnsi="宋体"/>
                <w:kern w:val="0"/>
                <w:szCs w:val="21"/>
              </w:rPr>
            </w:pPr>
          </w:p>
        </w:tc>
        <w:tc>
          <w:tcPr>
            <w:tcW w:w="2000" w:type="dxa"/>
            <w:vAlign w:val="center"/>
          </w:tcPr>
          <w:p>
            <w:pPr>
              <w:adjustRightInd w:val="0"/>
              <w:snapToGrid w:val="0"/>
              <w:spacing w:line="360" w:lineRule="auto"/>
              <w:jc w:val="center"/>
              <w:rPr>
                <w:rFonts w:ascii="宋体" w:hAnsi="宋体"/>
                <w:kern w:val="0"/>
                <w:szCs w:val="21"/>
              </w:rPr>
            </w:pPr>
          </w:p>
        </w:tc>
        <w:tc>
          <w:tcPr>
            <w:tcW w:w="4870" w:type="dxa"/>
            <w:vAlign w:val="center"/>
          </w:tcPr>
          <w:p>
            <w:pPr>
              <w:adjustRightInd w:val="0"/>
              <w:snapToGrid w:val="0"/>
              <w:spacing w:line="360" w:lineRule="auto"/>
              <w:jc w:val="center"/>
              <w:rPr>
                <w:rFonts w:ascii="宋体" w:hAnsi="宋体"/>
                <w:kern w:val="0"/>
                <w:szCs w:val="21"/>
              </w:rPr>
            </w:pPr>
          </w:p>
        </w:tc>
        <w:tc>
          <w:tcPr>
            <w:tcW w:w="1034"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vAlign w:val="center"/>
          </w:tcPr>
          <w:p>
            <w:pPr>
              <w:adjustRightInd w:val="0"/>
              <w:snapToGrid w:val="0"/>
              <w:spacing w:line="360" w:lineRule="auto"/>
              <w:jc w:val="center"/>
              <w:rPr>
                <w:rFonts w:ascii="宋体" w:hAnsi="宋体"/>
                <w:kern w:val="0"/>
                <w:szCs w:val="21"/>
              </w:rPr>
            </w:pPr>
          </w:p>
        </w:tc>
        <w:tc>
          <w:tcPr>
            <w:tcW w:w="2000" w:type="dxa"/>
            <w:vAlign w:val="center"/>
          </w:tcPr>
          <w:p>
            <w:pPr>
              <w:adjustRightInd w:val="0"/>
              <w:snapToGrid w:val="0"/>
              <w:spacing w:line="360" w:lineRule="auto"/>
              <w:jc w:val="center"/>
              <w:rPr>
                <w:rFonts w:ascii="宋体" w:hAnsi="宋体"/>
                <w:kern w:val="0"/>
                <w:szCs w:val="21"/>
              </w:rPr>
            </w:pPr>
          </w:p>
        </w:tc>
        <w:tc>
          <w:tcPr>
            <w:tcW w:w="4870" w:type="dxa"/>
            <w:vAlign w:val="center"/>
          </w:tcPr>
          <w:p>
            <w:pPr>
              <w:adjustRightInd w:val="0"/>
              <w:snapToGrid w:val="0"/>
              <w:spacing w:line="360" w:lineRule="auto"/>
              <w:jc w:val="center"/>
              <w:rPr>
                <w:rFonts w:ascii="宋体" w:hAnsi="宋体"/>
                <w:kern w:val="0"/>
                <w:szCs w:val="21"/>
              </w:rPr>
            </w:pPr>
          </w:p>
        </w:tc>
        <w:tc>
          <w:tcPr>
            <w:tcW w:w="1034"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vAlign w:val="center"/>
          </w:tcPr>
          <w:p>
            <w:pPr>
              <w:adjustRightInd w:val="0"/>
              <w:snapToGrid w:val="0"/>
              <w:spacing w:line="360" w:lineRule="auto"/>
              <w:jc w:val="center"/>
              <w:rPr>
                <w:rFonts w:ascii="宋体" w:hAnsi="宋体"/>
                <w:kern w:val="0"/>
                <w:szCs w:val="21"/>
              </w:rPr>
            </w:pPr>
          </w:p>
        </w:tc>
        <w:tc>
          <w:tcPr>
            <w:tcW w:w="2000" w:type="dxa"/>
            <w:vAlign w:val="center"/>
          </w:tcPr>
          <w:p>
            <w:pPr>
              <w:adjustRightInd w:val="0"/>
              <w:snapToGrid w:val="0"/>
              <w:spacing w:line="360" w:lineRule="auto"/>
              <w:jc w:val="center"/>
              <w:rPr>
                <w:rFonts w:ascii="宋体" w:hAnsi="宋体"/>
                <w:kern w:val="0"/>
                <w:szCs w:val="21"/>
              </w:rPr>
            </w:pPr>
          </w:p>
        </w:tc>
        <w:tc>
          <w:tcPr>
            <w:tcW w:w="4870" w:type="dxa"/>
            <w:vAlign w:val="center"/>
          </w:tcPr>
          <w:p>
            <w:pPr>
              <w:adjustRightInd w:val="0"/>
              <w:snapToGrid w:val="0"/>
              <w:spacing w:line="360" w:lineRule="auto"/>
              <w:jc w:val="center"/>
              <w:rPr>
                <w:rFonts w:ascii="宋体" w:hAnsi="宋体"/>
                <w:kern w:val="0"/>
                <w:szCs w:val="21"/>
              </w:rPr>
            </w:pPr>
          </w:p>
        </w:tc>
        <w:tc>
          <w:tcPr>
            <w:tcW w:w="1034"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vAlign w:val="center"/>
          </w:tcPr>
          <w:p>
            <w:pPr>
              <w:adjustRightInd w:val="0"/>
              <w:snapToGrid w:val="0"/>
              <w:spacing w:line="360" w:lineRule="auto"/>
              <w:jc w:val="center"/>
              <w:rPr>
                <w:rFonts w:ascii="宋体" w:hAnsi="宋体"/>
                <w:kern w:val="0"/>
                <w:szCs w:val="21"/>
              </w:rPr>
            </w:pPr>
          </w:p>
        </w:tc>
        <w:tc>
          <w:tcPr>
            <w:tcW w:w="2000" w:type="dxa"/>
            <w:vAlign w:val="center"/>
          </w:tcPr>
          <w:p>
            <w:pPr>
              <w:adjustRightInd w:val="0"/>
              <w:snapToGrid w:val="0"/>
              <w:spacing w:line="360" w:lineRule="auto"/>
              <w:jc w:val="center"/>
              <w:rPr>
                <w:rFonts w:ascii="宋体" w:hAnsi="宋体"/>
                <w:kern w:val="0"/>
                <w:szCs w:val="21"/>
              </w:rPr>
            </w:pPr>
          </w:p>
        </w:tc>
        <w:tc>
          <w:tcPr>
            <w:tcW w:w="4870" w:type="dxa"/>
            <w:vAlign w:val="center"/>
          </w:tcPr>
          <w:p>
            <w:pPr>
              <w:adjustRightInd w:val="0"/>
              <w:snapToGrid w:val="0"/>
              <w:spacing w:line="360" w:lineRule="auto"/>
              <w:jc w:val="center"/>
              <w:rPr>
                <w:rFonts w:ascii="宋体" w:hAnsi="宋体"/>
                <w:kern w:val="0"/>
                <w:szCs w:val="21"/>
              </w:rPr>
            </w:pPr>
          </w:p>
        </w:tc>
        <w:tc>
          <w:tcPr>
            <w:tcW w:w="1034"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vAlign w:val="center"/>
          </w:tcPr>
          <w:p>
            <w:pPr>
              <w:adjustRightInd w:val="0"/>
              <w:snapToGrid w:val="0"/>
              <w:spacing w:line="360" w:lineRule="auto"/>
              <w:jc w:val="center"/>
              <w:rPr>
                <w:rFonts w:ascii="宋体" w:hAnsi="宋体"/>
                <w:kern w:val="0"/>
                <w:szCs w:val="21"/>
              </w:rPr>
            </w:pPr>
          </w:p>
        </w:tc>
        <w:tc>
          <w:tcPr>
            <w:tcW w:w="2000" w:type="dxa"/>
            <w:vAlign w:val="center"/>
          </w:tcPr>
          <w:p>
            <w:pPr>
              <w:adjustRightInd w:val="0"/>
              <w:snapToGrid w:val="0"/>
              <w:spacing w:line="360" w:lineRule="auto"/>
              <w:jc w:val="center"/>
              <w:rPr>
                <w:rFonts w:ascii="宋体" w:hAnsi="宋体"/>
                <w:kern w:val="0"/>
                <w:szCs w:val="21"/>
              </w:rPr>
            </w:pPr>
          </w:p>
        </w:tc>
        <w:tc>
          <w:tcPr>
            <w:tcW w:w="4870" w:type="dxa"/>
            <w:vAlign w:val="center"/>
          </w:tcPr>
          <w:p>
            <w:pPr>
              <w:adjustRightInd w:val="0"/>
              <w:snapToGrid w:val="0"/>
              <w:spacing w:line="360" w:lineRule="auto"/>
              <w:jc w:val="center"/>
              <w:rPr>
                <w:rFonts w:ascii="宋体" w:hAnsi="宋体"/>
                <w:kern w:val="0"/>
                <w:szCs w:val="21"/>
              </w:rPr>
            </w:pPr>
          </w:p>
        </w:tc>
        <w:tc>
          <w:tcPr>
            <w:tcW w:w="1034"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vAlign w:val="center"/>
          </w:tcPr>
          <w:p>
            <w:pPr>
              <w:adjustRightInd w:val="0"/>
              <w:snapToGrid w:val="0"/>
              <w:spacing w:line="360" w:lineRule="auto"/>
              <w:jc w:val="center"/>
              <w:rPr>
                <w:rFonts w:ascii="宋体" w:hAnsi="宋体"/>
                <w:kern w:val="0"/>
                <w:szCs w:val="21"/>
              </w:rPr>
            </w:pPr>
          </w:p>
        </w:tc>
        <w:tc>
          <w:tcPr>
            <w:tcW w:w="2000" w:type="dxa"/>
            <w:vAlign w:val="center"/>
          </w:tcPr>
          <w:p>
            <w:pPr>
              <w:adjustRightInd w:val="0"/>
              <w:snapToGrid w:val="0"/>
              <w:spacing w:line="360" w:lineRule="auto"/>
              <w:jc w:val="center"/>
              <w:rPr>
                <w:rFonts w:ascii="宋体" w:hAnsi="宋体"/>
                <w:kern w:val="0"/>
                <w:szCs w:val="21"/>
              </w:rPr>
            </w:pPr>
          </w:p>
        </w:tc>
        <w:tc>
          <w:tcPr>
            <w:tcW w:w="4870" w:type="dxa"/>
            <w:vAlign w:val="center"/>
          </w:tcPr>
          <w:p>
            <w:pPr>
              <w:adjustRightInd w:val="0"/>
              <w:snapToGrid w:val="0"/>
              <w:spacing w:line="360" w:lineRule="auto"/>
              <w:jc w:val="center"/>
              <w:rPr>
                <w:rFonts w:ascii="宋体" w:hAnsi="宋体"/>
                <w:kern w:val="0"/>
                <w:szCs w:val="21"/>
              </w:rPr>
            </w:pPr>
          </w:p>
        </w:tc>
        <w:tc>
          <w:tcPr>
            <w:tcW w:w="1034"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vAlign w:val="center"/>
          </w:tcPr>
          <w:p>
            <w:pPr>
              <w:adjustRightInd w:val="0"/>
              <w:snapToGrid w:val="0"/>
              <w:spacing w:line="360" w:lineRule="auto"/>
              <w:jc w:val="center"/>
              <w:rPr>
                <w:rFonts w:ascii="宋体" w:hAnsi="宋体"/>
                <w:kern w:val="0"/>
                <w:szCs w:val="21"/>
              </w:rPr>
            </w:pPr>
          </w:p>
        </w:tc>
        <w:tc>
          <w:tcPr>
            <w:tcW w:w="2000" w:type="dxa"/>
            <w:vAlign w:val="center"/>
          </w:tcPr>
          <w:p>
            <w:pPr>
              <w:adjustRightInd w:val="0"/>
              <w:snapToGrid w:val="0"/>
              <w:spacing w:line="360" w:lineRule="auto"/>
              <w:jc w:val="center"/>
              <w:rPr>
                <w:rFonts w:ascii="宋体" w:hAnsi="宋体"/>
                <w:kern w:val="0"/>
                <w:szCs w:val="21"/>
              </w:rPr>
            </w:pPr>
          </w:p>
        </w:tc>
        <w:tc>
          <w:tcPr>
            <w:tcW w:w="4870" w:type="dxa"/>
            <w:vAlign w:val="center"/>
          </w:tcPr>
          <w:p>
            <w:pPr>
              <w:adjustRightInd w:val="0"/>
              <w:snapToGrid w:val="0"/>
              <w:spacing w:line="360" w:lineRule="auto"/>
              <w:jc w:val="center"/>
              <w:rPr>
                <w:rFonts w:ascii="宋体" w:hAnsi="宋体"/>
                <w:kern w:val="0"/>
                <w:szCs w:val="21"/>
              </w:rPr>
            </w:pPr>
          </w:p>
        </w:tc>
        <w:tc>
          <w:tcPr>
            <w:tcW w:w="1034" w:type="dxa"/>
            <w:vAlign w:val="center"/>
          </w:tcPr>
          <w:p>
            <w:pPr>
              <w:adjustRightInd w:val="0"/>
              <w:snapToGrid w:val="0"/>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2" w:type="dxa"/>
            <w:vAlign w:val="center"/>
          </w:tcPr>
          <w:p>
            <w:pPr>
              <w:adjustRightInd w:val="0"/>
              <w:snapToGrid w:val="0"/>
              <w:spacing w:line="360" w:lineRule="auto"/>
              <w:jc w:val="center"/>
              <w:rPr>
                <w:rFonts w:ascii="宋体" w:hAnsi="宋体"/>
                <w:kern w:val="0"/>
                <w:szCs w:val="21"/>
              </w:rPr>
            </w:pPr>
          </w:p>
        </w:tc>
        <w:tc>
          <w:tcPr>
            <w:tcW w:w="2000" w:type="dxa"/>
            <w:vAlign w:val="center"/>
          </w:tcPr>
          <w:p>
            <w:pPr>
              <w:adjustRightInd w:val="0"/>
              <w:snapToGrid w:val="0"/>
              <w:spacing w:line="360" w:lineRule="auto"/>
              <w:jc w:val="center"/>
              <w:rPr>
                <w:rFonts w:ascii="宋体" w:hAnsi="宋体"/>
                <w:kern w:val="0"/>
                <w:szCs w:val="21"/>
              </w:rPr>
            </w:pPr>
          </w:p>
        </w:tc>
        <w:tc>
          <w:tcPr>
            <w:tcW w:w="4870" w:type="dxa"/>
            <w:vAlign w:val="center"/>
          </w:tcPr>
          <w:p>
            <w:pPr>
              <w:adjustRightInd w:val="0"/>
              <w:snapToGrid w:val="0"/>
              <w:spacing w:line="360" w:lineRule="auto"/>
              <w:jc w:val="center"/>
              <w:rPr>
                <w:rFonts w:ascii="宋体" w:hAnsi="宋体"/>
                <w:kern w:val="0"/>
                <w:szCs w:val="21"/>
              </w:rPr>
            </w:pPr>
          </w:p>
        </w:tc>
        <w:tc>
          <w:tcPr>
            <w:tcW w:w="1034" w:type="dxa"/>
            <w:vAlign w:val="center"/>
          </w:tcPr>
          <w:p>
            <w:pPr>
              <w:adjustRightInd w:val="0"/>
              <w:snapToGrid w:val="0"/>
              <w:spacing w:line="360" w:lineRule="auto"/>
              <w:jc w:val="center"/>
              <w:rPr>
                <w:rFonts w:ascii="宋体" w:hAnsi="宋体"/>
                <w:kern w:val="0"/>
                <w:szCs w:val="21"/>
              </w:rPr>
            </w:pPr>
          </w:p>
        </w:tc>
      </w:tr>
    </w:tbl>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r>
        <w:rPr>
          <w:rFonts w:hint="eastAsia" w:ascii="宋体" w:hAnsi="宋体"/>
          <w:kern w:val="0"/>
        </w:rPr>
        <w:t xml:space="preserve">评标委员会（或报价评审组）全体成员签名：                 </w:t>
      </w:r>
    </w:p>
    <w:p>
      <w:pPr>
        <w:adjustRightInd w:val="0"/>
        <w:snapToGrid w:val="0"/>
        <w:spacing w:line="360" w:lineRule="auto"/>
        <w:jc w:val="left"/>
        <w:rPr>
          <w:rFonts w:hint="eastAsia" w:ascii="宋体" w:hAnsi="宋体"/>
          <w:kern w:val="0"/>
        </w:rPr>
      </w:pPr>
    </w:p>
    <w:p>
      <w:pPr>
        <w:adjustRightInd w:val="0"/>
        <w:snapToGrid w:val="0"/>
        <w:spacing w:line="360" w:lineRule="auto"/>
        <w:jc w:val="left"/>
        <w:rPr>
          <w:rFonts w:hint="eastAsia" w:ascii="宋体" w:hAnsi="宋体"/>
          <w:kern w:val="0"/>
        </w:rPr>
      </w:pPr>
    </w:p>
    <w:p>
      <w:pPr>
        <w:adjustRightInd w:val="0"/>
        <w:snapToGrid w:val="0"/>
        <w:spacing w:line="360" w:lineRule="auto"/>
        <w:jc w:val="right"/>
        <w:rPr>
          <w:rFonts w:hint="eastAsia" w:ascii="宋体" w:hAnsi="宋体"/>
          <w:kern w:val="0"/>
        </w:rPr>
      </w:pPr>
    </w:p>
    <w:p>
      <w:pPr>
        <w:adjustRightInd w:val="0"/>
        <w:snapToGrid w:val="0"/>
        <w:spacing w:line="360" w:lineRule="auto"/>
        <w:jc w:val="right"/>
        <w:rPr>
          <w:rFonts w:ascii="宋体" w:hAnsi="宋体"/>
          <w:kern w:val="0"/>
          <w:szCs w:val="21"/>
        </w:rPr>
      </w:pPr>
      <w:r>
        <w:rPr>
          <w:rFonts w:hint="eastAsia" w:ascii="宋体" w:hAnsi="宋体"/>
          <w:kern w:val="0"/>
        </w:rPr>
        <w:t>日期：    年   月   日</w:t>
      </w:r>
    </w:p>
    <w:p>
      <w:pPr>
        <w:spacing w:line="360" w:lineRule="auto"/>
        <w:jc w:val="center"/>
        <w:sectPr>
          <w:endnotePr>
            <w:numFmt w:val="decimal"/>
          </w:endnotePr>
          <w:pgSz w:w="11906" w:h="16838"/>
          <w:pgMar w:top="1247" w:right="1247" w:bottom="1247" w:left="1361" w:header="851" w:footer="1418" w:gutter="0"/>
          <w:cols w:space="720" w:num="1"/>
          <w:rtlGutter w:val="0"/>
          <w:docGrid w:type="linesAndChars" w:linePitch="592" w:charSpace="-620"/>
        </w:sectPr>
      </w:pPr>
    </w:p>
    <w:bookmarkEnd w:id="46"/>
    <w:bookmarkEnd w:id="47"/>
    <w:bookmarkEnd w:id="48"/>
    <w:bookmarkEnd w:id="49"/>
    <w:bookmarkEnd w:id="50"/>
    <w:bookmarkEnd w:id="51"/>
    <w:p>
      <w:pPr>
        <w:spacing w:line="360" w:lineRule="auto"/>
        <w:jc w:val="center"/>
        <w:rPr>
          <w:rFonts w:hint="eastAsia" w:ascii="仿宋_GB2312" w:hAnsi="仿宋" w:eastAsia="仿宋_GB2312"/>
          <w:b/>
          <w:color w:val="000000"/>
          <w:sz w:val="36"/>
          <w:szCs w:val="36"/>
        </w:rPr>
      </w:pPr>
      <w:bookmarkStart w:id="52" w:name="_Toc491162068"/>
      <w:r>
        <w:rPr>
          <w:rFonts w:hint="eastAsia" w:ascii="仿宋_GB2312" w:hAnsi="仿宋" w:eastAsia="仿宋_GB2312"/>
          <w:b/>
          <w:color w:val="000000"/>
          <w:sz w:val="36"/>
          <w:szCs w:val="36"/>
        </w:rPr>
        <w:t>第四章 合同条款</w:t>
      </w:r>
      <w:r>
        <w:rPr>
          <w:rFonts w:hint="eastAsia" w:ascii="仿宋_GB2312" w:hAnsi="仿宋" w:eastAsia="仿宋_GB2312"/>
          <w:b/>
          <w:color w:val="000000"/>
          <w:sz w:val="36"/>
          <w:szCs w:val="36"/>
          <w:lang w:eastAsia="zh-CN"/>
        </w:rPr>
        <w:t>及</w:t>
      </w:r>
      <w:r>
        <w:rPr>
          <w:rFonts w:hint="eastAsia" w:ascii="仿宋_GB2312" w:hAnsi="仿宋" w:eastAsia="仿宋_GB2312"/>
          <w:b/>
          <w:color w:val="000000"/>
          <w:sz w:val="36"/>
          <w:szCs w:val="36"/>
        </w:rPr>
        <w:t>格式</w:t>
      </w:r>
      <w:bookmarkEnd w:id="52"/>
    </w:p>
    <w:p>
      <w:pPr>
        <w:jc w:val="center"/>
        <w:rPr>
          <w:rFonts w:ascii="黑体" w:hAnsi="黑体" w:eastAsia="黑体" w:cs="黑体"/>
          <w:color w:val="auto"/>
          <w:sz w:val="32"/>
          <w:szCs w:val="32"/>
        </w:rPr>
      </w:pPr>
      <w:r>
        <w:rPr>
          <w:rFonts w:hint="eastAsia" w:ascii="黑体" w:hAnsi="黑体" w:eastAsia="黑体" w:cs="黑体"/>
          <w:color w:val="auto"/>
          <w:sz w:val="32"/>
          <w:szCs w:val="32"/>
          <w:lang w:eastAsia="zh-CN"/>
        </w:rPr>
        <w:t>第一节</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通用</w:t>
      </w:r>
      <w:r>
        <w:rPr>
          <w:rFonts w:ascii="黑体" w:hAnsi="黑体" w:eastAsia="黑体" w:cs="黑体"/>
          <w:color w:val="auto"/>
          <w:sz w:val="32"/>
          <w:szCs w:val="32"/>
        </w:rPr>
        <w:t>合同条款</w:t>
      </w:r>
    </w:p>
    <w:p>
      <w:pPr>
        <w:jc w:val="center"/>
        <w:rPr>
          <w:rFonts w:hint="eastAsia" w:ascii="黑体" w:hAnsi="黑体" w:eastAsia="黑体" w:cs="黑体"/>
          <w:color w:val="auto"/>
          <w:sz w:val="32"/>
          <w:szCs w:val="32"/>
        </w:rPr>
      </w:pPr>
    </w:p>
    <w:p>
      <w:pPr>
        <w:rPr>
          <w:rFonts w:hint="eastAsia" w:ascii="仿宋_GB2312" w:hAnsi="仿宋" w:eastAsia="仿宋_GB2312"/>
          <w:snapToGrid w:val="0"/>
          <w:color w:val="000000"/>
          <w:kern w:val="0"/>
        </w:rPr>
      </w:pPr>
      <w:r>
        <w:rPr>
          <w:rFonts w:hint="eastAsia" w:ascii="仿宋_GB2312" w:hAnsi="仿宋" w:eastAsia="仿宋_GB2312"/>
          <w:color w:val="000000"/>
          <w:lang w:eastAsia="zh-CN"/>
        </w:rPr>
        <w:t>通用合同条款</w:t>
      </w:r>
      <w:r>
        <w:rPr>
          <w:rFonts w:hint="eastAsia" w:ascii="仿宋_GB2312" w:hAnsi="仿宋" w:eastAsia="仿宋_GB2312"/>
          <w:color w:val="000000"/>
        </w:rPr>
        <w:t>参考</w:t>
      </w:r>
      <w:r>
        <w:rPr>
          <w:rFonts w:hint="eastAsia" w:ascii="仿宋_GB2312" w:hAnsi="仿宋" w:eastAsia="仿宋_GB2312"/>
          <w:color w:val="000000"/>
          <w:lang w:eastAsia="zh-CN"/>
        </w:rPr>
        <w:t>交通运输部</w:t>
      </w:r>
      <w:r>
        <w:rPr>
          <w:rFonts w:hint="eastAsia" w:ascii="仿宋_GB2312" w:hAnsi="仿宋" w:eastAsia="仿宋_GB2312"/>
          <w:color w:val="000000"/>
        </w:rPr>
        <w:t>“</w:t>
      </w:r>
      <w:r>
        <w:rPr>
          <w:rFonts w:hint="eastAsia" w:ascii="仿宋_GB2312" w:hAnsi="仿宋" w:eastAsia="仿宋_GB2312"/>
          <w:snapToGrid w:val="0"/>
          <w:color w:val="000000"/>
          <w:kern w:val="0"/>
          <w:lang w:eastAsia="zh-CN"/>
        </w:rPr>
        <w:t>公路工程标准施工招标文件</w:t>
      </w:r>
      <w:r>
        <w:rPr>
          <w:rFonts w:hint="eastAsia" w:ascii="仿宋_GB2312" w:hAnsi="仿宋" w:eastAsia="仿宋_GB2312"/>
          <w:color w:val="000000"/>
        </w:rPr>
        <w:t>”</w:t>
      </w:r>
      <w:r>
        <w:rPr>
          <w:rFonts w:hint="eastAsia" w:ascii="仿宋_GB2312" w:hAnsi="仿宋" w:eastAsia="仿宋_GB2312"/>
          <w:snapToGrid w:val="0"/>
          <w:color w:val="000000"/>
          <w:kern w:val="0"/>
        </w:rPr>
        <w:t>（</w:t>
      </w:r>
      <w:r>
        <w:rPr>
          <w:rFonts w:hint="eastAsia" w:ascii="仿宋_GB2312" w:hAnsi="仿宋" w:eastAsia="仿宋_GB2312"/>
          <w:snapToGrid w:val="0"/>
          <w:color w:val="000000"/>
          <w:kern w:val="0"/>
          <w:lang w:val="en-US" w:eastAsia="zh-CN"/>
        </w:rPr>
        <w:t>2018年版</w:t>
      </w:r>
      <w:r>
        <w:rPr>
          <w:rFonts w:hint="eastAsia" w:ascii="仿宋_GB2312" w:hAnsi="仿宋" w:eastAsia="仿宋_GB2312"/>
          <w:snapToGrid w:val="0"/>
          <w:color w:val="000000"/>
          <w:kern w:val="0"/>
        </w:rPr>
        <w:t>）。</w:t>
      </w:r>
    </w:p>
    <w:p>
      <w:pPr>
        <w:rPr>
          <w:rFonts w:hint="eastAsia" w:ascii="仿宋_GB2312" w:hAnsi="仿宋" w:eastAsia="仿宋_GB2312"/>
          <w:snapToGrid w:val="0"/>
          <w:color w:val="000000"/>
          <w:kern w:val="0"/>
        </w:rPr>
      </w:pPr>
    </w:p>
    <w:p>
      <w:pPr>
        <w:jc w:val="center"/>
        <w:rPr>
          <w:rFonts w:hint="eastAsia" w:ascii="黑体" w:hAnsi="黑体" w:eastAsia="黑体" w:cs="黑体"/>
          <w:color w:val="auto"/>
          <w:sz w:val="32"/>
          <w:szCs w:val="32"/>
          <w:lang w:eastAsia="zh-CN"/>
        </w:rPr>
      </w:pPr>
    </w:p>
    <w:p>
      <w:pPr>
        <w:jc w:val="center"/>
        <w:rPr>
          <w:rFonts w:hint="eastAsia" w:ascii="仿宋_GB2312" w:hAnsi="仿宋" w:eastAsia="仿宋_GB2312"/>
          <w:snapToGrid w:val="0"/>
          <w:color w:val="000000"/>
          <w:kern w:val="0"/>
        </w:rPr>
      </w:pPr>
      <w:r>
        <w:rPr>
          <w:rFonts w:hint="eastAsia" w:ascii="黑体" w:hAnsi="黑体" w:eastAsia="黑体" w:cs="黑体"/>
          <w:color w:val="auto"/>
          <w:sz w:val="32"/>
          <w:szCs w:val="32"/>
          <w:lang w:eastAsia="zh-CN"/>
        </w:rPr>
        <w:t>第二节</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专用</w:t>
      </w:r>
      <w:r>
        <w:rPr>
          <w:rFonts w:ascii="黑体" w:hAnsi="黑体" w:eastAsia="黑体" w:cs="黑体"/>
          <w:color w:val="auto"/>
          <w:sz w:val="32"/>
          <w:szCs w:val="32"/>
        </w:rPr>
        <w:t>合同条款</w:t>
      </w:r>
    </w:p>
    <w:p>
      <w:pPr>
        <w:spacing w:after="0" w:line="292" w:lineRule="exact"/>
        <w:ind w:left="200"/>
        <w:rPr>
          <w:rFonts w:hint="eastAsia" w:ascii="黑体" w:hAnsi="黑体" w:eastAsia="黑体" w:cs="黑体"/>
          <w:color w:val="auto"/>
          <w:sz w:val="32"/>
          <w:szCs w:val="32"/>
          <w:lang w:eastAsia="zh-CN"/>
        </w:rPr>
      </w:pPr>
    </w:p>
    <w:p>
      <w:pPr>
        <w:spacing w:after="0" w:line="360" w:lineRule="auto"/>
        <w:ind w:left="200"/>
        <w:rPr>
          <w:color w:val="auto"/>
          <w:sz w:val="20"/>
          <w:szCs w:val="20"/>
        </w:rPr>
      </w:pPr>
      <w:r>
        <w:rPr>
          <w:rFonts w:ascii="Times New Roman" w:hAnsi="Times New Roman" w:eastAsia="Times New Roman" w:cs="Times New Roman"/>
          <w:color w:val="auto"/>
          <w:sz w:val="24"/>
          <w:szCs w:val="24"/>
        </w:rPr>
        <w:t xml:space="preserve">1.1 </w:t>
      </w:r>
      <w:r>
        <w:rPr>
          <w:rFonts w:ascii="黑体" w:hAnsi="黑体" w:eastAsia="黑体" w:cs="黑体"/>
          <w:color w:val="auto"/>
          <w:sz w:val="24"/>
          <w:szCs w:val="24"/>
        </w:rPr>
        <w:t>词语定义</w:t>
      </w: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1.1.1 </w:t>
      </w:r>
      <w:r>
        <w:rPr>
          <w:rFonts w:ascii="黑体" w:hAnsi="黑体" w:eastAsia="黑体" w:cs="黑体"/>
          <w:color w:val="auto"/>
          <w:sz w:val="24"/>
          <w:szCs w:val="24"/>
        </w:rPr>
        <w:t>合同</w:t>
      </w:r>
    </w:p>
    <w:p>
      <w:pPr>
        <w:spacing w:after="0" w:line="108" w:lineRule="exact"/>
        <w:rPr>
          <w:color w:val="auto"/>
          <w:sz w:val="20"/>
          <w:szCs w:val="20"/>
        </w:rPr>
      </w:pPr>
    </w:p>
    <w:p>
      <w:pPr>
        <w:numPr>
          <w:ilvl w:val="0"/>
          <w:numId w:val="3"/>
        </w:numPr>
        <w:tabs>
          <w:tab w:val="left" w:pos="1220"/>
        </w:tabs>
        <w:spacing w:after="0" w:line="292" w:lineRule="exact"/>
        <w:ind w:left="122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1.1.1.6 </w:t>
      </w:r>
      <w:r>
        <w:rPr>
          <w:rFonts w:ascii="宋体" w:hAnsi="宋体" w:eastAsia="宋体" w:cs="宋体"/>
          <w:color w:val="auto"/>
          <w:sz w:val="24"/>
          <w:szCs w:val="24"/>
        </w:rPr>
        <w:t>目细化为：</w:t>
      </w:r>
    </w:p>
    <w:p>
      <w:pPr>
        <w:spacing w:after="0" w:line="109" w:lineRule="exact"/>
        <w:rPr>
          <w:rFonts w:ascii="宋体" w:hAnsi="宋体" w:eastAsia="宋体" w:cs="宋体"/>
          <w:color w:val="auto"/>
          <w:sz w:val="24"/>
          <w:szCs w:val="24"/>
        </w:rPr>
      </w:pPr>
    </w:p>
    <w:p>
      <w:pPr>
        <w:spacing w:after="0" w:line="274" w:lineRule="exact"/>
        <w:ind w:left="920"/>
        <w:rPr>
          <w:rFonts w:ascii="宋体" w:hAnsi="宋体" w:eastAsia="宋体" w:cs="宋体"/>
          <w:color w:val="auto"/>
          <w:sz w:val="24"/>
          <w:szCs w:val="24"/>
        </w:rPr>
      </w:pPr>
      <w:r>
        <w:rPr>
          <w:rFonts w:ascii="宋体" w:hAnsi="宋体" w:eastAsia="宋体" w:cs="宋体"/>
          <w:color w:val="auto"/>
          <w:sz w:val="24"/>
          <w:szCs w:val="24"/>
        </w:rPr>
        <w:t>技术规范：指本合同所约定的技术标准和要求，是合同文件的组成部分。通</w:t>
      </w:r>
    </w:p>
    <w:p>
      <w:pPr>
        <w:spacing w:after="0" w:line="126" w:lineRule="exact"/>
        <w:rPr>
          <w:color w:val="auto"/>
          <w:sz w:val="20"/>
          <w:szCs w:val="20"/>
        </w:rPr>
      </w:pPr>
    </w:p>
    <w:p>
      <w:pPr>
        <w:spacing w:after="0" w:line="292" w:lineRule="exact"/>
        <w:ind w:left="200"/>
        <w:rPr>
          <w:color w:val="auto"/>
          <w:sz w:val="20"/>
          <w:szCs w:val="20"/>
        </w:rPr>
      </w:pPr>
      <w:r>
        <w:rPr>
          <w:rFonts w:ascii="宋体" w:hAnsi="宋体" w:eastAsia="宋体" w:cs="宋体"/>
          <w:color w:val="auto"/>
          <w:sz w:val="24"/>
          <w:szCs w:val="24"/>
        </w:rPr>
        <w:t>用合同条款中</w:t>
      </w:r>
      <w:r>
        <w:rPr>
          <w:rFonts w:ascii="Times New Roman" w:hAnsi="Times New Roman" w:eastAsia="Times New Roman" w:cs="Times New Roman"/>
          <w:color w:val="auto"/>
          <w:sz w:val="24"/>
          <w:szCs w:val="24"/>
        </w:rPr>
        <w:t>“</w:t>
      </w:r>
      <w:r>
        <w:rPr>
          <w:rFonts w:ascii="宋体" w:hAnsi="宋体" w:eastAsia="宋体" w:cs="宋体"/>
          <w:color w:val="auto"/>
          <w:sz w:val="24"/>
          <w:szCs w:val="24"/>
        </w:rPr>
        <w:t>技术标准和要求</w:t>
      </w:r>
      <w:r>
        <w:rPr>
          <w:rFonts w:ascii="Times New Roman" w:hAnsi="Times New Roman" w:eastAsia="Times New Roman" w:cs="Times New Roman"/>
          <w:color w:val="auto"/>
          <w:sz w:val="24"/>
          <w:szCs w:val="24"/>
        </w:rPr>
        <w:t>”</w:t>
      </w:r>
      <w:r>
        <w:rPr>
          <w:rFonts w:ascii="宋体" w:hAnsi="宋体" w:eastAsia="宋体" w:cs="宋体"/>
          <w:color w:val="auto"/>
          <w:sz w:val="24"/>
          <w:szCs w:val="24"/>
        </w:rPr>
        <w:t>一词具有相同含义。</w:t>
      </w:r>
    </w:p>
    <w:p>
      <w:pPr>
        <w:spacing w:after="0" w:line="108" w:lineRule="exact"/>
        <w:rPr>
          <w:color w:val="auto"/>
          <w:sz w:val="20"/>
          <w:szCs w:val="20"/>
        </w:rPr>
      </w:pPr>
    </w:p>
    <w:p>
      <w:pPr>
        <w:numPr>
          <w:ilvl w:val="0"/>
          <w:numId w:val="4"/>
        </w:numPr>
        <w:tabs>
          <w:tab w:val="left" w:pos="1220"/>
        </w:tabs>
        <w:spacing w:after="0" w:line="292" w:lineRule="exact"/>
        <w:ind w:left="122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1.1.1.8 </w:t>
      </w:r>
      <w:r>
        <w:rPr>
          <w:rFonts w:ascii="宋体" w:hAnsi="宋体" w:eastAsia="宋体" w:cs="宋体"/>
          <w:color w:val="auto"/>
          <w:sz w:val="24"/>
          <w:szCs w:val="24"/>
        </w:rPr>
        <w:t>目细化为：</w:t>
      </w:r>
    </w:p>
    <w:p>
      <w:pPr>
        <w:spacing w:after="0" w:line="109" w:lineRule="exact"/>
        <w:rPr>
          <w:rFonts w:ascii="宋体" w:hAnsi="宋体" w:eastAsia="宋体" w:cs="宋体"/>
          <w:color w:val="auto"/>
          <w:sz w:val="24"/>
          <w:szCs w:val="24"/>
        </w:rPr>
      </w:pPr>
    </w:p>
    <w:p>
      <w:pPr>
        <w:spacing w:after="0" w:line="274" w:lineRule="exact"/>
        <w:ind w:left="920"/>
        <w:rPr>
          <w:rFonts w:ascii="宋体" w:hAnsi="宋体" w:eastAsia="宋体" w:cs="宋体"/>
          <w:color w:val="auto"/>
          <w:sz w:val="24"/>
          <w:szCs w:val="24"/>
        </w:rPr>
      </w:pPr>
      <w:r>
        <w:rPr>
          <w:rFonts w:ascii="宋体" w:hAnsi="宋体" w:eastAsia="宋体" w:cs="宋体"/>
          <w:color w:val="auto"/>
          <w:sz w:val="24"/>
          <w:szCs w:val="24"/>
        </w:rPr>
        <w:t>已标价工程量清单：指构成合同文件组成部分的已标明价格、经算术性错误</w:t>
      </w:r>
    </w:p>
    <w:p>
      <w:pPr>
        <w:spacing w:after="0" w:line="359" w:lineRule="exact"/>
        <w:ind w:left="200" w:right="144"/>
        <w:jc w:val="both"/>
        <w:rPr>
          <w:color w:val="auto"/>
          <w:sz w:val="20"/>
          <w:szCs w:val="20"/>
        </w:rPr>
      </w:pPr>
      <w:r>
        <w:rPr>
          <w:rFonts w:ascii="宋体" w:hAnsi="宋体" w:eastAsia="宋体" w:cs="宋体"/>
          <w:color w:val="auto"/>
          <w:sz w:val="24"/>
          <w:szCs w:val="24"/>
        </w:rPr>
        <w:t>修正及其他错误修正（如有）且承包人已确认的最终的工程量清单，包括工程量清单说明、投标报价说明、计日工说明、其他说明及工程量清单各项表格（工程量清单表</w:t>
      </w:r>
      <w:r>
        <w:rPr>
          <w:rFonts w:ascii="Times New Roman" w:hAnsi="Times New Roman" w:eastAsia="Times New Roman" w:cs="Times New Roman"/>
          <w:color w:val="auto"/>
          <w:sz w:val="24"/>
          <w:szCs w:val="24"/>
        </w:rPr>
        <w:t xml:space="preserve"> 5.1</w:t>
      </w:r>
      <w:r>
        <w:rPr>
          <w:rFonts w:ascii="宋体" w:hAnsi="宋体" w:eastAsia="宋体" w:cs="宋体"/>
          <w:color w:val="auto"/>
          <w:sz w:val="24"/>
          <w:szCs w:val="24"/>
        </w:rPr>
        <w:t>～表</w:t>
      </w:r>
      <w:r>
        <w:rPr>
          <w:rFonts w:ascii="Times New Roman" w:hAnsi="Times New Roman" w:eastAsia="Times New Roman" w:cs="Times New Roman"/>
          <w:color w:val="auto"/>
          <w:sz w:val="24"/>
          <w:szCs w:val="24"/>
        </w:rPr>
        <w:t xml:space="preserve"> 5.5</w:t>
      </w:r>
      <w:r>
        <w:rPr>
          <w:rFonts w:ascii="宋体" w:hAnsi="宋体" w:eastAsia="宋体" w:cs="宋体"/>
          <w:color w:val="auto"/>
          <w:sz w:val="24"/>
          <w:szCs w:val="24"/>
        </w:rPr>
        <w:t>）。</w:t>
      </w:r>
    </w:p>
    <w:p>
      <w:pPr>
        <w:spacing w:after="0" w:line="91" w:lineRule="exact"/>
        <w:rPr>
          <w:color w:val="auto"/>
          <w:sz w:val="20"/>
          <w:szCs w:val="20"/>
        </w:rPr>
      </w:pPr>
    </w:p>
    <w:p>
      <w:pPr>
        <w:spacing w:after="0" w:line="292" w:lineRule="exact"/>
        <w:ind w:left="920"/>
        <w:rPr>
          <w:color w:val="auto"/>
          <w:sz w:val="20"/>
          <w:szCs w:val="20"/>
        </w:rPr>
      </w:pPr>
      <w:r>
        <w:rPr>
          <w:rFonts w:ascii="宋体" w:hAnsi="宋体" w:eastAsia="宋体" w:cs="宋体"/>
          <w:color w:val="auto"/>
          <w:sz w:val="24"/>
          <w:szCs w:val="24"/>
        </w:rPr>
        <w:t>本项补充第</w:t>
      </w:r>
      <w:r>
        <w:rPr>
          <w:rFonts w:ascii="Times New Roman" w:hAnsi="Times New Roman" w:eastAsia="Times New Roman" w:cs="Times New Roman"/>
          <w:color w:val="auto"/>
          <w:sz w:val="24"/>
          <w:szCs w:val="24"/>
        </w:rPr>
        <w:t xml:space="preserve"> 1.1.1.10 </w:t>
      </w:r>
      <w:r>
        <w:rPr>
          <w:rFonts w:ascii="宋体" w:hAnsi="宋体" w:eastAsia="宋体" w:cs="宋体"/>
          <w:color w:val="auto"/>
          <w:sz w:val="24"/>
          <w:szCs w:val="24"/>
        </w:rPr>
        <w:t>目：</w:t>
      </w:r>
    </w:p>
    <w:p>
      <w:pPr>
        <w:spacing w:after="0" w:line="108" w:lineRule="exact"/>
        <w:rPr>
          <w:color w:val="auto"/>
          <w:sz w:val="20"/>
          <w:szCs w:val="20"/>
        </w:rPr>
      </w:pPr>
    </w:p>
    <w:p>
      <w:pPr>
        <w:spacing w:after="0" w:line="338" w:lineRule="exact"/>
        <w:ind w:left="200" w:right="144" w:firstLine="720"/>
        <w:jc w:val="both"/>
        <w:rPr>
          <w:color w:val="auto"/>
          <w:sz w:val="20"/>
          <w:szCs w:val="20"/>
        </w:rPr>
      </w:pPr>
      <w:r>
        <w:rPr>
          <w:rFonts w:ascii="Times New Roman" w:hAnsi="Times New Roman" w:eastAsia="Times New Roman" w:cs="Times New Roman"/>
          <w:color w:val="auto"/>
          <w:sz w:val="24"/>
          <w:szCs w:val="24"/>
        </w:rPr>
        <w:t xml:space="preserve">1.1.1.10 </w:t>
      </w:r>
      <w:r>
        <w:rPr>
          <w:rFonts w:ascii="宋体" w:hAnsi="宋体" w:eastAsia="宋体" w:cs="宋体"/>
          <w:color w:val="auto"/>
          <w:sz w:val="24"/>
          <w:szCs w:val="24"/>
        </w:rPr>
        <w:t>补遗书：指发出招标文件之后由招标人向已取得招标文件的投标人发出的、编号的对招标文件所作的澄清、修改书。</w:t>
      </w:r>
    </w:p>
    <w:p>
      <w:pPr>
        <w:spacing w:after="0" w:line="126"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1.1.2 </w:t>
      </w:r>
      <w:r>
        <w:rPr>
          <w:rFonts w:ascii="黑体" w:hAnsi="黑体" w:eastAsia="黑体" w:cs="黑体"/>
          <w:color w:val="auto"/>
          <w:sz w:val="24"/>
          <w:szCs w:val="24"/>
        </w:rPr>
        <w:t>合同当事人和人员</w:t>
      </w:r>
    </w:p>
    <w:p>
      <w:pPr>
        <w:spacing w:after="0" w:line="108" w:lineRule="exact"/>
        <w:rPr>
          <w:color w:val="auto"/>
          <w:sz w:val="20"/>
          <w:szCs w:val="20"/>
        </w:rPr>
      </w:pPr>
    </w:p>
    <w:p>
      <w:pPr>
        <w:spacing w:after="0" w:line="292" w:lineRule="exact"/>
        <w:ind w:left="920"/>
        <w:rPr>
          <w:color w:val="auto"/>
          <w:sz w:val="20"/>
          <w:szCs w:val="20"/>
        </w:rPr>
      </w:pPr>
      <w:r>
        <w:rPr>
          <w:rFonts w:ascii="宋体" w:hAnsi="宋体" w:eastAsia="宋体" w:cs="宋体"/>
          <w:color w:val="auto"/>
          <w:sz w:val="24"/>
          <w:szCs w:val="24"/>
        </w:rPr>
        <w:t>本项补充第</w:t>
      </w:r>
      <w:r>
        <w:rPr>
          <w:rFonts w:ascii="Times New Roman" w:hAnsi="Times New Roman" w:eastAsia="Times New Roman" w:cs="Times New Roman"/>
          <w:color w:val="auto"/>
          <w:sz w:val="24"/>
          <w:szCs w:val="24"/>
        </w:rPr>
        <w:t xml:space="preserve"> 1.1.2.8 </w:t>
      </w:r>
      <w:r>
        <w:rPr>
          <w:rFonts w:ascii="宋体" w:hAnsi="宋体" w:eastAsia="宋体" w:cs="宋体"/>
          <w:color w:val="auto"/>
          <w:sz w:val="24"/>
          <w:szCs w:val="24"/>
        </w:rPr>
        <w:t>目：</w:t>
      </w:r>
    </w:p>
    <w:p>
      <w:pPr>
        <w:spacing w:after="0" w:line="109" w:lineRule="exact"/>
        <w:rPr>
          <w:color w:val="auto"/>
          <w:sz w:val="20"/>
          <w:szCs w:val="20"/>
        </w:rPr>
      </w:pPr>
    </w:p>
    <w:p>
      <w:pPr>
        <w:spacing w:after="0" w:line="336" w:lineRule="exact"/>
        <w:ind w:left="200" w:right="144" w:firstLine="720"/>
        <w:jc w:val="both"/>
        <w:rPr>
          <w:color w:val="auto"/>
          <w:sz w:val="20"/>
          <w:szCs w:val="20"/>
        </w:rPr>
      </w:pPr>
      <w:r>
        <w:rPr>
          <w:rFonts w:ascii="Times New Roman" w:hAnsi="Times New Roman" w:eastAsia="Times New Roman" w:cs="Times New Roman"/>
          <w:color w:val="auto"/>
          <w:sz w:val="24"/>
          <w:szCs w:val="24"/>
        </w:rPr>
        <w:t xml:space="preserve">1.1.2.8 </w:t>
      </w:r>
      <w:r>
        <w:rPr>
          <w:rFonts w:ascii="宋体" w:hAnsi="宋体" w:eastAsia="宋体" w:cs="宋体"/>
          <w:color w:val="auto"/>
          <w:sz w:val="24"/>
          <w:szCs w:val="24"/>
        </w:rPr>
        <w:t>承包人项目总工：指由承包人书面委派常驻现场负责管理本合同工程的总工程师或技术总负责人。</w:t>
      </w:r>
    </w:p>
    <w:p>
      <w:pPr>
        <w:spacing w:after="0" w:line="127"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1.1.3 </w:t>
      </w:r>
      <w:r>
        <w:rPr>
          <w:rFonts w:ascii="黑体" w:hAnsi="黑体" w:eastAsia="黑体" w:cs="黑体"/>
          <w:color w:val="auto"/>
          <w:sz w:val="24"/>
          <w:szCs w:val="24"/>
        </w:rPr>
        <w:t>工程和设备</w:t>
      </w:r>
    </w:p>
    <w:p>
      <w:pPr>
        <w:spacing w:after="0" w:line="109" w:lineRule="exact"/>
        <w:rPr>
          <w:color w:val="auto"/>
          <w:sz w:val="20"/>
          <w:szCs w:val="20"/>
        </w:rPr>
      </w:pPr>
    </w:p>
    <w:p>
      <w:pPr>
        <w:numPr>
          <w:ilvl w:val="0"/>
          <w:numId w:val="5"/>
        </w:numPr>
        <w:tabs>
          <w:tab w:val="left" w:pos="1220"/>
        </w:tabs>
        <w:spacing w:after="0" w:line="292" w:lineRule="exact"/>
        <w:ind w:left="122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1.1.3.4 </w:t>
      </w:r>
      <w:r>
        <w:rPr>
          <w:rFonts w:ascii="宋体" w:hAnsi="宋体" w:eastAsia="宋体" w:cs="宋体"/>
          <w:color w:val="auto"/>
          <w:sz w:val="24"/>
          <w:szCs w:val="24"/>
        </w:rPr>
        <w:t>目细化为：</w:t>
      </w:r>
    </w:p>
    <w:p>
      <w:pPr>
        <w:spacing w:after="0" w:line="108" w:lineRule="exact"/>
        <w:rPr>
          <w:color w:val="auto"/>
          <w:sz w:val="20"/>
          <w:szCs w:val="20"/>
        </w:rPr>
      </w:pPr>
    </w:p>
    <w:p>
      <w:pPr>
        <w:spacing w:after="0" w:line="274" w:lineRule="exact"/>
        <w:ind w:left="920"/>
        <w:rPr>
          <w:color w:val="auto"/>
          <w:sz w:val="20"/>
          <w:szCs w:val="20"/>
        </w:rPr>
      </w:pPr>
      <w:r>
        <w:rPr>
          <w:rFonts w:ascii="宋体" w:hAnsi="宋体" w:eastAsia="宋体" w:cs="宋体"/>
          <w:color w:val="auto"/>
          <w:sz w:val="24"/>
          <w:szCs w:val="24"/>
        </w:rPr>
        <w:t>单位工程：指在建设项目中，根据签订的合同，具有独立施工条件的工程。</w:t>
      </w:r>
    </w:p>
    <w:p>
      <w:pPr>
        <w:spacing w:after="0" w:line="126" w:lineRule="exact"/>
        <w:rPr>
          <w:color w:val="auto"/>
          <w:sz w:val="20"/>
          <w:szCs w:val="20"/>
        </w:rPr>
      </w:pPr>
    </w:p>
    <w:p>
      <w:pPr>
        <w:numPr>
          <w:ilvl w:val="0"/>
          <w:numId w:val="6"/>
        </w:numPr>
        <w:tabs>
          <w:tab w:val="left" w:pos="1220"/>
        </w:tabs>
        <w:spacing w:after="0" w:line="292" w:lineRule="exact"/>
        <w:ind w:left="122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1.1.3.10 </w:t>
      </w:r>
      <w:r>
        <w:rPr>
          <w:rFonts w:ascii="宋体" w:hAnsi="宋体" w:eastAsia="宋体" w:cs="宋体"/>
          <w:color w:val="auto"/>
          <w:sz w:val="24"/>
          <w:szCs w:val="24"/>
        </w:rPr>
        <w:t>目细化为：</w:t>
      </w:r>
    </w:p>
    <w:p>
      <w:pPr>
        <w:spacing w:after="0" w:line="109" w:lineRule="exact"/>
        <w:rPr>
          <w:rFonts w:ascii="宋体" w:hAnsi="宋体" w:eastAsia="宋体" w:cs="宋体"/>
          <w:color w:val="auto"/>
          <w:sz w:val="24"/>
          <w:szCs w:val="24"/>
        </w:rPr>
      </w:pPr>
    </w:p>
    <w:p>
      <w:pPr>
        <w:spacing w:after="0" w:line="274" w:lineRule="exact"/>
        <w:ind w:left="920"/>
        <w:rPr>
          <w:rFonts w:ascii="宋体" w:hAnsi="宋体" w:eastAsia="宋体" w:cs="宋体"/>
          <w:color w:val="auto"/>
          <w:sz w:val="24"/>
          <w:szCs w:val="24"/>
        </w:rPr>
      </w:pPr>
      <w:r>
        <w:rPr>
          <w:rFonts w:ascii="宋体" w:hAnsi="宋体" w:eastAsia="宋体" w:cs="宋体"/>
          <w:color w:val="auto"/>
          <w:sz w:val="24"/>
          <w:szCs w:val="24"/>
        </w:rPr>
        <w:t>永久占地：指为实施本合同工程而需要的一切永久占用的土地，包括公路两</w:t>
      </w:r>
    </w:p>
    <w:p>
      <w:pPr>
        <w:spacing w:after="0" w:line="126" w:lineRule="exact"/>
        <w:rPr>
          <w:color w:val="auto"/>
          <w:sz w:val="20"/>
          <w:szCs w:val="20"/>
        </w:rPr>
      </w:pPr>
    </w:p>
    <w:p>
      <w:pPr>
        <w:spacing w:after="0" w:line="274" w:lineRule="exact"/>
        <w:ind w:left="200"/>
        <w:rPr>
          <w:color w:val="auto"/>
          <w:sz w:val="20"/>
          <w:szCs w:val="20"/>
        </w:rPr>
      </w:pPr>
      <w:r>
        <w:rPr>
          <w:rFonts w:ascii="宋体" w:hAnsi="宋体" w:eastAsia="宋体" w:cs="宋体"/>
          <w:color w:val="auto"/>
          <w:sz w:val="24"/>
          <w:szCs w:val="24"/>
        </w:rPr>
        <w:t>侧路权范围内的用地。</w:t>
      </w:r>
    </w:p>
    <w:p>
      <w:pPr>
        <w:spacing w:after="0" w:line="126" w:lineRule="exact"/>
        <w:rPr>
          <w:color w:val="auto"/>
          <w:sz w:val="20"/>
          <w:szCs w:val="20"/>
        </w:rPr>
      </w:pPr>
    </w:p>
    <w:p>
      <w:pPr>
        <w:numPr>
          <w:ilvl w:val="0"/>
          <w:numId w:val="7"/>
        </w:numPr>
        <w:tabs>
          <w:tab w:val="left" w:pos="1220"/>
        </w:tabs>
        <w:spacing w:after="0" w:line="292" w:lineRule="exact"/>
        <w:ind w:left="122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1.1.3.11 </w:t>
      </w:r>
      <w:r>
        <w:rPr>
          <w:rFonts w:ascii="宋体" w:hAnsi="宋体" w:eastAsia="宋体" w:cs="宋体"/>
          <w:color w:val="auto"/>
          <w:sz w:val="24"/>
          <w:szCs w:val="24"/>
        </w:rPr>
        <w:t>目细化为：</w:t>
      </w:r>
    </w:p>
    <w:p>
      <w:pPr>
        <w:spacing w:after="0" w:line="109" w:lineRule="exact"/>
        <w:rPr>
          <w:rFonts w:ascii="宋体" w:hAnsi="宋体" w:eastAsia="宋体" w:cs="宋体"/>
          <w:color w:val="auto"/>
          <w:sz w:val="24"/>
          <w:szCs w:val="24"/>
        </w:rPr>
      </w:pPr>
    </w:p>
    <w:p>
      <w:pPr>
        <w:spacing w:after="0" w:line="274" w:lineRule="exact"/>
        <w:ind w:left="920"/>
        <w:rPr>
          <w:rFonts w:ascii="宋体" w:hAnsi="宋体" w:eastAsia="宋体" w:cs="宋体"/>
          <w:color w:val="auto"/>
          <w:sz w:val="24"/>
          <w:szCs w:val="24"/>
        </w:rPr>
      </w:pPr>
      <w:r>
        <w:rPr>
          <w:rFonts w:ascii="宋体" w:hAnsi="宋体" w:eastAsia="宋体" w:cs="宋体"/>
          <w:color w:val="auto"/>
          <w:sz w:val="24"/>
          <w:szCs w:val="24"/>
        </w:rPr>
        <w:t>临时占地：指为实施本合同工程而需要的一切临时占用的土地，包括施工所</w:t>
      </w:r>
    </w:p>
    <w:p>
      <w:pPr>
        <w:spacing w:after="0" w:line="336" w:lineRule="exact"/>
        <w:ind w:left="200" w:right="144"/>
        <w:rPr>
          <w:color w:val="auto"/>
          <w:sz w:val="20"/>
          <w:szCs w:val="20"/>
        </w:rPr>
      </w:pPr>
      <w:r>
        <w:rPr>
          <w:rFonts w:ascii="宋体" w:hAnsi="宋体" w:eastAsia="宋体" w:cs="宋体"/>
          <w:color w:val="auto"/>
          <w:sz w:val="24"/>
          <w:szCs w:val="24"/>
        </w:rPr>
        <w:t>用的临时支线、便道、便桥和现场的临时出入通道，以及生产</w:t>
      </w:r>
      <w:r>
        <w:rPr>
          <w:rFonts w:ascii="Times New Roman" w:hAnsi="Times New Roman" w:eastAsia="Times New Roman" w:cs="Times New Roman"/>
          <w:color w:val="auto"/>
          <w:sz w:val="24"/>
          <w:szCs w:val="24"/>
        </w:rPr>
        <w:t>(</w:t>
      </w:r>
      <w:r>
        <w:rPr>
          <w:rFonts w:ascii="宋体" w:hAnsi="宋体" w:eastAsia="宋体" w:cs="宋体"/>
          <w:color w:val="auto"/>
          <w:sz w:val="24"/>
          <w:szCs w:val="24"/>
        </w:rPr>
        <w:t>办公</w:t>
      </w:r>
      <w:r>
        <w:rPr>
          <w:rFonts w:ascii="Times New Roman" w:hAnsi="Times New Roman" w:eastAsia="Times New Roman" w:cs="Times New Roman"/>
          <w:color w:val="auto"/>
          <w:sz w:val="24"/>
          <w:szCs w:val="24"/>
        </w:rPr>
        <w:t>)</w:t>
      </w:r>
      <w:r>
        <w:rPr>
          <w:rFonts w:ascii="宋体" w:hAnsi="宋体" w:eastAsia="宋体" w:cs="宋体"/>
          <w:color w:val="auto"/>
          <w:sz w:val="24"/>
          <w:szCs w:val="24"/>
        </w:rPr>
        <w:t>、生活等临时设施用地等。</w:t>
      </w:r>
    </w:p>
    <w:p>
      <w:pPr>
        <w:spacing w:after="0" w:line="129" w:lineRule="exact"/>
        <w:rPr>
          <w:color w:val="auto"/>
          <w:sz w:val="20"/>
          <w:szCs w:val="20"/>
        </w:rPr>
      </w:pPr>
    </w:p>
    <w:p>
      <w:pPr>
        <w:spacing w:after="0" w:line="292" w:lineRule="exact"/>
        <w:ind w:left="920"/>
        <w:rPr>
          <w:color w:val="auto"/>
          <w:sz w:val="20"/>
          <w:szCs w:val="20"/>
        </w:rPr>
      </w:pPr>
      <w:r>
        <w:rPr>
          <w:rFonts w:ascii="宋体" w:hAnsi="宋体" w:eastAsia="宋体" w:cs="宋体"/>
          <w:color w:val="auto"/>
          <w:sz w:val="24"/>
          <w:szCs w:val="24"/>
        </w:rPr>
        <w:t>本项补充第</w:t>
      </w:r>
      <w:r>
        <w:rPr>
          <w:rFonts w:ascii="Times New Roman" w:hAnsi="Times New Roman" w:eastAsia="Times New Roman" w:cs="Times New Roman"/>
          <w:color w:val="auto"/>
          <w:sz w:val="24"/>
          <w:szCs w:val="24"/>
        </w:rPr>
        <w:t xml:space="preserve"> 1.1.3.12 </w:t>
      </w:r>
      <w:r>
        <w:rPr>
          <w:rFonts w:ascii="宋体" w:hAnsi="宋体" w:eastAsia="宋体" w:cs="宋体"/>
          <w:color w:val="auto"/>
          <w:sz w:val="24"/>
          <w:szCs w:val="24"/>
        </w:rPr>
        <w:t>目、第</w:t>
      </w:r>
      <w:r>
        <w:rPr>
          <w:rFonts w:ascii="Times New Roman" w:hAnsi="Times New Roman" w:eastAsia="Times New Roman" w:cs="Times New Roman"/>
          <w:color w:val="auto"/>
          <w:sz w:val="24"/>
          <w:szCs w:val="24"/>
        </w:rPr>
        <w:t xml:space="preserve"> 1.1.3.13 </w:t>
      </w:r>
      <w:r>
        <w:rPr>
          <w:rFonts w:ascii="宋体" w:hAnsi="宋体" w:eastAsia="宋体" w:cs="宋体"/>
          <w:color w:val="auto"/>
          <w:sz w:val="24"/>
          <w:szCs w:val="24"/>
        </w:rPr>
        <w:t>目：</w:t>
      </w:r>
    </w:p>
    <w:p>
      <w:pPr>
        <w:spacing w:after="0" w:line="108" w:lineRule="exact"/>
        <w:rPr>
          <w:color w:val="auto"/>
          <w:sz w:val="20"/>
          <w:szCs w:val="20"/>
        </w:rPr>
      </w:pPr>
    </w:p>
    <w:p>
      <w:pPr>
        <w:spacing w:after="0" w:line="292" w:lineRule="exact"/>
        <w:ind w:left="920"/>
        <w:rPr>
          <w:color w:val="auto"/>
          <w:sz w:val="20"/>
          <w:szCs w:val="20"/>
        </w:rPr>
      </w:pPr>
      <w:r>
        <w:rPr>
          <w:rFonts w:ascii="Times New Roman" w:hAnsi="Times New Roman" w:eastAsia="Times New Roman" w:cs="Times New Roman"/>
          <w:color w:val="auto"/>
          <w:sz w:val="24"/>
          <w:szCs w:val="24"/>
        </w:rPr>
        <w:t xml:space="preserve">1.1.3.12 </w:t>
      </w:r>
      <w:r>
        <w:rPr>
          <w:rFonts w:ascii="宋体" w:hAnsi="宋体" w:eastAsia="宋体" w:cs="宋体"/>
          <w:color w:val="auto"/>
          <w:sz w:val="24"/>
          <w:szCs w:val="24"/>
        </w:rPr>
        <w:t>分部工程：指在单位工程中，按结构部位、路段长度及施工特点或</w:t>
      </w:r>
    </w:p>
    <w:p>
      <w:pPr>
        <w:spacing w:after="0" w:line="274" w:lineRule="exact"/>
        <w:ind w:left="200"/>
        <w:rPr>
          <w:color w:val="auto"/>
          <w:sz w:val="20"/>
          <w:szCs w:val="20"/>
        </w:rPr>
      </w:pPr>
      <w:r>
        <w:rPr>
          <w:rFonts w:ascii="宋体" w:hAnsi="宋体" w:eastAsia="宋体" w:cs="宋体"/>
          <w:color w:val="auto"/>
          <w:sz w:val="24"/>
          <w:szCs w:val="24"/>
        </w:rPr>
        <w:t>施工任务划分的若干个工程。</w:t>
      </w:r>
    </w:p>
    <w:p>
      <w:pPr>
        <w:spacing w:after="0" w:line="127" w:lineRule="exact"/>
        <w:rPr>
          <w:color w:val="auto"/>
          <w:sz w:val="20"/>
          <w:szCs w:val="20"/>
        </w:rPr>
      </w:pPr>
    </w:p>
    <w:p>
      <w:pPr>
        <w:spacing w:after="0" w:line="336" w:lineRule="exact"/>
        <w:ind w:left="200" w:right="144" w:firstLine="720"/>
        <w:jc w:val="both"/>
        <w:rPr>
          <w:color w:val="auto"/>
          <w:sz w:val="20"/>
          <w:szCs w:val="20"/>
        </w:rPr>
      </w:pPr>
      <w:r>
        <w:rPr>
          <w:rFonts w:ascii="Times New Roman" w:hAnsi="Times New Roman" w:eastAsia="Times New Roman" w:cs="Times New Roman"/>
          <w:color w:val="auto"/>
          <w:sz w:val="24"/>
          <w:szCs w:val="24"/>
        </w:rPr>
        <w:t xml:space="preserve">1.1.3.13 </w:t>
      </w:r>
      <w:r>
        <w:rPr>
          <w:rFonts w:ascii="宋体" w:hAnsi="宋体" w:eastAsia="宋体" w:cs="宋体"/>
          <w:color w:val="auto"/>
          <w:sz w:val="24"/>
          <w:szCs w:val="24"/>
        </w:rPr>
        <w:t>分项工程：指在分部工程中，按不同的施工方法、材料、工序及路段长度等划分的若干个工程。</w:t>
      </w:r>
    </w:p>
    <w:p>
      <w:pPr>
        <w:spacing w:after="0" w:line="127"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1.1.6 </w:t>
      </w:r>
      <w:r>
        <w:rPr>
          <w:rFonts w:ascii="黑体" w:hAnsi="黑体" w:eastAsia="黑体" w:cs="黑体"/>
          <w:color w:val="auto"/>
          <w:sz w:val="24"/>
          <w:szCs w:val="24"/>
        </w:rPr>
        <w:t>其他</w:t>
      </w:r>
    </w:p>
    <w:p>
      <w:pPr>
        <w:spacing w:after="0" w:line="109" w:lineRule="exact"/>
        <w:rPr>
          <w:color w:val="auto"/>
          <w:sz w:val="20"/>
          <w:szCs w:val="20"/>
        </w:rPr>
      </w:pPr>
    </w:p>
    <w:p>
      <w:pPr>
        <w:spacing w:after="0" w:line="292" w:lineRule="exact"/>
        <w:ind w:left="920"/>
        <w:rPr>
          <w:color w:val="auto"/>
          <w:sz w:val="20"/>
          <w:szCs w:val="20"/>
        </w:rPr>
      </w:pPr>
      <w:r>
        <w:rPr>
          <w:rFonts w:ascii="宋体" w:hAnsi="宋体" w:eastAsia="宋体" w:cs="宋体"/>
          <w:color w:val="auto"/>
          <w:sz w:val="24"/>
          <w:szCs w:val="24"/>
        </w:rPr>
        <w:t>本项补充第</w:t>
      </w:r>
      <w:r>
        <w:rPr>
          <w:rFonts w:ascii="Times New Roman" w:hAnsi="Times New Roman" w:eastAsia="Times New Roman" w:cs="Times New Roman"/>
          <w:color w:val="auto"/>
          <w:sz w:val="24"/>
          <w:szCs w:val="24"/>
        </w:rPr>
        <w:t xml:space="preserve"> 1.1.6.2 </w:t>
      </w:r>
      <w:r>
        <w:rPr>
          <w:rFonts w:ascii="宋体" w:hAnsi="宋体" w:eastAsia="宋体" w:cs="宋体"/>
          <w:color w:val="auto"/>
          <w:sz w:val="24"/>
          <w:szCs w:val="24"/>
        </w:rPr>
        <w:t>目～第</w:t>
      </w:r>
      <w:r>
        <w:rPr>
          <w:rFonts w:ascii="Times New Roman" w:hAnsi="Times New Roman" w:eastAsia="Times New Roman" w:cs="Times New Roman"/>
          <w:color w:val="auto"/>
          <w:sz w:val="24"/>
          <w:szCs w:val="24"/>
        </w:rPr>
        <w:t xml:space="preserve"> 1.1.6.8 </w:t>
      </w:r>
      <w:r>
        <w:rPr>
          <w:rFonts w:ascii="宋体" w:hAnsi="宋体" w:eastAsia="宋体" w:cs="宋体"/>
          <w:color w:val="auto"/>
          <w:sz w:val="24"/>
          <w:szCs w:val="24"/>
        </w:rPr>
        <w:t>目：</w:t>
      </w:r>
    </w:p>
    <w:p>
      <w:pPr>
        <w:spacing w:after="0" w:line="356" w:lineRule="exact"/>
        <w:ind w:left="200" w:right="144" w:firstLine="720"/>
        <w:jc w:val="both"/>
        <w:rPr>
          <w:color w:val="auto"/>
          <w:sz w:val="20"/>
          <w:szCs w:val="20"/>
        </w:rPr>
      </w:pPr>
      <w:r>
        <w:rPr>
          <w:rFonts w:ascii="Times New Roman" w:hAnsi="Times New Roman" w:eastAsia="Times New Roman" w:cs="Times New Roman"/>
          <w:color w:val="auto"/>
          <w:sz w:val="24"/>
          <w:szCs w:val="24"/>
        </w:rPr>
        <w:t xml:space="preserve">1.1.6.2 </w:t>
      </w:r>
      <w:r>
        <w:rPr>
          <w:rFonts w:ascii="宋体" w:hAnsi="宋体" w:eastAsia="宋体" w:cs="宋体"/>
          <w:color w:val="auto"/>
          <w:sz w:val="24"/>
          <w:szCs w:val="24"/>
        </w:rPr>
        <w:t>竣工验收：指《公路工程竣</w:t>
      </w:r>
      <w:r>
        <w:rPr>
          <w:rFonts w:ascii="Times New Roman" w:hAnsi="Times New Roman" w:eastAsia="Times New Roman" w:cs="Times New Roman"/>
          <w:color w:val="auto"/>
          <w:sz w:val="24"/>
          <w:szCs w:val="24"/>
        </w:rPr>
        <w:t>(</w:t>
      </w:r>
      <w:r>
        <w:rPr>
          <w:rFonts w:ascii="宋体" w:hAnsi="宋体" w:eastAsia="宋体" w:cs="宋体"/>
          <w:color w:val="auto"/>
          <w:sz w:val="24"/>
          <w:szCs w:val="24"/>
        </w:rPr>
        <w:t>交</w:t>
      </w:r>
      <w:r>
        <w:rPr>
          <w:rFonts w:ascii="Times New Roman" w:hAnsi="Times New Roman" w:eastAsia="Times New Roman" w:cs="Times New Roman"/>
          <w:color w:val="auto"/>
          <w:sz w:val="24"/>
          <w:szCs w:val="24"/>
        </w:rPr>
        <w:t>)</w:t>
      </w:r>
      <w:r>
        <w:rPr>
          <w:rFonts w:ascii="宋体" w:hAnsi="宋体" w:eastAsia="宋体" w:cs="宋体"/>
          <w:color w:val="auto"/>
          <w:sz w:val="24"/>
          <w:szCs w:val="24"/>
        </w:rPr>
        <w:t>工验收办法》中的竣工验收。通用合同条款中</w:t>
      </w:r>
      <w:r>
        <w:rPr>
          <w:rFonts w:ascii="Times New Roman" w:hAnsi="Times New Roman" w:eastAsia="Times New Roman" w:cs="Times New Roman"/>
          <w:color w:val="auto"/>
          <w:sz w:val="24"/>
          <w:szCs w:val="24"/>
        </w:rPr>
        <w:t>“</w:t>
      </w:r>
      <w:r>
        <w:rPr>
          <w:rFonts w:ascii="宋体" w:hAnsi="宋体" w:eastAsia="宋体" w:cs="宋体"/>
          <w:color w:val="auto"/>
          <w:sz w:val="24"/>
          <w:szCs w:val="24"/>
        </w:rPr>
        <w:t>国家验收</w:t>
      </w:r>
      <w:r>
        <w:rPr>
          <w:rFonts w:ascii="Times New Roman" w:hAnsi="Times New Roman" w:eastAsia="Times New Roman" w:cs="Times New Roman"/>
          <w:color w:val="auto"/>
          <w:sz w:val="24"/>
          <w:szCs w:val="24"/>
        </w:rPr>
        <w:t>”</w:t>
      </w:r>
      <w:r>
        <w:rPr>
          <w:rFonts w:ascii="宋体" w:hAnsi="宋体" w:eastAsia="宋体" w:cs="宋体"/>
          <w:color w:val="auto"/>
          <w:sz w:val="24"/>
          <w:szCs w:val="24"/>
        </w:rPr>
        <w:t>一词具有相同含义。</w:t>
      </w:r>
    </w:p>
    <w:p>
      <w:pPr>
        <w:spacing w:after="0" w:line="356" w:lineRule="exact"/>
        <w:ind w:left="200" w:right="144" w:firstLine="720"/>
        <w:jc w:val="both"/>
        <w:rPr>
          <w:color w:val="auto"/>
          <w:sz w:val="20"/>
          <w:szCs w:val="20"/>
        </w:rPr>
      </w:pPr>
      <w:r>
        <w:rPr>
          <w:rFonts w:ascii="Times New Roman" w:hAnsi="Times New Roman" w:eastAsia="Times New Roman" w:cs="Times New Roman"/>
          <w:color w:val="auto"/>
          <w:sz w:val="24"/>
          <w:szCs w:val="24"/>
        </w:rPr>
        <w:t xml:space="preserve">1.1.6.3 </w:t>
      </w:r>
      <w:r>
        <w:rPr>
          <w:rFonts w:ascii="宋体" w:hAnsi="宋体" w:eastAsia="宋体" w:cs="宋体"/>
          <w:color w:val="auto"/>
          <w:sz w:val="24"/>
          <w:szCs w:val="24"/>
        </w:rPr>
        <w:t>交工：指《公路工程竣</w:t>
      </w:r>
      <w:r>
        <w:rPr>
          <w:rFonts w:ascii="Times New Roman" w:hAnsi="Times New Roman" w:eastAsia="Times New Roman" w:cs="Times New Roman"/>
          <w:color w:val="auto"/>
          <w:sz w:val="24"/>
          <w:szCs w:val="24"/>
        </w:rPr>
        <w:t>(</w:t>
      </w:r>
      <w:r>
        <w:rPr>
          <w:rFonts w:ascii="宋体" w:hAnsi="宋体" w:eastAsia="宋体" w:cs="宋体"/>
          <w:color w:val="auto"/>
          <w:sz w:val="24"/>
          <w:szCs w:val="24"/>
        </w:rPr>
        <w:t>交</w:t>
      </w:r>
      <w:r>
        <w:rPr>
          <w:rFonts w:ascii="Times New Roman" w:hAnsi="Times New Roman" w:eastAsia="Times New Roman" w:cs="Times New Roman"/>
          <w:color w:val="auto"/>
          <w:sz w:val="24"/>
          <w:szCs w:val="24"/>
        </w:rPr>
        <w:t>)</w:t>
      </w:r>
      <w:r>
        <w:rPr>
          <w:rFonts w:ascii="宋体" w:hAnsi="宋体" w:eastAsia="宋体" w:cs="宋体"/>
          <w:color w:val="auto"/>
          <w:sz w:val="24"/>
          <w:szCs w:val="24"/>
        </w:rPr>
        <w:t>工验收办法》中的交工。通用合同条款中</w:t>
      </w:r>
      <w:r>
        <w:rPr>
          <w:rFonts w:ascii="Times New Roman" w:hAnsi="Times New Roman" w:eastAsia="Times New Roman" w:cs="Times New Roman"/>
          <w:color w:val="auto"/>
          <w:sz w:val="24"/>
          <w:szCs w:val="24"/>
        </w:rPr>
        <w:t>“</w:t>
      </w:r>
      <w:r>
        <w:rPr>
          <w:rFonts w:ascii="宋体" w:hAnsi="宋体" w:eastAsia="宋体" w:cs="宋体"/>
          <w:color w:val="auto"/>
          <w:sz w:val="24"/>
          <w:szCs w:val="24"/>
        </w:rPr>
        <w:t>竣工</w:t>
      </w:r>
      <w:r>
        <w:rPr>
          <w:rFonts w:ascii="Times New Roman" w:hAnsi="Times New Roman" w:eastAsia="Times New Roman" w:cs="Times New Roman"/>
          <w:color w:val="auto"/>
          <w:sz w:val="24"/>
          <w:szCs w:val="24"/>
        </w:rPr>
        <w:t>”</w:t>
      </w:r>
      <w:r>
        <w:rPr>
          <w:rFonts w:ascii="宋体" w:hAnsi="宋体" w:eastAsia="宋体" w:cs="宋体"/>
          <w:color w:val="auto"/>
          <w:sz w:val="24"/>
          <w:szCs w:val="24"/>
        </w:rPr>
        <w:t>一词具有相同含义。</w:t>
      </w:r>
    </w:p>
    <w:p>
      <w:pPr>
        <w:spacing w:after="0" w:line="89" w:lineRule="exact"/>
        <w:rPr>
          <w:color w:val="auto"/>
          <w:sz w:val="20"/>
          <w:szCs w:val="20"/>
        </w:rPr>
      </w:pPr>
    </w:p>
    <w:p>
      <w:pPr>
        <w:spacing w:after="0" w:line="357" w:lineRule="exact"/>
        <w:ind w:left="200" w:right="144" w:firstLine="720"/>
        <w:jc w:val="both"/>
        <w:rPr>
          <w:color w:val="auto"/>
          <w:sz w:val="20"/>
          <w:szCs w:val="20"/>
        </w:rPr>
      </w:pPr>
      <w:r>
        <w:rPr>
          <w:rFonts w:ascii="Times New Roman" w:hAnsi="Times New Roman" w:eastAsia="Times New Roman" w:cs="Times New Roman"/>
          <w:color w:val="auto"/>
          <w:sz w:val="24"/>
          <w:szCs w:val="24"/>
        </w:rPr>
        <w:t xml:space="preserve">1.1.6.3 </w:t>
      </w:r>
      <w:r>
        <w:rPr>
          <w:rFonts w:ascii="宋体" w:hAnsi="宋体" w:eastAsia="宋体" w:cs="宋体"/>
          <w:color w:val="auto"/>
          <w:sz w:val="24"/>
          <w:szCs w:val="24"/>
        </w:rPr>
        <w:t>交工验收：指《公路工程竣</w:t>
      </w:r>
      <w:r>
        <w:rPr>
          <w:rFonts w:ascii="Times New Roman" w:hAnsi="Times New Roman" w:eastAsia="Times New Roman" w:cs="Times New Roman"/>
          <w:color w:val="auto"/>
          <w:sz w:val="24"/>
          <w:szCs w:val="24"/>
        </w:rPr>
        <w:t>(</w:t>
      </w:r>
      <w:r>
        <w:rPr>
          <w:rFonts w:ascii="宋体" w:hAnsi="宋体" w:eastAsia="宋体" w:cs="宋体"/>
          <w:color w:val="auto"/>
          <w:sz w:val="24"/>
          <w:szCs w:val="24"/>
        </w:rPr>
        <w:t>交</w:t>
      </w:r>
      <w:r>
        <w:rPr>
          <w:rFonts w:ascii="Times New Roman" w:hAnsi="Times New Roman" w:eastAsia="Times New Roman" w:cs="Times New Roman"/>
          <w:color w:val="auto"/>
          <w:sz w:val="24"/>
          <w:szCs w:val="24"/>
        </w:rPr>
        <w:t>)</w:t>
      </w:r>
      <w:r>
        <w:rPr>
          <w:rFonts w:ascii="宋体" w:hAnsi="宋体" w:eastAsia="宋体" w:cs="宋体"/>
          <w:color w:val="auto"/>
          <w:sz w:val="24"/>
          <w:szCs w:val="24"/>
        </w:rPr>
        <w:t>工验收办法》中的交工验收。通用合同条款中</w:t>
      </w:r>
      <w:r>
        <w:rPr>
          <w:rFonts w:ascii="Times New Roman" w:hAnsi="Times New Roman" w:eastAsia="Times New Roman" w:cs="Times New Roman"/>
          <w:color w:val="auto"/>
          <w:sz w:val="24"/>
          <w:szCs w:val="24"/>
        </w:rPr>
        <w:t>“</w:t>
      </w:r>
      <w:r>
        <w:rPr>
          <w:rFonts w:ascii="宋体" w:hAnsi="宋体" w:eastAsia="宋体" w:cs="宋体"/>
          <w:color w:val="auto"/>
          <w:sz w:val="24"/>
          <w:szCs w:val="24"/>
        </w:rPr>
        <w:t>竣工验收</w:t>
      </w:r>
      <w:r>
        <w:rPr>
          <w:rFonts w:ascii="Times New Roman" w:hAnsi="Times New Roman" w:eastAsia="Times New Roman" w:cs="Times New Roman"/>
          <w:color w:val="auto"/>
          <w:sz w:val="24"/>
          <w:szCs w:val="24"/>
        </w:rPr>
        <w:t>”</w:t>
      </w:r>
      <w:r>
        <w:rPr>
          <w:rFonts w:ascii="宋体" w:hAnsi="宋体" w:eastAsia="宋体" w:cs="宋体"/>
          <w:color w:val="auto"/>
          <w:sz w:val="24"/>
          <w:szCs w:val="24"/>
        </w:rPr>
        <w:t>一词具有相同含义。</w:t>
      </w:r>
    </w:p>
    <w:p>
      <w:pPr>
        <w:spacing w:after="0" w:line="88" w:lineRule="exact"/>
        <w:rPr>
          <w:color w:val="auto"/>
          <w:sz w:val="20"/>
          <w:szCs w:val="20"/>
        </w:rPr>
      </w:pPr>
    </w:p>
    <w:p>
      <w:pPr>
        <w:spacing w:after="0" w:line="280" w:lineRule="exact"/>
        <w:ind w:left="920"/>
        <w:rPr>
          <w:color w:val="auto"/>
          <w:sz w:val="24"/>
          <w:szCs w:val="24"/>
        </w:rPr>
      </w:pPr>
      <w:r>
        <w:rPr>
          <w:rFonts w:ascii="Times New Roman" w:hAnsi="Times New Roman" w:eastAsia="Times New Roman" w:cs="Times New Roman"/>
          <w:color w:val="auto"/>
          <w:sz w:val="23"/>
          <w:szCs w:val="23"/>
        </w:rPr>
        <w:t>1.1.6.4</w:t>
      </w:r>
      <w:r>
        <w:rPr>
          <w:rFonts w:ascii="Times New Roman" w:hAnsi="Times New Roman" w:eastAsia="Times New Roman" w:cs="Times New Roman"/>
          <w:color w:val="auto"/>
          <w:sz w:val="24"/>
          <w:szCs w:val="24"/>
        </w:rPr>
        <w:t xml:space="preserve"> </w:t>
      </w:r>
      <w:r>
        <w:rPr>
          <w:rFonts w:ascii="宋体" w:hAnsi="宋体" w:eastAsia="宋体" w:cs="宋体"/>
          <w:color w:val="auto"/>
          <w:sz w:val="24"/>
          <w:szCs w:val="24"/>
        </w:rPr>
        <w:t>交工验收证书：指《公路工程竣</w:t>
      </w:r>
      <w:r>
        <w:rPr>
          <w:rFonts w:ascii="Times New Roman" w:hAnsi="Times New Roman" w:eastAsia="Times New Roman" w:cs="Times New Roman"/>
          <w:color w:val="auto"/>
          <w:sz w:val="24"/>
          <w:szCs w:val="24"/>
        </w:rPr>
        <w:t>(</w:t>
      </w:r>
      <w:r>
        <w:rPr>
          <w:rFonts w:ascii="宋体" w:hAnsi="宋体" w:eastAsia="宋体" w:cs="宋体"/>
          <w:color w:val="auto"/>
          <w:sz w:val="24"/>
          <w:szCs w:val="24"/>
        </w:rPr>
        <w:t>交</w:t>
      </w:r>
      <w:r>
        <w:rPr>
          <w:rFonts w:ascii="Times New Roman" w:hAnsi="Times New Roman" w:eastAsia="Times New Roman" w:cs="Times New Roman"/>
          <w:color w:val="auto"/>
          <w:sz w:val="24"/>
          <w:szCs w:val="24"/>
        </w:rPr>
        <w:t>)</w:t>
      </w:r>
      <w:r>
        <w:rPr>
          <w:rFonts w:ascii="宋体" w:hAnsi="宋体" w:eastAsia="宋体" w:cs="宋体"/>
          <w:color w:val="auto"/>
          <w:sz w:val="24"/>
          <w:szCs w:val="24"/>
        </w:rPr>
        <w:t>工验收办法》中的交工验收证书。</w:t>
      </w:r>
    </w:p>
    <w:p>
      <w:pPr>
        <w:spacing w:after="0" w:line="292" w:lineRule="exact"/>
        <w:ind w:left="200"/>
        <w:rPr>
          <w:color w:val="auto"/>
          <w:sz w:val="24"/>
          <w:szCs w:val="24"/>
        </w:rPr>
      </w:pPr>
      <w:r>
        <w:rPr>
          <w:rFonts w:ascii="宋体" w:hAnsi="宋体" w:eastAsia="宋体" w:cs="宋体"/>
          <w:color w:val="auto"/>
          <w:sz w:val="24"/>
          <w:szCs w:val="24"/>
        </w:rPr>
        <w:t>通用合同条款中</w:t>
      </w:r>
      <w:r>
        <w:rPr>
          <w:rFonts w:ascii="Times New Roman" w:hAnsi="Times New Roman" w:eastAsia="Times New Roman" w:cs="Times New Roman"/>
          <w:color w:val="auto"/>
          <w:sz w:val="24"/>
          <w:szCs w:val="24"/>
        </w:rPr>
        <w:t>“</w:t>
      </w:r>
      <w:r>
        <w:rPr>
          <w:rFonts w:ascii="宋体" w:hAnsi="宋体" w:eastAsia="宋体" w:cs="宋体"/>
          <w:color w:val="auto"/>
          <w:sz w:val="24"/>
          <w:szCs w:val="24"/>
        </w:rPr>
        <w:t>工程接收证书</w:t>
      </w:r>
      <w:r>
        <w:rPr>
          <w:rFonts w:ascii="Times New Roman" w:hAnsi="Times New Roman" w:eastAsia="Times New Roman" w:cs="Times New Roman"/>
          <w:color w:val="auto"/>
          <w:sz w:val="24"/>
          <w:szCs w:val="24"/>
        </w:rPr>
        <w:t>”</w:t>
      </w:r>
      <w:r>
        <w:rPr>
          <w:rFonts w:ascii="宋体" w:hAnsi="宋体" w:eastAsia="宋体" w:cs="宋体"/>
          <w:color w:val="auto"/>
          <w:sz w:val="24"/>
          <w:szCs w:val="24"/>
        </w:rPr>
        <w:t>一词具有相同含义。</w:t>
      </w:r>
    </w:p>
    <w:p>
      <w:pPr>
        <w:spacing w:after="0" w:line="89" w:lineRule="exact"/>
        <w:rPr>
          <w:color w:val="auto"/>
          <w:sz w:val="24"/>
          <w:szCs w:val="24"/>
        </w:rPr>
      </w:pPr>
    </w:p>
    <w:p>
      <w:pPr>
        <w:spacing w:after="0" w:line="357" w:lineRule="exact"/>
        <w:ind w:left="200" w:right="144" w:firstLine="720"/>
        <w:jc w:val="both"/>
        <w:rPr>
          <w:color w:val="auto"/>
          <w:sz w:val="24"/>
          <w:szCs w:val="24"/>
        </w:rPr>
      </w:pPr>
      <w:r>
        <w:rPr>
          <w:rFonts w:ascii="Times New Roman" w:hAnsi="Times New Roman" w:eastAsia="Times New Roman" w:cs="Times New Roman"/>
          <w:color w:val="auto"/>
          <w:sz w:val="24"/>
          <w:szCs w:val="24"/>
        </w:rPr>
        <w:t xml:space="preserve">1.1.6.5 </w:t>
      </w:r>
      <w:r>
        <w:rPr>
          <w:rFonts w:ascii="宋体" w:hAnsi="宋体" w:eastAsia="宋体" w:cs="宋体"/>
          <w:color w:val="auto"/>
          <w:sz w:val="24"/>
          <w:szCs w:val="24"/>
        </w:rPr>
        <w:t>转包：指承包人违反法律和不履行合同规定的责任和义务，将中标工程全部委托或以专业分包的名义将中标工程肢解后全部委托给其他施工企业施工的行为。</w:t>
      </w:r>
    </w:p>
    <w:p>
      <w:pPr>
        <w:spacing w:after="0" w:line="358" w:lineRule="exact"/>
        <w:ind w:left="200" w:right="24" w:firstLine="720"/>
        <w:jc w:val="both"/>
        <w:rPr>
          <w:color w:val="auto"/>
          <w:sz w:val="24"/>
          <w:szCs w:val="24"/>
        </w:rPr>
      </w:pPr>
      <w:r>
        <w:rPr>
          <w:rFonts w:ascii="Times New Roman" w:hAnsi="Times New Roman" w:eastAsia="Times New Roman" w:cs="Times New Roman"/>
          <w:color w:val="auto"/>
          <w:sz w:val="24"/>
          <w:szCs w:val="24"/>
        </w:rPr>
        <w:t xml:space="preserve">1.1.6.6 </w:t>
      </w:r>
      <w:r>
        <w:rPr>
          <w:rFonts w:ascii="宋体" w:hAnsi="宋体" w:eastAsia="宋体" w:cs="宋体"/>
          <w:color w:val="auto"/>
          <w:sz w:val="24"/>
          <w:szCs w:val="24"/>
        </w:rPr>
        <w:t>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pPr>
        <w:spacing w:after="0" w:line="357" w:lineRule="exact"/>
        <w:ind w:left="200" w:right="24" w:firstLine="720"/>
        <w:jc w:val="both"/>
        <w:rPr>
          <w:color w:val="auto"/>
          <w:sz w:val="24"/>
          <w:szCs w:val="24"/>
        </w:rPr>
      </w:pPr>
      <w:r>
        <w:rPr>
          <w:rFonts w:ascii="Times New Roman" w:hAnsi="Times New Roman" w:eastAsia="Times New Roman" w:cs="Times New Roman"/>
          <w:color w:val="auto"/>
          <w:sz w:val="24"/>
          <w:szCs w:val="24"/>
        </w:rPr>
        <w:t xml:space="preserve">1.1.6.7 </w:t>
      </w:r>
      <w:r>
        <w:rPr>
          <w:rFonts w:ascii="宋体" w:hAnsi="宋体" w:eastAsia="宋体" w:cs="宋体"/>
          <w:color w:val="auto"/>
          <w:sz w:val="24"/>
          <w:szCs w:val="24"/>
        </w:rPr>
        <w:t>劳务分包：指承包人与具有劳务分包资质的劳务企业签订劳务分包合同，由劳务企业提供劳务人员及机具，由承包人统一组织施工、统一控制工程质量、施工进度、材料采购、生产安全的施工行为。</w:t>
      </w:r>
    </w:p>
    <w:p>
      <w:pPr>
        <w:spacing w:after="0" w:line="336" w:lineRule="exact"/>
        <w:ind w:left="200" w:right="144" w:firstLine="720"/>
        <w:rPr>
          <w:color w:val="auto"/>
          <w:sz w:val="20"/>
          <w:szCs w:val="20"/>
        </w:rPr>
      </w:pPr>
      <w:r>
        <w:rPr>
          <w:rFonts w:ascii="Times New Roman" w:hAnsi="Times New Roman" w:eastAsia="Times New Roman" w:cs="Times New Roman"/>
          <w:color w:val="auto"/>
          <w:sz w:val="24"/>
          <w:szCs w:val="24"/>
        </w:rPr>
        <w:t xml:space="preserve">1.1.6.8 </w:t>
      </w:r>
      <w:r>
        <w:rPr>
          <w:rFonts w:ascii="宋体" w:hAnsi="宋体" w:eastAsia="宋体" w:cs="宋体"/>
          <w:color w:val="auto"/>
          <w:sz w:val="24"/>
          <w:szCs w:val="24"/>
        </w:rPr>
        <w:t>雇佣民工：指承包人与具有相应劳动能力的自然人签订劳动合同，由承包人统一组织管理，从事分项工程施工或配套工程施工的行为。</w:t>
      </w:r>
    </w:p>
    <w:p>
      <w:pPr>
        <w:spacing w:after="0" w:line="347"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1.4 </w:t>
      </w:r>
      <w:r>
        <w:rPr>
          <w:rFonts w:ascii="黑体" w:hAnsi="黑体" w:eastAsia="黑体" w:cs="黑体"/>
          <w:color w:val="auto"/>
          <w:sz w:val="24"/>
          <w:szCs w:val="24"/>
        </w:rPr>
        <w:t>合同文件的优先顺序</w:t>
      </w:r>
    </w:p>
    <w:p>
      <w:pPr>
        <w:spacing w:after="0" w:line="349"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本款约定为：</w:t>
      </w:r>
    </w:p>
    <w:p>
      <w:pPr>
        <w:spacing w:after="0" w:line="320" w:lineRule="exact"/>
        <w:ind w:left="200" w:right="24" w:firstLine="390"/>
        <w:rPr>
          <w:color w:val="auto"/>
          <w:sz w:val="20"/>
          <w:szCs w:val="20"/>
        </w:rPr>
      </w:pPr>
      <w:r>
        <w:rPr>
          <w:rFonts w:ascii="宋体" w:hAnsi="宋体" w:eastAsia="宋体" w:cs="宋体"/>
          <w:color w:val="auto"/>
          <w:sz w:val="24"/>
          <w:szCs w:val="24"/>
        </w:rPr>
        <w:t>组成合同的各项文件应互相解释，互为说明。除项目专用合同条款另有约定外，解释合同文件的优先顺序如下：</w:t>
      </w:r>
    </w:p>
    <w:p>
      <w:pPr>
        <w:keepNext w:val="0"/>
        <w:keepLines w:val="0"/>
        <w:pageBreakBefore w:val="0"/>
        <w:widowControl/>
        <w:kinsoku/>
        <w:wordWrap/>
        <w:overflowPunct/>
        <w:topLinePunct w:val="0"/>
        <w:autoSpaceDE/>
        <w:autoSpaceDN/>
        <w:bidi w:val="0"/>
        <w:adjustRightInd/>
        <w:snapToGrid/>
        <w:spacing w:line="240" w:lineRule="auto"/>
        <w:ind w:left="200" w:right="144" w:firstLine="490"/>
        <w:jc w:val="left"/>
        <w:textAlignment w:val="auto"/>
        <w:outlineLvl w:val="9"/>
        <w:rPr>
          <w:color w:val="auto"/>
          <w:sz w:val="20"/>
          <w:szCs w:val="20"/>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合同协议书及各种合同附件</w:t>
      </w:r>
      <w:r>
        <w:rPr>
          <w:rFonts w:ascii="Times New Roman" w:hAnsi="Times New Roman" w:eastAsia="Times New Roman" w:cs="Times New Roman"/>
          <w:color w:val="auto"/>
          <w:sz w:val="24"/>
          <w:szCs w:val="24"/>
        </w:rPr>
        <w:t>(</w:t>
      </w:r>
      <w:r>
        <w:rPr>
          <w:rFonts w:ascii="宋体" w:hAnsi="宋体" w:eastAsia="宋体" w:cs="宋体"/>
          <w:color w:val="auto"/>
          <w:sz w:val="24"/>
          <w:szCs w:val="24"/>
        </w:rPr>
        <w:t>含评标期间和合同谈判过程中的澄清文件和补充资料</w:t>
      </w:r>
      <w:r>
        <w:rPr>
          <w:rFonts w:ascii="Times New Roman" w:hAnsi="Times New Roman" w:eastAsia="Times New Roman" w:cs="Times New Roman"/>
          <w:color w:val="auto"/>
          <w:sz w:val="24"/>
          <w:szCs w:val="24"/>
        </w:rPr>
        <w:t>)</w:t>
      </w:r>
      <w:r>
        <w:rPr>
          <w:rFonts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240" w:lineRule="auto"/>
        <w:ind w:left="680"/>
        <w:jc w:val="left"/>
        <w:textAlignment w:val="auto"/>
        <w:outlineLvl w:val="9"/>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中标通知书；</w:t>
      </w:r>
    </w:p>
    <w:p>
      <w:pPr>
        <w:keepNext w:val="0"/>
        <w:keepLines w:val="0"/>
        <w:pageBreakBefore w:val="0"/>
        <w:widowControl/>
        <w:kinsoku/>
        <w:wordWrap/>
        <w:overflowPunct/>
        <w:topLinePunct w:val="0"/>
        <w:autoSpaceDE/>
        <w:autoSpaceDN/>
        <w:bidi w:val="0"/>
        <w:adjustRightInd/>
        <w:snapToGrid/>
        <w:spacing w:line="240" w:lineRule="auto"/>
        <w:ind w:left="680"/>
        <w:jc w:val="left"/>
        <w:textAlignment w:val="auto"/>
        <w:outlineLvl w:val="9"/>
        <w:rPr>
          <w:color w:val="auto"/>
          <w:sz w:val="20"/>
          <w:szCs w:val="20"/>
        </w:rPr>
      </w:pPr>
      <w:r>
        <w:rPr>
          <w:rFonts w:ascii="Times New Roman" w:hAnsi="Times New Roman" w:eastAsia="Times New Roman" w:cs="Times New Roman"/>
          <w:color w:val="auto"/>
          <w:sz w:val="24"/>
          <w:szCs w:val="24"/>
        </w:rPr>
        <w:t>(3)</w:t>
      </w:r>
      <w:r>
        <w:rPr>
          <w:rFonts w:ascii="宋体" w:hAnsi="宋体" w:eastAsia="宋体" w:cs="宋体"/>
          <w:color w:val="auto"/>
          <w:sz w:val="24"/>
          <w:szCs w:val="24"/>
        </w:rPr>
        <w:t>投标函及投标函附录；</w:t>
      </w:r>
    </w:p>
    <w:p>
      <w:pPr>
        <w:keepNext w:val="0"/>
        <w:keepLines w:val="0"/>
        <w:pageBreakBefore w:val="0"/>
        <w:widowControl/>
        <w:kinsoku/>
        <w:wordWrap/>
        <w:overflowPunct/>
        <w:topLinePunct w:val="0"/>
        <w:autoSpaceDE/>
        <w:autoSpaceDN/>
        <w:bidi w:val="0"/>
        <w:adjustRightInd/>
        <w:snapToGrid/>
        <w:spacing w:line="240" w:lineRule="auto"/>
        <w:ind w:left="680"/>
        <w:jc w:val="left"/>
        <w:textAlignment w:val="auto"/>
        <w:outlineLvl w:val="9"/>
        <w:rPr>
          <w:color w:val="auto"/>
          <w:sz w:val="20"/>
          <w:szCs w:val="20"/>
        </w:rPr>
      </w:pPr>
      <w:r>
        <w:rPr>
          <w:rFonts w:ascii="Times New Roman" w:hAnsi="Times New Roman" w:eastAsia="Times New Roman" w:cs="Times New Roman"/>
          <w:color w:val="auto"/>
          <w:sz w:val="24"/>
          <w:szCs w:val="24"/>
        </w:rPr>
        <w:t>(4)</w:t>
      </w:r>
      <w:r>
        <w:rPr>
          <w:rFonts w:ascii="宋体" w:hAnsi="宋体" w:eastAsia="宋体" w:cs="宋体"/>
          <w:color w:val="auto"/>
          <w:sz w:val="24"/>
          <w:szCs w:val="24"/>
        </w:rPr>
        <w:t>项目专用合同条款；</w:t>
      </w:r>
      <w:bookmarkStart w:id="53" w:name="page167"/>
      <w:bookmarkEnd w:id="53"/>
    </w:p>
    <w:p>
      <w:pPr>
        <w:keepNext w:val="0"/>
        <w:keepLines w:val="0"/>
        <w:pageBreakBefore w:val="0"/>
        <w:widowControl/>
        <w:kinsoku/>
        <w:wordWrap/>
        <w:overflowPunct/>
        <w:topLinePunct w:val="0"/>
        <w:autoSpaceDE/>
        <w:autoSpaceDN/>
        <w:bidi w:val="0"/>
        <w:adjustRightInd/>
        <w:snapToGrid/>
        <w:spacing w:line="240" w:lineRule="auto"/>
        <w:ind w:left="680"/>
        <w:jc w:val="left"/>
        <w:textAlignment w:val="auto"/>
        <w:outlineLvl w:val="9"/>
        <w:rPr>
          <w:color w:val="auto"/>
          <w:sz w:val="20"/>
          <w:szCs w:val="20"/>
        </w:rPr>
      </w:pPr>
      <w:r>
        <w:rPr>
          <w:rFonts w:ascii="Times New Roman" w:hAnsi="Times New Roman" w:eastAsia="Times New Roman" w:cs="Times New Roman"/>
          <w:color w:val="auto"/>
          <w:sz w:val="24"/>
          <w:szCs w:val="24"/>
        </w:rPr>
        <w:t>(5)</w:t>
      </w:r>
      <w:r>
        <w:rPr>
          <w:rFonts w:ascii="宋体" w:hAnsi="宋体" w:eastAsia="宋体" w:cs="宋体"/>
          <w:color w:val="auto"/>
          <w:sz w:val="24"/>
          <w:szCs w:val="24"/>
        </w:rPr>
        <w:t>公路工程专用合同条款；</w:t>
      </w:r>
    </w:p>
    <w:p>
      <w:pPr>
        <w:keepNext w:val="0"/>
        <w:keepLines w:val="0"/>
        <w:pageBreakBefore w:val="0"/>
        <w:widowControl/>
        <w:kinsoku/>
        <w:wordWrap/>
        <w:overflowPunct/>
        <w:topLinePunct w:val="0"/>
        <w:autoSpaceDE/>
        <w:autoSpaceDN/>
        <w:bidi w:val="0"/>
        <w:adjustRightInd/>
        <w:snapToGrid/>
        <w:spacing w:line="240" w:lineRule="auto"/>
        <w:ind w:left="680"/>
        <w:jc w:val="left"/>
        <w:textAlignment w:val="auto"/>
        <w:outlineLvl w:val="9"/>
        <w:rPr>
          <w:color w:val="auto"/>
          <w:sz w:val="20"/>
          <w:szCs w:val="20"/>
        </w:rPr>
      </w:pPr>
      <w:r>
        <w:rPr>
          <w:rFonts w:ascii="Times New Roman" w:hAnsi="Times New Roman" w:eastAsia="Times New Roman" w:cs="Times New Roman"/>
          <w:color w:val="auto"/>
          <w:sz w:val="24"/>
          <w:szCs w:val="24"/>
        </w:rPr>
        <w:t>(6)</w:t>
      </w:r>
      <w:r>
        <w:rPr>
          <w:rFonts w:ascii="宋体" w:hAnsi="宋体" w:eastAsia="宋体" w:cs="宋体"/>
          <w:color w:val="auto"/>
          <w:sz w:val="24"/>
          <w:szCs w:val="24"/>
        </w:rPr>
        <w:t>通用合同条款；</w:t>
      </w:r>
    </w:p>
    <w:p>
      <w:pPr>
        <w:keepNext w:val="0"/>
        <w:keepLines w:val="0"/>
        <w:pageBreakBefore w:val="0"/>
        <w:widowControl/>
        <w:kinsoku/>
        <w:wordWrap/>
        <w:overflowPunct/>
        <w:topLinePunct w:val="0"/>
        <w:autoSpaceDE/>
        <w:autoSpaceDN/>
        <w:bidi w:val="0"/>
        <w:adjustRightInd/>
        <w:snapToGrid/>
        <w:spacing w:line="240" w:lineRule="auto"/>
        <w:ind w:left="680"/>
        <w:jc w:val="left"/>
        <w:textAlignment w:val="auto"/>
        <w:outlineLvl w:val="9"/>
        <w:rPr>
          <w:color w:val="auto"/>
          <w:sz w:val="20"/>
          <w:szCs w:val="20"/>
        </w:rPr>
      </w:pPr>
      <w:r>
        <w:rPr>
          <w:rFonts w:ascii="Times New Roman" w:hAnsi="Times New Roman" w:eastAsia="Times New Roman" w:cs="Times New Roman"/>
          <w:color w:val="auto"/>
          <w:sz w:val="24"/>
          <w:szCs w:val="24"/>
        </w:rPr>
        <w:t>(7)</w:t>
      </w:r>
      <w:r>
        <w:rPr>
          <w:rFonts w:ascii="宋体" w:hAnsi="宋体" w:eastAsia="宋体" w:cs="宋体"/>
          <w:color w:val="auto"/>
          <w:sz w:val="24"/>
          <w:szCs w:val="24"/>
        </w:rPr>
        <w:t>工程量清单计量规范；</w:t>
      </w:r>
    </w:p>
    <w:p>
      <w:pPr>
        <w:keepNext w:val="0"/>
        <w:keepLines w:val="0"/>
        <w:pageBreakBefore w:val="0"/>
        <w:widowControl/>
        <w:kinsoku/>
        <w:wordWrap/>
        <w:overflowPunct/>
        <w:topLinePunct w:val="0"/>
        <w:autoSpaceDE/>
        <w:autoSpaceDN/>
        <w:bidi w:val="0"/>
        <w:adjustRightInd/>
        <w:snapToGrid/>
        <w:spacing w:line="240" w:lineRule="auto"/>
        <w:ind w:left="680"/>
        <w:jc w:val="left"/>
        <w:textAlignment w:val="auto"/>
        <w:outlineLvl w:val="9"/>
        <w:rPr>
          <w:color w:val="auto"/>
          <w:sz w:val="20"/>
          <w:szCs w:val="20"/>
        </w:rPr>
      </w:pPr>
      <w:r>
        <w:rPr>
          <w:rFonts w:ascii="Times New Roman" w:hAnsi="Times New Roman" w:eastAsia="Times New Roman" w:cs="Times New Roman"/>
          <w:color w:val="auto"/>
          <w:sz w:val="24"/>
          <w:szCs w:val="24"/>
        </w:rPr>
        <w:t>(8)</w:t>
      </w:r>
      <w:r>
        <w:rPr>
          <w:rFonts w:ascii="宋体" w:hAnsi="宋体" w:eastAsia="宋体" w:cs="宋体"/>
          <w:color w:val="auto"/>
          <w:sz w:val="24"/>
          <w:szCs w:val="24"/>
        </w:rPr>
        <w:t>技术规范；</w:t>
      </w:r>
    </w:p>
    <w:p>
      <w:pPr>
        <w:keepNext w:val="0"/>
        <w:keepLines w:val="0"/>
        <w:pageBreakBefore w:val="0"/>
        <w:widowControl/>
        <w:kinsoku/>
        <w:wordWrap/>
        <w:overflowPunct/>
        <w:topLinePunct w:val="0"/>
        <w:autoSpaceDE/>
        <w:autoSpaceDN/>
        <w:bidi w:val="0"/>
        <w:adjustRightInd/>
        <w:snapToGrid/>
        <w:spacing w:line="240" w:lineRule="auto"/>
        <w:ind w:left="680"/>
        <w:jc w:val="left"/>
        <w:textAlignment w:val="auto"/>
        <w:outlineLvl w:val="9"/>
        <w:rPr>
          <w:color w:val="auto"/>
          <w:sz w:val="20"/>
          <w:szCs w:val="20"/>
        </w:rPr>
      </w:pPr>
      <w:r>
        <w:rPr>
          <w:rFonts w:ascii="Times New Roman" w:hAnsi="Times New Roman" w:eastAsia="Times New Roman" w:cs="Times New Roman"/>
          <w:color w:val="auto"/>
          <w:sz w:val="24"/>
          <w:szCs w:val="24"/>
        </w:rPr>
        <w:t>(9)</w:t>
      </w:r>
      <w:r>
        <w:rPr>
          <w:rFonts w:ascii="宋体" w:hAnsi="宋体" w:eastAsia="宋体" w:cs="宋体"/>
          <w:color w:val="auto"/>
          <w:sz w:val="24"/>
          <w:szCs w:val="24"/>
        </w:rPr>
        <w:t>图纸；</w:t>
      </w:r>
    </w:p>
    <w:p>
      <w:pPr>
        <w:keepNext w:val="0"/>
        <w:keepLines w:val="0"/>
        <w:pageBreakBefore w:val="0"/>
        <w:widowControl/>
        <w:kinsoku/>
        <w:wordWrap/>
        <w:overflowPunct/>
        <w:topLinePunct w:val="0"/>
        <w:autoSpaceDE/>
        <w:autoSpaceDN/>
        <w:bidi w:val="0"/>
        <w:adjustRightInd/>
        <w:snapToGrid/>
        <w:spacing w:line="240" w:lineRule="auto"/>
        <w:ind w:left="680"/>
        <w:jc w:val="left"/>
        <w:textAlignment w:val="auto"/>
        <w:outlineLvl w:val="9"/>
        <w:rPr>
          <w:color w:val="auto"/>
          <w:sz w:val="20"/>
          <w:szCs w:val="20"/>
        </w:rPr>
      </w:pPr>
      <w:r>
        <w:rPr>
          <w:rFonts w:ascii="Times New Roman" w:hAnsi="Times New Roman" w:eastAsia="Times New Roman" w:cs="Times New Roman"/>
          <w:color w:val="auto"/>
          <w:sz w:val="24"/>
          <w:szCs w:val="24"/>
        </w:rPr>
        <w:t>(10)</w:t>
      </w:r>
      <w:r>
        <w:rPr>
          <w:rFonts w:ascii="宋体" w:hAnsi="宋体" w:eastAsia="宋体" w:cs="宋体"/>
          <w:color w:val="auto"/>
          <w:sz w:val="24"/>
          <w:szCs w:val="24"/>
        </w:rPr>
        <w:t>已标价工程量清单；</w:t>
      </w:r>
    </w:p>
    <w:p>
      <w:pPr>
        <w:keepNext w:val="0"/>
        <w:keepLines w:val="0"/>
        <w:pageBreakBefore w:val="0"/>
        <w:widowControl/>
        <w:kinsoku/>
        <w:wordWrap/>
        <w:overflowPunct/>
        <w:topLinePunct w:val="0"/>
        <w:autoSpaceDE/>
        <w:autoSpaceDN/>
        <w:bidi w:val="0"/>
        <w:adjustRightInd/>
        <w:snapToGrid/>
        <w:spacing w:line="240" w:lineRule="auto"/>
        <w:ind w:left="680"/>
        <w:jc w:val="left"/>
        <w:textAlignment w:val="auto"/>
        <w:outlineLvl w:val="9"/>
        <w:rPr>
          <w:color w:val="auto"/>
          <w:sz w:val="20"/>
          <w:szCs w:val="20"/>
        </w:rPr>
      </w:pPr>
      <w:r>
        <w:rPr>
          <w:rFonts w:ascii="Times New Roman" w:hAnsi="Times New Roman" w:eastAsia="Times New Roman" w:cs="Times New Roman"/>
          <w:color w:val="auto"/>
          <w:sz w:val="24"/>
          <w:szCs w:val="24"/>
        </w:rPr>
        <w:t>(11)</w:t>
      </w:r>
      <w:r>
        <w:rPr>
          <w:rFonts w:ascii="宋体" w:hAnsi="宋体" w:eastAsia="宋体" w:cs="宋体"/>
          <w:color w:val="auto"/>
          <w:sz w:val="24"/>
          <w:szCs w:val="24"/>
        </w:rPr>
        <w:t>承包人有关人员、设备投入的承诺及投标文件中的施工组织设计；</w:t>
      </w:r>
    </w:p>
    <w:p>
      <w:pPr>
        <w:keepNext w:val="0"/>
        <w:keepLines w:val="0"/>
        <w:pageBreakBefore w:val="0"/>
        <w:widowControl/>
        <w:kinsoku/>
        <w:wordWrap/>
        <w:overflowPunct/>
        <w:topLinePunct w:val="0"/>
        <w:autoSpaceDE/>
        <w:autoSpaceDN/>
        <w:bidi w:val="0"/>
        <w:adjustRightInd/>
        <w:snapToGrid/>
        <w:spacing w:line="240" w:lineRule="auto"/>
        <w:ind w:left="680"/>
        <w:jc w:val="left"/>
        <w:textAlignment w:val="auto"/>
        <w:outlineLvl w:val="9"/>
        <w:rPr>
          <w:color w:val="auto"/>
          <w:sz w:val="20"/>
          <w:szCs w:val="20"/>
        </w:rPr>
      </w:pPr>
      <w:r>
        <w:rPr>
          <w:rFonts w:ascii="Times New Roman" w:hAnsi="Times New Roman" w:eastAsia="Times New Roman" w:cs="Times New Roman"/>
          <w:color w:val="auto"/>
          <w:sz w:val="24"/>
          <w:szCs w:val="24"/>
        </w:rPr>
        <w:t>(12)</w:t>
      </w:r>
      <w:r>
        <w:rPr>
          <w:rFonts w:ascii="宋体" w:hAnsi="宋体" w:eastAsia="宋体" w:cs="宋体"/>
          <w:color w:val="auto"/>
          <w:sz w:val="24"/>
          <w:szCs w:val="24"/>
        </w:rPr>
        <w:t>其他合同文件。</w:t>
      </w:r>
    </w:p>
    <w:p>
      <w:pPr>
        <w:spacing w:after="0" w:line="327"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1.5 </w:t>
      </w:r>
      <w:r>
        <w:rPr>
          <w:rFonts w:ascii="黑体" w:hAnsi="黑体" w:eastAsia="黑体" w:cs="黑体"/>
          <w:color w:val="auto"/>
          <w:sz w:val="24"/>
          <w:szCs w:val="24"/>
        </w:rPr>
        <w:t>合同协议书</w:t>
      </w:r>
    </w:p>
    <w:p>
      <w:pPr>
        <w:spacing w:after="0" w:line="349"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本款补充：</w:t>
      </w:r>
    </w:p>
    <w:p>
      <w:pPr>
        <w:spacing w:after="0" w:line="159" w:lineRule="exact"/>
        <w:rPr>
          <w:color w:val="auto"/>
          <w:sz w:val="20"/>
          <w:szCs w:val="20"/>
        </w:rPr>
      </w:pPr>
    </w:p>
    <w:p>
      <w:pPr>
        <w:spacing w:after="0" w:line="320" w:lineRule="exact"/>
        <w:ind w:left="200" w:right="144" w:firstLine="390"/>
        <w:jc w:val="both"/>
        <w:rPr>
          <w:color w:val="auto"/>
          <w:sz w:val="20"/>
          <w:szCs w:val="20"/>
        </w:rPr>
      </w:pPr>
      <w:r>
        <w:rPr>
          <w:rFonts w:ascii="宋体" w:hAnsi="宋体" w:eastAsia="宋体" w:cs="宋体"/>
          <w:color w:val="auto"/>
          <w:sz w:val="24"/>
          <w:szCs w:val="24"/>
        </w:rPr>
        <w:t>制备本合同文件的费用由发包人承担。在合同协议书签订并生效之前，投标函和中标通知书将对双方具有约束力。</w:t>
      </w:r>
    </w:p>
    <w:p>
      <w:pPr>
        <w:spacing w:after="0" w:line="347"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1.6 </w:t>
      </w:r>
      <w:r>
        <w:rPr>
          <w:rFonts w:ascii="黑体" w:hAnsi="黑体" w:eastAsia="黑体" w:cs="黑体"/>
          <w:color w:val="auto"/>
          <w:sz w:val="24"/>
          <w:szCs w:val="24"/>
        </w:rPr>
        <w:t>图纸和承包人文件</w:t>
      </w:r>
    </w:p>
    <w:p>
      <w:pPr>
        <w:spacing w:after="0" w:line="34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1.6.1 </w:t>
      </w:r>
      <w:r>
        <w:rPr>
          <w:rFonts w:ascii="黑体" w:hAnsi="黑体" w:eastAsia="黑体" w:cs="黑体"/>
          <w:color w:val="auto"/>
          <w:sz w:val="24"/>
          <w:szCs w:val="24"/>
        </w:rPr>
        <w:t>图纸的提供</w:t>
      </w:r>
    </w:p>
    <w:p>
      <w:pPr>
        <w:spacing w:after="0" w:line="109"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本项细化为：</w:t>
      </w:r>
    </w:p>
    <w:p>
      <w:pPr>
        <w:spacing w:after="0" w:line="378" w:lineRule="exact"/>
        <w:ind w:left="200" w:right="144" w:firstLine="390"/>
        <w:jc w:val="both"/>
        <w:rPr>
          <w:color w:val="auto"/>
          <w:sz w:val="20"/>
          <w:szCs w:val="20"/>
        </w:rPr>
      </w:pPr>
      <w:r>
        <w:rPr>
          <w:rFonts w:ascii="宋体" w:hAnsi="宋体" w:eastAsia="宋体" w:cs="宋体"/>
          <w:color w:val="auto"/>
          <w:sz w:val="24"/>
          <w:szCs w:val="24"/>
        </w:rPr>
        <w:t>监理人应在发出中标通知书之后</w:t>
      </w:r>
      <w:r>
        <w:rPr>
          <w:rFonts w:ascii="Times New Roman" w:hAnsi="Times New Roman" w:eastAsia="Times New Roman" w:cs="Times New Roman"/>
          <w:color w:val="auto"/>
          <w:sz w:val="24"/>
          <w:szCs w:val="24"/>
        </w:rPr>
        <w:t xml:space="preserve"> 42 </w:t>
      </w:r>
      <w:r>
        <w:rPr>
          <w:rFonts w:ascii="宋体" w:hAnsi="宋体" w:eastAsia="宋体" w:cs="宋体"/>
          <w:color w:val="auto"/>
          <w:sz w:val="24"/>
          <w:szCs w:val="24"/>
        </w:rPr>
        <w:t>天内，向承包人免费提供由发包人或其委托的设计单位设计的施工图纸、技术规范和其他技术资料</w:t>
      </w:r>
      <w:r>
        <w:rPr>
          <w:rFonts w:ascii="Times New Roman" w:hAnsi="Times New Roman" w:eastAsia="Times New Roman" w:cs="Times New Roman"/>
          <w:color w:val="auto"/>
          <w:sz w:val="24"/>
          <w:szCs w:val="24"/>
        </w:rPr>
        <w:t xml:space="preserve"> 2 </w:t>
      </w:r>
      <w:r>
        <w:rPr>
          <w:rFonts w:ascii="宋体" w:hAnsi="宋体" w:eastAsia="宋体" w:cs="宋体"/>
          <w:color w:val="auto"/>
          <w:sz w:val="24"/>
          <w:szCs w:val="24"/>
        </w:rPr>
        <w:t>份，并向承包人进行技术交底。承包人需要更多份数时，应自费复制。由于发包人未按时提供图纸造成工期延误的，按第</w:t>
      </w:r>
      <w:r>
        <w:rPr>
          <w:rFonts w:ascii="Times New Roman" w:hAnsi="Times New Roman" w:eastAsia="Times New Roman" w:cs="Times New Roman"/>
          <w:color w:val="auto"/>
          <w:sz w:val="24"/>
          <w:szCs w:val="24"/>
        </w:rPr>
        <w:t xml:space="preserve"> 11.3 </w:t>
      </w:r>
      <w:r>
        <w:rPr>
          <w:rFonts w:ascii="宋体" w:hAnsi="宋体" w:eastAsia="宋体" w:cs="宋体"/>
          <w:color w:val="auto"/>
          <w:sz w:val="24"/>
          <w:szCs w:val="24"/>
        </w:rPr>
        <w:t>款的约定办理。</w:t>
      </w:r>
    </w:p>
    <w:p>
      <w:pPr>
        <w:spacing w:after="0" w:line="91"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1.6.2 </w:t>
      </w:r>
      <w:r>
        <w:rPr>
          <w:rFonts w:ascii="黑体" w:hAnsi="黑体" w:eastAsia="黑体" w:cs="黑体"/>
          <w:color w:val="auto"/>
          <w:sz w:val="24"/>
          <w:szCs w:val="24"/>
        </w:rPr>
        <w:t>承包人提供的文件</w:t>
      </w:r>
    </w:p>
    <w:p>
      <w:pPr>
        <w:spacing w:after="0" w:line="109"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本项细化为：</w:t>
      </w:r>
    </w:p>
    <w:p>
      <w:pPr>
        <w:spacing w:after="0" w:line="126" w:lineRule="exact"/>
        <w:rPr>
          <w:color w:val="auto"/>
          <w:sz w:val="20"/>
          <w:szCs w:val="20"/>
        </w:rPr>
      </w:pPr>
    </w:p>
    <w:p>
      <w:pPr>
        <w:spacing w:after="0" w:line="370" w:lineRule="exact"/>
        <w:ind w:left="200" w:right="24" w:firstLine="390"/>
        <w:jc w:val="both"/>
        <w:rPr>
          <w:color w:val="auto"/>
          <w:sz w:val="20"/>
          <w:szCs w:val="20"/>
        </w:rPr>
      </w:pPr>
      <w:r>
        <w:rPr>
          <w:rFonts w:ascii="宋体" w:hAnsi="宋体" w:eastAsia="宋体" w:cs="宋体"/>
          <w:color w:val="auto"/>
          <w:sz w:val="24"/>
          <w:szCs w:val="24"/>
        </w:rPr>
        <w:t>有下列情形之一的，承包人应免费向监理人提交相关部分工程的施工图纸</w:t>
      </w:r>
      <w:r>
        <w:rPr>
          <w:rFonts w:ascii="Times New Roman" w:hAnsi="Times New Roman" w:eastAsia="Times New Roman" w:cs="Times New Roman"/>
          <w:color w:val="auto"/>
          <w:sz w:val="24"/>
          <w:szCs w:val="24"/>
        </w:rPr>
        <w:t xml:space="preserve"> 3 </w:t>
      </w:r>
      <w:r>
        <w:rPr>
          <w:rFonts w:ascii="宋体" w:hAnsi="宋体" w:eastAsia="宋体" w:cs="宋体"/>
          <w:color w:val="auto"/>
          <w:sz w:val="24"/>
          <w:szCs w:val="24"/>
        </w:rPr>
        <w:t>份，并附必要的计算书、技术资料，或施工工艺图、设备安装图及安装设备的使用和维护手册各</w:t>
      </w:r>
      <w:r>
        <w:rPr>
          <w:rFonts w:ascii="Times New Roman" w:hAnsi="Times New Roman" w:eastAsia="Times New Roman" w:cs="Times New Roman"/>
          <w:color w:val="auto"/>
          <w:sz w:val="24"/>
          <w:szCs w:val="24"/>
        </w:rPr>
        <w:t xml:space="preserve"> 2 </w:t>
      </w:r>
      <w:r>
        <w:rPr>
          <w:rFonts w:ascii="宋体" w:hAnsi="宋体" w:eastAsia="宋体" w:cs="宋体"/>
          <w:color w:val="auto"/>
          <w:sz w:val="24"/>
          <w:szCs w:val="24"/>
        </w:rPr>
        <w:t>份供监理人批准。</w:t>
      </w:r>
    </w:p>
    <w:p>
      <w:pPr>
        <w:spacing w:after="0" w:line="91" w:lineRule="exact"/>
        <w:rPr>
          <w:color w:val="auto"/>
          <w:sz w:val="20"/>
          <w:szCs w:val="20"/>
        </w:rPr>
      </w:pPr>
    </w:p>
    <w:p>
      <w:pPr>
        <w:spacing w:after="0" w:line="292" w:lineRule="exact"/>
        <w:ind w:left="600"/>
        <w:rPr>
          <w:color w:val="auto"/>
          <w:sz w:val="20"/>
          <w:szCs w:val="20"/>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为使第</w:t>
      </w:r>
      <w:r>
        <w:rPr>
          <w:rFonts w:ascii="Times New Roman" w:hAnsi="Times New Roman" w:eastAsia="Times New Roman" w:cs="Times New Roman"/>
          <w:color w:val="auto"/>
          <w:sz w:val="24"/>
          <w:szCs w:val="24"/>
        </w:rPr>
        <w:t xml:space="preserve"> 1.6.1 </w:t>
      </w:r>
      <w:r>
        <w:rPr>
          <w:rFonts w:ascii="宋体" w:hAnsi="宋体" w:eastAsia="宋体" w:cs="宋体"/>
          <w:color w:val="auto"/>
          <w:sz w:val="24"/>
          <w:szCs w:val="24"/>
        </w:rPr>
        <w:t>项所述的施工图纸适合于经施工测量后的纵、横断面；</w:t>
      </w:r>
    </w:p>
    <w:p>
      <w:pPr>
        <w:spacing w:after="0" w:line="108" w:lineRule="exact"/>
        <w:rPr>
          <w:color w:val="auto"/>
          <w:sz w:val="20"/>
          <w:szCs w:val="20"/>
        </w:rPr>
      </w:pPr>
    </w:p>
    <w:p>
      <w:pPr>
        <w:spacing w:after="0" w:line="292" w:lineRule="exact"/>
        <w:ind w:left="600"/>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为使第</w:t>
      </w:r>
      <w:r>
        <w:rPr>
          <w:rFonts w:ascii="Times New Roman" w:hAnsi="Times New Roman" w:eastAsia="Times New Roman" w:cs="Times New Roman"/>
          <w:color w:val="auto"/>
          <w:sz w:val="24"/>
          <w:szCs w:val="24"/>
        </w:rPr>
        <w:t xml:space="preserve"> 1.6.1 </w:t>
      </w:r>
      <w:r>
        <w:rPr>
          <w:rFonts w:ascii="宋体" w:hAnsi="宋体" w:eastAsia="宋体" w:cs="宋体"/>
          <w:color w:val="auto"/>
          <w:sz w:val="24"/>
          <w:szCs w:val="24"/>
        </w:rPr>
        <w:t>项所述的施工图纸适合于现场具体地形；</w:t>
      </w:r>
    </w:p>
    <w:p>
      <w:pPr>
        <w:spacing w:after="0" w:line="109" w:lineRule="exact"/>
        <w:rPr>
          <w:color w:val="auto"/>
          <w:sz w:val="20"/>
          <w:szCs w:val="20"/>
        </w:rPr>
      </w:pPr>
    </w:p>
    <w:p>
      <w:pPr>
        <w:spacing w:after="0" w:line="292" w:lineRule="exact"/>
        <w:ind w:left="600"/>
        <w:rPr>
          <w:color w:val="auto"/>
          <w:sz w:val="20"/>
          <w:szCs w:val="20"/>
        </w:rPr>
      </w:pPr>
      <w:r>
        <w:rPr>
          <w:rFonts w:ascii="Times New Roman" w:hAnsi="Times New Roman" w:eastAsia="Times New Roman" w:cs="Times New Roman"/>
          <w:color w:val="auto"/>
          <w:sz w:val="24"/>
          <w:szCs w:val="24"/>
        </w:rPr>
        <w:t>(3)</w:t>
      </w:r>
      <w:r>
        <w:rPr>
          <w:rFonts w:ascii="宋体" w:hAnsi="宋体" w:eastAsia="宋体" w:cs="宋体"/>
          <w:color w:val="auto"/>
          <w:sz w:val="24"/>
          <w:szCs w:val="24"/>
        </w:rPr>
        <w:t>为使第</w:t>
      </w:r>
      <w:r>
        <w:rPr>
          <w:rFonts w:ascii="Times New Roman" w:hAnsi="Times New Roman" w:eastAsia="Times New Roman" w:cs="Times New Roman"/>
          <w:color w:val="auto"/>
          <w:sz w:val="24"/>
          <w:szCs w:val="24"/>
        </w:rPr>
        <w:t xml:space="preserve"> 1.6.1 </w:t>
      </w:r>
      <w:r>
        <w:rPr>
          <w:rFonts w:ascii="宋体" w:hAnsi="宋体" w:eastAsia="宋体" w:cs="宋体"/>
          <w:color w:val="auto"/>
          <w:sz w:val="24"/>
          <w:szCs w:val="24"/>
        </w:rPr>
        <w:t>项所述的施工图纸适合于因尺寸与位置变化而引起局部变更；</w:t>
      </w:r>
    </w:p>
    <w:p>
      <w:pPr>
        <w:spacing w:after="0" w:line="108" w:lineRule="exact"/>
        <w:rPr>
          <w:color w:val="auto"/>
          <w:sz w:val="20"/>
          <w:szCs w:val="20"/>
        </w:rPr>
      </w:pPr>
    </w:p>
    <w:p>
      <w:pPr>
        <w:spacing w:after="0" w:line="292" w:lineRule="exact"/>
        <w:ind w:left="600"/>
        <w:rPr>
          <w:color w:val="auto"/>
          <w:sz w:val="20"/>
          <w:szCs w:val="20"/>
        </w:rPr>
      </w:pPr>
      <w:r>
        <w:rPr>
          <w:rFonts w:ascii="Times New Roman" w:hAnsi="Times New Roman" w:eastAsia="Times New Roman" w:cs="Times New Roman"/>
          <w:color w:val="auto"/>
          <w:sz w:val="24"/>
          <w:szCs w:val="24"/>
        </w:rPr>
        <w:t>(4)</w:t>
      </w:r>
      <w:r>
        <w:rPr>
          <w:rFonts w:ascii="宋体" w:hAnsi="宋体" w:eastAsia="宋体" w:cs="宋体"/>
          <w:color w:val="auto"/>
          <w:sz w:val="24"/>
          <w:szCs w:val="24"/>
        </w:rPr>
        <w:t>由于合同要求与施工需要。</w:t>
      </w:r>
    </w:p>
    <w:p>
      <w:pPr>
        <w:spacing w:after="0" w:line="142" w:lineRule="exact"/>
        <w:rPr>
          <w:color w:val="auto"/>
          <w:sz w:val="20"/>
          <w:szCs w:val="20"/>
        </w:rPr>
      </w:pPr>
    </w:p>
    <w:p>
      <w:pPr>
        <w:spacing w:after="0" w:line="360" w:lineRule="exact"/>
        <w:ind w:left="200" w:right="144" w:firstLine="390"/>
        <w:jc w:val="both"/>
        <w:rPr>
          <w:color w:val="auto"/>
          <w:sz w:val="20"/>
          <w:szCs w:val="20"/>
        </w:rPr>
      </w:pPr>
      <w:r>
        <w:rPr>
          <w:rFonts w:ascii="宋体" w:hAnsi="宋体" w:eastAsia="宋体" w:cs="宋体"/>
          <w:color w:val="auto"/>
          <w:sz w:val="24"/>
          <w:szCs w:val="24"/>
        </w:rPr>
        <w:t>此类图纸应按监理人规定的格式和图幅绘制。监理人在收到由承包人绘制的上述工程、工艺图纸、计算书和有关技术资料后</w:t>
      </w:r>
      <w:r>
        <w:rPr>
          <w:rFonts w:ascii="Times New Roman" w:hAnsi="Times New Roman" w:eastAsia="Times New Roman" w:cs="Times New Roman"/>
          <w:color w:val="auto"/>
          <w:sz w:val="24"/>
          <w:szCs w:val="24"/>
        </w:rPr>
        <w:t xml:space="preserve"> 14 </w:t>
      </w:r>
      <w:r>
        <w:rPr>
          <w:rFonts w:ascii="宋体" w:hAnsi="宋体" w:eastAsia="宋体" w:cs="宋体"/>
          <w:color w:val="auto"/>
          <w:sz w:val="24"/>
          <w:szCs w:val="24"/>
        </w:rPr>
        <w:t>天内应予批准或提出修改要求，承包人应按监理人提出的要求做出修改，重新向监理人提交，监理人应在</w:t>
      </w:r>
      <w:r>
        <w:rPr>
          <w:rFonts w:ascii="Times New Roman" w:hAnsi="Times New Roman" w:eastAsia="Times New Roman" w:cs="Times New Roman"/>
          <w:color w:val="auto"/>
          <w:sz w:val="24"/>
          <w:szCs w:val="24"/>
        </w:rPr>
        <w:t xml:space="preserve"> 7 </w:t>
      </w:r>
      <w:r>
        <w:rPr>
          <w:rFonts w:ascii="宋体" w:hAnsi="宋体" w:eastAsia="宋体" w:cs="宋体"/>
          <w:color w:val="auto"/>
          <w:sz w:val="24"/>
          <w:szCs w:val="24"/>
        </w:rPr>
        <w:t>天内批准或提出进一步的修改意见。</w:t>
      </w:r>
    </w:p>
    <w:p>
      <w:pPr>
        <w:spacing w:after="0" w:line="292" w:lineRule="exact"/>
        <w:ind w:left="680"/>
        <w:rPr>
          <w:color w:val="auto"/>
          <w:sz w:val="20"/>
          <w:szCs w:val="20"/>
        </w:rPr>
      </w:pPr>
      <w:bookmarkStart w:id="54" w:name="page168"/>
      <w:bookmarkEnd w:id="54"/>
      <w:r>
        <w:rPr>
          <w:rFonts w:ascii="Times New Roman" w:hAnsi="Times New Roman" w:eastAsia="Times New Roman" w:cs="Times New Roman"/>
          <w:color w:val="auto"/>
          <w:sz w:val="24"/>
          <w:szCs w:val="24"/>
        </w:rPr>
        <w:t xml:space="preserve">1.6.4 </w:t>
      </w:r>
      <w:r>
        <w:rPr>
          <w:rFonts w:ascii="黑体" w:hAnsi="黑体" w:eastAsia="黑体" w:cs="黑体"/>
          <w:color w:val="auto"/>
          <w:sz w:val="24"/>
          <w:szCs w:val="24"/>
        </w:rPr>
        <w:t>图纸的错误</w:t>
      </w:r>
    </w:p>
    <w:p>
      <w:pPr>
        <w:spacing w:after="0" w:line="109"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本项细化为：</w:t>
      </w:r>
    </w:p>
    <w:p>
      <w:pPr>
        <w:spacing w:after="0" w:line="347" w:lineRule="exact"/>
        <w:ind w:left="200" w:right="144" w:firstLine="390"/>
        <w:jc w:val="both"/>
        <w:rPr>
          <w:color w:val="auto"/>
          <w:sz w:val="20"/>
          <w:szCs w:val="20"/>
        </w:rPr>
      </w:pPr>
      <w:r>
        <w:rPr>
          <w:rFonts w:ascii="宋体" w:hAnsi="宋体" w:eastAsia="宋体" w:cs="宋体"/>
          <w:color w:val="auto"/>
          <w:sz w:val="24"/>
          <w:szCs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spacing w:after="0" w:line="346"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1.9 </w:t>
      </w:r>
      <w:r>
        <w:rPr>
          <w:rFonts w:ascii="黑体" w:hAnsi="黑体" w:eastAsia="黑体" w:cs="黑体"/>
          <w:color w:val="auto"/>
          <w:sz w:val="24"/>
          <w:szCs w:val="24"/>
        </w:rPr>
        <w:t>严禁贿赂</w:t>
      </w:r>
    </w:p>
    <w:p>
      <w:pPr>
        <w:spacing w:after="0" w:line="349"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本款补充：</w:t>
      </w:r>
    </w:p>
    <w:p>
      <w:pPr>
        <w:spacing w:after="0" w:line="159" w:lineRule="exact"/>
        <w:rPr>
          <w:color w:val="auto"/>
          <w:sz w:val="20"/>
          <w:szCs w:val="20"/>
        </w:rPr>
      </w:pPr>
    </w:p>
    <w:p>
      <w:pPr>
        <w:spacing w:after="0" w:line="374" w:lineRule="exact"/>
        <w:ind w:left="200" w:right="144" w:firstLine="390"/>
        <w:jc w:val="both"/>
        <w:rPr>
          <w:color w:val="auto"/>
          <w:sz w:val="20"/>
          <w:szCs w:val="20"/>
        </w:rPr>
      </w:pPr>
      <w:r>
        <w:rPr>
          <w:rFonts w:ascii="宋体" w:hAnsi="宋体" w:eastAsia="宋体" w:cs="宋体"/>
          <w:color w:val="auto"/>
          <w:sz w:val="24"/>
          <w:szCs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w:t>
      </w:r>
      <w:r>
        <w:rPr>
          <w:rFonts w:ascii="Times New Roman" w:hAnsi="Times New Roman" w:eastAsia="Times New Roman" w:cs="Times New Roman"/>
          <w:color w:val="auto"/>
          <w:sz w:val="24"/>
          <w:szCs w:val="24"/>
        </w:rPr>
        <w:t>(</w:t>
      </w:r>
      <w:r>
        <w:rPr>
          <w:rFonts w:ascii="宋体" w:hAnsi="宋体" w:eastAsia="宋体" w:cs="宋体"/>
          <w:color w:val="auto"/>
          <w:sz w:val="24"/>
          <w:szCs w:val="24"/>
        </w:rPr>
        <w:t>或</w:t>
      </w:r>
      <w:r>
        <w:rPr>
          <w:rFonts w:ascii="Times New Roman" w:hAnsi="Times New Roman" w:eastAsia="Times New Roman" w:cs="Times New Roman"/>
          <w:color w:val="auto"/>
          <w:sz w:val="24"/>
          <w:szCs w:val="24"/>
        </w:rPr>
        <w:t>)</w:t>
      </w:r>
      <w:r>
        <w:rPr>
          <w:rFonts w:ascii="宋体" w:hAnsi="宋体" w:eastAsia="宋体" w:cs="宋体"/>
          <w:color w:val="auto"/>
          <w:sz w:val="24"/>
          <w:szCs w:val="24"/>
        </w:rPr>
        <w:t>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spacing w:after="0" w:line="200" w:lineRule="exact"/>
        <w:rPr>
          <w:color w:val="auto"/>
          <w:sz w:val="20"/>
          <w:szCs w:val="20"/>
        </w:rPr>
      </w:pPr>
    </w:p>
    <w:p>
      <w:pPr>
        <w:spacing w:after="0" w:line="317" w:lineRule="exact"/>
        <w:rPr>
          <w:color w:val="auto"/>
          <w:sz w:val="20"/>
          <w:szCs w:val="20"/>
        </w:rPr>
      </w:pPr>
    </w:p>
    <w:p>
      <w:pPr>
        <w:numPr>
          <w:ilvl w:val="0"/>
          <w:numId w:val="8"/>
        </w:numPr>
        <w:tabs>
          <w:tab w:val="left" w:pos="560"/>
        </w:tabs>
        <w:spacing w:after="0" w:line="341" w:lineRule="exact"/>
        <w:ind w:left="560" w:hanging="356"/>
        <w:rPr>
          <w:rFonts w:ascii="Times New Roman" w:hAnsi="Times New Roman" w:eastAsia="Times New Roman" w:cs="Times New Roman"/>
          <w:color w:val="auto"/>
          <w:sz w:val="28"/>
          <w:szCs w:val="28"/>
        </w:rPr>
      </w:pPr>
      <w:r>
        <w:rPr>
          <w:rFonts w:ascii="黑体" w:hAnsi="黑体" w:eastAsia="黑体" w:cs="黑体"/>
          <w:color w:val="auto"/>
          <w:sz w:val="28"/>
          <w:szCs w:val="28"/>
        </w:rPr>
        <w:t>发包人义务</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2.3 </w:t>
      </w:r>
      <w:r>
        <w:rPr>
          <w:rFonts w:ascii="黑体" w:hAnsi="黑体" w:eastAsia="黑体" w:cs="黑体"/>
          <w:color w:val="auto"/>
          <w:sz w:val="24"/>
          <w:szCs w:val="24"/>
        </w:rPr>
        <w:t>提供施工场地</w:t>
      </w:r>
    </w:p>
    <w:p>
      <w:pPr>
        <w:spacing w:after="0" w:line="348"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本款补充：</w:t>
      </w:r>
    </w:p>
    <w:p>
      <w:pPr>
        <w:spacing w:after="0" w:line="161" w:lineRule="exact"/>
        <w:rPr>
          <w:color w:val="auto"/>
          <w:sz w:val="20"/>
          <w:szCs w:val="20"/>
        </w:rPr>
      </w:pPr>
    </w:p>
    <w:p>
      <w:pPr>
        <w:spacing w:after="0" w:line="382" w:lineRule="exact"/>
        <w:ind w:left="200" w:right="144" w:firstLine="390"/>
        <w:jc w:val="both"/>
        <w:rPr>
          <w:color w:val="auto"/>
          <w:sz w:val="20"/>
          <w:szCs w:val="20"/>
        </w:rPr>
      </w:pPr>
      <w:r>
        <w:rPr>
          <w:rFonts w:ascii="宋体" w:hAnsi="宋体" w:eastAsia="宋体" w:cs="宋体"/>
          <w:color w:val="auto"/>
          <w:sz w:val="24"/>
          <w:szCs w:val="24"/>
        </w:rPr>
        <w:t>发包人负责办理永久占地的征用及与之有关的拆迁赔偿手续并承担相关费用。承包人在按第</w:t>
      </w:r>
      <w:r>
        <w:rPr>
          <w:rFonts w:ascii="Times New Roman" w:hAnsi="Times New Roman" w:eastAsia="Times New Roman" w:cs="Times New Roman"/>
          <w:color w:val="auto"/>
          <w:sz w:val="24"/>
          <w:szCs w:val="24"/>
        </w:rPr>
        <w:t xml:space="preserve"> 10 </w:t>
      </w:r>
      <w:r>
        <w:rPr>
          <w:rFonts w:ascii="宋体" w:hAnsi="宋体" w:eastAsia="宋体" w:cs="宋体"/>
          <w:color w:val="auto"/>
          <w:sz w:val="24"/>
          <w:szCs w:val="24"/>
        </w:rPr>
        <w:t>条规定提交施工进度计划的同时，应向监理人提交一份按施工先后次序所需的永久占地计划。监理人应在收到此计划后的</w:t>
      </w:r>
      <w:r>
        <w:rPr>
          <w:rFonts w:ascii="Times New Roman" w:hAnsi="Times New Roman" w:eastAsia="Times New Roman" w:cs="Times New Roman"/>
          <w:color w:val="auto"/>
          <w:sz w:val="24"/>
          <w:szCs w:val="24"/>
        </w:rPr>
        <w:t xml:space="preserve"> 14 </w:t>
      </w:r>
      <w:r>
        <w:rPr>
          <w:rFonts w:ascii="宋体" w:hAnsi="宋体" w:eastAsia="宋体" w:cs="宋体"/>
          <w:color w:val="auto"/>
          <w:sz w:val="24"/>
          <w:szCs w:val="24"/>
        </w:rPr>
        <w:t>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w:t>
      </w:r>
      <w:r>
        <w:rPr>
          <w:rFonts w:ascii="Times New Roman" w:hAnsi="Times New Roman" w:eastAsia="Times New Roman" w:cs="Times New Roman"/>
          <w:color w:val="auto"/>
          <w:sz w:val="24"/>
          <w:szCs w:val="24"/>
        </w:rPr>
        <w:t>(</w:t>
      </w:r>
      <w:r>
        <w:rPr>
          <w:rFonts w:ascii="宋体" w:hAnsi="宋体" w:eastAsia="宋体" w:cs="宋体"/>
          <w:color w:val="auto"/>
          <w:sz w:val="24"/>
          <w:szCs w:val="24"/>
        </w:rPr>
        <w:t>也可以一次</w:t>
      </w:r>
      <w:r>
        <w:rPr>
          <w:rFonts w:ascii="Times New Roman" w:hAnsi="Times New Roman" w:eastAsia="Times New Roman" w:cs="Times New Roman"/>
          <w:color w:val="auto"/>
          <w:sz w:val="24"/>
          <w:szCs w:val="24"/>
        </w:rPr>
        <w:t>)</w:t>
      </w:r>
      <w:r>
        <w:rPr>
          <w:rFonts w:ascii="宋体" w:hAnsi="宋体" w:eastAsia="宋体" w:cs="宋体"/>
          <w:color w:val="auto"/>
          <w:sz w:val="24"/>
          <w:szCs w:val="24"/>
        </w:rPr>
        <w:t>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spacing w:after="0" w:line="170" w:lineRule="exact"/>
        <w:rPr>
          <w:color w:val="auto"/>
          <w:sz w:val="20"/>
          <w:szCs w:val="20"/>
        </w:rPr>
      </w:pPr>
    </w:p>
    <w:p>
      <w:pPr>
        <w:spacing w:after="0" w:line="360" w:lineRule="exact"/>
        <w:ind w:left="200" w:right="144" w:firstLine="390"/>
        <w:jc w:val="both"/>
        <w:rPr>
          <w:color w:val="auto"/>
          <w:sz w:val="20"/>
          <w:szCs w:val="20"/>
        </w:rPr>
      </w:pPr>
      <w:r>
        <w:rPr>
          <w:rFonts w:ascii="宋体" w:hAnsi="宋体" w:eastAsia="宋体" w:cs="宋体"/>
          <w:color w:val="auto"/>
          <w:sz w:val="24"/>
          <w:szCs w:val="24"/>
        </w:rPr>
        <w:t>由于发包人未能按照本项规定办妥永久占地征用手续，影响承包人及时使用永久占地造成的费用增加和</w:t>
      </w:r>
      <w:r>
        <w:rPr>
          <w:rFonts w:ascii="Times New Roman" w:hAnsi="Times New Roman" w:eastAsia="Times New Roman" w:cs="Times New Roman"/>
          <w:color w:val="auto"/>
          <w:sz w:val="24"/>
          <w:szCs w:val="24"/>
        </w:rPr>
        <w:t>(</w:t>
      </w:r>
      <w:r>
        <w:rPr>
          <w:rFonts w:ascii="宋体" w:hAnsi="宋体" w:eastAsia="宋体" w:cs="宋体"/>
          <w:color w:val="auto"/>
          <w:sz w:val="24"/>
          <w:szCs w:val="24"/>
        </w:rPr>
        <w:t>或</w:t>
      </w:r>
      <w:r>
        <w:rPr>
          <w:rFonts w:ascii="Times New Roman" w:hAnsi="Times New Roman" w:eastAsia="Times New Roman" w:cs="Times New Roman"/>
          <w:color w:val="auto"/>
          <w:sz w:val="24"/>
          <w:szCs w:val="24"/>
        </w:rPr>
        <w:t>)</w:t>
      </w:r>
      <w:r>
        <w:rPr>
          <w:rFonts w:ascii="宋体" w:hAnsi="宋体" w:eastAsia="宋体" w:cs="宋体"/>
          <w:color w:val="auto"/>
          <w:sz w:val="24"/>
          <w:szCs w:val="24"/>
        </w:rPr>
        <w:t>工期延误应由发包人承担。由于承包人未能按照本项规定提交占地计划，影响发包人办理永久占地征用手续造成的费用增加和</w:t>
      </w:r>
      <w:r>
        <w:rPr>
          <w:rFonts w:ascii="Times New Roman" w:hAnsi="Times New Roman" w:eastAsia="Times New Roman" w:cs="Times New Roman"/>
          <w:color w:val="auto"/>
          <w:sz w:val="24"/>
          <w:szCs w:val="24"/>
        </w:rPr>
        <w:t>(</w:t>
      </w:r>
      <w:r>
        <w:rPr>
          <w:rFonts w:ascii="宋体" w:hAnsi="宋体" w:eastAsia="宋体" w:cs="宋体"/>
          <w:color w:val="auto"/>
          <w:sz w:val="24"/>
          <w:szCs w:val="24"/>
        </w:rPr>
        <w:t>或</w:t>
      </w:r>
      <w:r>
        <w:rPr>
          <w:rFonts w:ascii="Times New Roman" w:hAnsi="Times New Roman" w:eastAsia="Times New Roman" w:cs="Times New Roman"/>
          <w:color w:val="auto"/>
          <w:sz w:val="24"/>
          <w:szCs w:val="24"/>
        </w:rPr>
        <w:t>)</w:t>
      </w:r>
      <w:r>
        <w:rPr>
          <w:rFonts w:ascii="宋体" w:hAnsi="宋体" w:eastAsia="宋体" w:cs="宋体"/>
          <w:color w:val="auto"/>
          <w:sz w:val="24"/>
          <w:szCs w:val="24"/>
        </w:rPr>
        <w:t>工期延误由承包人承担。</w:t>
      </w:r>
    </w:p>
    <w:p>
      <w:pPr>
        <w:spacing w:after="0" w:line="260" w:lineRule="exact"/>
        <w:rPr>
          <w:color w:val="auto"/>
          <w:sz w:val="20"/>
          <w:szCs w:val="20"/>
        </w:rPr>
      </w:pPr>
    </w:p>
    <w:p>
      <w:pPr>
        <w:numPr>
          <w:ilvl w:val="0"/>
          <w:numId w:val="9"/>
        </w:numPr>
        <w:tabs>
          <w:tab w:val="left" w:pos="560"/>
        </w:tabs>
        <w:spacing w:after="0" w:line="341" w:lineRule="exact"/>
        <w:ind w:left="560" w:hanging="356"/>
        <w:rPr>
          <w:rFonts w:ascii="Times New Roman" w:hAnsi="Times New Roman" w:eastAsia="Times New Roman" w:cs="Times New Roman"/>
          <w:color w:val="auto"/>
          <w:sz w:val="28"/>
          <w:szCs w:val="28"/>
        </w:rPr>
      </w:pPr>
      <w:r>
        <w:rPr>
          <w:rFonts w:ascii="黑体" w:hAnsi="黑体" w:eastAsia="黑体" w:cs="黑体"/>
          <w:color w:val="auto"/>
          <w:sz w:val="28"/>
          <w:szCs w:val="28"/>
        </w:rPr>
        <w:t>监理人</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3.1 </w:t>
      </w:r>
      <w:r>
        <w:rPr>
          <w:rFonts w:ascii="黑体" w:hAnsi="黑体" w:eastAsia="黑体" w:cs="黑体"/>
          <w:color w:val="auto"/>
          <w:sz w:val="24"/>
          <w:szCs w:val="24"/>
        </w:rPr>
        <w:t>监理人的职责和权力</w:t>
      </w:r>
    </w:p>
    <w:p>
      <w:pPr>
        <w:spacing w:after="0" w:line="349" w:lineRule="exact"/>
        <w:rPr>
          <w:color w:val="auto"/>
          <w:sz w:val="20"/>
          <w:szCs w:val="20"/>
        </w:rPr>
      </w:pPr>
    </w:p>
    <w:p>
      <w:pPr>
        <w:numPr>
          <w:ilvl w:val="0"/>
          <w:numId w:val="10"/>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3.1.1 </w:t>
      </w:r>
      <w:r>
        <w:rPr>
          <w:rFonts w:ascii="宋体" w:hAnsi="宋体" w:eastAsia="宋体" w:cs="宋体"/>
          <w:color w:val="auto"/>
          <w:sz w:val="24"/>
          <w:szCs w:val="24"/>
        </w:rPr>
        <w:t>项补充：</w:t>
      </w:r>
    </w:p>
    <w:p>
      <w:pPr>
        <w:spacing w:after="0" w:line="107" w:lineRule="exact"/>
        <w:rPr>
          <w:rFonts w:ascii="宋体" w:hAnsi="宋体" w:eastAsia="宋体" w:cs="宋体"/>
          <w:color w:val="auto"/>
          <w:sz w:val="24"/>
          <w:szCs w:val="24"/>
        </w:rPr>
      </w:pPr>
    </w:p>
    <w:p>
      <w:pPr>
        <w:spacing w:after="0" w:line="274" w:lineRule="exact"/>
        <w:ind w:left="680"/>
        <w:rPr>
          <w:rFonts w:ascii="宋体" w:hAnsi="宋体" w:eastAsia="宋体" w:cs="宋体"/>
          <w:color w:val="auto"/>
          <w:sz w:val="24"/>
          <w:szCs w:val="24"/>
        </w:rPr>
      </w:pPr>
      <w:r>
        <w:rPr>
          <w:rFonts w:ascii="宋体" w:hAnsi="宋体" w:eastAsia="宋体" w:cs="宋体"/>
          <w:color w:val="auto"/>
          <w:sz w:val="24"/>
          <w:szCs w:val="24"/>
        </w:rPr>
        <w:t>监理人在行使下列权力前需要经发包人事先批准：</w:t>
      </w:r>
    </w:p>
    <w:p>
      <w:pPr>
        <w:spacing w:after="0" w:line="126"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根据第</w:t>
      </w:r>
      <w:r>
        <w:rPr>
          <w:rFonts w:ascii="Times New Roman" w:hAnsi="Times New Roman" w:eastAsia="Times New Roman" w:cs="Times New Roman"/>
          <w:color w:val="auto"/>
          <w:sz w:val="24"/>
          <w:szCs w:val="24"/>
        </w:rPr>
        <w:t xml:space="preserve"> 4.3 </w:t>
      </w:r>
      <w:r>
        <w:rPr>
          <w:rFonts w:ascii="宋体" w:hAnsi="宋体" w:eastAsia="宋体" w:cs="宋体"/>
          <w:color w:val="auto"/>
          <w:sz w:val="24"/>
          <w:szCs w:val="24"/>
        </w:rPr>
        <w:t>款，同意分包本工程的某些非主体和非关键性工作；</w:t>
      </w:r>
    </w:p>
    <w:p>
      <w:pPr>
        <w:spacing w:after="0" w:line="10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确定第</w:t>
      </w:r>
      <w:r>
        <w:rPr>
          <w:rFonts w:ascii="Times New Roman" w:hAnsi="Times New Roman" w:eastAsia="Times New Roman" w:cs="Times New Roman"/>
          <w:color w:val="auto"/>
          <w:sz w:val="24"/>
          <w:szCs w:val="24"/>
        </w:rPr>
        <w:t xml:space="preserve"> 4.11 </w:t>
      </w:r>
      <w:r>
        <w:rPr>
          <w:rFonts w:ascii="宋体" w:hAnsi="宋体" w:eastAsia="宋体" w:cs="宋体"/>
          <w:color w:val="auto"/>
          <w:sz w:val="24"/>
          <w:szCs w:val="24"/>
        </w:rPr>
        <w:t>款下产生的费用增加额；</w:t>
      </w:r>
    </w:p>
    <w:p>
      <w:pPr>
        <w:spacing w:after="0" w:line="108" w:lineRule="exact"/>
        <w:rPr>
          <w:color w:val="auto"/>
          <w:sz w:val="20"/>
          <w:szCs w:val="20"/>
        </w:rPr>
      </w:pPr>
    </w:p>
    <w:p>
      <w:pPr>
        <w:spacing w:after="0" w:line="336" w:lineRule="exact"/>
        <w:ind w:left="200" w:right="144" w:firstLine="480"/>
        <w:jc w:val="both"/>
        <w:rPr>
          <w:color w:val="auto"/>
          <w:sz w:val="20"/>
          <w:szCs w:val="20"/>
        </w:rPr>
      </w:pPr>
      <w:r>
        <w:rPr>
          <w:rFonts w:ascii="Times New Roman" w:hAnsi="Times New Roman" w:eastAsia="Times New Roman" w:cs="Times New Roman"/>
          <w:color w:val="auto"/>
          <w:sz w:val="24"/>
          <w:szCs w:val="24"/>
        </w:rPr>
        <w:t>(3)</w:t>
      </w:r>
      <w:r>
        <w:rPr>
          <w:rFonts w:ascii="宋体" w:hAnsi="宋体" w:eastAsia="宋体" w:cs="宋体"/>
          <w:color w:val="auto"/>
          <w:sz w:val="24"/>
          <w:szCs w:val="24"/>
        </w:rPr>
        <w:t>根据第</w:t>
      </w:r>
      <w:r>
        <w:rPr>
          <w:rFonts w:ascii="Times New Roman" w:hAnsi="Times New Roman" w:eastAsia="Times New Roman" w:cs="Times New Roman"/>
          <w:color w:val="auto"/>
          <w:sz w:val="24"/>
          <w:szCs w:val="24"/>
        </w:rPr>
        <w:t xml:space="preserve"> 11.1 </w:t>
      </w:r>
      <w:r>
        <w:rPr>
          <w:rFonts w:ascii="宋体" w:hAnsi="宋体" w:eastAsia="宋体" w:cs="宋体"/>
          <w:color w:val="auto"/>
          <w:sz w:val="24"/>
          <w:szCs w:val="24"/>
        </w:rPr>
        <w:t>款、第</w:t>
      </w:r>
      <w:r>
        <w:rPr>
          <w:rFonts w:ascii="Times New Roman" w:hAnsi="Times New Roman" w:eastAsia="Times New Roman" w:cs="Times New Roman"/>
          <w:color w:val="auto"/>
          <w:sz w:val="24"/>
          <w:szCs w:val="24"/>
        </w:rPr>
        <w:t xml:space="preserve"> 12.3 </w:t>
      </w:r>
      <w:r>
        <w:rPr>
          <w:rFonts w:ascii="宋体" w:hAnsi="宋体" w:eastAsia="宋体" w:cs="宋体"/>
          <w:color w:val="auto"/>
          <w:sz w:val="24"/>
          <w:szCs w:val="24"/>
        </w:rPr>
        <w:t>款、第</w:t>
      </w:r>
      <w:r>
        <w:rPr>
          <w:rFonts w:ascii="Times New Roman" w:hAnsi="Times New Roman" w:eastAsia="Times New Roman" w:cs="Times New Roman"/>
          <w:color w:val="auto"/>
          <w:sz w:val="24"/>
          <w:szCs w:val="24"/>
        </w:rPr>
        <w:t xml:space="preserve"> 12.4 </w:t>
      </w:r>
      <w:r>
        <w:rPr>
          <w:rFonts w:ascii="宋体" w:hAnsi="宋体" w:eastAsia="宋体" w:cs="宋体"/>
          <w:color w:val="auto"/>
          <w:sz w:val="24"/>
          <w:szCs w:val="24"/>
        </w:rPr>
        <w:t>款发布开工通知、暂停施工指示或复工通知；</w:t>
      </w:r>
    </w:p>
    <w:p>
      <w:pPr>
        <w:spacing w:after="0" w:line="12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(4)</w:t>
      </w:r>
      <w:r>
        <w:rPr>
          <w:rFonts w:ascii="宋体" w:hAnsi="宋体" w:eastAsia="宋体" w:cs="宋体"/>
          <w:color w:val="auto"/>
          <w:sz w:val="24"/>
          <w:szCs w:val="24"/>
        </w:rPr>
        <w:t>决定第</w:t>
      </w:r>
      <w:r>
        <w:rPr>
          <w:rFonts w:ascii="Times New Roman" w:hAnsi="Times New Roman" w:eastAsia="Times New Roman" w:cs="Times New Roman"/>
          <w:color w:val="auto"/>
          <w:sz w:val="24"/>
          <w:szCs w:val="24"/>
        </w:rPr>
        <w:t xml:space="preserve"> 11.3 </w:t>
      </w:r>
      <w:r>
        <w:rPr>
          <w:rFonts w:ascii="宋体" w:hAnsi="宋体" w:eastAsia="宋体" w:cs="宋体"/>
          <w:color w:val="auto"/>
          <w:sz w:val="24"/>
          <w:szCs w:val="24"/>
        </w:rPr>
        <w:t>款、第</w:t>
      </w:r>
      <w:r>
        <w:rPr>
          <w:rFonts w:ascii="Times New Roman" w:hAnsi="Times New Roman" w:eastAsia="Times New Roman" w:cs="Times New Roman"/>
          <w:color w:val="auto"/>
          <w:sz w:val="24"/>
          <w:szCs w:val="24"/>
        </w:rPr>
        <w:t xml:space="preserve"> 11.4 </w:t>
      </w:r>
      <w:r>
        <w:rPr>
          <w:rFonts w:ascii="宋体" w:hAnsi="宋体" w:eastAsia="宋体" w:cs="宋体"/>
          <w:color w:val="auto"/>
          <w:sz w:val="24"/>
          <w:szCs w:val="24"/>
        </w:rPr>
        <w:t>款下的工期延长；</w:t>
      </w:r>
    </w:p>
    <w:p>
      <w:pPr>
        <w:spacing w:after="0" w:line="10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(5)</w:t>
      </w:r>
      <w:r>
        <w:rPr>
          <w:rFonts w:ascii="宋体" w:hAnsi="宋体" w:eastAsia="宋体" w:cs="宋体"/>
          <w:color w:val="auto"/>
          <w:sz w:val="24"/>
          <w:szCs w:val="24"/>
        </w:rPr>
        <w:t>审查批准技术规范或设计的变更；</w:t>
      </w:r>
    </w:p>
    <w:p>
      <w:pPr>
        <w:spacing w:after="0" w:line="108" w:lineRule="exact"/>
        <w:rPr>
          <w:color w:val="auto"/>
          <w:sz w:val="20"/>
          <w:szCs w:val="20"/>
        </w:rPr>
      </w:pPr>
    </w:p>
    <w:p>
      <w:pPr>
        <w:spacing w:after="0" w:line="337" w:lineRule="exact"/>
        <w:ind w:left="200" w:right="144" w:firstLine="480"/>
        <w:jc w:val="both"/>
        <w:rPr>
          <w:color w:val="auto"/>
          <w:sz w:val="20"/>
          <w:szCs w:val="20"/>
        </w:rPr>
      </w:pPr>
      <w:r>
        <w:rPr>
          <w:rFonts w:ascii="Times New Roman" w:hAnsi="Times New Roman" w:eastAsia="Times New Roman" w:cs="Times New Roman"/>
          <w:color w:val="auto"/>
          <w:sz w:val="24"/>
          <w:szCs w:val="24"/>
        </w:rPr>
        <w:t>(6)</w:t>
      </w:r>
      <w:r>
        <w:rPr>
          <w:rFonts w:ascii="宋体" w:hAnsi="宋体" w:eastAsia="宋体" w:cs="宋体"/>
          <w:color w:val="auto"/>
          <w:sz w:val="24"/>
          <w:szCs w:val="24"/>
        </w:rPr>
        <w:t>根据第</w:t>
      </w:r>
      <w:r>
        <w:rPr>
          <w:rFonts w:ascii="Times New Roman" w:hAnsi="Times New Roman" w:eastAsia="Times New Roman" w:cs="Times New Roman"/>
          <w:color w:val="auto"/>
          <w:sz w:val="24"/>
          <w:szCs w:val="24"/>
        </w:rPr>
        <w:t xml:space="preserve"> 15.3 </w:t>
      </w:r>
      <w:r>
        <w:rPr>
          <w:rFonts w:ascii="宋体" w:hAnsi="宋体" w:eastAsia="宋体" w:cs="宋体"/>
          <w:color w:val="auto"/>
          <w:sz w:val="24"/>
          <w:szCs w:val="24"/>
        </w:rPr>
        <w:t>款发出的变更指示，其单项工程变更或累计变更涉及的金额超过了项目专用合同条款数据表中规定的金额；</w:t>
      </w:r>
    </w:p>
    <w:p>
      <w:pPr>
        <w:spacing w:after="0" w:line="127"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(7)</w:t>
      </w:r>
      <w:r>
        <w:rPr>
          <w:rFonts w:ascii="宋体" w:hAnsi="宋体" w:eastAsia="宋体" w:cs="宋体"/>
          <w:color w:val="auto"/>
          <w:sz w:val="24"/>
          <w:szCs w:val="24"/>
        </w:rPr>
        <w:t>确定第</w:t>
      </w:r>
      <w:r>
        <w:rPr>
          <w:rFonts w:ascii="Times New Roman" w:hAnsi="Times New Roman" w:eastAsia="Times New Roman" w:cs="Times New Roman"/>
          <w:color w:val="auto"/>
          <w:sz w:val="24"/>
          <w:szCs w:val="24"/>
        </w:rPr>
        <w:t xml:space="preserve"> 15.4 </w:t>
      </w:r>
      <w:r>
        <w:rPr>
          <w:rFonts w:ascii="宋体" w:hAnsi="宋体" w:eastAsia="宋体" w:cs="宋体"/>
          <w:color w:val="auto"/>
          <w:sz w:val="24"/>
          <w:szCs w:val="24"/>
        </w:rPr>
        <w:t>款下变更工作的单价；</w:t>
      </w:r>
    </w:p>
    <w:p>
      <w:pPr>
        <w:spacing w:after="0" w:line="10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(8)</w:t>
      </w:r>
      <w:r>
        <w:rPr>
          <w:rFonts w:ascii="宋体" w:hAnsi="宋体" w:eastAsia="宋体" w:cs="宋体"/>
          <w:color w:val="auto"/>
          <w:sz w:val="24"/>
          <w:szCs w:val="24"/>
        </w:rPr>
        <w:t>按照第</w:t>
      </w:r>
      <w:r>
        <w:rPr>
          <w:rFonts w:ascii="Times New Roman" w:hAnsi="Times New Roman" w:eastAsia="Times New Roman" w:cs="Times New Roman"/>
          <w:color w:val="auto"/>
          <w:sz w:val="24"/>
          <w:szCs w:val="24"/>
        </w:rPr>
        <w:t xml:space="preserve"> 15.6 </w:t>
      </w:r>
      <w:r>
        <w:rPr>
          <w:rFonts w:ascii="宋体" w:hAnsi="宋体" w:eastAsia="宋体" w:cs="宋体"/>
          <w:color w:val="auto"/>
          <w:sz w:val="24"/>
          <w:szCs w:val="24"/>
        </w:rPr>
        <w:t>款决定有关暂列金额的使用；</w:t>
      </w:r>
    </w:p>
    <w:p>
      <w:pPr>
        <w:spacing w:after="0" w:line="10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(9)</w:t>
      </w:r>
      <w:r>
        <w:rPr>
          <w:rFonts w:ascii="宋体" w:hAnsi="宋体" w:eastAsia="宋体" w:cs="宋体"/>
          <w:color w:val="auto"/>
          <w:sz w:val="24"/>
          <w:szCs w:val="24"/>
        </w:rPr>
        <w:t>确定第</w:t>
      </w:r>
      <w:r>
        <w:rPr>
          <w:rFonts w:ascii="Times New Roman" w:hAnsi="Times New Roman" w:eastAsia="Times New Roman" w:cs="Times New Roman"/>
          <w:color w:val="auto"/>
          <w:sz w:val="24"/>
          <w:szCs w:val="24"/>
        </w:rPr>
        <w:t xml:space="preserve"> 15.8 </w:t>
      </w:r>
      <w:r>
        <w:rPr>
          <w:rFonts w:ascii="宋体" w:hAnsi="宋体" w:eastAsia="宋体" w:cs="宋体"/>
          <w:color w:val="auto"/>
          <w:sz w:val="24"/>
          <w:szCs w:val="24"/>
        </w:rPr>
        <w:t>款项下的暂估价金额；</w:t>
      </w:r>
    </w:p>
    <w:p>
      <w:pPr>
        <w:spacing w:after="0" w:line="10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(10)</w:t>
      </w:r>
      <w:r>
        <w:rPr>
          <w:rFonts w:ascii="宋体" w:hAnsi="宋体" w:eastAsia="宋体" w:cs="宋体"/>
          <w:color w:val="auto"/>
          <w:sz w:val="24"/>
          <w:szCs w:val="24"/>
        </w:rPr>
        <w:t>确定第</w:t>
      </w:r>
      <w:r>
        <w:rPr>
          <w:rFonts w:ascii="Times New Roman" w:hAnsi="Times New Roman" w:eastAsia="Times New Roman" w:cs="Times New Roman"/>
          <w:color w:val="auto"/>
          <w:sz w:val="24"/>
          <w:szCs w:val="24"/>
        </w:rPr>
        <w:t xml:space="preserve"> 23.1 </w:t>
      </w:r>
      <w:r>
        <w:rPr>
          <w:rFonts w:ascii="宋体" w:hAnsi="宋体" w:eastAsia="宋体" w:cs="宋体"/>
          <w:color w:val="auto"/>
          <w:sz w:val="24"/>
          <w:szCs w:val="24"/>
        </w:rPr>
        <w:t>款项下的索赔额。</w:t>
      </w:r>
    </w:p>
    <w:p>
      <w:pPr>
        <w:spacing w:after="0" w:line="163" w:lineRule="exact"/>
        <w:rPr>
          <w:color w:val="auto"/>
          <w:sz w:val="20"/>
          <w:szCs w:val="20"/>
        </w:rPr>
      </w:pPr>
    </w:p>
    <w:p>
      <w:pPr>
        <w:spacing w:after="0" w:line="389" w:lineRule="exact"/>
        <w:ind w:left="200" w:right="144" w:firstLine="480"/>
        <w:jc w:val="both"/>
        <w:rPr>
          <w:color w:val="auto"/>
          <w:sz w:val="20"/>
          <w:szCs w:val="20"/>
        </w:rPr>
      </w:pPr>
      <w:r>
        <w:rPr>
          <w:rFonts w:ascii="宋体" w:hAnsi="宋体" w:eastAsia="宋体" w:cs="宋体"/>
          <w:color w:val="auto"/>
          <w:sz w:val="24"/>
          <w:szCs w:val="24"/>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w:t>
      </w:r>
      <w:r>
        <w:rPr>
          <w:rFonts w:ascii="Times New Roman" w:hAnsi="Times New Roman" w:eastAsia="Times New Roman" w:cs="Times New Roman"/>
          <w:color w:val="auto"/>
          <w:sz w:val="24"/>
          <w:szCs w:val="24"/>
        </w:rPr>
        <w:t xml:space="preserve"> 3.5 </w:t>
      </w:r>
      <w:r>
        <w:rPr>
          <w:rFonts w:ascii="宋体" w:hAnsi="宋体" w:eastAsia="宋体" w:cs="宋体"/>
          <w:color w:val="auto"/>
          <w:sz w:val="24"/>
          <w:szCs w:val="24"/>
        </w:rPr>
        <w:t>款商定或确定。</w:t>
      </w:r>
    </w:p>
    <w:p>
      <w:pPr>
        <w:spacing w:after="0" w:line="369"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3.5 </w:t>
      </w:r>
      <w:r>
        <w:rPr>
          <w:rFonts w:ascii="黑体" w:hAnsi="黑体" w:eastAsia="黑体" w:cs="黑体"/>
          <w:color w:val="auto"/>
          <w:sz w:val="24"/>
          <w:szCs w:val="24"/>
        </w:rPr>
        <w:t>商定或确定</w:t>
      </w:r>
    </w:p>
    <w:p>
      <w:pPr>
        <w:spacing w:after="0" w:line="349" w:lineRule="exact"/>
        <w:rPr>
          <w:color w:val="auto"/>
          <w:sz w:val="20"/>
          <w:szCs w:val="20"/>
        </w:rPr>
      </w:pPr>
    </w:p>
    <w:p>
      <w:pPr>
        <w:numPr>
          <w:ilvl w:val="0"/>
          <w:numId w:val="11"/>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3.5.1 </w:t>
      </w:r>
      <w:r>
        <w:rPr>
          <w:rFonts w:ascii="宋体" w:hAnsi="宋体" w:eastAsia="宋体" w:cs="宋体"/>
          <w:color w:val="auto"/>
          <w:sz w:val="24"/>
          <w:szCs w:val="24"/>
        </w:rPr>
        <w:t>项补充：</w:t>
      </w:r>
    </w:p>
    <w:p>
      <w:pPr>
        <w:spacing w:after="0" w:line="108" w:lineRule="exact"/>
        <w:rPr>
          <w:color w:val="auto"/>
          <w:sz w:val="20"/>
          <w:szCs w:val="20"/>
        </w:rPr>
      </w:pPr>
    </w:p>
    <w:p>
      <w:pPr>
        <w:spacing w:after="0" w:line="336" w:lineRule="exact"/>
        <w:ind w:left="200" w:right="144" w:firstLine="480"/>
        <w:rPr>
          <w:color w:val="auto"/>
          <w:sz w:val="20"/>
          <w:szCs w:val="20"/>
        </w:rPr>
      </w:pPr>
      <w:r>
        <w:rPr>
          <w:rFonts w:ascii="宋体" w:hAnsi="宋体" w:eastAsia="宋体" w:cs="宋体"/>
          <w:color w:val="auto"/>
          <w:sz w:val="24"/>
          <w:szCs w:val="24"/>
        </w:rPr>
        <w:t>如果这项商定或确定导致费用增加和</w:t>
      </w:r>
      <w:r>
        <w:rPr>
          <w:rFonts w:ascii="Times New Roman" w:hAnsi="Times New Roman" w:eastAsia="Times New Roman" w:cs="Times New Roman"/>
          <w:color w:val="auto"/>
          <w:sz w:val="24"/>
          <w:szCs w:val="24"/>
        </w:rPr>
        <w:t>(</w:t>
      </w:r>
      <w:r>
        <w:rPr>
          <w:rFonts w:ascii="宋体" w:hAnsi="宋体" w:eastAsia="宋体" w:cs="宋体"/>
          <w:color w:val="auto"/>
          <w:sz w:val="24"/>
          <w:szCs w:val="24"/>
        </w:rPr>
        <w:t>或</w:t>
      </w:r>
      <w:r>
        <w:rPr>
          <w:rFonts w:ascii="Times New Roman" w:hAnsi="Times New Roman" w:eastAsia="Times New Roman" w:cs="Times New Roman"/>
          <w:color w:val="auto"/>
          <w:sz w:val="24"/>
          <w:szCs w:val="24"/>
        </w:rPr>
        <w:t>)</w:t>
      </w:r>
      <w:r>
        <w:rPr>
          <w:rFonts w:ascii="宋体" w:hAnsi="宋体" w:eastAsia="宋体" w:cs="宋体"/>
          <w:color w:val="auto"/>
          <w:sz w:val="24"/>
          <w:szCs w:val="24"/>
        </w:rPr>
        <w:t>工期延长，或者涉及确定变更工程的价格，则总监理工程师在发出通知前，应征得发包人的同意。</w:t>
      </w:r>
    </w:p>
    <w:p>
      <w:pPr>
        <w:spacing w:after="0" w:line="200" w:lineRule="exact"/>
        <w:rPr>
          <w:color w:val="auto"/>
          <w:sz w:val="20"/>
          <w:szCs w:val="20"/>
        </w:rPr>
      </w:pPr>
    </w:p>
    <w:p>
      <w:pPr>
        <w:spacing w:after="0" w:line="318" w:lineRule="exact"/>
        <w:rPr>
          <w:color w:val="auto"/>
          <w:sz w:val="20"/>
          <w:szCs w:val="20"/>
        </w:rPr>
      </w:pPr>
    </w:p>
    <w:p>
      <w:pPr>
        <w:numPr>
          <w:ilvl w:val="0"/>
          <w:numId w:val="12"/>
        </w:numPr>
        <w:tabs>
          <w:tab w:val="left" w:pos="560"/>
        </w:tabs>
        <w:spacing w:after="0" w:line="341" w:lineRule="exact"/>
        <w:ind w:left="560" w:hanging="356"/>
        <w:rPr>
          <w:rFonts w:ascii="Times New Roman" w:hAnsi="Times New Roman" w:eastAsia="Times New Roman" w:cs="Times New Roman"/>
          <w:color w:val="auto"/>
          <w:sz w:val="28"/>
          <w:szCs w:val="28"/>
        </w:rPr>
      </w:pPr>
      <w:r>
        <w:rPr>
          <w:rFonts w:ascii="黑体" w:hAnsi="黑体" w:eastAsia="黑体" w:cs="黑体"/>
          <w:color w:val="auto"/>
          <w:sz w:val="28"/>
          <w:szCs w:val="28"/>
        </w:rPr>
        <w:t>承包人</w:t>
      </w:r>
    </w:p>
    <w:p>
      <w:pPr>
        <w:spacing w:after="0" w:line="349"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4.1 </w:t>
      </w:r>
      <w:r>
        <w:rPr>
          <w:rFonts w:ascii="黑体" w:hAnsi="黑体" w:eastAsia="黑体" w:cs="黑体"/>
          <w:color w:val="auto"/>
          <w:sz w:val="24"/>
          <w:szCs w:val="24"/>
        </w:rPr>
        <w:t>承包人的一般义务</w:t>
      </w:r>
    </w:p>
    <w:p>
      <w:pPr>
        <w:spacing w:after="0" w:line="34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4.1.9 </w:t>
      </w:r>
      <w:r>
        <w:rPr>
          <w:rFonts w:ascii="黑体" w:hAnsi="黑体" w:eastAsia="黑体" w:cs="黑体"/>
          <w:color w:val="auto"/>
          <w:sz w:val="24"/>
          <w:szCs w:val="24"/>
        </w:rPr>
        <w:t>工程的维护和照管</w:t>
      </w:r>
    </w:p>
    <w:p>
      <w:pPr>
        <w:spacing w:after="0" w:line="108"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本项细化为：</w:t>
      </w:r>
    </w:p>
    <w:p>
      <w:pPr>
        <w:spacing w:after="0" w:line="127" w:lineRule="exact"/>
        <w:rPr>
          <w:color w:val="auto"/>
          <w:sz w:val="20"/>
          <w:szCs w:val="20"/>
        </w:rPr>
      </w:pPr>
    </w:p>
    <w:p>
      <w:pPr>
        <w:spacing w:after="0" w:line="292" w:lineRule="exact"/>
        <w:ind w:left="600"/>
        <w:rPr>
          <w:color w:val="auto"/>
          <w:sz w:val="20"/>
          <w:szCs w:val="20"/>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交工验收证书颁发前，承包人应负责照管和维护工程及将用于或安装在本工</w:t>
      </w:r>
    </w:p>
    <w:p>
      <w:pPr>
        <w:spacing w:after="0" w:line="320" w:lineRule="exact"/>
        <w:ind w:left="200" w:right="144"/>
        <w:rPr>
          <w:color w:val="auto"/>
          <w:sz w:val="24"/>
          <w:szCs w:val="24"/>
        </w:rPr>
      </w:pPr>
      <w:r>
        <w:rPr>
          <w:rFonts w:ascii="宋体" w:hAnsi="宋体" w:eastAsia="宋体" w:cs="宋体"/>
          <w:color w:val="auto"/>
          <w:sz w:val="24"/>
          <w:szCs w:val="24"/>
        </w:rPr>
        <w:t>程中的材料、设备。交工验收证书颁发时尚有部分未交工工程的，承包人还应负责该未交工工程、材料、设备的照管和维护工作，直至交工后移交给发包人为止。</w:t>
      </w:r>
    </w:p>
    <w:p>
      <w:pPr>
        <w:spacing w:after="0" w:line="128" w:lineRule="exact"/>
        <w:rPr>
          <w:color w:val="auto"/>
          <w:sz w:val="24"/>
          <w:szCs w:val="24"/>
        </w:rPr>
      </w:pPr>
    </w:p>
    <w:p>
      <w:pPr>
        <w:spacing w:after="0" w:line="337" w:lineRule="exact"/>
        <w:ind w:left="200" w:right="24" w:firstLine="39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在承包人负责照管与维护期间，如果本工程或材料、设备等发生损失或损害，除不可抗力原因之外，承包人均应自费弥补，并达到合同要求。承包人还应对按第</w:t>
      </w:r>
      <w:r>
        <w:rPr>
          <w:rFonts w:hint="eastAsia" w:ascii="宋体" w:hAnsi="宋体" w:eastAsia="宋体" w:cs="宋体"/>
          <w:color w:val="auto"/>
          <w:sz w:val="24"/>
          <w:szCs w:val="24"/>
          <w:lang w:val="en-US" w:eastAsia="zh-CN"/>
        </w:rPr>
        <w:t>19</w:t>
      </w:r>
      <w:r>
        <w:rPr>
          <w:rFonts w:ascii="宋体" w:hAnsi="宋体" w:eastAsia="宋体" w:cs="宋体"/>
          <w:color w:val="auto"/>
          <w:sz w:val="24"/>
          <w:szCs w:val="24"/>
        </w:rPr>
        <w:t>条规定而实施作业的过程中由承包人造成的对工程的任何损失或损害负责。</w:t>
      </w:r>
    </w:p>
    <w:p>
      <w:pPr>
        <w:spacing w:after="0" w:line="126"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4.1.10 </w:t>
      </w:r>
      <w:r>
        <w:rPr>
          <w:rFonts w:ascii="黑体" w:hAnsi="黑体" w:eastAsia="黑体" w:cs="黑体"/>
          <w:color w:val="auto"/>
          <w:sz w:val="24"/>
          <w:szCs w:val="24"/>
        </w:rPr>
        <w:t>其他义务</w:t>
      </w:r>
    </w:p>
    <w:p>
      <w:pPr>
        <w:spacing w:after="0" w:line="108"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本项细化为：</w:t>
      </w:r>
    </w:p>
    <w:p>
      <w:pPr>
        <w:spacing w:after="0" w:line="161" w:lineRule="exact"/>
        <w:rPr>
          <w:color w:val="auto"/>
          <w:sz w:val="20"/>
          <w:szCs w:val="20"/>
        </w:rPr>
      </w:pPr>
    </w:p>
    <w:p>
      <w:pPr>
        <w:numPr>
          <w:ilvl w:val="0"/>
          <w:numId w:val="0"/>
        </w:numPr>
        <w:tabs>
          <w:tab w:val="left" w:pos="991"/>
        </w:tabs>
        <w:spacing w:after="0" w:line="320" w:lineRule="exact"/>
        <w:ind w:right="144" w:rightChars="0"/>
        <w:rPr>
          <w:rFonts w:ascii="Times New Roman" w:hAnsi="Times New Roman" w:eastAsia="Times New Roman" w:cs="Times New Roman"/>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ascii="宋体" w:hAnsi="宋体" w:eastAsia="宋体" w:cs="宋体"/>
          <w:color w:val="auto"/>
          <w:sz w:val="24"/>
          <w:szCs w:val="24"/>
        </w:rPr>
        <w:t>临时占地由承包人向当地政府土地管理部门申请，并办理租用手续，承包人按有关规定直接支付其费用，发包人对此将予以协调。</w:t>
      </w:r>
    </w:p>
    <w:p>
      <w:pPr>
        <w:spacing w:after="0" w:line="383" w:lineRule="exact"/>
        <w:ind w:right="24" w:firstLine="480" w:firstLineChars="200"/>
        <w:rPr>
          <w:rFonts w:ascii="Times New Roman" w:hAnsi="Times New Roman" w:eastAsia="Times New Roman" w:cs="Times New Roman"/>
          <w:color w:val="auto"/>
          <w:sz w:val="24"/>
          <w:szCs w:val="24"/>
        </w:rPr>
      </w:pPr>
      <w:r>
        <w:rPr>
          <w:rFonts w:ascii="宋体" w:hAnsi="宋体" w:eastAsia="宋体" w:cs="宋体"/>
          <w:color w:val="auto"/>
          <w:sz w:val="24"/>
          <w:szCs w:val="24"/>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w:t>
      </w:r>
      <w:r>
        <w:rPr>
          <w:rFonts w:ascii="Times New Roman" w:hAnsi="Times New Roman" w:eastAsia="Times New Roman" w:cs="Times New Roman"/>
          <w:color w:val="auto"/>
          <w:sz w:val="24"/>
          <w:szCs w:val="24"/>
        </w:rPr>
        <w:t>(</w:t>
      </w:r>
      <w:r>
        <w:rPr>
          <w:rFonts w:ascii="宋体" w:hAnsi="宋体" w:eastAsia="宋体" w:cs="宋体"/>
          <w:color w:val="auto"/>
          <w:sz w:val="24"/>
          <w:szCs w:val="24"/>
        </w:rPr>
        <w:t>电力、电信、房屋、坟墓除外</w:t>
      </w:r>
      <w:r>
        <w:rPr>
          <w:rFonts w:ascii="Times New Roman" w:hAnsi="Times New Roman" w:eastAsia="Times New Roman" w:cs="Times New Roman"/>
          <w:color w:val="auto"/>
          <w:sz w:val="24"/>
          <w:szCs w:val="24"/>
        </w:rPr>
        <w:t>)</w:t>
      </w:r>
      <w:r>
        <w:rPr>
          <w:rFonts w:ascii="宋体" w:hAnsi="宋体" w:eastAsia="宋体" w:cs="宋体"/>
          <w:color w:val="auto"/>
          <w:sz w:val="24"/>
          <w:szCs w:val="24"/>
        </w:rPr>
        <w:t>的拆迁补偿等相关费用。除项目专用合同条款另有约定外，临时占地的租地费用实行总额包干，列入工程量清单</w:t>
      </w:r>
      <w:r>
        <w:rPr>
          <w:rFonts w:ascii="Times New Roman" w:hAnsi="Times New Roman" w:eastAsia="Times New Roman" w:cs="Times New Roman"/>
          <w:color w:val="auto"/>
          <w:sz w:val="24"/>
          <w:szCs w:val="24"/>
        </w:rPr>
        <w:t xml:space="preserve"> 100 </w:t>
      </w:r>
      <w:r>
        <w:rPr>
          <w:rFonts w:ascii="宋体" w:hAnsi="宋体" w:eastAsia="宋体" w:cs="宋体"/>
          <w:color w:val="auto"/>
          <w:sz w:val="24"/>
          <w:szCs w:val="24"/>
        </w:rPr>
        <w:t>章中由承包人按总额报价。</w:t>
      </w:r>
    </w:p>
    <w:p>
      <w:pPr>
        <w:spacing w:after="0" w:line="124" w:lineRule="exact"/>
        <w:rPr>
          <w:rFonts w:ascii="Times New Roman" w:hAnsi="Times New Roman" w:eastAsia="Times New Roman" w:cs="Times New Roman"/>
          <w:color w:val="auto"/>
          <w:sz w:val="24"/>
          <w:szCs w:val="24"/>
        </w:rPr>
      </w:pPr>
    </w:p>
    <w:p>
      <w:pPr>
        <w:spacing w:after="0" w:line="346" w:lineRule="exact"/>
        <w:ind w:right="144" w:firstLine="480" w:firstLineChars="200"/>
        <w:jc w:val="both"/>
        <w:rPr>
          <w:rFonts w:ascii="Times New Roman" w:hAnsi="Times New Roman" w:eastAsia="Times New Roman" w:cs="Times New Roman"/>
          <w:color w:val="auto"/>
          <w:sz w:val="24"/>
          <w:szCs w:val="24"/>
        </w:rPr>
      </w:pPr>
      <w:r>
        <w:rPr>
          <w:rFonts w:ascii="宋体" w:hAnsi="宋体" w:eastAsia="宋体" w:cs="宋体"/>
          <w:color w:val="auto"/>
          <w:sz w:val="24"/>
          <w:szCs w:val="24"/>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spacing w:after="0" w:line="163" w:lineRule="exact"/>
        <w:rPr>
          <w:rFonts w:ascii="Times New Roman" w:hAnsi="Times New Roman" w:eastAsia="Times New Roman" w:cs="Times New Roman"/>
          <w:color w:val="auto"/>
          <w:sz w:val="24"/>
          <w:szCs w:val="24"/>
        </w:rPr>
      </w:pPr>
    </w:p>
    <w:p>
      <w:pPr>
        <w:numPr>
          <w:ilvl w:val="0"/>
          <w:numId w:val="0"/>
        </w:numPr>
        <w:tabs>
          <w:tab w:val="left" w:pos="873"/>
        </w:tabs>
        <w:spacing w:after="0" w:line="347" w:lineRule="exact"/>
        <w:ind w:right="24" w:rightChars="0" w:firstLine="480" w:firstLineChars="200"/>
        <w:jc w:val="both"/>
        <w:rPr>
          <w:rFonts w:ascii="Times New Roman" w:hAnsi="Times New Roman" w:eastAsia="Times New Roman" w:cs="Times New Roman"/>
          <w:color w:val="auto"/>
          <w:sz w:val="24"/>
          <w:szCs w:val="24"/>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after="0" w:line="160" w:lineRule="exact"/>
        <w:rPr>
          <w:rFonts w:ascii="Times New Roman" w:hAnsi="Times New Roman" w:eastAsia="Times New Roman" w:cs="Times New Roman"/>
          <w:color w:val="auto"/>
          <w:sz w:val="24"/>
          <w:szCs w:val="24"/>
        </w:rPr>
      </w:pPr>
    </w:p>
    <w:p>
      <w:pPr>
        <w:keepNext w:val="0"/>
        <w:keepLines w:val="0"/>
        <w:pageBreakBefore w:val="0"/>
        <w:widowControl/>
        <w:numPr>
          <w:ilvl w:val="0"/>
          <w:numId w:val="0"/>
        </w:numPr>
        <w:tabs>
          <w:tab w:val="left" w:pos="873"/>
        </w:tabs>
        <w:kinsoku/>
        <w:wordWrap/>
        <w:overflowPunct/>
        <w:topLinePunct w:val="0"/>
        <w:autoSpaceDE/>
        <w:autoSpaceDN/>
        <w:bidi w:val="0"/>
        <w:adjustRightInd/>
        <w:snapToGrid/>
        <w:spacing w:after="0" w:afterLines="50" w:line="368" w:lineRule="exact"/>
        <w:ind w:right="24" w:rightChars="0" w:firstLine="480" w:firstLineChars="200"/>
        <w:textAlignment w:val="auto"/>
        <w:outlineLvl w:val="9"/>
        <w:rPr>
          <w:rFonts w:ascii="Times New Roman" w:hAnsi="Times New Roman" w:eastAsia="Times New Roman" w:cs="Times New Roman"/>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ascii="宋体" w:hAnsi="宋体" w:eastAsia="宋体" w:cs="宋体"/>
          <w:color w:val="auto"/>
          <w:sz w:val="24"/>
          <w:szCs w:val="24"/>
        </w:rPr>
        <w:t>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keepNext w:val="0"/>
        <w:keepLines w:val="0"/>
        <w:pageBreakBefore w:val="0"/>
        <w:widowControl/>
        <w:kinsoku/>
        <w:wordWrap/>
        <w:overflowPunct/>
        <w:topLinePunct w:val="0"/>
        <w:autoSpaceDE/>
        <w:autoSpaceDN/>
        <w:bidi w:val="0"/>
        <w:adjustRightInd/>
        <w:snapToGrid/>
        <w:spacing w:after="0" w:afterLines="50" w:line="360" w:lineRule="exact"/>
        <w:ind w:right="144" w:firstLine="480" w:firstLineChars="200"/>
        <w:jc w:val="both"/>
        <w:textAlignment w:val="auto"/>
        <w:outlineLvl w:val="9"/>
        <w:rPr>
          <w:rFonts w:ascii="Times New Roman" w:hAnsi="Times New Roman" w:eastAsia="Times New Roman" w:cs="Times New Roman"/>
          <w:color w:val="auto"/>
          <w:sz w:val="23"/>
          <w:szCs w:val="23"/>
        </w:rPr>
      </w:pPr>
      <w:r>
        <w:rPr>
          <w:rFonts w:ascii="宋体" w:hAnsi="宋体" w:eastAsia="宋体" w:cs="宋体"/>
          <w:color w:val="auto"/>
          <w:sz w:val="24"/>
          <w:szCs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w:t>
      </w:r>
      <w:r>
        <w:rPr>
          <w:rFonts w:ascii="Times New Roman" w:hAnsi="Times New Roman" w:eastAsia="Times New Roman" w:cs="Times New Roman"/>
          <w:color w:val="auto"/>
          <w:sz w:val="24"/>
          <w:szCs w:val="24"/>
        </w:rPr>
        <w:t>“</w:t>
      </w:r>
      <w:r>
        <w:rPr>
          <w:rFonts w:ascii="宋体" w:hAnsi="宋体" w:eastAsia="宋体" w:cs="宋体"/>
          <w:color w:val="auto"/>
          <w:sz w:val="24"/>
          <w:szCs w:val="24"/>
        </w:rPr>
        <w:t>包工头</w:t>
      </w:r>
      <w:r>
        <w:rPr>
          <w:rFonts w:ascii="Times New Roman" w:hAnsi="Times New Roman" w:eastAsia="Times New Roman" w:cs="Times New Roman"/>
          <w:color w:val="auto"/>
          <w:sz w:val="24"/>
          <w:szCs w:val="24"/>
        </w:rPr>
        <w:t>”</w:t>
      </w:r>
      <w:r>
        <w:rPr>
          <w:rFonts w:ascii="宋体" w:hAnsi="宋体" w:eastAsia="宋体" w:cs="宋体"/>
          <w:color w:val="auto"/>
          <w:sz w:val="24"/>
          <w:szCs w:val="24"/>
        </w:rPr>
        <w:t>或其他不具备用工主体资格的组织和个人。</w:t>
      </w:r>
    </w:p>
    <w:p>
      <w:pPr>
        <w:keepNext w:val="0"/>
        <w:keepLines w:val="0"/>
        <w:pageBreakBefore w:val="0"/>
        <w:widowControl/>
        <w:kinsoku/>
        <w:wordWrap/>
        <w:overflowPunct/>
        <w:topLinePunct w:val="0"/>
        <w:autoSpaceDE/>
        <w:autoSpaceDN/>
        <w:bidi w:val="0"/>
        <w:adjustRightInd/>
        <w:snapToGrid/>
        <w:spacing w:after="0" w:afterLines="50" w:line="320" w:lineRule="exact"/>
        <w:ind w:right="144" w:firstLine="480" w:firstLineChars="200"/>
        <w:textAlignment w:val="auto"/>
        <w:outlineLvl w:val="9"/>
        <w:rPr>
          <w:rFonts w:ascii="Times New Roman" w:hAnsi="Times New Roman" w:eastAsia="Times New Roman" w:cs="Times New Roman"/>
          <w:color w:val="auto"/>
          <w:sz w:val="23"/>
          <w:szCs w:val="23"/>
        </w:rPr>
      </w:pPr>
      <w:r>
        <w:rPr>
          <w:rFonts w:ascii="宋体" w:hAnsi="宋体" w:eastAsia="宋体" w:cs="宋体"/>
          <w:color w:val="auto"/>
          <w:sz w:val="24"/>
          <w:szCs w:val="24"/>
        </w:rPr>
        <w:t>工资支付表应如实记录支付单位、支付时间、支付对象、支付数额、支付对象的身份证号和签字等信息。民工花名册和工资支付表应报监理人备查。</w:t>
      </w:r>
    </w:p>
    <w:p>
      <w:pPr>
        <w:spacing w:after="0" w:line="108" w:lineRule="exact"/>
        <w:rPr>
          <w:rFonts w:ascii="Times New Roman" w:hAnsi="Times New Roman" w:eastAsia="Times New Roman" w:cs="Times New Roman"/>
          <w:color w:val="auto"/>
          <w:sz w:val="23"/>
          <w:szCs w:val="23"/>
        </w:rPr>
      </w:pPr>
    </w:p>
    <w:p>
      <w:pPr>
        <w:numPr>
          <w:ilvl w:val="0"/>
          <w:numId w:val="0"/>
        </w:numPr>
        <w:tabs>
          <w:tab w:val="left" w:pos="880"/>
        </w:tabs>
        <w:spacing w:after="0" w:line="292" w:lineRule="exact"/>
        <w:ind w:firstLine="480" w:firstLineChars="200"/>
        <w:rPr>
          <w:rFonts w:ascii="Times New Roman" w:hAnsi="Times New Roman" w:eastAsia="Times New Roman" w:cs="Times New Roman"/>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ascii="宋体" w:hAnsi="宋体" w:eastAsia="宋体" w:cs="宋体"/>
          <w:color w:val="auto"/>
          <w:sz w:val="24"/>
          <w:szCs w:val="24"/>
        </w:rPr>
        <w:t>承包人应履行项目专用合同条款约定的其他义务。</w:t>
      </w:r>
    </w:p>
    <w:p>
      <w:pPr>
        <w:spacing w:after="0" w:line="292" w:lineRule="exact"/>
        <w:rPr>
          <w:rFonts w:ascii="Times New Roman" w:hAnsi="Times New Roman" w:eastAsia="Times New Roman" w:cs="Times New Roman"/>
          <w:color w:val="auto"/>
          <w:sz w:val="24"/>
          <w:szCs w:val="24"/>
        </w:rPr>
      </w:pPr>
    </w:p>
    <w:p>
      <w:pPr>
        <w:spacing w:after="0" w:line="292" w:lineRule="exact"/>
        <w:rPr>
          <w:color w:val="auto"/>
          <w:sz w:val="20"/>
          <w:szCs w:val="20"/>
        </w:rPr>
      </w:pPr>
      <w:r>
        <w:rPr>
          <w:rFonts w:ascii="Times New Roman" w:hAnsi="Times New Roman" w:eastAsia="Times New Roman" w:cs="Times New Roman"/>
          <w:color w:val="auto"/>
          <w:sz w:val="24"/>
          <w:szCs w:val="24"/>
        </w:rPr>
        <w:t xml:space="preserve">4.2 </w:t>
      </w:r>
      <w:r>
        <w:rPr>
          <w:rFonts w:ascii="黑体" w:hAnsi="黑体" w:eastAsia="黑体" w:cs="黑体"/>
          <w:color w:val="auto"/>
          <w:sz w:val="24"/>
          <w:szCs w:val="24"/>
        </w:rPr>
        <w:t>履约担保</w:t>
      </w:r>
    </w:p>
    <w:p>
      <w:pPr>
        <w:spacing w:after="0" w:line="349"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本款细化为：</w:t>
      </w:r>
    </w:p>
    <w:p>
      <w:pPr>
        <w:spacing w:after="0" w:line="159" w:lineRule="exact"/>
        <w:rPr>
          <w:color w:val="auto"/>
          <w:sz w:val="20"/>
          <w:szCs w:val="20"/>
        </w:rPr>
      </w:pPr>
    </w:p>
    <w:p>
      <w:pPr>
        <w:spacing w:after="0" w:line="347" w:lineRule="exact"/>
        <w:ind w:left="200" w:right="144" w:firstLine="480"/>
        <w:jc w:val="both"/>
        <w:rPr>
          <w:color w:val="auto"/>
          <w:sz w:val="20"/>
          <w:szCs w:val="20"/>
        </w:rPr>
      </w:pPr>
      <w:r>
        <w:rPr>
          <w:rFonts w:ascii="宋体" w:hAnsi="宋体" w:eastAsia="宋体" w:cs="宋体"/>
          <w:color w:val="auto"/>
          <w:sz w:val="24"/>
          <w:szCs w:val="24"/>
        </w:rPr>
        <w:t>承包人应保证其履约担保在发包人签发交工验收证书且承包人按照合同约定缴纳质量保证金前一直有效。发包人应在收到承包人缴纳的质量保证金后</w:t>
      </w:r>
      <w:r>
        <w:rPr>
          <w:rFonts w:ascii="Times New Roman" w:hAnsi="Times New Roman" w:eastAsia="Times New Roman" w:cs="Times New Roman"/>
          <w:color w:val="auto"/>
          <w:sz w:val="24"/>
          <w:szCs w:val="24"/>
        </w:rPr>
        <w:t xml:space="preserve"> 28 </w:t>
      </w:r>
      <w:r>
        <w:rPr>
          <w:rFonts w:ascii="宋体" w:hAnsi="宋体" w:eastAsia="宋体" w:cs="宋体"/>
          <w:color w:val="auto"/>
          <w:sz w:val="24"/>
          <w:szCs w:val="24"/>
        </w:rPr>
        <w:t>天内把履约担保退还给承包人。</w:t>
      </w:r>
    </w:p>
    <w:p>
      <w:pPr>
        <w:spacing w:after="0" w:line="160" w:lineRule="exact"/>
        <w:rPr>
          <w:color w:val="auto"/>
          <w:sz w:val="20"/>
          <w:szCs w:val="20"/>
        </w:rPr>
      </w:pPr>
    </w:p>
    <w:p>
      <w:pPr>
        <w:spacing w:after="0" w:line="347" w:lineRule="exact"/>
        <w:ind w:left="200" w:right="144" w:firstLine="480"/>
        <w:jc w:val="both"/>
        <w:rPr>
          <w:color w:val="auto"/>
          <w:sz w:val="20"/>
          <w:szCs w:val="20"/>
        </w:rPr>
      </w:pPr>
      <w:r>
        <w:rPr>
          <w:rFonts w:ascii="宋体" w:hAnsi="宋体" w:eastAsia="宋体" w:cs="宋体"/>
          <w:color w:val="auto"/>
          <w:sz w:val="24"/>
          <w:szCs w:val="24"/>
        </w:rPr>
        <w:t>承包人拒绝按照本合同约定缴纳质量保证金的，发包人有权从竣工付款证书中扣留相应金额作为质量保证金，或者直接将履约担保金额用于保证承包人在缺陷责任期内履行缺陷修复义务。</w:t>
      </w:r>
    </w:p>
    <w:p>
      <w:pPr>
        <w:spacing w:after="0" w:line="346"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4.3 </w:t>
      </w:r>
      <w:r>
        <w:rPr>
          <w:rFonts w:ascii="黑体" w:hAnsi="黑体" w:eastAsia="黑体" w:cs="黑体"/>
          <w:color w:val="auto"/>
          <w:sz w:val="24"/>
          <w:szCs w:val="24"/>
        </w:rPr>
        <w:t>分包</w:t>
      </w:r>
    </w:p>
    <w:p>
      <w:pPr>
        <w:spacing w:after="0" w:line="349" w:lineRule="exact"/>
        <w:rPr>
          <w:color w:val="auto"/>
          <w:sz w:val="20"/>
          <w:szCs w:val="20"/>
        </w:rPr>
      </w:pPr>
    </w:p>
    <w:p>
      <w:pPr>
        <w:numPr>
          <w:ilvl w:val="0"/>
          <w:numId w:val="13"/>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4.3.2 </w:t>
      </w:r>
      <w:r>
        <w:rPr>
          <w:rFonts w:ascii="宋体" w:hAnsi="宋体" w:eastAsia="宋体" w:cs="宋体"/>
          <w:color w:val="auto"/>
          <w:sz w:val="24"/>
          <w:szCs w:val="24"/>
        </w:rPr>
        <w:t>项～第</w:t>
      </w:r>
      <w:r>
        <w:rPr>
          <w:rFonts w:ascii="Times New Roman" w:hAnsi="Times New Roman" w:eastAsia="Times New Roman" w:cs="Times New Roman"/>
          <w:color w:val="auto"/>
          <w:sz w:val="24"/>
          <w:szCs w:val="24"/>
        </w:rPr>
        <w:t xml:space="preserve"> 4.3.4 </w:t>
      </w:r>
      <w:r>
        <w:rPr>
          <w:rFonts w:ascii="宋体" w:hAnsi="宋体" w:eastAsia="宋体" w:cs="宋体"/>
          <w:color w:val="auto"/>
          <w:sz w:val="24"/>
          <w:szCs w:val="24"/>
        </w:rPr>
        <w:t>项细化为：</w:t>
      </w:r>
    </w:p>
    <w:p>
      <w:pPr>
        <w:spacing w:after="0" w:line="108" w:lineRule="exact"/>
        <w:rPr>
          <w:color w:val="auto"/>
          <w:sz w:val="20"/>
          <w:szCs w:val="20"/>
        </w:rPr>
      </w:pPr>
    </w:p>
    <w:p>
      <w:pPr>
        <w:spacing w:after="0" w:line="337" w:lineRule="exact"/>
        <w:ind w:left="200" w:right="144" w:firstLine="480"/>
        <w:jc w:val="both"/>
        <w:rPr>
          <w:color w:val="auto"/>
          <w:sz w:val="20"/>
          <w:szCs w:val="20"/>
        </w:rPr>
      </w:pPr>
      <w:r>
        <w:rPr>
          <w:rFonts w:ascii="Times New Roman" w:hAnsi="Times New Roman" w:eastAsia="Times New Roman" w:cs="Times New Roman"/>
          <w:color w:val="auto"/>
          <w:sz w:val="24"/>
          <w:szCs w:val="24"/>
        </w:rPr>
        <w:t xml:space="preserve">4.3.2 </w:t>
      </w:r>
      <w:r>
        <w:rPr>
          <w:rFonts w:ascii="宋体" w:hAnsi="宋体" w:eastAsia="宋体" w:cs="宋体"/>
          <w:color w:val="auto"/>
          <w:sz w:val="24"/>
          <w:szCs w:val="24"/>
        </w:rPr>
        <w:t>承包人不得将工程主体、关键性工作分包给第三人。经发包人同意，承包人可将工程的其他部分或工作分包给第三人。分包包括专业分包和劳务分包。</w:t>
      </w:r>
    </w:p>
    <w:p>
      <w:pPr>
        <w:spacing w:after="0" w:line="127"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4.3.3 </w:t>
      </w:r>
      <w:r>
        <w:rPr>
          <w:rFonts w:ascii="宋体" w:hAnsi="宋体" w:eastAsia="宋体" w:cs="宋体"/>
          <w:color w:val="auto"/>
          <w:sz w:val="24"/>
          <w:szCs w:val="24"/>
        </w:rPr>
        <w:t>专业分包</w:t>
      </w:r>
    </w:p>
    <w:p>
      <w:pPr>
        <w:spacing w:after="0" w:line="10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在工程施工过程中，承包人进行专业分包必须遵守以下规定：</w:t>
      </w:r>
    </w:p>
    <w:p>
      <w:pPr>
        <w:spacing w:after="0" w:line="127" w:lineRule="exact"/>
        <w:rPr>
          <w:color w:val="auto"/>
          <w:sz w:val="20"/>
          <w:szCs w:val="20"/>
        </w:rPr>
      </w:pPr>
    </w:p>
    <w:p>
      <w:pPr>
        <w:spacing w:after="0" w:line="368" w:lineRule="exact"/>
        <w:ind w:left="200" w:right="144" w:firstLine="480"/>
        <w:jc w:val="both"/>
        <w:rPr>
          <w:color w:val="auto"/>
          <w:sz w:val="20"/>
          <w:szCs w:val="20"/>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spacing w:after="0" w:line="129" w:lineRule="exact"/>
        <w:rPr>
          <w:color w:val="auto"/>
          <w:sz w:val="20"/>
          <w:szCs w:val="20"/>
        </w:rPr>
      </w:pPr>
    </w:p>
    <w:p>
      <w:pPr>
        <w:spacing w:after="0" w:line="336" w:lineRule="exact"/>
        <w:ind w:left="200" w:right="144" w:firstLine="480"/>
        <w:jc w:val="both"/>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专业分包人的资格能力</w:t>
      </w:r>
      <w:r>
        <w:rPr>
          <w:rFonts w:ascii="Times New Roman" w:hAnsi="Times New Roman" w:eastAsia="Times New Roman" w:cs="Times New Roman"/>
          <w:color w:val="auto"/>
          <w:sz w:val="24"/>
          <w:szCs w:val="24"/>
        </w:rPr>
        <w:t>(</w:t>
      </w:r>
      <w:r>
        <w:rPr>
          <w:rFonts w:ascii="宋体" w:hAnsi="宋体" w:eastAsia="宋体" w:cs="宋体"/>
          <w:color w:val="auto"/>
          <w:sz w:val="24"/>
          <w:szCs w:val="24"/>
        </w:rPr>
        <w:t>含安全生产能力</w:t>
      </w:r>
      <w:r>
        <w:rPr>
          <w:rFonts w:ascii="Times New Roman" w:hAnsi="Times New Roman" w:eastAsia="Times New Roman" w:cs="Times New Roman"/>
          <w:color w:val="auto"/>
          <w:sz w:val="24"/>
          <w:szCs w:val="24"/>
        </w:rPr>
        <w:t>)</w:t>
      </w:r>
      <w:r>
        <w:rPr>
          <w:rFonts w:ascii="宋体" w:hAnsi="宋体" w:eastAsia="宋体" w:cs="宋体"/>
          <w:color w:val="auto"/>
          <w:sz w:val="24"/>
          <w:szCs w:val="24"/>
        </w:rPr>
        <w:t>应与其分包工程的标准和规模相适应，且应当具备如下条件：</w:t>
      </w:r>
    </w:p>
    <w:p>
      <w:pPr>
        <w:spacing w:after="0" w:line="111" w:lineRule="exact"/>
        <w:rPr>
          <w:color w:val="auto"/>
          <w:sz w:val="20"/>
          <w:szCs w:val="20"/>
        </w:rPr>
      </w:pPr>
    </w:p>
    <w:p>
      <w:pPr>
        <w:numPr>
          <w:ilvl w:val="0"/>
          <w:numId w:val="14"/>
        </w:numPr>
        <w:tabs>
          <w:tab w:val="left" w:pos="980"/>
        </w:tabs>
        <w:spacing w:after="0" w:line="292" w:lineRule="exact"/>
        <w:ind w:left="980" w:hanging="296"/>
        <w:rPr>
          <w:rFonts w:ascii="Times New Roman" w:hAnsi="Times New Roman" w:eastAsia="Times New Roman" w:cs="Times New Roman"/>
          <w:color w:val="auto"/>
          <w:sz w:val="24"/>
          <w:szCs w:val="24"/>
        </w:rPr>
      </w:pPr>
      <w:r>
        <w:rPr>
          <w:rFonts w:ascii="宋体" w:hAnsi="宋体" w:eastAsia="宋体" w:cs="宋体"/>
          <w:color w:val="auto"/>
          <w:sz w:val="24"/>
          <w:szCs w:val="24"/>
        </w:rPr>
        <w:t>具有经工商登记的法人资格；</w:t>
      </w:r>
    </w:p>
    <w:p>
      <w:pPr>
        <w:spacing w:after="0" w:line="107" w:lineRule="exact"/>
        <w:rPr>
          <w:rFonts w:ascii="Times New Roman" w:hAnsi="Times New Roman" w:eastAsia="Times New Roman" w:cs="Times New Roman"/>
          <w:color w:val="auto"/>
          <w:sz w:val="24"/>
          <w:szCs w:val="24"/>
        </w:rPr>
      </w:pPr>
    </w:p>
    <w:p>
      <w:pPr>
        <w:numPr>
          <w:ilvl w:val="0"/>
          <w:numId w:val="14"/>
        </w:numPr>
        <w:tabs>
          <w:tab w:val="left" w:pos="980"/>
        </w:tabs>
        <w:spacing w:after="0" w:line="292" w:lineRule="exact"/>
        <w:ind w:left="980" w:hanging="296"/>
        <w:rPr>
          <w:rFonts w:ascii="Times New Roman" w:hAnsi="Times New Roman" w:eastAsia="Times New Roman" w:cs="Times New Roman"/>
          <w:color w:val="auto"/>
          <w:sz w:val="24"/>
          <w:szCs w:val="24"/>
        </w:rPr>
      </w:pPr>
      <w:r>
        <w:rPr>
          <w:rFonts w:ascii="宋体" w:hAnsi="宋体" w:eastAsia="宋体" w:cs="宋体"/>
          <w:color w:val="auto"/>
          <w:sz w:val="24"/>
          <w:szCs w:val="24"/>
        </w:rPr>
        <w:t>具有从事类似工程经验的管理与技术人员；</w:t>
      </w:r>
    </w:p>
    <w:p>
      <w:pPr>
        <w:spacing w:after="0" w:line="107" w:lineRule="exact"/>
        <w:rPr>
          <w:rFonts w:ascii="Times New Roman" w:hAnsi="Times New Roman" w:eastAsia="Times New Roman" w:cs="Times New Roman"/>
          <w:color w:val="auto"/>
          <w:sz w:val="24"/>
          <w:szCs w:val="24"/>
        </w:rPr>
      </w:pPr>
    </w:p>
    <w:p>
      <w:pPr>
        <w:numPr>
          <w:ilvl w:val="0"/>
          <w:numId w:val="14"/>
        </w:numPr>
        <w:tabs>
          <w:tab w:val="left" w:pos="980"/>
        </w:tabs>
        <w:spacing w:after="0" w:line="292" w:lineRule="exact"/>
        <w:ind w:left="980" w:hanging="296"/>
        <w:rPr>
          <w:rFonts w:ascii="Times New Roman" w:hAnsi="Times New Roman" w:eastAsia="Times New Roman" w:cs="Times New Roman"/>
          <w:color w:val="auto"/>
          <w:sz w:val="24"/>
          <w:szCs w:val="24"/>
        </w:rPr>
      </w:pPr>
      <w:r>
        <w:rPr>
          <w:rFonts w:ascii="宋体" w:hAnsi="宋体" w:eastAsia="宋体" w:cs="宋体"/>
          <w:color w:val="auto"/>
          <w:sz w:val="24"/>
          <w:szCs w:val="24"/>
        </w:rPr>
        <w:t>具有（自有或租赁）分包工程所需的施工设备；</w:t>
      </w:r>
    </w:p>
    <w:p>
      <w:pPr>
        <w:spacing w:after="0" w:line="108" w:lineRule="exact"/>
        <w:rPr>
          <w:rFonts w:ascii="Times New Roman" w:hAnsi="Times New Roman" w:eastAsia="Times New Roman" w:cs="Times New Roman"/>
          <w:color w:val="auto"/>
          <w:sz w:val="24"/>
          <w:szCs w:val="24"/>
        </w:rPr>
      </w:pPr>
    </w:p>
    <w:p>
      <w:pPr>
        <w:numPr>
          <w:ilvl w:val="0"/>
          <w:numId w:val="14"/>
        </w:numPr>
        <w:tabs>
          <w:tab w:val="left" w:pos="980"/>
        </w:tabs>
        <w:spacing w:after="0" w:line="292" w:lineRule="exact"/>
        <w:ind w:left="980" w:hanging="296"/>
        <w:rPr>
          <w:rFonts w:ascii="Times New Roman" w:hAnsi="Times New Roman" w:eastAsia="Times New Roman" w:cs="Times New Roman"/>
          <w:color w:val="auto"/>
          <w:sz w:val="24"/>
          <w:szCs w:val="24"/>
        </w:rPr>
      </w:pPr>
      <w:r>
        <w:rPr>
          <w:rFonts w:ascii="宋体" w:hAnsi="宋体" w:eastAsia="宋体" w:cs="宋体"/>
          <w:color w:val="auto"/>
          <w:sz w:val="24"/>
          <w:szCs w:val="24"/>
        </w:rPr>
        <w:t>具有与分包工程相适应的专业承包资质。</w:t>
      </w:r>
    </w:p>
    <w:p>
      <w:pPr>
        <w:spacing w:after="0" w:line="159" w:lineRule="exact"/>
        <w:rPr>
          <w:color w:val="auto"/>
          <w:sz w:val="20"/>
          <w:szCs w:val="20"/>
        </w:rPr>
      </w:pPr>
    </w:p>
    <w:p>
      <w:pPr>
        <w:spacing w:after="0" w:line="320" w:lineRule="exact"/>
        <w:ind w:left="200" w:right="144" w:firstLine="480"/>
        <w:jc w:val="both"/>
        <w:rPr>
          <w:color w:val="auto"/>
          <w:sz w:val="20"/>
          <w:szCs w:val="20"/>
        </w:rPr>
      </w:pPr>
      <w:r>
        <w:rPr>
          <w:rFonts w:ascii="宋体" w:hAnsi="宋体" w:eastAsia="宋体" w:cs="宋体"/>
          <w:color w:val="auto"/>
          <w:sz w:val="24"/>
          <w:szCs w:val="24"/>
        </w:rPr>
        <w:t>承包人应向监理人提交专业分包人的资格能力证明材料，经监理人审查并报发包人批准后，可以将相应专业工程分包给该专业分包人。</w:t>
      </w:r>
    </w:p>
    <w:p>
      <w:pPr>
        <w:spacing w:after="0" w:line="12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(3)</w:t>
      </w:r>
      <w:r>
        <w:rPr>
          <w:rFonts w:ascii="宋体" w:hAnsi="宋体" w:eastAsia="宋体" w:cs="宋体"/>
          <w:color w:val="auto"/>
          <w:sz w:val="24"/>
          <w:szCs w:val="24"/>
        </w:rPr>
        <w:t>专业分包工程不得再次分包。</w:t>
      </w:r>
    </w:p>
    <w:p>
      <w:pPr>
        <w:spacing w:after="0" w:line="108" w:lineRule="exact"/>
        <w:rPr>
          <w:color w:val="auto"/>
          <w:sz w:val="20"/>
          <w:szCs w:val="20"/>
        </w:rPr>
      </w:pPr>
    </w:p>
    <w:p>
      <w:pPr>
        <w:spacing w:after="0" w:line="375" w:lineRule="exact"/>
        <w:ind w:left="200" w:right="144" w:firstLine="480"/>
        <w:jc w:val="both"/>
        <w:rPr>
          <w:color w:val="auto"/>
          <w:sz w:val="20"/>
          <w:szCs w:val="20"/>
        </w:rPr>
      </w:pPr>
      <w:r>
        <w:rPr>
          <w:rFonts w:ascii="Times New Roman" w:hAnsi="Times New Roman" w:eastAsia="Times New Roman" w:cs="Times New Roman"/>
          <w:color w:val="auto"/>
          <w:sz w:val="24"/>
          <w:szCs w:val="24"/>
        </w:rPr>
        <w:t>(4)</w:t>
      </w:r>
      <w:r>
        <w:rPr>
          <w:rFonts w:ascii="宋体" w:hAnsi="宋体" w:eastAsia="宋体" w:cs="宋体"/>
          <w:color w:val="auto"/>
          <w:sz w:val="24"/>
          <w:szCs w:val="24"/>
        </w:rPr>
        <w:t>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spacing w:after="0" w:line="127" w:lineRule="exact"/>
        <w:rPr>
          <w:color w:val="auto"/>
          <w:sz w:val="20"/>
          <w:szCs w:val="20"/>
        </w:rPr>
      </w:pPr>
    </w:p>
    <w:p>
      <w:pPr>
        <w:spacing w:after="0" w:line="368" w:lineRule="exact"/>
        <w:ind w:left="200" w:right="144" w:firstLine="480"/>
        <w:jc w:val="both"/>
        <w:rPr>
          <w:color w:val="auto"/>
          <w:sz w:val="20"/>
          <w:szCs w:val="20"/>
        </w:rPr>
      </w:pPr>
      <w:r>
        <w:rPr>
          <w:rFonts w:ascii="Times New Roman" w:hAnsi="Times New Roman" w:eastAsia="Times New Roman" w:cs="Times New Roman"/>
          <w:color w:val="auto"/>
          <w:sz w:val="24"/>
          <w:szCs w:val="24"/>
        </w:rPr>
        <w:t>(5)</w:t>
      </w:r>
      <w:r>
        <w:rPr>
          <w:rFonts w:ascii="宋体" w:hAnsi="宋体" w:eastAsia="宋体" w:cs="宋体"/>
          <w:color w:val="auto"/>
          <w:sz w:val="24"/>
          <w:szCs w:val="24"/>
        </w:rPr>
        <w:t>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spacing w:after="0" w:line="129" w:lineRule="exact"/>
        <w:rPr>
          <w:color w:val="auto"/>
          <w:sz w:val="20"/>
          <w:szCs w:val="20"/>
        </w:rPr>
      </w:pPr>
    </w:p>
    <w:p>
      <w:pPr>
        <w:spacing w:after="0" w:line="368" w:lineRule="exact"/>
        <w:ind w:left="200" w:right="144" w:firstLine="480"/>
        <w:jc w:val="both"/>
        <w:rPr>
          <w:color w:val="auto"/>
          <w:sz w:val="20"/>
          <w:szCs w:val="20"/>
        </w:rPr>
      </w:pPr>
      <w:r>
        <w:rPr>
          <w:rFonts w:ascii="Times New Roman" w:hAnsi="Times New Roman" w:eastAsia="Times New Roman" w:cs="Times New Roman"/>
          <w:color w:val="auto"/>
          <w:sz w:val="24"/>
          <w:szCs w:val="24"/>
        </w:rPr>
        <w:t>(6)</w:t>
      </w:r>
      <w:r>
        <w:rPr>
          <w:rFonts w:ascii="宋体" w:hAnsi="宋体" w:eastAsia="宋体" w:cs="宋体"/>
          <w:color w:val="auto"/>
          <w:sz w:val="24"/>
          <w:szCs w:val="24"/>
        </w:rPr>
        <w:t>承包人应当建立健全相关分包管理制度和台账，对专业分包工程的质量、安全、进度和专业分包人的行为等实施全过程管理，按照本办法规定和合同约定对专业分包工程的实施向发包人负责，并承担赔偿责任。专业分包合同不免除承包合同中规定的承包人的责任或者义务。</w:t>
      </w:r>
    </w:p>
    <w:p>
      <w:pPr>
        <w:spacing w:after="0" w:line="129" w:lineRule="exact"/>
        <w:rPr>
          <w:color w:val="auto"/>
          <w:sz w:val="20"/>
          <w:szCs w:val="20"/>
        </w:rPr>
      </w:pPr>
    </w:p>
    <w:p>
      <w:pPr>
        <w:spacing w:after="0" w:line="358" w:lineRule="exact"/>
        <w:ind w:left="200" w:right="144" w:firstLine="480"/>
        <w:jc w:val="both"/>
        <w:rPr>
          <w:color w:val="auto"/>
          <w:sz w:val="20"/>
          <w:szCs w:val="20"/>
        </w:rPr>
      </w:pPr>
      <w:r>
        <w:rPr>
          <w:rFonts w:ascii="Times New Roman" w:hAnsi="Times New Roman" w:eastAsia="Times New Roman" w:cs="Times New Roman"/>
          <w:color w:val="auto"/>
          <w:sz w:val="24"/>
          <w:szCs w:val="24"/>
        </w:rPr>
        <w:t>(7)</w:t>
      </w:r>
      <w:r>
        <w:rPr>
          <w:rFonts w:ascii="宋体" w:hAnsi="宋体" w:eastAsia="宋体" w:cs="宋体"/>
          <w:color w:val="auto"/>
          <w:sz w:val="24"/>
          <w:szCs w:val="24"/>
        </w:rPr>
        <w:t>专业分包人应当依据专业分包合同的约定，组织分包工程的施工，并对分包工程的质量、安全和进度等实施有效控制。专业分包人对其分包的工程向承包人负责，并就所分包的工程向发包人承担连带责任。</w:t>
      </w:r>
    </w:p>
    <w:p>
      <w:pPr>
        <w:spacing w:after="0" w:line="128" w:lineRule="exact"/>
        <w:rPr>
          <w:color w:val="auto"/>
          <w:sz w:val="20"/>
          <w:szCs w:val="20"/>
        </w:rPr>
      </w:pPr>
    </w:p>
    <w:p>
      <w:pPr>
        <w:spacing w:after="0" w:line="358" w:lineRule="exact"/>
        <w:ind w:left="200" w:right="24" w:firstLine="480"/>
        <w:jc w:val="both"/>
        <w:rPr>
          <w:color w:val="auto"/>
          <w:sz w:val="20"/>
          <w:szCs w:val="20"/>
        </w:rPr>
      </w:pPr>
      <w:r>
        <w:rPr>
          <w:rFonts w:ascii="Times New Roman" w:hAnsi="Times New Roman" w:eastAsia="Times New Roman" w:cs="Times New Roman"/>
          <w:color w:val="auto"/>
          <w:sz w:val="24"/>
          <w:szCs w:val="24"/>
        </w:rPr>
        <w:t>(8)</w:t>
      </w:r>
      <w:r>
        <w:rPr>
          <w:rFonts w:ascii="宋体" w:hAnsi="宋体" w:eastAsia="宋体" w:cs="宋体"/>
          <w:color w:val="auto"/>
          <w:sz w:val="24"/>
          <w:szCs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spacing w:after="0" w:line="126"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违反上述规定之一者属违规分包。</w:t>
      </w:r>
    </w:p>
    <w:p>
      <w:pPr>
        <w:spacing w:after="0" w:line="127"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4.3.4 </w:t>
      </w:r>
      <w:r>
        <w:rPr>
          <w:rFonts w:ascii="宋体" w:hAnsi="宋体" w:eastAsia="宋体" w:cs="宋体"/>
          <w:color w:val="auto"/>
          <w:sz w:val="24"/>
          <w:szCs w:val="24"/>
        </w:rPr>
        <w:t>劳务分包</w:t>
      </w:r>
    </w:p>
    <w:p>
      <w:pPr>
        <w:spacing w:after="0" w:line="10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在工程施工过程中，承包人进行劳务分包必须遵守以下规定：</w:t>
      </w:r>
    </w:p>
    <w:p>
      <w:pPr>
        <w:spacing w:after="0" w:line="126"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劳务分包人应具有劳务分包资质。</w:t>
      </w:r>
    </w:p>
    <w:p>
      <w:pPr>
        <w:spacing w:after="0" w:line="109" w:lineRule="exact"/>
        <w:rPr>
          <w:color w:val="auto"/>
          <w:sz w:val="20"/>
          <w:szCs w:val="20"/>
        </w:rPr>
      </w:pPr>
    </w:p>
    <w:p>
      <w:pPr>
        <w:spacing w:after="0" w:line="375" w:lineRule="exact"/>
        <w:ind w:left="200" w:right="144" w:firstLine="480"/>
        <w:jc w:val="both"/>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after="0" w:line="126" w:lineRule="exact"/>
        <w:rPr>
          <w:color w:val="auto"/>
          <w:sz w:val="20"/>
          <w:szCs w:val="20"/>
        </w:rPr>
      </w:pPr>
    </w:p>
    <w:p>
      <w:pPr>
        <w:spacing w:after="0" w:line="358" w:lineRule="exact"/>
        <w:ind w:left="200" w:right="144" w:firstLine="480"/>
        <w:jc w:val="both"/>
        <w:rPr>
          <w:color w:val="auto"/>
          <w:sz w:val="20"/>
          <w:szCs w:val="20"/>
        </w:rPr>
      </w:pPr>
      <w:r>
        <w:rPr>
          <w:rFonts w:ascii="Times New Roman" w:hAnsi="Times New Roman" w:eastAsia="Times New Roman" w:cs="Times New Roman"/>
          <w:color w:val="auto"/>
          <w:sz w:val="24"/>
          <w:szCs w:val="24"/>
        </w:rPr>
        <w:t>(3)</w:t>
      </w:r>
      <w:r>
        <w:rPr>
          <w:rFonts w:ascii="宋体" w:hAnsi="宋体" w:eastAsia="宋体" w:cs="宋体"/>
          <w:color w:val="auto"/>
          <w:sz w:val="24"/>
          <w:szCs w:val="24"/>
        </w:rPr>
        <w:t>承包人雇用的劳务作业应加入到承包人的施工班组统一管理。有关施工质量、施工安全、施工进度、环境保护、技术方案、试验检测、材料保管与供应、机械设备等都必须由承包人管理与调配，不得以包代管。</w:t>
      </w:r>
    </w:p>
    <w:p>
      <w:pPr>
        <w:spacing w:after="0" w:line="126" w:lineRule="exact"/>
        <w:rPr>
          <w:color w:val="auto"/>
          <w:sz w:val="20"/>
          <w:szCs w:val="20"/>
        </w:rPr>
      </w:pPr>
    </w:p>
    <w:p>
      <w:pPr>
        <w:spacing w:after="0" w:line="337" w:lineRule="exact"/>
        <w:ind w:left="200" w:right="144" w:firstLine="480"/>
        <w:jc w:val="both"/>
        <w:rPr>
          <w:color w:val="auto"/>
          <w:sz w:val="20"/>
          <w:szCs w:val="20"/>
        </w:rPr>
      </w:pPr>
      <w:r>
        <w:rPr>
          <w:rFonts w:ascii="Times New Roman" w:hAnsi="Times New Roman" w:eastAsia="Times New Roman" w:cs="Times New Roman"/>
          <w:color w:val="auto"/>
          <w:sz w:val="24"/>
          <w:szCs w:val="24"/>
        </w:rPr>
        <w:t>(4)</w:t>
      </w:r>
      <w:r>
        <w:rPr>
          <w:rFonts w:ascii="宋体" w:hAnsi="宋体" w:eastAsia="宋体" w:cs="宋体"/>
          <w:color w:val="auto"/>
          <w:sz w:val="24"/>
          <w:szCs w:val="24"/>
        </w:rPr>
        <w:t>承包人应当对劳务分包人员进行安全培训和管理，劳务分包人不得将其分包的劳务作业再次分包。</w:t>
      </w:r>
    </w:p>
    <w:p>
      <w:pPr>
        <w:spacing w:after="0" w:line="127"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违反上述规定之一者属违规分包。</w:t>
      </w:r>
    </w:p>
    <w:p>
      <w:pPr>
        <w:spacing w:after="0" w:line="126"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本款补充第</w:t>
      </w:r>
      <w:r>
        <w:rPr>
          <w:rFonts w:ascii="Times New Roman" w:hAnsi="Times New Roman" w:eastAsia="Times New Roman" w:cs="Times New Roman"/>
          <w:color w:val="auto"/>
          <w:sz w:val="24"/>
          <w:szCs w:val="24"/>
        </w:rPr>
        <w:t xml:space="preserve"> 4.3.6 </w:t>
      </w:r>
      <w:r>
        <w:rPr>
          <w:rFonts w:ascii="宋体" w:hAnsi="宋体" w:eastAsia="宋体" w:cs="宋体"/>
          <w:color w:val="auto"/>
          <w:sz w:val="24"/>
          <w:szCs w:val="24"/>
        </w:rPr>
        <w:t>项、</w:t>
      </w:r>
      <w:r>
        <w:rPr>
          <w:rFonts w:ascii="Times New Roman" w:hAnsi="Times New Roman" w:eastAsia="Times New Roman" w:cs="Times New Roman"/>
          <w:color w:val="auto"/>
          <w:sz w:val="24"/>
          <w:szCs w:val="24"/>
        </w:rPr>
        <w:t xml:space="preserve">4.3.7 </w:t>
      </w:r>
      <w:r>
        <w:rPr>
          <w:rFonts w:ascii="宋体" w:hAnsi="宋体" w:eastAsia="宋体" w:cs="宋体"/>
          <w:color w:val="auto"/>
          <w:sz w:val="24"/>
          <w:szCs w:val="24"/>
        </w:rPr>
        <w:t>项：</w:t>
      </w:r>
    </w:p>
    <w:p>
      <w:pPr>
        <w:spacing w:after="0" w:line="10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4.3.6 </w:t>
      </w:r>
      <w:r>
        <w:rPr>
          <w:rFonts w:ascii="宋体" w:hAnsi="宋体" w:eastAsia="宋体" w:cs="宋体"/>
          <w:color w:val="auto"/>
          <w:sz w:val="24"/>
          <w:szCs w:val="24"/>
        </w:rPr>
        <w:t>发包人对承包人与分包人之间的法律与经济纠纷不承担任何责任和义务。</w:t>
      </w:r>
    </w:p>
    <w:p>
      <w:pPr>
        <w:spacing w:after="0" w:line="108" w:lineRule="exact"/>
        <w:rPr>
          <w:color w:val="auto"/>
          <w:sz w:val="20"/>
          <w:szCs w:val="20"/>
        </w:rPr>
      </w:pPr>
    </w:p>
    <w:p>
      <w:pPr>
        <w:spacing w:after="0" w:line="356" w:lineRule="exact"/>
        <w:ind w:left="200" w:right="144" w:firstLine="480"/>
        <w:jc w:val="both"/>
        <w:rPr>
          <w:color w:val="auto"/>
          <w:sz w:val="20"/>
          <w:szCs w:val="20"/>
        </w:rPr>
      </w:pPr>
      <w:r>
        <w:rPr>
          <w:rFonts w:ascii="Times New Roman" w:hAnsi="Times New Roman" w:eastAsia="Times New Roman" w:cs="Times New Roman"/>
          <w:color w:val="auto"/>
          <w:sz w:val="24"/>
          <w:szCs w:val="24"/>
        </w:rPr>
        <w:t xml:space="preserve">4.3.7 </w:t>
      </w:r>
      <w:r>
        <w:rPr>
          <w:rFonts w:ascii="宋体" w:hAnsi="宋体" w:eastAsia="宋体" w:cs="宋体"/>
          <w:color w:val="auto"/>
          <w:sz w:val="24"/>
          <w:szCs w:val="24"/>
        </w:rPr>
        <w:t>本项目的各项分包工作均应遵守《公路工程施工分包管理办法》（交公路发〔</w:t>
      </w:r>
      <w:r>
        <w:rPr>
          <w:rFonts w:ascii="Times New Roman" w:hAnsi="Times New Roman" w:eastAsia="Times New Roman" w:cs="Times New Roman"/>
          <w:color w:val="auto"/>
          <w:sz w:val="24"/>
          <w:szCs w:val="24"/>
        </w:rPr>
        <w:t>2011</w:t>
      </w:r>
      <w:r>
        <w:rPr>
          <w:rFonts w:ascii="宋体" w:hAnsi="宋体" w:eastAsia="宋体" w:cs="宋体"/>
          <w:color w:val="auto"/>
          <w:sz w:val="24"/>
          <w:szCs w:val="24"/>
        </w:rPr>
        <w:t>〕</w:t>
      </w:r>
      <w:r>
        <w:rPr>
          <w:rFonts w:ascii="Times New Roman" w:hAnsi="Times New Roman" w:eastAsia="Times New Roman" w:cs="Times New Roman"/>
          <w:color w:val="auto"/>
          <w:sz w:val="24"/>
          <w:szCs w:val="24"/>
        </w:rPr>
        <w:t xml:space="preserve">685 </w:t>
      </w:r>
      <w:r>
        <w:rPr>
          <w:rFonts w:ascii="宋体" w:hAnsi="宋体" w:eastAsia="宋体" w:cs="宋体"/>
          <w:color w:val="auto"/>
          <w:sz w:val="24"/>
          <w:szCs w:val="24"/>
        </w:rPr>
        <w:t>号）的有关规定。</w:t>
      </w:r>
    </w:p>
    <w:p>
      <w:pPr>
        <w:spacing w:after="0" w:line="292" w:lineRule="exact"/>
        <w:rPr>
          <w:rFonts w:ascii="Times New Roman" w:hAnsi="Times New Roman" w:eastAsia="Times New Roman" w:cs="Times New Roman"/>
          <w:color w:val="auto"/>
          <w:sz w:val="24"/>
          <w:szCs w:val="24"/>
        </w:rPr>
      </w:pPr>
    </w:p>
    <w:p>
      <w:pPr>
        <w:spacing w:after="0" w:line="292" w:lineRule="exact"/>
        <w:rPr>
          <w:color w:val="auto"/>
          <w:sz w:val="20"/>
          <w:szCs w:val="20"/>
        </w:rPr>
      </w:pPr>
      <w:r>
        <w:rPr>
          <w:rFonts w:ascii="Times New Roman" w:hAnsi="Times New Roman" w:eastAsia="Times New Roman" w:cs="Times New Roman"/>
          <w:color w:val="auto"/>
          <w:sz w:val="24"/>
          <w:szCs w:val="24"/>
        </w:rPr>
        <w:t xml:space="preserve">4.4 </w:t>
      </w:r>
      <w:r>
        <w:rPr>
          <w:rFonts w:ascii="黑体" w:hAnsi="黑体" w:eastAsia="黑体" w:cs="黑体"/>
          <w:color w:val="auto"/>
          <w:sz w:val="24"/>
          <w:szCs w:val="24"/>
        </w:rPr>
        <w:t>联合体</w:t>
      </w:r>
    </w:p>
    <w:p>
      <w:pPr>
        <w:spacing w:after="0" w:line="349"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本款补充第</w:t>
      </w:r>
      <w:r>
        <w:rPr>
          <w:rFonts w:ascii="Times New Roman" w:hAnsi="Times New Roman" w:eastAsia="Times New Roman" w:cs="Times New Roman"/>
          <w:color w:val="auto"/>
          <w:sz w:val="24"/>
          <w:szCs w:val="24"/>
        </w:rPr>
        <w:t xml:space="preserve"> 4.4.4 </w:t>
      </w:r>
      <w:r>
        <w:rPr>
          <w:rFonts w:ascii="宋体" w:hAnsi="宋体" w:eastAsia="宋体" w:cs="宋体"/>
          <w:color w:val="auto"/>
          <w:sz w:val="24"/>
          <w:szCs w:val="24"/>
        </w:rPr>
        <w:t>项：</w:t>
      </w:r>
    </w:p>
    <w:p>
      <w:pPr>
        <w:spacing w:after="0" w:line="10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4.4.4 </w:t>
      </w:r>
      <w:r>
        <w:rPr>
          <w:rFonts w:ascii="宋体" w:hAnsi="宋体" w:eastAsia="宋体" w:cs="宋体"/>
          <w:color w:val="auto"/>
          <w:sz w:val="24"/>
          <w:szCs w:val="24"/>
        </w:rPr>
        <w:t>未经发包人事先同意，联合体的组成与结构不得变动。</w:t>
      </w:r>
    </w:p>
    <w:p>
      <w:pPr>
        <w:spacing w:after="0" w:line="328"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4.6 </w:t>
      </w:r>
      <w:r>
        <w:rPr>
          <w:rFonts w:ascii="黑体" w:hAnsi="黑体" w:eastAsia="黑体" w:cs="黑体"/>
          <w:color w:val="auto"/>
          <w:sz w:val="24"/>
          <w:szCs w:val="24"/>
        </w:rPr>
        <w:t>承包人人员的管理</w:t>
      </w:r>
    </w:p>
    <w:p>
      <w:pPr>
        <w:spacing w:after="0" w:line="348" w:lineRule="exact"/>
        <w:rPr>
          <w:color w:val="auto"/>
          <w:sz w:val="20"/>
          <w:szCs w:val="20"/>
        </w:rPr>
      </w:pPr>
    </w:p>
    <w:p>
      <w:pPr>
        <w:numPr>
          <w:ilvl w:val="0"/>
          <w:numId w:val="15"/>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4.6.3 </w:t>
      </w:r>
      <w:r>
        <w:rPr>
          <w:rFonts w:ascii="宋体" w:hAnsi="宋体" w:eastAsia="宋体" w:cs="宋体"/>
          <w:color w:val="auto"/>
          <w:sz w:val="24"/>
          <w:szCs w:val="24"/>
        </w:rPr>
        <w:t>项细化为：</w:t>
      </w:r>
    </w:p>
    <w:p>
      <w:pPr>
        <w:spacing w:after="0" w:line="109" w:lineRule="exact"/>
        <w:rPr>
          <w:rFonts w:ascii="宋体" w:hAnsi="宋体" w:eastAsia="宋体" w:cs="宋体"/>
          <w:color w:val="auto"/>
          <w:sz w:val="24"/>
          <w:szCs w:val="24"/>
        </w:rPr>
      </w:pPr>
    </w:p>
    <w:p>
      <w:pPr>
        <w:spacing w:after="0" w:line="274" w:lineRule="exact"/>
        <w:ind w:left="680"/>
        <w:rPr>
          <w:rFonts w:ascii="宋体" w:hAnsi="宋体" w:eastAsia="宋体" w:cs="宋体"/>
          <w:color w:val="auto"/>
          <w:sz w:val="24"/>
          <w:szCs w:val="24"/>
        </w:rPr>
      </w:pPr>
      <w:r>
        <w:rPr>
          <w:rFonts w:ascii="宋体" w:hAnsi="宋体" w:eastAsia="宋体" w:cs="宋体"/>
          <w:color w:val="auto"/>
          <w:sz w:val="24"/>
          <w:szCs w:val="24"/>
        </w:rPr>
        <w:t>承包人安排在施工场地的主要管理人员和技术骨干应与承包人承诺的名单一</w:t>
      </w:r>
    </w:p>
    <w:p>
      <w:pPr>
        <w:spacing w:after="0" w:line="159" w:lineRule="exact"/>
        <w:rPr>
          <w:color w:val="auto"/>
          <w:sz w:val="20"/>
          <w:szCs w:val="20"/>
        </w:rPr>
      </w:pPr>
    </w:p>
    <w:p>
      <w:pPr>
        <w:spacing w:after="0" w:line="347" w:lineRule="exact"/>
        <w:ind w:left="200" w:right="144"/>
        <w:jc w:val="both"/>
        <w:rPr>
          <w:color w:val="auto"/>
          <w:sz w:val="20"/>
          <w:szCs w:val="20"/>
        </w:rPr>
      </w:pPr>
      <w:r>
        <w:rPr>
          <w:rFonts w:ascii="宋体" w:hAnsi="宋体" w:eastAsia="宋体" w:cs="宋体"/>
          <w:color w:val="auto"/>
          <w:sz w:val="24"/>
          <w:szCs w:val="24"/>
        </w:rPr>
        <w:t>致，并保持相对稳定。未经监理人批准，上述人员不应无故不到位或被替换；若确实无法到位或需替换，需经监理人审核并报发包人批准后，用同等资质和经历的人员替换。</w:t>
      </w:r>
    </w:p>
    <w:p>
      <w:pPr>
        <w:spacing w:after="0" w:line="126"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本款补充第</w:t>
      </w:r>
      <w:r>
        <w:rPr>
          <w:rFonts w:ascii="Times New Roman" w:hAnsi="Times New Roman" w:eastAsia="Times New Roman" w:cs="Times New Roman"/>
          <w:color w:val="auto"/>
          <w:sz w:val="24"/>
          <w:szCs w:val="24"/>
        </w:rPr>
        <w:t xml:space="preserve"> 4.6.5 </w:t>
      </w:r>
      <w:r>
        <w:rPr>
          <w:rFonts w:ascii="宋体" w:hAnsi="宋体" w:eastAsia="宋体" w:cs="宋体"/>
          <w:color w:val="auto"/>
          <w:sz w:val="24"/>
          <w:szCs w:val="24"/>
        </w:rPr>
        <w:t>项：</w:t>
      </w:r>
    </w:p>
    <w:p>
      <w:pPr>
        <w:spacing w:after="0" w:line="108" w:lineRule="exact"/>
        <w:rPr>
          <w:color w:val="auto"/>
          <w:sz w:val="20"/>
          <w:szCs w:val="20"/>
        </w:rPr>
      </w:pPr>
    </w:p>
    <w:p>
      <w:pPr>
        <w:spacing w:after="0" w:line="378" w:lineRule="exact"/>
        <w:ind w:left="200" w:right="144" w:firstLine="480"/>
        <w:jc w:val="both"/>
        <w:rPr>
          <w:color w:val="auto"/>
          <w:sz w:val="20"/>
          <w:szCs w:val="20"/>
        </w:rPr>
      </w:pPr>
      <w:r>
        <w:rPr>
          <w:rFonts w:ascii="Times New Roman" w:hAnsi="Times New Roman" w:eastAsia="Times New Roman" w:cs="Times New Roman"/>
          <w:color w:val="auto"/>
          <w:sz w:val="24"/>
          <w:szCs w:val="24"/>
        </w:rPr>
        <w:t xml:space="preserve">4.6.5 </w:t>
      </w:r>
      <w:r>
        <w:rPr>
          <w:rFonts w:ascii="宋体" w:hAnsi="宋体" w:eastAsia="宋体" w:cs="宋体"/>
          <w:color w:val="auto"/>
          <w:sz w:val="24"/>
          <w:szCs w:val="24"/>
        </w:rPr>
        <w:t>尽管承包人已按承诺派遣了上述各类人员，但若这些人员仍不能满足合同进度计划和</w:t>
      </w:r>
      <w:r>
        <w:rPr>
          <w:rFonts w:ascii="Times New Roman" w:hAnsi="Times New Roman" w:eastAsia="Times New Roman" w:cs="Times New Roman"/>
          <w:color w:val="auto"/>
          <w:sz w:val="24"/>
          <w:szCs w:val="24"/>
        </w:rPr>
        <w:t>(</w:t>
      </w:r>
      <w:r>
        <w:rPr>
          <w:rFonts w:ascii="宋体" w:hAnsi="宋体" w:eastAsia="宋体" w:cs="宋体"/>
          <w:color w:val="auto"/>
          <w:sz w:val="24"/>
          <w:szCs w:val="24"/>
        </w:rPr>
        <w:t>或</w:t>
      </w:r>
      <w:r>
        <w:rPr>
          <w:rFonts w:ascii="Times New Roman" w:hAnsi="Times New Roman" w:eastAsia="Times New Roman" w:cs="Times New Roman"/>
          <w:color w:val="auto"/>
          <w:sz w:val="24"/>
          <w:szCs w:val="24"/>
        </w:rPr>
        <w:t>)</w:t>
      </w:r>
      <w:r>
        <w:rPr>
          <w:rFonts w:ascii="宋体" w:hAnsi="宋体" w:eastAsia="宋体" w:cs="宋体"/>
          <w:color w:val="auto"/>
          <w:sz w:val="24"/>
          <w:szCs w:val="24"/>
        </w:rPr>
        <w:t>质量要求时，监理人有权要求承包人继续增派或雇用这类人员，并书面通知承包人和抄送发包人。承包人在接到上述通知后应立即执行监理人的上述指示，不得无故拖延，由此增加的费用和</w:t>
      </w:r>
      <w:r>
        <w:rPr>
          <w:rFonts w:ascii="Times New Roman" w:hAnsi="Times New Roman" w:eastAsia="Times New Roman" w:cs="Times New Roman"/>
          <w:color w:val="auto"/>
          <w:sz w:val="24"/>
          <w:szCs w:val="24"/>
        </w:rPr>
        <w:t>(</w:t>
      </w:r>
      <w:r>
        <w:rPr>
          <w:rFonts w:ascii="宋体" w:hAnsi="宋体" w:eastAsia="宋体" w:cs="宋体"/>
          <w:color w:val="auto"/>
          <w:sz w:val="24"/>
          <w:szCs w:val="24"/>
        </w:rPr>
        <w:t>或</w:t>
      </w:r>
      <w:r>
        <w:rPr>
          <w:rFonts w:ascii="Times New Roman" w:hAnsi="Times New Roman" w:eastAsia="Times New Roman" w:cs="Times New Roman"/>
          <w:color w:val="auto"/>
          <w:sz w:val="24"/>
          <w:szCs w:val="24"/>
        </w:rPr>
        <w:t>)</w:t>
      </w:r>
      <w:r>
        <w:rPr>
          <w:rFonts w:ascii="宋体" w:hAnsi="宋体" w:eastAsia="宋体" w:cs="宋体"/>
          <w:color w:val="auto"/>
          <w:sz w:val="24"/>
          <w:szCs w:val="24"/>
        </w:rPr>
        <w:t>工期延误由承包人承担。</w:t>
      </w:r>
    </w:p>
    <w:p>
      <w:pPr>
        <w:spacing w:after="0" w:line="312"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4.7 </w:t>
      </w:r>
      <w:r>
        <w:rPr>
          <w:rFonts w:ascii="黑体" w:hAnsi="黑体" w:eastAsia="黑体" w:cs="黑体"/>
          <w:color w:val="auto"/>
          <w:sz w:val="24"/>
          <w:szCs w:val="24"/>
        </w:rPr>
        <w:t>撤换承包人项目经理和其他人员</w:t>
      </w:r>
    </w:p>
    <w:p>
      <w:pPr>
        <w:spacing w:after="0" w:line="34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本款细化为：</w:t>
      </w:r>
    </w:p>
    <w:p>
      <w:pPr>
        <w:spacing w:after="0" w:line="161" w:lineRule="exact"/>
        <w:rPr>
          <w:color w:val="auto"/>
          <w:sz w:val="20"/>
          <w:szCs w:val="20"/>
        </w:rPr>
      </w:pPr>
    </w:p>
    <w:p>
      <w:pPr>
        <w:spacing w:after="0" w:line="346" w:lineRule="exact"/>
        <w:ind w:left="200" w:right="24" w:firstLine="480"/>
        <w:rPr>
          <w:color w:val="auto"/>
          <w:sz w:val="20"/>
          <w:szCs w:val="20"/>
        </w:rPr>
      </w:pPr>
      <w:r>
        <w:rPr>
          <w:rFonts w:ascii="宋体" w:hAnsi="宋体" w:eastAsia="宋体" w:cs="宋体"/>
          <w:color w:val="auto"/>
          <w:sz w:val="24"/>
          <w:szCs w:val="24"/>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spacing w:after="0" w:line="349"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4.9 </w:t>
      </w:r>
      <w:r>
        <w:rPr>
          <w:rFonts w:ascii="黑体" w:hAnsi="黑体" w:eastAsia="黑体" w:cs="黑体"/>
          <w:color w:val="auto"/>
          <w:sz w:val="24"/>
          <w:szCs w:val="24"/>
        </w:rPr>
        <w:t>工程价款应专款专用</w:t>
      </w:r>
    </w:p>
    <w:p>
      <w:pPr>
        <w:spacing w:after="0" w:line="34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本款细化为：</w:t>
      </w:r>
    </w:p>
    <w:p>
      <w:pPr>
        <w:spacing w:after="0" w:line="161" w:lineRule="exact"/>
        <w:rPr>
          <w:color w:val="auto"/>
          <w:sz w:val="20"/>
          <w:szCs w:val="20"/>
        </w:rPr>
      </w:pPr>
    </w:p>
    <w:p>
      <w:pPr>
        <w:spacing w:after="0" w:line="377" w:lineRule="exact"/>
        <w:ind w:left="200" w:right="144" w:firstLine="480"/>
        <w:jc w:val="both"/>
        <w:rPr>
          <w:color w:val="auto"/>
          <w:sz w:val="20"/>
          <w:szCs w:val="20"/>
        </w:rPr>
      </w:pPr>
      <w:r>
        <w:rPr>
          <w:rFonts w:ascii="宋体" w:hAnsi="宋体" w:eastAsia="宋体" w:cs="宋体"/>
          <w:color w:val="auto"/>
          <w:sz w:val="24"/>
          <w:szCs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spacing w:after="0" w:line="20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4.10 </w:t>
      </w:r>
      <w:r>
        <w:rPr>
          <w:rFonts w:ascii="黑体" w:hAnsi="黑体" w:eastAsia="黑体" w:cs="黑体"/>
          <w:color w:val="auto"/>
          <w:sz w:val="24"/>
          <w:szCs w:val="24"/>
        </w:rPr>
        <w:t>承包人现场查勘</w:t>
      </w:r>
    </w:p>
    <w:p>
      <w:pPr>
        <w:spacing w:after="0" w:line="349" w:lineRule="exact"/>
        <w:rPr>
          <w:color w:val="auto"/>
          <w:sz w:val="20"/>
          <w:szCs w:val="20"/>
        </w:rPr>
      </w:pPr>
    </w:p>
    <w:p>
      <w:pPr>
        <w:numPr>
          <w:ilvl w:val="0"/>
          <w:numId w:val="16"/>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4.10.1 </w:t>
      </w:r>
      <w:r>
        <w:rPr>
          <w:rFonts w:ascii="宋体" w:hAnsi="宋体" w:eastAsia="宋体" w:cs="宋体"/>
          <w:color w:val="auto"/>
          <w:sz w:val="24"/>
          <w:szCs w:val="24"/>
        </w:rPr>
        <w:t>项细化为：</w:t>
      </w:r>
    </w:p>
    <w:p>
      <w:pPr>
        <w:spacing w:after="0" w:line="107" w:lineRule="exact"/>
        <w:rPr>
          <w:rFonts w:ascii="宋体" w:hAnsi="宋体" w:eastAsia="宋体" w:cs="宋体"/>
          <w:color w:val="auto"/>
          <w:sz w:val="24"/>
          <w:szCs w:val="24"/>
        </w:rPr>
      </w:pPr>
    </w:p>
    <w:p>
      <w:pPr>
        <w:spacing w:after="0" w:line="274" w:lineRule="exact"/>
        <w:ind w:left="680"/>
        <w:rPr>
          <w:rFonts w:ascii="宋体" w:hAnsi="宋体" w:eastAsia="宋体" w:cs="宋体"/>
          <w:color w:val="auto"/>
          <w:sz w:val="24"/>
          <w:szCs w:val="24"/>
        </w:rPr>
      </w:pPr>
      <w:r>
        <w:rPr>
          <w:rFonts w:ascii="宋体" w:hAnsi="宋体" w:eastAsia="宋体" w:cs="宋体"/>
          <w:color w:val="auto"/>
          <w:sz w:val="24"/>
          <w:szCs w:val="24"/>
        </w:rPr>
        <w:t>发包人提供的本合同工程的水文、地质、气象和料场分布、取土场、弃土场位</w:t>
      </w:r>
    </w:p>
    <w:p>
      <w:pPr>
        <w:spacing w:after="0" w:line="161" w:lineRule="exact"/>
        <w:rPr>
          <w:color w:val="auto"/>
          <w:sz w:val="20"/>
          <w:szCs w:val="20"/>
        </w:rPr>
      </w:pPr>
    </w:p>
    <w:p>
      <w:pPr>
        <w:spacing w:after="0" w:line="346" w:lineRule="exact"/>
        <w:ind w:left="200" w:right="144"/>
        <w:jc w:val="both"/>
        <w:rPr>
          <w:color w:val="auto"/>
          <w:sz w:val="20"/>
          <w:szCs w:val="20"/>
        </w:rPr>
      </w:pPr>
      <w:r>
        <w:rPr>
          <w:rFonts w:ascii="宋体" w:hAnsi="宋体" w:eastAsia="宋体" w:cs="宋体"/>
          <w:color w:val="auto"/>
          <w:sz w:val="24"/>
          <w:szCs w:val="24"/>
        </w:rPr>
        <w:t>置等资料均属于参考资料，并不构成合同文件的组成部分，承包人应对自己就上述资料的解释、推论和应用负责，发包人不对承包人据此做出的判断和决策承担任何责任。</w:t>
      </w:r>
    </w:p>
    <w:p>
      <w:pPr>
        <w:spacing w:after="0" w:line="349"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4.11 </w:t>
      </w:r>
      <w:r>
        <w:rPr>
          <w:rFonts w:ascii="黑体" w:hAnsi="黑体" w:eastAsia="黑体" w:cs="黑体"/>
          <w:color w:val="auto"/>
          <w:sz w:val="24"/>
          <w:szCs w:val="24"/>
        </w:rPr>
        <w:t>不利物质条件</w:t>
      </w:r>
    </w:p>
    <w:p>
      <w:pPr>
        <w:spacing w:after="0" w:line="348" w:lineRule="exact"/>
        <w:rPr>
          <w:color w:val="auto"/>
          <w:sz w:val="20"/>
          <w:szCs w:val="20"/>
        </w:rPr>
      </w:pPr>
    </w:p>
    <w:p>
      <w:pPr>
        <w:numPr>
          <w:ilvl w:val="0"/>
          <w:numId w:val="17"/>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4.11.2 </w:t>
      </w:r>
      <w:r>
        <w:rPr>
          <w:rFonts w:ascii="宋体" w:hAnsi="宋体" w:eastAsia="宋体" w:cs="宋体"/>
          <w:color w:val="auto"/>
          <w:sz w:val="24"/>
          <w:szCs w:val="24"/>
        </w:rPr>
        <w:t>项细化为：</w:t>
      </w:r>
    </w:p>
    <w:p>
      <w:pPr>
        <w:spacing w:after="0" w:line="109" w:lineRule="exact"/>
        <w:rPr>
          <w:color w:val="auto"/>
          <w:sz w:val="20"/>
          <w:szCs w:val="20"/>
        </w:rPr>
      </w:pPr>
    </w:p>
    <w:p>
      <w:pPr>
        <w:spacing w:after="0" w:line="378" w:lineRule="exact"/>
        <w:ind w:left="200" w:right="144" w:firstLine="420"/>
        <w:jc w:val="both"/>
        <w:rPr>
          <w:color w:val="auto"/>
          <w:sz w:val="20"/>
          <w:szCs w:val="20"/>
        </w:rPr>
      </w:pPr>
      <w:r>
        <w:rPr>
          <w:rFonts w:ascii="Times New Roman" w:hAnsi="Times New Roman" w:eastAsia="Times New Roman" w:cs="Times New Roman"/>
          <w:color w:val="auto"/>
          <w:sz w:val="24"/>
          <w:szCs w:val="24"/>
        </w:rPr>
        <w:t xml:space="preserve">4.11.2 </w:t>
      </w:r>
      <w:r>
        <w:rPr>
          <w:rFonts w:ascii="宋体" w:hAnsi="宋体" w:eastAsia="宋体" w:cs="宋体"/>
          <w:color w:val="auto"/>
          <w:sz w:val="24"/>
          <w:szCs w:val="24"/>
        </w:rPr>
        <w:t>承包人遇到不可预见的不利物质条件时，应采取适应不利物质条件的合理措施继续施工，并及时通知监理人。监理人应当及时发出指示，指示构成变更的，按第</w:t>
      </w:r>
      <w:r>
        <w:rPr>
          <w:rFonts w:ascii="Times New Roman" w:hAnsi="Times New Roman" w:eastAsia="Times New Roman" w:cs="Times New Roman"/>
          <w:color w:val="auto"/>
          <w:sz w:val="24"/>
          <w:szCs w:val="24"/>
        </w:rPr>
        <w:t xml:space="preserve"> 15 </w:t>
      </w:r>
      <w:r>
        <w:rPr>
          <w:rFonts w:ascii="宋体" w:hAnsi="宋体" w:eastAsia="宋体" w:cs="宋体"/>
          <w:color w:val="auto"/>
          <w:sz w:val="24"/>
          <w:szCs w:val="24"/>
        </w:rPr>
        <w:t>条约定办理。监理人没有发出指示的，承包人因采取合理措施而增加的费用和</w:t>
      </w:r>
      <w:r>
        <w:rPr>
          <w:rFonts w:ascii="Times New Roman" w:hAnsi="Times New Roman" w:eastAsia="Times New Roman" w:cs="Times New Roman"/>
          <w:color w:val="auto"/>
          <w:sz w:val="24"/>
          <w:szCs w:val="24"/>
        </w:rPr>
        <w:t>(</w:t>
      </w:r>
      <w:r>
        <w:rPr>
          <w:rFonts w:ascii="宋体" w:hAnsi="宋体" w:eastAsia="宋体" w:cs="宋体"/>
          <w:color w:val="auto"/>
          <w:sz w:val="24"/>
          <w:szCs w:val="24"/>
        </w:rPr>
        <w:t>或</w:t>
      </w:r>
      <w:r>
        <w:rPr>
          <w:rFonts w:ascii="Times New Roman" w:hAnsi="Times New Roman" w:eastAsia="Times New Roman" w:cs="Times New Roman"/>
          <w:color w:val="auto"/>
          <w:sz w:val="24"/>
          <w:szCs w:val="24"/>
        </w:rPr>
        <w:t>)</w:t>
      </w:r>
      <w:r>
        <w:rPr>
          <w:rFonts w:ascii="宋体" w:hAnsi="宋体" w:eastAsia="宋体" w:cs="宋体"/>
          <w:color w:val="auto"/>
          <w:sz w:val="24"/>
          <w:szCs w:val="24"/>
        </w:rPr>
        <w:t>工期延误，由发包人承担。</w:t>
      </w:r>
    </w:p>
    <w:p>
      <w:pPr>
        <w:spacing w:after="0" w:line="91" w:lineRule="exact"/>
        <w:rPr>
          <w:color w:val="auto"/>
          <w:sz w:val="20"/>
          <w:szCs w:val="20"/>
        </w:rPr>
      </w:pPr>
    </w:p>
    <w:p>
      <w:pPr>
        <w:spacing w:after="0" w:line="292" w:lineRule="exact"/>
        <w:ind w:left="620"/>
        <w:rPr>
          <w:color w:val="auto"/>
          <w:sz w:val="20"/>
          <w:szCs w:val="20"/>
        </w:rPr>
      </w:pPr>
      <w:r>
        <w:rPr>
          <w:rFonts w:ascii="宋体" w:hAnsi="宋体" w:eastAsia="宋体" w:cs="宋体"/>
          <w:color w:val="auto"/>
          <w:sz w:val="24"/>
          <w:szCs w:val="24"/>
        </w:rPr>
        <w:t>本款补充第</w:t>
      </w:r>
      <w:r>
        <w:rPr>
          <w:rFonts w:ascii="Times New Roman" w:hAnsi="Times New Roman" w:eastAsia="Times New Roman" w:cs="Times New Roman"/>
          <w:color w:val="auto"/>
          <w:sz w:val="24"/>
          <w:szCs w:val="24"/>
        </w:rPr>
        <w:t xml:space="preserve"> 4.11.3 </w:t>
      </w:r>
      <w:r>
        <w:rPr>
          <w:rFonts w:ascii="宋体" w:hAnsi="宋体" w:eastAsia="宋体" w:cs="宋体"/>
          <w:color w:val="auto"/>
          <w:sz w:val="24"/>
          <w:szCs w:val="24"/>
        </w:rPr>
        <w:t>项：</w:t>
      </w:r>
    </w:p>
    <w:p>
      <w:pPr>
        <w:spacing w:after="0" w:line="108" w:lineRule="exact"/>
        <w:rPr>
          <w:color w:val="auto"/>
          <w:sz w:val="20"/>
          <w:szCs w:val="20"/>
        </w:rPr>
      </w:pPr>
    </w:p>
    <w:p>
      <w:pPr>
        <w:spacing w:after="0" w:line="292" w:lineRule="exact"/>
        <w:ind w:left="620"/>
        <w:rPr>
          <w:color w:val="auto"/>
          <w:sz w:val="20"/>
          <w:szCs w:val="20"/>
        </w:rPr>
      </w:pPr>
      <w:r>
        <w:rPr>
          <w:rFonts w:ascii="Times New Roman" w:hAnsi="Times New Roman" w:eastAsia="Times New Roman" w:cs="Times New Roman"/>
          <w:color w:val="auto"/>
          <w:sz w:val="24"/>
          <w:szCs w:val="24"/>
        </w:rPr>
        <w:t xml:space="preserve">4.11.3 </w:t>
      </w:r>
      <w:r>
        <w:rPr>
          <w:rFonts w:ascii="宋体" w:hAnsi="宋体" w:eastAsia="宋体" w:cs="宋体"/>
          <w:color w:val="auto"/>
          <w:sz w:val="24"/>
          <w:szCs w:val="24"/>
        </w:rPr>
        <w:t>可预见的不利物质条件</w:t>
      </w:r>
    </w:p>
    <w:p>
      <w:pPr>
        <w:spacing w:after="0" w:line="109" w:lineRule="exact"/>
        <w:rPr>
          <w:color w:val="auto"/>
          <w:sz w:val="20"/>
          <w:szCs w:val="20"/>
        </w:rPr>
      </w:pPr>
    </w:p>
    <w:p>
      <w:pPr>
        <w:spacing w:after="0" w:line="357" w:lineRule="exact"/>
        <w:ind w:left="200" w:right="144" w:firstLine="420"/>
        <w:jc w:val="both"/>
        <w:rPr>
          <w:color w:val="auto"/>
          <w:sz w:val="20"/>
          <w:szCs w:val="20"/>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对于项目专用合同条款中已经明确指出的不利物质条件无论承包人是否有其经历和经验均视为承包人在接受合同时已预见其影响，并已在签约合同价中计入因其影响而可能发生的一切费用。</w:t>
      </w:r>
    </w:p>
    <w:p>
      <w:pPr>
        <w:spacing w:after="0" w:line="130" w:lineRule="exact"/>
        <w:rPr>
          <w:color w:val="auto"/>
          <w:sz w:val="20"/>
          <w:szCs w:val="20"/>
        </w:rPr>
      </w:pPr>
    </w:p>
    <w:p>
      <w:pPr>
        <w:spacing w:after="0" w:line="357" w:lineRule="exact"/>
        <w:ind w:left="200" w:right="144" w:firstLine="420"/>
        <w:jc w:val="both"/>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对于项目专用合同条款未明确指出，但是在不利物质条件发生之前，监理人已经指示承包人有可能发生，但承包人未能及时采取有效措施，而导致的损失和后果均由承包人承担。</w:t>
      </w:r>
    </w:p>
    <w:p>
      <w:pPr>
        <w:spacing w:after="0" w:line="200" w:lineRule="exact"/>
        <w:rPr>
          <w:color w:val="auto"/>
          <w:sz w:val="20"/>
          <w:szCs w:val="20"/>
        </w:rPr>
      </w:pPr>
    </w:p>
    <w:p>
      <w:pPr>
        <w:spacing w:after="0" w:line="329" w:lineRule="exact"/>
        <w:rPr>
          <w:color w:val="auto"/>
          <w:sz w:val="20"/>
          <w:szCs w:val="20"/>
        </w:rPr>
      </w:pPr>
    </w:p>
    <w:p>
      <w:pPr>
        <w:spacing w:after="0" w:line="292" w:lineRule="exact"/>
        <w:ind w:left="200"/>
        <w:rPr>
          <w:color w:val="auto"/>
          <w:sz w:val="20"/>
          <w:szCs w:val="20"/>
        </w:rPr>
      </w:pPr>
      <w:r>
        <w:rPr>
          <w:rFonts w:ascii="宋体" w:hAnsi="宋体" w:eastAsia="宋体" w:cs="宋体"/>
          <w:color w:val="auto"/>
          <w:sz w:val="24"/>
          <w:szCs w:val="24"/>
        </w:rPr>
        <w:t>补充第</w:t>
      </w:r>
      <w:r>
        <w:rPr>
          <w:rFonts w:ascii="Times New Roman" w:hAnsi="Times New Roman" w:eastAsia="Times New Roman" w:cs="Times New Roman"/>
          <w:color w:val="auto"/>
          <w:sz w:val="24"/>
          <w:szCs w:val="24"/>
        </w:rPr>
        <w:t xml:space="preserve"> 4.12 </w:t>
      </w:r>
      <w:r>
        <w:rPr>
          <w:rFonts w:ascii="宋体" w:hAnsi="宋体" w:eastAsia="宋体" w:cs="宋体"/>
          <w:color w:val="auto"/>
          <w:sz w:val="24"/>
          <w:szCs w:val="24"/>
        </w:rPr>
        <w:t>款：</w:t>
      </w:r>
    </w:p>
    <w:p>
      <w:pPr>
        <w:spacing w:after="0" w:line="327"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4.12 </w:t>
      </w:r>
      <w:r>
        <w:rPr>
          <w:rFonts w:ascii="黑体" w:hAnsi="黑体" w:eastAsia="黑体" w:cs="黑体"/>
          <w:color w:val="auto"/>
          <w:sz w:val="24"/>
          <w:szCs w:val="24"/>
        </w:rPr>
        <w:t>投标文件的完备性</w:t>
      </w:r>
    </w:p>
    <w:p>
      <w:pPr>
        <w:spacing w:after="0" w:line="383" w:lineRule="exact"/>
        <w:rPr>
          <w:color w:val="auto"/>
          <w:sz w:val="20"/>
          <w:szCs w:val="20"/>
        </w:rPr>
      </w:pPr>
    </w:p>
    <w:p>
      <w:pPr>
        <w:spacing w:after="0" w:line="368" w:lineRule="exact"/>
        <w:ind w:left="200" w:right="144" w:firstLine="480"/>
        <w:jc w:val="both"/>
        <w:rPr>
          <w:rFonts w:ascii="宋体" w:hAnsi="宋体" w:eastAsia="宋体" w:cs="宋体"/>
          <w:color w:val="auto"/>
          <w:sz w:val="24"/>
          <w:szCs w:val="24"/>
        </w:rPr>
      </w:pPr>
      <w:r>
        <w:rPr>
          <w:rFonts w:ascii="宋体" w:hAnsi="宋体" w:eastAsia="宋体" w:cs="宋体"/>
          <w:color w:val="auto"/>
          <w:sz w:val="24"/>
          <w:szCs w:val="24"/>
        </w:rPr>
        <w:t>合同双方一致认为，承包人在递交投标文件前，对本合同工程的投标文件和已标价工程量清单中开列的单价和总额价已查明是正确的和完备的。投标的单价和总额价应已包括了合同中规定的承包人的全部义务</w:t>
      </w:r>
      <w:r>
        <w:rPr>
          <w:rFonts w:ascii="Times New Roman" w:hAnsi="Times New Roman" w:eastAsia="Times New Roman" w:cs="Times New Roman"/>
          <w:color w:val="auto"/>
          <w:sz w:val="24"/>
          <w:szCs w:val="24"/>
        </w:rPr>
        <w:t>(</w:t>
      </w:r>
      <w:r>
        <w:rPr>
          <w:rFonts w:ascii="宋体" w:hAnsi="宋体" w:eastAsia="宋体" w:cs="宋体"/>
          <w:color w:val="auto"/>
          <w:sz w:val="24"/>
          <w:szCs w:val="24"/>
        </w:rPr>
        <w:t>包括提供货物、材料、设备、服务的义务，并包括了暂列金额和暂估价范围内的额外工作的义务</w:t>
      </w:r>
      <w:r>
        <w:rPr>
          <w:rFonts w:ascii="Times New Roman" w:hAnsi="Times New Roman" w:eastAsia="Times New Roman" w:cs="Times New Roman"/>
          <w:color w:val="auto"/>
          <w:sz w:val="24"/>
          <w:szCs w:val="24"/>
        </w:rPr>
        <w:t>)</w:t>
      </w:r>
      <w:r>
        <w:rPr>
          <w:rFonts w:ascii="宋体" w:hAnsi="宋体" w:eastAsia="宋体" w:cs="宋体"/>
          <w:color w:val="auto"/>
          <w:sz w:val="24"/>
          <w:szCs w:val="24"/>
        </w:rPr>
        <w:t>以及为实施和完成本合同工程及其缺陷修复所必需的一切工作和条件。</w:t>
      </w:r>
    </w:p>
    <w:p>
      <w:pPr>
        <w:spacing w:after="0" w:line="368" w:lineRule="exact"/>
        <w:ind w:left="200" w:right="144" w:firstLine="480"/>
        <w:jc w:val="both"/>
        <w:rPr>
          <w:rFonts w:ascii="宋体" w:hAnsi="宋体" w:eastAsia="宋体" w:cs="宋体"/>
          <w:color w:val="auto"/>
          <w:sz w:val="24"/>
          <w:szCs w:val="24"/>
        </w:rPr>
      </w:pPr>
    </w:p>
    <w:p>
      <w:pPr>
        <w:numPr>
          <w:ilvl w:val="0"/>
          <w:numId w:val="18"/>
        </w:numPr>
        <w:tabs>
          <w:tab w:val="left" w:pos="560"/>
        </w:tabs>
        <w:spacing w:after="0" w:line="341" w:lineRule="exact"/>
        <w:ind w:left="560" w:hanging="356"/>
        <w:rPr>
          <w:rFonts w:ascii="Times New Roman" w:hAnsi="Times New Roman" w:eastAsia="Times New Roman" w:cs="Times New Roman"/>
          <w:color w:val="auto"/>
          <w:sz w:val="28"/>
          <w:szCs w:val="28"/>
        </w:rPr>
      </w:pPr>
      <w:r>
        <w:rPr>
          <w:rFonts w:ascii="黑体" w:hAnsi="黑体" w:eastAsia="黑体" w:cs="黑体"/>
          <w:color w:val="auto"/>
          <w:sz w:val="28"/>
          <w:szCs w:val="28"/>
        </w:rPr>
        <w:t>材料和工程设备</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5.2 </w:t>
      </w:r>
      <w:r>
        <w:rPr>
          <w:rFonts w:ascii="黑体" w:hAnsi="黑体" w:eastAsia="黑体" w:cs="黑体"/>
          <w:color w:val="auto"/>
          <w:sz w:val="24"/>
          <w:szCs w:val="24"/>
        </w:rPr>
        <w:t>发包人提供的材料和工程设备</w:t>
      </w:r>
    </w:p>
    <w:p>
      <w:pPr>
        <w:spacing w:after="0" w:line="349" w:lineRule="exact"/>
        <w:rPr>
          <w:color w:val="auto"/>
          <w:sz w:val="20"/>
          <w:szCs w:val="20"/>
        </w:rPr>
      </w:pPr>
    </w:p>
    <w:p>
      <w:pPr>
        <w:numPr>
          <w:ilvl w:val="0"/>
          <w:numId w:val="19"/>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5.2.3 </w:t>
      </w:r>
      <w:r>
        <w:rPr>
          <w:rFonts w:ascii="宋体" w:hAnsi="宋体" w:eastAsia="宋体" w:cs="宋体"/>
          <w:color w:val="auto"/>
          <w:sz w:val="24"/>
          <w:szCs w:val="24"/>
        </w:rPr>
        <w:t>项补充：</w:t>
      </w:r>
    </w:p>
    <w:p>
      <w:pPr>
        <w:spacing w:after="0" w:line="107" w:lineRule="exact"/>
        <w:rPr>
          <w:rFonts w:ascii="宋体" w:hAnsi="宋体" w:eastAsia="宋体" w:cs="宋体"/>
          <w:color w:val="auto"/>
          <w:sz w:val="24"/>
          <w:szCs w:val="24"/>
        </w:rPr>
      </w:pPr>
    </w:p>
    <w:p>
      <w:pPr>
        <w:spacing w:after="0" w:line="274" w:lineRule="exact"/>
        <w:ind w:left="680"/>
        <w:rPr>
          <w:rFonts w:ascii="宋体" w:hAnsi="宋体" w:eastAsia="宋体" w:cs="宋体"/>
          <w:color w:val="auto"/>
          <w:sz w:val="24"/>
          <w:szCs w:val="24"/>
        </w:rPr>
      </w:pPr>
      <w:r>
        <w:rPr>
          <w:rFonts w:ascii="宋体" w:hAnsi="宋体" w:eastAsia="宋体" w:cs="宋体"/>
          <w:color w:val="auto"/>
          <w:sz w:val="24"/>
          <w:szCs w:val="24"/>
        </w:rPr>
        <w:t>承包人负责接收并按规定对材料进行抽样检验和对工程设备进行检验测试，若</w:t>
      </w:r>
    </w:p>
    <w:p>
      <w:pPr>
        <w:spacing w:after="0" w:line="159" w:lineRule="exact"/>
        <w:rPr>
          <w:color w:val="auto"/>
          <w:sz w:val="20"/>
          <w:szCs w:val="20"/>
        </w:rPr>
      </w:pPr>
    </w:p>
    <w:p>
      <w:pPr>
        <w:spacing w:after="0" w:line="347" w:lineRule="exact"/>
        <w:ind w:left="200" w:right="144"/>
        <w:jc w:val="both"/>
        <w:rPr>
          <w:color w:val="auto"/>
          <w:sz w:val="20"/>
          <w:szCs w:val="20"/>
        </w:rPr>
      </w:pPr>
      <w:r>
        <w:rPr>
          <w:rFonts w:ascii="宋体" w:hAnsi="宋体" w:eastAsia="宋体" w:cs="宋体"/>
          <w:color w:val="auto"/>
          <w:sz w:val="24"/>
          <w:szCs w:val="24"/>
        </w:rPr>
        <w:t>发现材料和工程设备存在缺陷，承包人应及时通知监理人，发包人应及时改正通知中指出的缺陷。承包人负责接收后的运输和保管，因承包人的原因发生丢失、损坏或进度拖延，由承包人承担相应责任。</w:t>
      </w:r>
    </w:p>
    <w:p>
      <w:pPr>
        <w:spacing w:after="0" w:line="200" w:lineRule="exact"/>
        <w:rPr>
          <w:color w:val="auto"/>
          <w:sz w:val="20"/>
          <w:szCs w:val="20"/>
        </w:rPr>
      </w:pPr>
    </w:p>
    <w:p>
      <w:pPr>
        <w:spacing w:after="0" w:line="315" w:lineRule="exact"/>
        <w:rPr>
          <w:color w:val="auto"/>
          <w:sz w:val="20"/>
          <w:szCs w:val="20"/>
        </w:rPr>
      </w:pPr>
    </w:p>
    <w:p>
      <w:pPr>
        <w:numPr>
          <w:ilvl w:val="0"/>
          <w:numId w:val="20"/>
        </w:numPr>
        <w:tabs>
          <w:tab w:val="left" w:pos="560"/>
        </w:tabs>
        <w:spacing w:after="0" w:line="341" w:lineRule="exact"/>
        <w:ind w:left="560" w:hanging="356"/>
        <w:rPr>
          <w:rFonts w:ascii="Times New Roman" w:hAnsi="Times New Roman" w:eastAsia="Times New Roman" w:cs="Times New Roman"/>
          <w:color w:val="auto"/>
          <w:sz w:val="28"/>
          <w:szCs w:val="28"/>
        </w:rPr>
      </w:pPr>
      <w:r>
        <w:rPr>
          <w:rFonts w:ascii="黑体" w:hAnsi="黑体" w:eastAsia="黑体" w:cs="黑体"/>
          <w:color w:val="auto"/>
          <w:sz w:val="28"/>
          <w:szCs w:val="28"/>
        </w:rPr>
        <w:t>施工设备和临时设施</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6.1 </w:t>
      </w:r>
      <w:r>
        <w:rPr>
          <w:rFonts w:ascii="黑体" w:hAnsi="黑体" w:eastAsia="黑体" w:cs="黑体"/>
          <w:color w:val="auto"/>
          <w:sz w:val="24"/>
          <w:szCs w:val="24"/>
        </w:rPr>
        <w:t>承包人提供的施工设备和临时设施</w:t>
      </w:r>
    </w:p>
    <w:p>
      <w:pPr>
        <w:spacing w:after="0" w:line="349" w:lineRule="exact"/>
        <w:rPr>
          <w:color w:val="auto"/>
          <w:sz w:val="20"/>
          <w:szCs w:val="20"/>
        </w:rPr>
      </w:pPr>
    </w:p>
    <w:p>
      <w:pPr>
        <w:numPr>
          <w:ilvl w:val="0"/>
          <w:numId w:val="21"/>
        </w:numPr>
        <w:tabs>
          <w:tab w:val="left" w:pos="920"/>
        </w:tabs>
        <w:spacing w:after="0" w:line="292" w:lineRule="exact"/>
        <w:ind w:left="92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6.1.2 </w:t>
      </w:r>
      <w:r>
        <w:rPr>
          <w:rFonts w:ascii="宋体" w:hAnsi="宋体" w:eastAsia="宋体" w:cs="宋体"/>
          <w:color w:val="auto"/>
          <w:sz w:val="24"/>
          <w:szCs w:val="24"/>
        </w:rPr>
        <w:t>项约定为：</w:t>
      </w:r>
    </w:p>
    <w:p>
      <w:pPr>
        <w:spacing w:after="0" w:line="142" w:lineRule="exact"/>
        <w:rPr>
          <w:color w:val="auto"/>
          <w:sz w:val="20"/>
          <w:szCs w:val="20"/>
        </w:rPr>
      </w:pPr>
    </w:p>
    <w:p>
      <w:pPr>
        <w:spacing w:after="0" w:line="339" w:lineRule="exact"/>
        <w:ind w:left="200" w:right="144" w:firstLine="480"/>
        <w:rPr>
          <w:color w:val="auto"/>
          <w:sz w:val="20"/>
          <w:szCs w:val="20"/>
        </w:rPr>
      </w:pPr>
      <w:r>
        <w:rPr>
          <w:rFonts w:ascii="宋体" w:hAnsi="宋体" w:eastAsia="宋体" w:cs="宋体"/>
          <w:color w:val="auto"/>
          <w:sz w:val="24"/>
          <w:szCs w:val="24"/>
        </w:rPr>
        <w:t xml:space="preserve">承包人应自行承担修建临时设施的费用，需要临时占地的，应由承包人按第 </w:t>
      </w:r>
      <w:r>
        <w:rPr>
          <w:rFonts w:ascii="Times New Roman" w:hAnsi="Times New Roman" w:eastAsia="Times New Roman" w:cs="Times New Roman"/>
          <w:color w:val="auto"/>
          <w:sz w:val="24"/>
          <w:szCs w:val="24"/>
        </w:rPr>
        <w:t xml:space="preserve">4.1.10 </w:t>
      </w:r>
      <w:r>
        <w:rPr>
          <w:rFonts w:ascii="宋体" w:hAnsi="宋体" w:eastAsia="宋体" w:cs="宋体"/>
          <w:color w:val="auto"/>
          <w:sz w:val="24"/>
          <w:szCs w:val="24"/>
        </w:rPr>
        <w:t>项</w:t>
      </w:r>
      <w:r>
        <w:rPr>
          <w:rFonts w:ascii="Times New Roman" w:hAnsi="Times New Roman" w:eastAsia="Times New Roman" w:cs="Times New Roman"/>
          <w:color w:val="auto"/>
          <w:sz w:val="24"/>
          <w:szCs w:val="24"/>
        </w:rPr>
        <w:t>(1)</w:t>
      </w:r>
      <w:r>
        <w:rPr>
          <w:rFonts w:ascii="宋体" w:hAnsi="宋体" w:eastAsia="宋体" w:cs="宋体"/>
          <w:color w:val="auto"/>
          <w:sz w:val="24"/>
          <w:szCs w:val="24"/>
        </w:rPr>
        <w:t>目的规定办理。</w:t>
      </w:r>
    </w:p>
    <w:p>
      <w:pPr>
        <w:spacing w:after="0" w:line="31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6.3 </w:t>
      </w:r>
      <w:r>
        <w:rPr>
          <w:rFonts w:ascii="黑体" w:hAnsi="黑体" w:eastAsia="黑体" w:cs="黑体"/>
          <w:color w:val="auto"/>
          <w:sz w:val="24"/>
          <w:szCs w:val="24"/>
        </w:rPr>
        <w:t>要求承包人增加或更换施工设备</w:t>
      </w:r>
    </w:p>
    <w:p>
      <w:pPr>
        <w:spacing w:after="0" w:line="34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本款细化为：</w:t>
      </w:r>
    </w:p>
    <w:p>
      <w:pPr>
        <w:spacing w:after="0" w:line="161" w:lineRule="exact"/>
        <w:rPr>
          <w:color w:val="auto"/>
          <w:sz w:val="20"/>
          <w:szCs w:val="20"/>
        </w:rPr>
      </w:pPr>
    </w:p>
    <w:p>
      <w:pPr>
        <w:spacing w:after="0" w:line="369" w:lineRule="exact"/>
        <w:ind w:left="200" w:right="144" w:firstLine="480"/>
        <w:jc w:val="both"/>
        <w:rPr>
          <w:color w:val="auto"/>
          <w:sz w:val="20"/>
          <w:szCs w:val="20"/>
        </w:rPr>
      </w:pPr>
      <w:r>
        <w:rPr>
          <w:rFonts w:ascii="宋体" w:hAnsi="宋体" w:eastAsia="宋体" w:cs="宋体"/>
          <w:color w:val="auto"/>
          <w:sz w:val="24"/>
          <w:szCs w:val="24"/>
        </w:rPr>
        <w:t>承包人承诺的施工设备必须按时到达现场，不得拖延、缺短或任意更换。尽管承包人已按承诺提供了上述设备，但若承包人使用的施工设备不能满足合同进度计划和</w:t>
      </w:r>
      <w:r>
        <w:rPr>
          <w:rFonts w:ascii="Times New Roman" w:hAnsi="Times New Roman" w:eastAsia="Times New Roman" w:cs="Times New Roman"/>
          <w:color w:val="auto"/>
          <w:sz w:val="24"/>
          <w:szCs w:val="24"/>
        </w:rPr>
        <w:t>(</w:t>
      </w:r>
      <w:r>
        <w:rPr>
          <w:rFonts w:ascii="宋体" w:hAnsi="宋体" w:eastAsia="宋体" w:cs="宋体"/>
          <w:color w:val="auto"/>
          <w:sz w:val="24"/>
          <w:szCs w:val="24"/>
        </w:rPr>
        <w:t>或</w:t>
      </w:r>
      <w:r>
        <w:rPr>
          <w:rFonts w:ascii="Times New Roman" w:hAnsi="Times New Roman" w:eastAsia="Times New Roman" w:cs="Times New Roman"/>
          <w:color w:val="auto"/>
          <w:sz w:val="24"/>
          <w:szCs w:val="24"/>
        </w:rPr>
        <w:t>)</w:t>
      </w:r>
      <w:r>
        <w:rPr>
          <w:rFonts w:ascii="宋体" w:hAnsi="宋体" w:eastAsia="宋体" w:cs="宋体"/>
          <w:color w:val="auto"/>
          <w:sz w:val="24"/>
          <w:szCs w:val="24"/>
        </w:rPr>
        <w:t>质量要求时，监理人有权要求承包人增加或更换施工设备，承包人应及时增加或更换，由此增加的费用和</w:t>
      </w:r>
      <w:r>
        <w:rPr>
          <w:rFonts w:ascii="Times New Roman" w:hAnsi="Times New Roman" w:eastAsia="Times New Roman" w:cs="Times New Roman"/>
          <w:color w:val="auto"/>
          <w:sz w:val="24"/>
          <w:szCs w:val="24"/>
        </w:rPr>
        <w:t>(</w:t>
      </w:r>
      <w:r>
        <w:rPr>
          <w:rFonts w:ascii="宋体" w:hAnsi="宋体" w:eastAsia="宋体" w:cs="宋体"/>
          <w:color w:val="auto"/>
          <w:sz w:val="24"/>
          <w:szCs w:val="24"/>
        </w:rPr>
        <w:t>或</w:t>
      </w:r>
      <w:r>
        <w:rPr>
          <w:rFonts w:ascii="Times New Roman" w:hAnsi="Times New Roman" w:eastAsia="Times New Roman" w:cs="Times New Roman"/>
          <w:color w:val="auto"/>
          <w:sz w:val="24"/>
          <w:szCs w:val="24"/>
        </w:rPr>
        <w:t>)</w:t>
      </w:r>
      <w:r>
        <w:rPr>
          <w:rFonts w:ascii="宋体" w:hAnsi="宋体" w:eastAsia="宋体" w:cs="宋体"/>
          <w:color w:val="auto"/>
          <w:sz w:val="24"/>
          <w:szCs w:val="24"/>
        </w:rPr>
        <w:t>工期延误由承包人承担。</w:t>
      </w:r>
    </w:p>
    <w:p>
      <w:pPr>
        <w:spacing w:after="0" w:line="200" w:lineRule="exact"/>
        <w:rPr>
          <w:color w:val="auto"/>
          <w:sz w:val="20"/>
          <w:szCs w:val="20"/>
        </w:rPr>
      </w:pPr>
    </w:p>
    <w:p>
      <w:pPr>
        <w:spacing w:after="0" w:line="280" w:lineRule="exact"/>
        <w:rPr>
          <w:color w:val="auto"/>
          <w:sz w:val="20"/>
          <w:szCs w:val="20"/>
        </w:rPr>
      </w:pPr>
    </w:p>
    <w:p>
      <w:pPr>
        <w:numPr>
          <w:ilvl w:val="0"/>
          <w:numId w:val="22"/>
        </w:numPr>
        <w:tabs>
          <w:tab w:val="left" w:pos="560"/>
        </w:tabs>
        <w:spacing w:after="0" w:line="341" w:lineRule="exact"/>
        <w:ind w:left="560" w:hanging="356"/>
        <w:rPr>
          <w:rFonts w:ascii="Times New Roman" w:hAnsi="Times New Roman" w:eastAsia="Times New Roman" w:cs="Times New Roman"/>
          <w:color w:val="auto"/>
          <w:sz w:val="28"/>
          <w:szCs w:val="28"/>
        </w:rPr>
      </w:pPr>
      <w:r>
        <w:rPr>
          <w:rFonts w:ascii="黑体" w:hAnsi="黑体" w:eastAsia="黑体" w:cs="黑体"/>
          <w:color w:val="auto"/>
          <w:sz w:val="28"/>
          <w:szCs w:val="28"/>
        </w:rPr>
        <w:t>交通运输</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7.1 </w:t>
      </w:r>
      <w:r>
        <w:rPr>
          <w:rFonts w:ascii="黑体" w:hAnsi="黑体" w:eastAsia="黑体" w:cs="黑体"/>
          <w:color w:val="auto"/>
          <w:sz w:val="24"/>
          <w:szCs w:val="24"/>
        </w:rPr>
        <w:t>道路通行权和场外设施</w:t>
      </w:r>
    </w:p>
    <w:p>
      <w:pPr>
        <w:spacing w:after="0" w:line="348" w:lineRule="exact"/>
        <w:rPr>
          <w:color w:val="auto"/>
          <w:sz w:val="20"/>
          <w:szCs w:val="20"/>
        </w:rPr>
      </w:pPr>
    </w:p>
    <w:p>
      <w:pPr>
        <w:spacing w:after="0" w:line="274" w:lineRule="exact"/>
        <w:ind w:left="620"/>
        <w:rPr>
          <w:color w:val="auto"/>
          <w:sz w:val="20"/>
          <w:szCs w:val="20"/>
        </w:rPr>
      </w:pPr>
      <w:r>
        <w:rPr>
          <w:rFonts w:ascii="宋体" w:hAnsi="宋体" w:eastAsia="宋体" w:cs="宋体"/>
          <w:color w:val="auto"/>
          <w:sz w:val="24"/>
          <w:szCs w:val="24"/>
        </w:rPr>
        <w:t>本款约定为：</w:t>
      </w:r>
    </w:p>
    <w:p>
      <w:pPr>
        <w:spacing w:after="0" w:line="161" w:lineRule="exact"/>
        <w:rPr>
          <w:color w:val="auto"/>
          <w:sz w:val="20"/>
          <w:szCs w:val="20"/>
        </w:rPr>
      </w:pPr>
    </w:p>
    <w:p>
      <w:pPr>
        <w:spacing w:after="0" w:line="346" w:lineRule="exact"/>
        <w:ind w:left="200" w:right="144" w:firstLine="480"/>
        <w:jc w:val="both"/>
        <w:rPr>
          <w:color w:val="auto"/>
          <w:sz w:val="20"/>
          <w:szCs w:val="20"/>
        </w:rPr>
      </w:pPr>
      <w:r>
        <w:rPr>
          <w:rFonts w:ascii="宋体" w:hAnsi="宋体" w:eastAsia="宋体" w:cs="宋体"/>
          <w:color w:val="auto"/>
          <w:sz w:val="24"/>
          <w:szCs w:val="24"/>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spacing w:after="0" w:line="200" w:lineRule="exact"/>
        <w:rPr>
          <w:color w:val="auto"/>
          <w:sz w:val="20"/>
          <w:szCs w:val="20"/>
        </w:rPr>
      </w:pPr>
    </w:p>
    <w:p>
      <w:pPr>
        <w:numPr>
          <w:ilvl w:val="0"/>
          <w:numId w:val="23"/>
        </w:numPr>
        <w:tabs>
          <w:tab w:val="left" w:pos="560"/>
        </w:tabs>
        <w:spacing w:after="0" w:line="341" w:lineRule="exact"/>
        <w:ind w:left="560" w:hanging="356"/>
        <w:rPr>
          <w:rFonts w:ascii="Times New Roman" w:hAnsi="Times New Roman" w:eastAsia="Times New Roman" w:cs="Times New Roman"/>
          <w:color w:val="auto"/>
          <w:sz w:val="28"/>
          <w:szCs w:val="28"/>
        </w:rPr>
      </w:pPr>
      <w:r>
        <w:rPr>
          <w:rFonts w:ascii="黑体" w:hAnsi="黑体" w:eastAsia="黑体" w:cs="黑体"/>
          <w:color w:val="auto"/>
          <w:sz w:val="28"/>
          <w:szCs w:val="28"/>
        </w:rPr>
        <w:t>测量放线</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8.4 </w:t>
      </w:r>
      <w:r>
        <w:rPr>
          <w:rFonts w:ascii="黑体" w:hAnsi="黑体" w:eastAsia="黑体" w:cs="黑体"/>
          <w:color w:val="auto"/>
          <w:sz w:val="24"/>
          <w:szCs w:val="24"/>
        </w:rPr>
        <w:t>监理人使用施工控制网</w:t>
      </w:r>
    </w:p>
    <w:p>
      <w:pPr>
        <w:spacing w:after="0" w:line="349"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本款补充：</w:t>
      </w:r>
    </w:p>
    <w:p>
      <w:pPr>
        <w:spacing w:after="0" w:line="126"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经监理人批准，其他相关承包人也可免费使用施工控制网。</w:t>
      </w:r>
    </w:p>
    <w:p>
      <w:pPr>
        <w:spacing w:after="0" w:line="200" w:lineRule="exact"/>
        <w:rPr>
          <w:color w:val="auto"/>
          <w:sz w:val="20"/>
          <w:szCs w:val="20"/>
        </w:rPr>
      </w:pPr>
    </w:p>
    <w:p>
      <w:pPr>
        <w:spacing w:after="0" w:line="315" w:lineRule="exact"/>
        <w:rPr>
          <w:color w:val="auto"/>
          <w:sz w:val="20"/>
          <w:szCs w:val="20"/>
        </w:rPr>
      </w:pPr>
    </w:p>
    <w:p>
      <w:pPr>
        <w:numPr>
          <w:ilvl w:val="0"/>
          <w:numId w:val="24"/>
        </w:numPr>
        <w:tabs>
          <w:tab w:val="left" w:pos="560"/>
        </w:tabs>
        <w:spacing w:after="0" w:line="341" w:lineRule="exact"/>
        <w:ind w:left="560" w:hanging="356"/>
        <w:rPr>
          <w:rFonts w:ascii="Times New Roman" w:hAnsi="Times New Roman" w:eastAsia="Times New Roman" w:cs="Times New Roman"/>
          <w:color w:val="auto"/>
          <w:sz w:val="28"/>
          <w:szCs w:val="28"/>
        </w:rPr>
      </w:pPr>
      <w:r>
        <w:rPr>
          <w:rFonts w:ascii="黑体" w:hAnsi="黑体" w:eastAsia="黑体" w:cs="黑体"/>
          <w:color w:val="auto"/>
          <w:sz w:val="28"/>
          <w:szCs w:val="28"/>
        </w:rPr>
        <w:t>施工安全、治安保卫和环境保护</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9.2 </w:t>
      </w:r>
      <w:r>
        <w:rPr>
          <w:rFonts w:ascii="黑体" w:hAnsi="黑体" w:eastAsia="黑体" w:cs="黑体"/>
          <w:color w:val="auto"/>
          <w:sz w:val="24"/>
          <w:szCs w:val="24"/>
        </w:rPr>
        <w:t>承包人的施工安全责任</w:t>
      </w:r>
    </w:p>
    <w:p>
      <w:pPr>
        <w:spacing w:after="0" w:line="349" w:lineRule="exact"/>
        <w:rPr>
          <w:color w:val="auto"/>
          <w:sz w:val="20"/>
          <w:szCs w:val="20"/>
        </w:rPr>
      </w:pPr>
    </w:p>
    <w:p>
      <w:pPr>
        <w:numPr>
          <w:ilvl w:val="0"/>
          <w:numId w:val="25"/>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9.2.1 </w:t>
      </w:r>
      <w:r>
        <w:rPr>
          <w:rFonts w:ascii="宋体" w:hAnsi="宋体" w:eastAsia="宋体" w:cs="宋体"/>
          <w:color w:val="auto"/>
          <w:sz w:val="24"/>
          <w:szCs w:val="24"/>
        </w:rPr>
        <w:t>项细化为：</w:t>
      </w:r>
    </w:p>
    <w:p>
      <w:pPr>
        <w:spacing w:after="0" w:line="107" w:lineRule="exact"/>
        <w:rPr>
          <w:rFonts w:ascii="宋体" w:hAnsi="宋体" w:eastAsia="宋体" w:cs="宋体"/>
          <w:color w:val="auto"/>
          <w:sz w:val="24"/>
          <w:szCs w:val="24"/>
        </w:rPr>
      </w:pPr>
    </w:p>
    <w:p>
      <w:pPr>
        <w:spacing w:after="0" w:line="274" w:lineRule="exact"/>
        <w:ind w:left="680"/>
        <w:rPr>
          <w:rFonts w:ascii="宋体" w:hAnsi="宋体" w:eastAsia="宋体" w:cs="宋体"/>
          <w:color w:val="auto"/>
          <w:sz w:val="24"/>
          <w:szCs w:val="24"/>
        </w:rPr>
      </w:pPr>
      <w:r>
        <w:rPr>
          <w:rFonts w:ascii="宋体" w:hAnsi="宋体" w:eastAsia="宋体" w:cs="宋体"/>
          <w:color w:val="auto"/>
          <w:sz w:val="24"/>
          <w:szCs w:val="24"/>
        </w:rPr>
        <w:t>承包人应按合同约定履行安全职责，严格执行国家、地方政府有关施工安全管</w:t>
      </w:r>
    </w:p>
    <w:p>
      <w:pPr>
        <w:spacing w:after="0" w:line="159" w:lineRule="exact"/>
        <w:rPr>
          <w:color w:val="auto"/>
          <w:sz w:val="20"/>
          <w:szCs w:val="20"/>
        </w:rPr>
      </w:pPr>
    </w:p>
    <w:p>
      <w:pPr>
        <w:spacing w:after="0" w:line="347" w:lineRule="exact"/>
        <w:ind w:left="200" w:right="144"/>
        <w:jc w:val="both"/>
        <w:rPr>
          <w:color w:val="auto"/>
          <w:sz w:val="20"/>
          <w:szCs w:val="20"/>
        </w:rPr>
      </w:pPr>
      <w:r>
        <w:rPr>
          <w:rFonts w:ascii="宋体" w:hAnsi="宋体" w:eastAsia="宋体" w:cs="宋体"/>
          <w:color w:val="auto"/>
          <w:sz w:val="24"/>
          <w:szCs w:val="24"/>
        </w:rPr>
        <w:t>理方面的法律、法规及规章制度，同时严格执行发包人制订的本项目安全生产管理方面的规章制度、安全检查程序及施工安全管理要求，以及监理人有关安全工作的指示。</w:t>
      </w:r>
    </w:p>
    <w:p>
      <w:pPr>
        <w:spacing w:after="0" w:line="160" w:lineRule="exact"/>
        <w:rPr>
          <w:color w:val="auto"/>
          <w:sz w:val="20"/>
          <w:szCs w:val="20"/>
        </w:rPr>
      </w:pPr>
    </w:p>
    <w:p>
      <w:pPr>
        <w:spacing w:after="0" w:line="377" w:lineRule="exact"/>
        <w:ind w:left="200" w:right="144" w:firstLine="480"/>
        <w:jc w:val="both"/>
        <w:rPr>
          <w:color w:val="auto"/>
          <w:sz w:val="20"/>
          <w:szCs w:val="20"/>
        </w:rPr>
      </w:pPr>
      <w:r>
        <w:rPr>
          <w:rFonts w:ascii="宋体" w:hAnsi="宋体" w:eastAsia="宋体" w:cs="宋体"/>
          <w:color w:val="auto"/>
          <w:sz w:val="24"/>
          <w:szCs w:val="24"/>
        </w:rPr>
        <w:t>承包人应根据本工程的实际安全施工要求，编制施工安全技术措施，并在签订合同协议书后</w:t>
      </w:r>
      <w:r>
        <w:rPr>
          <w:rFonts w:ascii="Times New Roman" w:hAnsi="Times New Roman" w:eastAsia="Times New Roman" w:cs="Times New Roman"/>
          <w:color w:val="auto"/>
          <w:sz w:val="24"/>
          <w:szCs w:val="24"/>
        </w:rPr>
        <w:t xml:space="preserve"> 28 </w:t>
      </w:r>
      <w:r>
        <w:rPr>
          <w:rFonts w:ascii="宋体" w:hAnsi="宋体" w:eastAsia="宋体" w:cs="宋体"/>
          <w:color w:val="auto"/>
          <w:sz w:val="24"/>
          <w:szCs w:val="24"/>
        </w:rPr>
        <w:t>天内，报监理人和发包人批准。该施工安全技术措施包括</w:t>
      </w:r>
      <w:r>
        <w:rPr>
          <w:rFonts w:ascii="Times New Roman" w:hAnsi="Times New Roman" w:eastAsia="Times New Roman" w:cs="Times New Roman"/>
          <w:color w:val="auto"/>
          <w:sz w:val="24"/>
          <w:szCs w:val="24"/>
        </w:rPr>
        <w:t>(</w:t>
      </w:r>
      <w:r>
        <w:rPr>
          <w:rFonts w:ascii="宋体" w:hAnsi="宋体" w:eastAsia="宋体" w:cs="宋体"/>
          <w:color w:val="auto"/>
          <w:sz w:val="24"/>
          <w:szCs w:val="24"/>
        </w:rPr>
        <w:t>但不限于</w:t>
      </w:r>
      <w:r>
        <w:rPr>
          <w:rFonts w:ascii="Times New Roman" w:hAnsi="Times New Roman" w:eastAsia="Times New Roman" w:cs="Times New Roman"/>
          <w:color w:val="auto"/>
          <w:sz w:val="24"/>
          <w:szCs w:val="24"/>
        </w:rPr>
        <w:t>)</w:t>
      </w:r>
      <w:r>
        <w:rPr>
          <w:rFonts w:ascii="宋体" w:hAnsi="宋体" w:eastAsia="宋体" w:cs="宋体"/>
          <w:color w:val="auto"/>
          <w:sz w:val="24"/>
          <w:szCs w:val="24"/>
        </w:rPr>
        <w:t>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after="0" w:line="132"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本项目需要编制专项施工方案的工程包括但不限于以下内容：</w:t>
      </w:r>
    </w:p>
    <w:p>
      <w:pPr>
        <w:spacing w:after="0" w:line="108" w:lineRule="exact"/>
        <w:rPr>
          <w:color w:val="auto"/>
          <w:sz w:val="20"/>
          <w:szCs w:val="20"/>
        </w:rPr>
      </w:pPr>
    </w:p>
    <w:p>
      <w:pPr>
        <w:numPr>
          <w:ilvl w:val="0"/>
          <w:numId w:val="26"/>
        </w:numPr>
        <w:tabs>
          <w:tab w:val="left" w:pos="1080"/>
        </w:tabs>
        <w:spacing w:after="0" w:line="292" w:lineRule="exact"/>
        <w:ind w:left="1080" w:hanging="396"/>
        <w:rPr>
          <w:rFonts w:ascii="Times New Roman" w:hAnsi="Times New Roman" w:eastAsia="Times New Roman" w:cs="Times New Roman"/>
          <w:color w:val="auto"/>
          <w:sz w:val="24"/>
          <w:szCs w:val="24"/>
        </w:rPr>
      </w:pPr>
      <w:r>
        <w:rPr>
          <w:rFonts w:ascii="宋体" w:hAnsi="宋体" w:eastAsia="宋体" w:cs="宋体"/>
          <w:color w:val="auto"/>
          <w:sz w:val="24"/>
          <w:szCs w:val="24"/>
        </w:rPr>
        <w:t>不良地质条件下有潜在危险性的土方、石方开挖；</w:t>
      </w:r>
    </w:p>
    <w:p>
      <w:pPr>
        <w:spacing w:after="0" w:line="107" w:lineRule="exact"/>
        <w:rPr>
          <w:rFonts w:ascii="Times New Roman" w:hAnsi="Times New Roman" w:eastAsia="Times New Roman" w:cs="Times New Roman"/>
          <w:color w:val="auto"/>
          <w:sz w:val="24"/>
          <w:szCs w:val="24"/>
        </w:rPr>
      </w:pPr>
    </w:p>
    <w:p>
      <w:pPr>
        <w:numPr>
          <w:ilvl w:val="0"/>
          <w:numId w:val="26"/>
        </w:numPr>
        <w:tabs>
          <w:tab w:val="left" w:pos="1080"/>
        </w:tabs>
        <w:spacing w:after="0" w:line="292" w:lineRule="exact"/>
        <w:ind w:left="1080" w:hanging="396"/>
        <w:rPr>
          <w:rFonts w:ascii="Times New Roman" w:hAnsi="Times New Roman" w:eastAsia="Times New Roman" w:cs="Times New Roman"/>
          <w:color w:val="auto"/>
          <w:sz w:val="24"/>
          <w:szCs w:val="24"/>
        </w:rPr>
      </w:pPr>
      <w:r>
        <w:rPr>
          <w:rFonts w:ascii="宋体" w:hAnsi="宋体" w:eastAsia="宋体" w:cs="宋体"/>
          <w:color w:val="auto"/>
          <w:sz w:val="24"/>
          <w:szCs w:val="24"/>
        </w:rPr>
        <w:t>滑坡和高边坡处理；</w:t>
      </w:r>
    </w:p>
    <w:p>
      <w:pPr>
        <w:spacing w:after="0" w:line="108" w:lineRule="exact"/>
        <w:rPr>
          <w:rFonts w:ascii="Times New Roman" w:hAnsi="Times New Roman" w:eastAsia="Times New Roman" w:cs="Times New Roman"/>
          <w:color w:val="auto"/>
          <w:sz w:val="24"/>
          <w:szCs w:val="24"/>
        </w:rPr>
      </w:pPr>
    </w:p>
    <w:p>
      <w:pPr>
        <w:numPr>
          <w:ilvl w:val="0"/>
          <w:numId w:val="26"/>
        </w:numPr>
        <w:tabs>
          <w:tab w:val="left" w:pos="1080"/>
        </w:tabs>
        <w:spacing w:after="0" w:line="292" w:lineRule="exact"/>
        <w:ind w:left="1080" w:hanging="396"/>
        <w:rPr>
          <w:rFonts w:ascii="Times New Roman" w:hAnsi="Times New Roman" w:eastAsia="Times New Roman" w:cs="Times New Roman"/>
          <w:color w:val="auto"/>
          <w:sz w:val="24"/>
          <w:szCs w:val="24"/>
        </w:rPr>
      </w:pPr>
      <w:r>
        <w:rPr>
          <w:rFonts w:ascii="宋体" w:hAnsi="宋体" w:eastAsia="宋体" w:cs="宋体"/>
          <w:color w:val="auto"/>
          <w:sz w:val="24"/>
          <w:szCs w:val="24"/>
        </w:rPr>
        <w:t>桩基础、挡墙基础、深水基础及围堰工程；</w:t>
      </w:r>
    </w:p>
    <w:p>
      <w:pPr>
        <w:spacing w:after="0" w:line="107" w:lineRule="exact"/>
        <w:rPr>
          <w:rFonts w:ascii="Times New Roman" w:hAnsi="Times New Roman" w:eastAsia="Times New Roman" w:cs="Times New Roman"/>
          <w:color w:val="auto"/>
          <w:sz w:val="24"/>
          <w:szCs w:val="24"/>
        </w:rPr>
      </w:pPr>
    </w:p>
    <w:p>
      <w:pPr>
        <w:numPr>
          <w:ilvl w:val="0"/>
          <w:numId w:val="26"/>
        </w:numPr>
        <w:tabs>
          <w:tab w:val="left" w:pos="1080"/>
        </w:tabs>
        <w:spacing w:after="0" w:line="292" w:lineRule="exact"/>
        <w:ind w:left="1080" w:hanging="396"/>
        <w:rPr>
          <w:rFonts w:ascii="Times New Roman" w:hAnsi="Times New Roman" w:eastAsia="Times New Roman" w:cs="Times New Roman"/>
          <w:color w:val="auto"/>
          <w:sz w:val="24"/>
          <w:szCs w:val="24"/>
        </w:rPr>
      </w:pPr>
      <w:r>
        <w:rPr>
          <w:rFonts w:ascii="宋体" w:hAnsi="宋体" w:eastAsia="宋体" w:cs="宋体"/>
          <w:color w:val="auto"/>
          <w:sz w:val="24"/>
          <w:szCs w:val="24"/>
        </w:rPr>
        <w:t>桥梁工程中的梁、拱、柱等构件施工等；</w:t>
      </w:r>
    </w:p>
    <w:p>
      <w:pPr>
        <w:spacing w:after="0" w:line="107" w:lineRule="exact"/>
        <w:rPr>
          <w:rFonts w:ascii="Times New Roman" w:hAnsi="Times New Roman" w:eastAsia="Times New Roman" w:cs="Times New Roman"/>
          <w:color w:val="auto"/>
          <w:sz w:val="24"/>
          <w:szCs w:val="24"/>
        </w:rPr>
      </w:pPr>
    </w:p>
    <w:p>
      <w:pPr>
        <w:numPr>
          <w:ilvl w:val="0"/>
          <w:numId w:val="26"/>
        </w:numPr>
        <w:tabs>
          <w:tab w:val="left" w:pos="1080"/>
        </w:tabs>
        <w:spacing w:after="0" w:line="292" w:lineRule="exact"/>
        <w:ind w:left="1080" w:hanging="396"/>
        <w:rPr>
          <w:rFonts w:ascii="Times New Roman" w:hAnsi="Times New Roman" w:eastAsia="Times New Roman" w:cs="Times New Roman"/>
          <w:color w:val="auto"/>
          <w:sz w:val="24"/>
          <w:szCs w:val="24"/>
        </w:rPr>
      </w:pPr>
      <w:r>
        <w:rPr>
          <w:rFonts w:ascii="宋体" w:hAnsi="宋体" w:eastAsia="宋体" w:cs="宋体"/>
          <w:color w:val="auto"/>
          <w:sz w:val="24"/>
          <w:szCs w:val="24"/>
        </w:rPr>
        <w:t>隧道工程中的不良地质隧道、高瓦斯隧道等；</w:t>
      </w:r>
    </w:p>
    <w:p>
      <w:pPr>
        <w:spacing w:after="0" w:line="108" w:lineRule="exact"/>
        <w:rPr>
          <w:rFonts w:ascii="Times New Roman" w:hAnsi="Times New Roman" w:eastAsia="Times New Roman" w:cs="Times New Roman"/>
          <w:color w:val="auto"/>
          <w:sz w:val="24"/>
          <w:szCs w:val="24"/>
        </w:rPr>
      </w:pPr>
    </w:p>
    <w:p>
      <w:pPr>
        <w:numPr>
          <w:ilvl w:val="0"/>
          <w:numId w:val="26"/>
        </w:numPr>
        <w:tabs>
          <w:tab w:val="left" w:pos="1080"/>
        </w:tabs>
        <w:spacing w:after="0" w:line="292" w:lineRule="exact"/>
        <w:ind w:left="1080" w:hanging="396"/>
        <w:rPr>
          <w:rFonts w:ascii="Times New Roman" w:hAnsi="Times New Roman" w:eastAsia="Times New Roman" w:cs="Times New Roman"/>
          <w:color w:val="auto"/>
          <w:sz w:val="24"/>
          <w:szCs w:val="24"/>
        </w:rPr>
      </w:pPr>
      <w:r>
        <w:rPr>
          <w:rFonts w:ascii="宋体" w:hAnsi="宋体" w:eastAsia="宋体" w:cs="宋体"/>
          <w:color w:val="auto"/>
          <w:sz w:val="24"/>
          <w:szCs w:val="24"/>
        </w:rPr>
        <w:t>水上工程中的打桩船作业、施工船作业、外海孤岛作业、边通航边施工作</w:t>
      </w:r>
    </w:p>
    <w:p>
      <w:pPr>
        <w:spacing w:after="0" w:line="125" w:lineRule="exact"/>
        <w:rPr>
          <w:rFonts w:ascii="Times New Roman" w:hAnsi="Times New Roman" w:eastAsia="Times New Roman" w:cs="Times New Roman"/>
          <w:color w:val="auto"/>
          <w:sz w:val="24"/>
          <w:szCs w:val="24"/>
        </w:rPr>
      </w:pPr>
    </w:p>
    <w:p>
      <w:pPr>
        <w:spacing w:after="0" w:line="274" w:lineRule="exact"/>
        <w:ind w:left="200"/>
        <w:rPr>
          <w:rFonts w:ascii="Times New Roman" w:hAnsi="Times New Roman" w:eastAsia="Times New Roman" w:cs="Times New Roman"/>
          <w:color w:val="auto"/>
          <w:sz w:val="24"/>
          <w:szCs w:val="24"/>
        </w:rPr>
      </w:pPr>
      <w:r>
        <w:rPr>
          <w:rFonts w:ascii="宋体" w:hAnsi="宋体" w:eastAsia="宋体" w:cs="宋体"/>
          <w:color w:val="auto"/>
          <w:sz w:val="24"/>
          <w:szCs w:val="24"/>
        </w:rPr>
        <w:t>业等；</w:t>
      </w:r>
    </w:p>
    <w:p>
      <w:pPr>
        <w:spacing w:after="0" w:line="107" w:lineRule="exact"/>
        <w:rPr>
          <w:rFonts w:ascii="Times New Roman" w:hAnsi="Times New Roman" w:eastAsia="Times New Roman" w:cs="Times New Roman"/>
          <w:color w:val="auto"/>
          <w:sz w:val="24"/>
          <w:szCs w:val="24"/>
        </w:rPr>
      </w:pPr>
    </w:p>
    <w:p>
      <w:pPr>
        <w:numPr>
          <w:ilvl w:val="0"/>
          <w:numId w:val="26"/>
        </w:numPr>
        <w:tabs>
          <w:tab w:val="left" w:pos="1080"/>
        </w:tabs>
        <w:spacing w:after="0" w:line="292" w:lineRule="exact"/>
        <w:ind w:left="1080" w:hanging="396"/>
        <w:rPr>
          <w:rFonts w:ascii="Times New Roman" w:hAnsi="Times New Roman" w:eastAsia="Times New Roman" w:cs="Times New Roman"/>
          <w:color w:val="auto"/>
          <w:sz w:val="24"/>
          <w:szCs w:val="24"/>
        </w:rPr>
      </w:pPr>
      <w:r>
        <w:rPr>
          <w:rFonts w:ascii="宋体" w:hAnsi="宋体" w:eastAsia="宋体" w:cs="宋体"/>
          <w:color w:val="auto"/>
          <w:sz w:val="24"/>
          <w:szCs w:val="24"/>
        </w:rPr>
        <w:t>水下工程中的水下焊接、混凝土浇筑、爆破工程等；</w:t>
      </w:r>
    </w:p>
    <w:p>
      <w:pPr>
        <w:spacing w:after="0" w:line="108" w:lineRule="exact"/>
        <w:rPr>
          <w:rFonts w:ascii="Times New Roman" w:hAnsi="Times New Roman" w:eastAsia="Times New Roman" w:cs="Times New Roman"/>
          <w:color w:val="auto"/>
          <w:sz w:val="24"/>
          <w:szCs w:val="24"/>
        </w:rPr>
      </w:pPr>
    </w:p>
    <w:p>
      <w:pPr>
        <w:numPr>
          <w:ilvl w:val="0"/>
          <w:numId w:val="26"/>
        </w:numPr>
        <w:tabs>
          <w:tab w:val="left" w:pos="1080"/>
        </w:tabs>
        <w:spacing w:after="0" w:line="292" w:lineRule="exact"/>
        <w:ind w:left="1080" w:hanging="396"/>
        <w:rPr>
          <w:rFonts w:ascii="Times New Roman" w:hAnsi="Times New Roman" w:eastAsia="Times New Roman" w:cs="Times New Roman"/>
          <w:color w:val="auto"/>
          <w:sz w:val="24"/>
          <w:szCs w:val="24"/>
        </w:rPr>
      </w:pPr>
      <w:r>
        <w:rPr>
          <w:rFonts w:ascii="宋体" w:hAnsi="宋体" w:eastAsia="宋体" w:cs="宋体"/>
          <w:color w:val="auto"/>
          <w:sz w:val="24"/>
          <w:szCs w:val="24"/>
        </w:rPr>
        <w:t>爆破工程；</w:t>
      </w:r>
    </w:p>
    <w:p>
      <w:pPr>
        <w:spacing w:after="0" w:line="159" w:lineRule="exact"/>
        <w:rPr>
          <w:rFonts w:ascii="Times New Roman" w:hAnsi="Times New Roman" w:eastAsia="Times New Roman" w:cs="Times New Roman"/>
          <w:color w:val="auto"/>
          <w:sz w:val="24"/>
          <w:szCs w:val="24"/>
        </w:rPr>
      </w:pPr>
    </w:p>
    <w:p>
      <w:pPr>
        <w:numPr>
          <w:ilvl w:val="0"/>
          <w:numId w:val="26"/>
        </w:numPr>
        <w:tabs>
          <w:tab w:val="left" w:pos="1084"/>
        </w:tabs>
        <w:spacing w:after="0" w:line="320" w:lineRule="exact"/>
        <w:ind w:left="200" w:right="144" w:firstLine="484"/>
        <w:rPr>
          <w:rFonts w:ascii="Times New Roman" w:hAnsi="Times New Roman" w:eastAsia="Times New Roman" w:cs="Times New Roman"/>
          <w:color w:val="auto"/>
          <w:sz w:val="24"/>
          <w:szCs w:val="24"/>
        </w:rPr>
      </w:pPr>
      <w:r>
        <w:rPr>
          <w:rFonts w:ascii="宋体" w:hAnsi="宋体" w:eastAsia="宋体" w:cs="宋体"/>
          <w:color w:val="auto"/>
          <w:sz w:val="24"/>
          <w:szCs w:val="24"/>
        </w:rPr>
        <w:t>大型临时工程中的大型支架、模板、便桥的架设与拆除；桥梁、码头的加固与拆除；</w:t>
      </w:r>
    </w:p>
    <w:p>
      <w:pPr>
        <w:spacing w:after="0" w:line="109" w:lineRule="exact"/>
        <w:rPr>
          <w:rFonts w:ascii="Times New Roman" w:hAnsi="Times New Roman" w:eastAsia="Times New Roman" w:cs="Times New Roman"/>
          <w:color w:val="auto"/>
          <w:sz w:val="24"/>
          <w:szCs w:val="24"/>
        </w:rPr>
      </w:pPr>
    </w:p>
    <w:p>
      <w:pPr>
        <w:numPr>
          <w:ilvl w:val="0"/>
          <w:numId w:val="0"/>
        </w:numPr>
        <w:tabs>
          <w:tab w:val="left" w:pos="1200"/>
        </w:tabs>
        <w:spacing w:after="0" w:line="292" w:lineRule="exact"/>
        <w:ind w:firstLine="480" w:firstLineChars="200"/>
        <w:rPr>
          <w:color w:val="auto"/>
          <w:sz w:val="20"/>
          <w:szCs w:val="20"/>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ascii="宋体" w:hAnsi="宋体" w:eastAsia="宋体" w:cs="宋体"/>
          <w:color w:val="auto"/>
          <w:sz w:val="24"/>
          <w:szCs w:val="24"/>
        </w:rPr>
        <w:t>其他危险性较大的工程。监理人和发包人在检查中发现有安全问题或有违反安全管理规章制度的情况时，可视为承包人违约，应按第</w:t>
      </w:r>
      <w:r>
        <w:rPr>
          <w:rFonts w:ascii="Times New Roman" w:hAnsi="Times New Roman" w:eastAsia="Times New Roman" w:cs="Times New Roman"/>
          <w:color w:val="auto"/>
          <w:sz w:val="24"/>
          <w:szCs w:val="24"/>
        </w:rPr>
        <w:t xml:space="preserve"> 22.1 </w:t>
      </w:r>
      <w:r>
        <w:rPr>
          <w:rFonts w:ascii="宋体" w:hAnsi="宋体" w:eastAsia="宋体" w:cs="宋体"/>
          <w:color w:val="auto"/>
          <w:sz w:val="24"/>
          <w:szCs w:val="24"/>
        </w:rPr>
        <w:t>款的规定办理。</w:t>
      </w:r>
    </w:p>
    <w:p>
      <w:pPr>
        <w:spacing w:after="0" w:line="109" w:lineRule="exact"/>
        <w:rPr>
          <w:color w:val="auto"/>
          <w:sz w:val="20"/>
          <w:szCs w:val="20"/>
        </w:rPr>
      </w:pPr>
    </w:p>
    <w:p>
      <w:pPr>
        <w:numPr>
          <w:ilvl w:val="0"/>
          <w:numId w:val="27"/>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9.2.5 </w:t>
      </w:r>
      <w:r>
        <w:rPr>
          <w:rFonts w:ascii="宋体" w:hAnsi="宋体" w:eastAsia="宋体" w:cs="宋体"/>
          <w:color w:val="auto"/>
          <w:sz w:val="24"/>
          <w:szCs w:val="24"/>
        </w:rPr>
        <w:t>项细化为：</w:t>
      </w:r>
    </w:p>
    <w:p>
      <w:pPr>
        <w:spacing w:after="0" w:line="148" w:lineRule="exact"/>
        <w:rPr>
          <w:rFonts w:ascii="宋体" w:hAnsi="宋体" w:eastAsia="宋体" w:cs="宋体"/>
          <w:color w:val="auto"/>
          <w:sz w:val="24"/>
          <w:szCs w:val="24"/>
        </w:rPr>
      </w:pPr>
    </w:p>
    <w:p>
      <w:pPr>
        <w:spacing w:after="0" w:line="274" w:lineRule="exact"/>
        <w:ind w:left="680"/>
        <w:rPr>
          <w:rFonts w:ascii="宋体" w:hAnsi="宋体" w:eastAsia="宋体" w:cs="宋体"/>
          <w:color w:val="auto"/>
          <w:sz w:val="24"/>
          <w:szCs w:val="24"/>
        </w:rPr>
      </w:pPr>
      <w:r>
        <w:rPr>
          <w:rFonts w:ascii="宋体" w:hAnsi="宋体" w:eastAsia="宋体" w:cs="宋体"/>
          <w:color w:val="auto"/>
          <w:sz w:val="24"/>
          <w:szCs w:val="24"/>
        </w:rPr>
        <w:t>除项目专用合同条款另有约定外，安全生产费用应为投标价（不含安全生产费</w:t>
      </w:r>
    </w:p>
    <w:p>
      <w:pPr>
        <w:spacing w:after="0" w:line="419" w:lineRule="exact"/>
        <w:ind w:left="200" w:right="144"/>
        <w:jc w:val="both"/>
        <w:rPr>
          <w:color w:val="auto"/>
          <w:sz w:val="20"/>
          <w:szCs w:val="20"/>
        </w:rPr>
      </w:pPr>
      <w:r>
        <w:rPr>
          <w:rFonts w:ascii="宋体" w:hAnsi="宋体" w:eastAsia="宋体" w:cs="宋体"/>
          <w:color w:val="auto"/>
          <w:sz w:val="24"/>
          <w:szCs w:val="24"/>
        </w:rPr>
        <w:t>及建筑工程一切险及第三者责任险的保险费）的</w:t>
      </w:r>
      <w:r>
        <w:rPr>
          <w:rFonts w:ascii="Times New Roman" w:hAnsi="Times New Roman" w:eastAsia="Times New Roman" w:cs="Times New Roman"/>
          <w:color w:val="auto"/>
          <w:sz w:val="24"/>
          <w:szCs w:val="24"/>
        </w:rPr>
        <w:t xml:space="preserve"> 1.5%</w:t>
      </w:r>
      <w:r>
        <w:rPr>
          <w:rFonts w:ascii="宋体" w:hAnsi="宋体" w:eastAsia="宋体" w:cs="宋体"/>
          <w:color w:val="auto"/>
          <w:sz w:val="24"/>
          <w:szCs w:val="24"/>
        </w:rPr>
        <w:t>（若发包人公布了最高投标限价时，按最高投标限价的</w:t>
      </w:r>
      <w:r>
        <w:rPr>
          <w:rFonts w:ascii="Times New Roman" w:hAnsi="Times New Roman" w:eastAsia="Times New Roman" w:cs="Times New Roman"/>
          <w:color w:val="auto"/>
          <w:sz w:val="24"/>
          <w:szCs w:val="24"/>
        </w:rPr>
        <w:t xml:space="preserve"> 1.5%</w:t>
      </w:r>
      <w:r>
        <w:rPr>
          <w:rFonts w:ascii="宋体" w:hAnsi="宋体" w:eastAsia="宋体" w:cs="宋体"/>
          <w:color w:val="auto"/>
          <w:sz w:val="24"/>
          <w:szCs w:val="24"/>
        </w:rPr>
        <w:t>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w:t>
      </w:r>
      <w:r>
        <w:rPr>
          <w:rFonts w:ascii="Times New Roman" w:hAnsi="Times New Roman" w:eastAsia="Times New Roman" w:cs="Times New Roman"/>
          <w:color w:val="auto"/>
          <w:sz w:val="24"/>
          <w:szCs w:val="24"/>
        </w:rPr>
        <w:t xml:space="preserve"> 3.5 </w:t>
      </w:r>
      <w:r>
        <w:rPr>
          <w:rFonts w:ascii="宋体" w:hAnsi="宋体" w:eastAsia="宋体" w:cs="宋体"/>
          <w:color w:val="auto"/>
          <w:sz w:val="24"/>
          <w:szCs w:val="24"/>
        </w:rPr>
        <w:t>款商定或确定。</w:t>
      </w:r>
    </w:p>
    <w:p>
      <w:pPr>
        <w:spacing w:after="0" w:line="110" w:lineRule="exact"/>
        <w:rPr>
          <w:color w:val="auto"/>
          <w:sz w:val="24"/>
          <w:szCs w:val="24"/>
        </w:rPr>
      </w:pPr>
    </w:p>
    <w:p>
      <w:pPr>
        <w:spacing w:after="0" w:line="292" w:lineRule="exact"/>
        <w:ind w:left="680"/>
        <w:rPr>
          <w:color w:val="auto"/>
          <w:sz w:val="24"/>
          <w:szCs w:val="24"/>
        </w:rPr>
      </w:pPr>
      <w:r>
        <w:rPr>
          <w:rFonts w:ascii="宋体" w:hAnsi="宋体" w:eastAsia="宋体" w:cs="宋体"/>
          <w:color w:val="auto"/>
          <w:sz w:val="24"/>
          <w:szCs w:val="24"/>
        </w:rPr>
        <w:t>本款补充第</w:t>
      </w:r>
      <w:r>
        <w:rPr>
          <w:rFonts w:ascii="Times New Roman" w:hAnsi="Times New Roman" w:eastAsia="Times New Roman" w:cs="Times New Roman"/>
          <w:color w:val="auto"/>
          <w:sz w:val="24"/>
          <w:szCs w:val="24"/>
        </w:rPr>
        <w:t xml:space="preserve"> 9.2.8 </w:t>
      </w:r>
      <w:r>
        <w:rPr>
          <w:rFonts w:ascii="宋体" w:hAnsi="宋体" w:eastAsia="宋体" w:cs="宋体"/>
          <w:color w:val="auto"/>
          <w:sz w:val="24"/>
          <w:szCs w:val="24"/>
        </w:rPr>
        <w:t>项</w:t>
      </w:r>
      <w:r>
        <w:rPr>
          <w:rFonts w:ascii="Times New Roman" w:hAnsi="Times New Roman" w:eastAsia="Times New Roman" w:cs="Times New Roman"/>
          <w:color w:val="auto"/>
          <w:sz w:val="24"/>
          <w:szCs w:val="24"/>
        </w:rPr>
        <w:t>~</w:t>
      </w:r>
      <w:r>
        <w:rPr>
          <w:rFonts w:ascii="宋体" w:hAnsi="宋体" w:eastAsia="宋体" w:cs="宋体"/>
          <w:color w:val="auto"/>
          <w:sz w:val="24"/>
          <w:szCs w:val="24"/>
        </w:rPr>
        <w:t>第</w:t>
      </w:r>
      <w:r>
        <w:rPr>
          <w:rFonts w:ascii="Times New Roman" w:hAnsi="Times New Roman" w:eastAsia="Times New Roman" w:cs="Times New Roman"/>
          <w:color w:val="auto"/>
          <w:sz w:val="24"/>
          <w:szCs w:val="24"/>
        </w:rPr>
        <w:t xml:space="preserve"> 9.2.11 </w:t>
      </w:r>
      <w:r>
        <w:rPr>
          <w:rFonts w:ascii="宋体" w:hAnsi="宋体" w:eastAsia="宋体" w:cs="宋体"/>
          <w:color w:val="auto"/>
          <w:sz w:val="24"/>
          <w:szCs w:val="24"/>
        </w:rPr>
        <w:t>项：</w:t>
      </w:r>
    </w:p>
    <w:p>
      <w:pPr>
        <w:spacing w:after="0" w:line="109" w:lineRule="exact"/>
        <w:rPr>
          <w:color w:val="auto"/>
          <w:sz w:val="24"/>
          <w:szCs w:val="24"/>
        </w:rPr>
      </w:pPr>
    </w:p>
    <w:p>
      <w:pPr>
        <w:spacing w:after="0" w:line="337" w:lineRule="exact"/>
        <w:ind w:left="200" w:right="144" w:firstLine="480"/>
        <w:jc w:val="both"/>
        <w:rPr>
          <w:color w:val="auto"/>
          <w:sz w:val="20"/>
          <w:szCs w:val="20"/>
        </w:rPr>
      </w:pPr>
      <w:r>
        <w:rPr>
          <w:rFonts w:ascii="Times New Roman" w:hAnsi="Times New Roman" w:eastAsia="Times New Roman" w:cs="Times New Roman"/>
          <w:color w:val="auto"/>
          <w:sz w:val="24"/>
          <w:szCs w:val="24"/>
        </w:rPr>
        <w:t xml:space="preserve">9.2.8 </w:t>
      </w:r>
      <w:r>
        <w:rPr>
          <w:rFonts w:ascii="宋体" w:hAnsi="宋体" w:eastAsia="宋体" w:cs="宋体"/>
          <w:color w:val="auto"/>
          <w:sz w:val="24"/>
          <w:szCs w:val="24"/>
        </w:rPr>
        <w:t>承包人应充分关注和保障所有在现场工作的人员的安全，采取以下有效措施，使现场和本合同工程的实施保持有条不紊，以免使上述人员的安全受到威胁。</w:t>
      </w:r>
    </w:p>
    <w:p>
      <w:pPr>
        <w:spacing w:after="0" w:line="126" w:lineRule="exact"/>
        <w:rPr>
          <w:color w:val="auto"/>
          <w:sz w:val="20"/>
          <w:szCs w:val="20"/>
        </w:rPr>
      </w:pPr>
    </w:p>
    <w:p>
      <w:pPr>
        <w:spacing w:after="0" w:line="337" w:lineRule="exact"/>
        <w:ind w:left="200" w:right="144" w:firstLine="480"/>
        <w:jc w:val="both"/>
        <w:rPr>
          <w:color w:val="auto"/>
          <w:sz w:val="20"/>
          <w:szCs w:val="20"/>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按《公路水运工程安全生产监督管理办法》规定的最低数量和资质条件配备专职安全生产管理人员；</w:t>
      </w:r>
    </w:p>
    <w:p>
      <w:pPr>
        <w:spacing w:after="0" w:line="160" w:lineRule="exact"/>
        <w:rPr>
          <w:color w:val="auto"/>
          <w:sz w:val="20"/>
          <w:szCs w:val="20"/>
        </w:rPr>
      </w:pPr>
    </w:p>
    <w:p>
      <w:pPr>
        <w:numPr>
          <w:ilvl w:val="0"/>
          <w:numId w:val="28"/>
        </w:numPr>
        <w:tabs>
          <w:tab w:val="left" w:pos="1084"/>
        </w:tabs>
        <w:spacing w:after="0" w:line="347" w:lineRule="exact"/>
        <w:ind w:left="200" w:right="144" w:firstLine="484"/>
        <w:jc w:val="both"/>
        <w:rPr>
          <w:rFonts w:ascii="Times New Roman" w:hAnsi="Times New Roman" w:eastAsia="Times New Roman" w:cs="Times New Roman"/>
          <w:color w:val="auto"/>
          <w:sz w:val="24"/>
          <w:szCs w:val="24"/>
        </w:rPr>
      </w:pPr>
      <w:r>
        <w:rPr>
          <w:rFonts w:ascii="宋体" w:hAnsi="宋体" w:eastAsia="宋体" w:cs="宋体"/>
          <w:color w:val="auto"/>
          <w:sz w:val="24"/>
          <w:szCs w:val="24"/>
        </w:rPr>
        <w:t>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after="0" w:line="121" w:lineRule="exact"/>
        <w:rPr>
          <w:rFonts w:ascii="Times New Roman" w:hAnsi="Times New Roman" w:eastAsia="Times New Roman" w:cs="Times New Roman"/>
          <w:color w:val="auto"/>
          <w:sz w:val="24"/>
          <w:szCs w:val="24"/>
        </w:rPr>
      </w:pPr>
    </w:p>
    <w:p>
      <w:pPr>
        <w:numPr>
          <w:ilvl w:val="0"/>
          <w:numId w:val="0"/>
        </w:numPr>
        <w:tabs>
          <w:tab w:val="left" w:pos="960"/>
        </w:tabs>
        <w:spacing w:after="0" w:line="280" w:lineRule="exact"/>
        <w:ind w:left="684" w:leftChars="0"/>
        <w:rPr>
          <w:rFonts w:ascii="Times New Roman" w:hAnsi="Times New Roman" w:eastAsia="Times New Roman" w:cs="Times New Roman"/>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ascii="宋体" w:hAnsi="宋体" w:eastAsia="宋体" w:cs="宋体"/>
          <w:color w:val="auto"/>
          <w:sz w:val="24"/>
          <w:szCs w:val="24"/>
        </w:rPr>
        <w:t>有施工机具设备和高空作业设备均应定期检查，并有安全员的签字</w:t>
      </w:r>
      <w:r>
        <w:rPr>
          <w:rFonts w:hint="eastAsia" w:ascii="宋体" w:hAnsi="宋体" w:eastAsia="宋体" w:cs="宋体"/>
          <w:color w:val="auto"/>
          <w:sz w:val="24"/>
          <w:szCs w:val="24"/>
          <w:lang w:eastAsia="zh-CN"/>
        </w:rPr>
        <w:t>记</w:t>
      </w:r>
      <w:r>
        <w:rPr>
          <w:rFonts w:ascii="宋体" w:hAnsi="宋体" w:eastAsia="宋体" w:cs="宋体"/>
          <w:color w:val="auto"/>
          <w:sz w:val="24"/>
          <w:szCs w:val="24"/>
        </w:rPr>
        <w:t>录；</w:t>
      </w:r>
    </w:p>
    <w:p>
      <w:pPr>
        <w:spacing w:after="0" w:line="159" w:lineRule="exact"/>
        <w:rPr>
          <w:rFonts w:ascii="Times New Roman" w:hAnsi="Times New Roman" w:eastAsia="Times New Roman" w:cs="Times New Roman"/>
          <w:color w:val="auto"/>
          <w:sz w:val="24"/>
          <w:szCs w:val="24"/>
        </w:rPr>
      </w:pPr>
    </w:p>
    <w:p>
      <w:pPr>
        <w:numPr>
          <w:ilvl w:val="0"/>
          <w:numId w:val="0"/>
        </w:numPr>
        <w:tabs>
          <w:tab w:val="left" w:pos="961"/>
        </w:tabs>
        <w:spacing w:after="0" w:line="347" w:lineRule="exact"/>
        <w:ind w:left="0" w:leftChars="0" w:right="144" w:rightChars="0" w:firstLine="720" w:firstLineChars="300"/>
        <w:jc w:val="both"/>
        <w:rPr>
          <w:rFonts w:ascii="Times New Roman" w:hAnsi="Times New Roman" w:eastAsia="Times New Roman" w:cs="Times New Roman"/>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ascii="宋体" w:hAnsi="宋体" w:eastAsia="宋体" w:cs="宋体"/>
          <w:color w:val="auto"/>
          <w:sz w:val="24"/>
          <w:szCs w:val="24"/>
        </w:rPr>
        <w:t>根据本合同各单位工程的施工特点，严格执行《公路水运工程安全生产监督管理办法》、《公路工程施工安全技术规程》与《公路筑养路机械操作规程》的具体规定。</w:t>
      </w:r>
    </w:p>
    <w:p>
      <w:pPr>
        <w:spacing w:after="0" w:line="127" w:lineRule="exact"/>
        <w:rPr>
          <w:rFonts w:ascii="Times New Roman" w:hAnsi="Times New Roman" w:eastAsia="Times New Roman" w:cs="Times New Roman"/>
          <w:color w:val="auto"/>
          <w:sz w:val="24"/>
          <w:szCs w:val="24"/>
        </w:rPr>
      </w:pPr>
    </w:p>
    <w:p>
      <w:pPr>
        <w:spacing w:after="0" w:line="358" w:lineRule="exact"/>
        <w:ind w:left="200" w:right="144" w:firstLine="480"/>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9.2.9 </w:t>
      </w:r>
      <w:r>
        <w:rPr>
          <w:rFonts w:ascii="宋体" w:hAnsi="宋体" w:eastAsia="宋体" w:cs="宋体"/>
          <w:color w:val="auto"/>
          <w:sz w:val="24"/>
          <w:szCs w:val="24"/>
        </w:rPr>
        <w:t>为了保护本合同工程免遭损坏，或为了现场附近和过往群众的安全与方便，在确有必要的时候和地方，或当监理人或有关主管部门要求时，承包人应自费提供照明、警卫、护栅、警告标志等安全防护设施。</w:t>
      </w:r>
    </w:p>
    <w:p>
      <w:pPr>
        <w:spacing w:after="0" w:line="126" w:lineRule="exact"/>
        <w:rPr>
          <w:rFonts w:ascii="Times New Roman" w:hAnsi="Times New Roman" w:eastAsia="Times New Roman" w:cs="Times New Roman"/>
          <w:color w:val="auto"/>
          <w:sz w:val="23"/>
          <w:szCs w:val="23"/>
        </w:rPr>
      </w:pPr>
    </w:p>
    <w:p>
      <w:pPr>
        <w:spacing w:after="0" w:line="338" w:lineRule="exact"/>
        <w:ind w:left="200" w:right="144" w:firstLine="48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9.2.10 </w:t>
      </w:r>
      <w:r>
        <w:rPr>
          <w:rFonts w:ascii="宋体" w:hAnsi="宋体" w:eastAsia="宋体" w:cs="宋体"/>
          <w:color w:val="auto"/>
          <w:sz w:val="24"/>
          <w:szCs w:val="24"/>
        </w:rPr>
        <w:t>在通航水域施工时，承包人应与当地主管部门取得联系，设置必要的导航标志，及时发布航行通告，确保施工水域安全。</w:t>
      </w:r>
    </w:p>
    <w:p>
      <w:pPr>
        <w:spacing w:after="0" w:line="126" w:lineRule="exact"/>
        <w:rPr>
          <w:rFonts w:ascii="Times New Roman" w:hAnsi="Times New Roman" w:eastAsia="Times New Roman" w:cs="Times New Roman"/>
          <w:color w:val="auto"/>
          <w:sz w:val="23"/>
          <w:szCs w:val="23"/>
        </w:rPr>
      </w:pPr>
    </w:p>
    <w:p>
      <w:pPr>
        <w:spacing w:after="0" w:line="368" w:lineRule="exact"/>
        <w:ind w:left="200" w:right="144" w:firstLine="480"/>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9.2.11 </w:t>
      </w:r>
      <w:r>
        <w:rPr>
          <w:rFonts w:ascii="宋体" w:hAnsi="宋体" w:eastAsia="宋体" w:cs="宋体"/>
          <w:color w:val="auto"/>
          <w:sz w:val="24"/>
          <w:szCs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after="0" w:line="20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9.4 </w:t>
      </w:r>
      <w:r>
        <w:rPr>
          <w:rFonts w:ascii="黑体" w:hAnsi="黑体" w:eastAsia="黑体" w:cs="黑体"/>
          <w:color w:val="auto"/>
          <w:sz w:val="24"/>
          <w:szCs w:val="24"/>
        </w:rPr>
        <w:t>环境保护</w:t>
      </w:r>
    </w:p>
    <w:p>
      <w:pPr>
        <w:spacing w:after="0" w:line="349"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本款补充第</w:t>
      </w:r>
      <w:r>
        <w:rPr>
          <w:rFonts w:ascii="Times New Roman" w:hAnsi="Times New Roman" w:eastAsia="Times New Roman" w:cs="Times New Roman"/>
          <w:color w:val="auto"/>
          <w:sz w:val="24"/>
          <w:szCs w:val="24"/>
        </w:rPr>
        <w:t xml:space="preserve"> 9.4.7 </w:t>
      </w:r>
      <w:r>
        <w:rPr>
          <w:rFonts w:ascii="宋体" w:hAnsi="宋体" w:eastAsia="宋体" w:cs="宋体"/>
          <w:color w:val="auto"/>
          <w:sz w:val="24"/>
          <w:szCs w:val="24"/>
        </w:rPr>
        <w:t>项</w:t>
      </w:r>
      <w:r>
        <w:rPr>
          <w:rFonts w:ascii="Times New Roman" w:hAnsi="Times New Roman" w:eastAsia="Times New Roman" w:cs="Times New Roman"/>
          <w:color w:val="auto"/>
          <w:sz w:val="24"/>
          <w:szCs w:val="24"/>
        </w:rPr>
        <w:t>~</w:t>
      </w:r>
      <w:r>
        <w:rPr>
          <w:rFonts w:ascii="宋体" w:hAnsi="宋体" w:eastAsia="宋体" w:cs="宋体"/>
          <w:color w:val="auto"/>
          <w:sz w:val="24"/>
          <w:szCs w:val="24"/>
        </w:rPr>
        <w:t>第</w:t>
      </w:r>
      <w:r>
        <w:rPr>
          <w:rFonts w:ascii="Times New Roman" w:hAnsi="Times New Roman" w:eastAsia="Times New Roman" w:cs="Times New Roman"/>
          <w:color w:val="auto"/>
          <w:sz w:val="24"/>
          <w:szCs w:val="24"/>
        </w:rPr>
        <w:t xml:space="preserve"> 9.4.11 </w:t>
      </w:r>
      <w:r>
        <w:rPr>
          <w:rFonts w:ascii="宋体" w:hAnsi="宋体" w:eastAsia="宋体" w:cs="宋体"/>
          <w:color w:val="auto"/>
          <w:sz w:val="24"/>
          <w:szCs w:val="24"/>
        </w:rPr>
        <w:t>项：</w:t>
      </w:r>
    </w:p>
    <w:p>
      <w:pPr>
        <w:spacing w:after="0" w:line="10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9.4.7 </w:t>
      </w:r>
      <w:r>
        <w:rPr>
          <w:rFonts w:ascii="宋体" w:hAnsi="宋体" w:eastAsia="宋体" w:cs="宋体"/>
          <w:color w:val="auto"/>
          <w:sz w:val="24"/>
          <w:szCs w:val="24"/>
        </w:rPr>
        <w:t>承包人应切实执行技术规范中有关环境保护方面的条款和规定。</w:t>
      </w:r>
    </w:p>
    <w:p>
      <w:pPr>
        <w:spacing w:after="0" w:line="109" w:lineRule="exact"/>
        <w:rPr>
          <w:color w:val="auto"/>
          <w:sz w:val="20"/>
          <w:szCs w:val="20"/>
        </w:rPr>
      </w:pPr>
    </w:p>
    <w:p>
      <w:pPr>
        <w:spacing w:after="0" w:line="382" w:lineRule="exact"/>
        <w:ind w:left="200" w:right="24" w:firstLine="480"/>
        <w:rPr>
          <w:color w:val="auto"/>
          <w:sz w:val="20"/>
          <w:szCs w:val="20"/>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rFonts w:ascii="Times New Roman" w:hAnsi="Times New Roman" w:eastAsia="Times New Roman" w:cs="Times New Roman"/>
          <w:color w:val="auto"/>
          <w:sz w:val="24"/>
          <w:szCs w:val="24"/>
        </w:rPr>
        <w:t xml:space="preserve"> 150m </w:t>
      </w:r>
      <w:r>
        <w:rPr>
          <w:rFonts w:ascii="宋体" w:hAnsi="宋体" w:eastAsia="宋体" w:cs="宋体"/>
          <w:color w:val="auto"/>
          <w:sz w:val="24"/>
          <w:szCs w:val="24"/>
        </w:rPr>
        <w:t>以内的施工现场，施工时间应加以控制。</w:t>
      </w:r>
    </w:p>
    <w:p>
      <w:pPr>
        <w:spacing w:after="0" w:line="131" w:lineRule="exact"/>
        <w:rPr>
          <w:color w:val="auto"/>
          <w:sz w:val="20"/>
          <w:szCs w:val="20"/>
        </w:rPr>
      </w:pPr>
    </w:p>
    <w:p>
      <w:pPr>
        <w:spacing w:after="0" w:line="358" w:lineRule="exact"/>
        <w:ind w:left="200" w:right="144" w:firstLine="480"/>
        <w:jc w:val="both"/>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对于公路施工中粉尘污染的主要污染源</w:t>
      </w:r>
      <w:r>
        <w:rPr>
          <w:rFonts w:ascii="Times New Roman" w:hAnsi="Times New Roman" w:eastAsia="Times New Roman" w:cs="Times New Roman"/>
          <w:color w:val="auto"/>
          <w:sz w:val="24"/>
          <w:szCs w:val="24"/>
        </w:rPr>
        <w:t>――</w:t>
      </w:r>
      <w:r>
        <w:rPr>
          <w:rFonts w:ascii="宋体" w:hAnsi="宋体" w:eastAsia="宋体" w:cs="宋体"/>
          <w:color w:val="auto"/>
          <w:sz w:val="24"/>
          <w:szCs w:val="24"/>
        </w:rPr>
        <w:t>灰土拌和、施工车辆和筑路机械运行及运输产生的扬尘，应采取有效措施减轻其对施工现场的大气污染，保护人民健康，如：</w:t>
      </w:r>
    </w:p>
    <w:p>
      <w:pPr>
        <w:spacing w:after="0" w:line="110" w:lineRule="exact"/>
        <w:rPr>
          <w:color w:val="auto"/>
          <w:sz w:val="20"/>
          <w:szCs w:val="20"/>
        </w:rPr>
      </w:pPr>
    </w:p>
    <w:p>
      <w:pPr>
        <w:numPr>
          <w:ilvl w:val="0"/>
          <w:numId w:val="29"/>
        </w:numPr>
        <w:tabs>
          <w:tab w:val="left" w:pos="980"/>
        </w:tabs>
        <w:spacing w:after="0" w:line="292" w:lineRule="exact"/>
        <w:ind w:left="980" w:hanging="296"/>
        <w:rPr>
          <w:rFonts w:ascii="Times New Roman" w:hAnsi="Times New Roman" w:eastAsia="Times New Roman" w:cs="Times New Roman"/>
          <w:color w:val="auto"/>
          <w:sz w:val="24"/>
          <w:szCs w:val="24"/>
        </w:rPr>
      </w:pPr>
      <w:r>
        <w:rPr>
          <w:rFonts w:ascii="宋体" w:hAnsi="宋体" w:eastAsia="宋体" w:cs="宋体"/>
          <w:color w:val="auto"/>
          <w:sz w:val="24"/>
          <w:szCs w:val="24"/>
        </w:rPr>
        <w:t>拌和设备应有较好的密封，或有防尘设备。</w:t>
      </w:r>
    </w:p>
    <w:p>
      <w:pPr>
        <w:spacing w:after="0" w:line="107" w:lineRule="exact"/>
        <w:rPr>
          <w:rFonts w:ascii="Times New Roman" w:hAnsi="Times New Roman" w:eastAsia="Times New Roman" w:cs="Times New Roman"/>
          <w:color w:val="auto"/>
          <w:sz w:val="24"/>
          <w:szCs w:val="24"/>
        </w:rPr>
      </w:pPr>
    </w:p>
    <w:p>
      <w:pPr>
        <w:numPr>
          <w:ilvl w:val="0"/>
          <w:numId w:val="29"/>
        </w:numPr>
        <w:tabs>
          <w:tab w:val="left" w:pos="980"/>
        </w:tabs>
        <w:spacing w:after="0" w:line="292" w:lineRule="exact"/>
        <w:ind w:left="980" w:hanging="296"/>
        <w:rPr>
          <w:rFonts w:ascii="Times New Roman" w:hAnsi="Times New Roman" w:eastAsia="Times New Roman" w:cs="Times New Roman"/>
          <w:color w:val="auto"/>
          <w:sz w:val="24"/>
          <w:szCs w:val="24"/>
        </w:rPr>
      </w:pPr>
      <w:r>
        <w:rPr>
          <w:rFonts w:ascii="宋体" w:hAnsi="宋体" w:eastAsia="宋体" w:cs="宋体"/>
          <w:color w:val="auto"/>
          <w:sz w:val="24"/>
          <w:szCs w:val="24"/>
        </w:rPr>
        <w:t>施工通道、沥青混凝土拌和站及灰土拌和站应经常进行洒水降尘。</w:t>
      </w:r>
    </w:p>
    <w:p>
      <w:pPr>
        <w:spacing w:after="0" w:line="108" w:lineRule="exact"/>
        <w:rPr>
          <w:rFonts w:ascii="Times New Roman" w:hAnsi="Times New Roman" w:eastAsia="Times New Roman" w:cs="Times New Roman"/>
          <w:color w:val="auto"/>
          <w:sz w:val="24"/>
          <w:szCs w:val="24"/>
        </w:rPr>
      </w:pPr>
    </w:p>
    <w:p>
      <w:pPr>
        <w:numPr>
          <w:ilvl w:val="0"/>
          <w:numId w:val="29"/>
        </w:numPr>
        <w:tabs>
          <w:tab w:val="left" w:pos="980"/>
        </w:tabs>
        <w:spacing w:after="0" w:line="292" w:lineRule="exact"/>
        <w:ind w:left="980" w:hanging="296"/>
        <w:rPr>
          <w:rFonts w:ascii="Times New Roman" w:hAnsi="Times New Roman" w:eastAsia="Times New Roman" w:cs="Times New Roman"/>
          <w:color w:val="auto"/>
          <w:sz w:val="24"/>
          <w:szCs w:val="24"/>
        </w:rPr>
      </w:pPr>
      <w:r>
        <w:rPr>
          <w:rFonts w:ascii="宋体" w:hAnsi="宋体" w:eastAsia="宋体" w:cs="宋体"/>
          <w:color w:val="auto"/>
          <w:sz w:val="24"/>
          <w:szCs w:val="24"/>
        </w:rPr>
        <w:t>路面施工应注意保持水分，以免扬尘。</w:t>
      </w:r>
    </w:p>
    <w:p>
      <w:pPr>
        <w:spacing w:after="0" w:line="159" w:lineRule="exact"/>
        <w:rPr>
          <w:rFonts w:ascii="Times New Roman" w:hAnsi="Times New Roman" w:eastAsia="Times New Roman" w:cs="Times New Roman"/>
          <w:color w:val="auto"/>
          <w:sz w:val="24"/>
          <w:szCs w:val="24"/>
        </w:rPr>
      </w:pPr>
    </w:p>
    <w:p>
      <w:pPr>
        <w:numPr>
          <w:ilvl w:val="0"/>
          <w:numId w:val="29"/>
        </w:numPr>
        <w:tabs>
          <w:tab w:val="left" w:pos="980"/>
        </w:tabs>
        <w:spacing w:after="0" w:line="320" w:lineRule="exact"/>
        <w:ind w:left="200" w:right="144" w:firstLine="484"/>
        <w:rPr>
          <w:rFonts w:ascii="Times New Roman" w:hAnsi="Times New Roman" w:eastAsia="Times New Roman" w:cs="Times New Roman"/>
          <w:color w:val="auto"/>
          <w:sz w:val="24"/>
          <w:szCs w:val="24"/>
        </w:rPr>
      </w:pPr>
      <w:r>
        <w:rPr>
          <w:rFonts w:ascii="宋体" w:hAnsi="宋体" w:eastAsia="宋体" w:cs="宋体"/>
          <w:color w:val="auto"/>
          <w:sz w:val="24"/>
          <w:szCs w:val="24"/>
        </w:rPr>
        <w:t>隧道出渣和桥梁钻孔灌注桩施工时排出的泥浆要进行妥善处理，严禁向河流或农田排放。</w:t>
      </w:r>
    </w:p>
    <w:p>
      <w:pPr>
        <w:spacing w:after="0" w:line="127" w:lineRule="exact"/>
        <w:rPr>
          <w:rFonts w:ascii="Times New Roman" w:hAnsi="Times New Roman" w:eastAsia="Times New Roman" w:cs="Times New Roman"/>
          <w:color w:val="auto"/>
          <w:sz w:val="24"/>
          <w:szCs w:val="24"/>
        </w:rPr>
      </w:pPr>
    </w:p>
    <w:p>
      <w:pPr>
        <w:spacing w:after="0" w:line="336" w:lineRule="exact"/>
        <w:ind w:left="200" w:right="144" w:firstLine="4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(3)</w:t>
      </w:r>
      <w:r>
        <w:rPr>
          <w:rFonts w:ascii="宋体" w:hAnsi="宋体" w:eastAsia="宋体" w:cs="宋体"/>
          <w:color w:val="auto"/>
          <w:sz w:val="24"/>
          <w:szCs w:val="24"/>
        </w:rPr>
        <w:t>采取可靠措施保证原有交通的正常通行，维持沿线村镇的居民饮水、农田灌溉、生产生活用电及通信等管线的正常使用。</w:t>
      </w:r>
    </w:p>
    <w:p>
      <w:pPr>
        <w:spacing w:after="0" w:line="127" w:lineRule="exact"/>
        <w:rPr>
          <w:rFonts w:ascii="Times New Roman" w:hAnsi="Times New Roman" w:eastAsia="Times New Roman" w:cs="Times New Roman"/>
          <w:color w:val="auto"/>
          <w:sz w:val="24"/>
          <w:szCs w:val="24"/>
        </w:rPr>
      </w:pPr>
    </w:p>
    <w:p>
      <w:pPr>
        <w:spacing w:after="0" w:line="368" w:lineRule="exact"/>
        <w:ind w:left="200" w:right="144" w:firstLine="48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9.4.8 </w:t>
      </w:r>
      <w:r>
        <w:rPr>
          <w:rFonts w:ascii="宋体" w:hAnsi="宋体" w:eastAsia="宋体" w:cs="宋体"/>
          <w:color w:val="auto"/>
          <w:sz w:val="24"/>
          <w:szCs w:val="24"/>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after="0" w:line="130" w:lineRule="exact"/>
        <w:rPr>
          <w:rFonts w:ascii="Times New Roman" w:hAnsi="Times New Roman" w:eastAsia="Times New Roman" w:cs="Times New Roman"/>
          <w:color w:val="auto"/>
          <w:sz w:val="24"/>
          <w:szCs w:val="24"/>
        </w:rPr>
      </w:pPr>
    </w:p>
    <w:p>
      <w:pPr>
        <w:spacing w:after="0" w:line="358" w:lineRule="exact"/>
        <w:ind w:left="200" w:right="144" w:firstLine="48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9.4.9 </w:t>
      </w:r>
      <w:r>
        <w:rPr>
          <w:rFonts w:ascii="宋体" w:hAnsi="宋体" w:eastAsia="宋体" w:cs="宋体"/>
          <w:color w:val="auto"/>
          <w:sz w:val="24"/>
          <w:szCs w:val="24"/>
        </w:rPr>
        <w:t>在施工期间，承包人应随时保持现场整洁，施工设备和材料、工程设备应整齐妥善存放和储存，废料与垃圾及不再需要的临时设施应及时从现场清除、拆除并运走。</w:t>
      </w:r>
    </w:p>
    <w:p>
      <w:pPr>
        <w:spacing w:after="0" w:line="128" w:lineRule="exact"/>
        <w:rPr>
          <w:rFonts w:ascii="Times New Roman" w:hAnsi="Times New Roman" w:eastAsia="Times New Roman" w:cs="Times New Roman"/>
          <w:color w:val="auto"/>
          <w:sz w:val="24"/>
          <w:szCs w:val="24"/>
        </w:rPr>
      </w:pPr>
    </w:p>
    <w:p>
      <w:pPr>
        <w:spacing w:after="0" w:line="379" w:lineRule="exact"/>
        <w:ind w:left="200" w:right="144" w:firstLine="480"/>
        <w:jc w:val="both"/>
        <w:rPr>
          <w:color w:val="auto"/>
          <w:sz w:val="20"/>
          <w:szCs w:val="20"/>
        </w:rPr>
      </w:pPr>
      <w:r>
        <w:rPr>
          <w:rFonts w:ascii="Times New Roman" w:hAnsi="Times New Roman" w:eastAsia="Times New Roman" w:cs="Times New Roman"/>
          <w:color w:val="auto"/>
          <w:sz w:val="24"/>
          <w:szCs w:val="24"/>
        </w:rPr>
        <w:t xml:space="preserve">9.4.10 </w:t>
      </w:r>
      <w:r>
        <w:rPr>
          <w:rFonts w:ascii="宋体" w:hAnsi="宋体" w:eastAsia="宋体" w:cs="宋体"/>
          <w:color w:val="auto"/>
          <w:sz w:val="24"/>
          <w:szCs w:val="24"/>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after="0" w:line="128" w:lineRule="exact"/>
        <w:rPr>
          <w:color w:val="auto"/>
          <w:sz w:val="20"/>
          <w:szCs w:val="20"/>
        </w:rPr>
      </w:pPr>
    </w:p>
    <w:p>
      <w:pPr>
        <w:spacing w:after="0" w:line="375" w:lineRule="exact"/>
        <w:ind w:left="200" w:right="24" w:firstLine="480"/>
        <w:rPr>
          <w:color w:val="auto"/>
          <w:sz w:val="20"/>
          <w:szCs w:val="20"/>
        </w:rPr>
      </w:pPr>
      <w:r>
        <w:rPr>
          <w:rFonts w:ascii="Times New Roman" w:hAnsi="Times New Roman" w:eastAsia="Times New Roman" w:cs="Times New Roman"/>
          <w:color w:val="auto"/>
          <w:sz w:val="24"/>
          <w:szCs w:val="24"/>
        </w:rPr>
        <w:t xml:space="preserve">9.4.11 </w:t>
      </w:r>
      <w:r>
        <w:rPr>
          <w:rFonts w:ascii="宋体" w:hAnsi="宋体" w:eastAsia="宋体" w:cs="宋体"/>
          <w:color w:val="auto"/>
          <w:sz w:val="24"/>
          <w:szCs w:val="24"/>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spacing w:after="0" w:line="200" w:lineRule="exact"/>
        <w:rPr>
          <w:color w:val="auto"/>
          <w:sz w:val="20"/>
          <w:szCs w:val="20"/>
        </w:rPr>
      </w:pPr>
    </w:p>
    <w:p>
      <w:pPr>
        <w:spacing w:after="0" w:line="317" w:lineRule="exact"/>
        <w:rPr>
          <w:color w:val="auto"/>
          <w:sz w:val="20"/>
          <w:szCs w:val="20"/>
        </w:rPr>
      </w:pPr>
    </w:p>
    <w:p>
      <w:pPr>
        <w:numPr>
          <w:ilvl w:val="0"/>
          <w:numId w:val="30"/>
        </w:numPr>
        <w:tabs>
          <w:tab w:val="left" w:pos="700"/>
        </w:tabs>
        <w:spacing w:after="0" w:line="341" w:lineRule="exact"/>
        <w:ind w:left="700" w:hanging="496"/>
        <w:rPr>
          <w:rFonts w:ascii="Times New Roman" w:hAnsi="Times New Roman" w:eastAsia="Times New Roman" w:cs="Times New Roman"/>
          <w:color w:val="auto"/>
          <w:sz w:val="28"/>
          <w:szCs w:val="28"/>
        </w:rPr>
      </w:pPr>
      <w:r>
        <w:rPr>
          <w:rFonts w:ascii="黑体" w:hAnsi="黑体" w:eastAsia="黑体" w:cs="黑体"/>
          <w:color w:val="auto"/>
          <w:sz w:val="28"/>
          <w:szCs w:val="28"/>
        </w:rPr>
        <w:t>进度计划</w:t>
      </w:r>
    </w:p>
    <w:p>
      <w:pPr>
        <w:spacing w:after="0" w:line="349"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10.1 </w:t>
      </w:r>
      <w:r>
        <w:rPr>
          <w:rFonts w:ascii="黑体" w:hAnsi="黑体" w:eastAsia="黑体" w:cs="黑体"/>
          <w:color w:val="auto"/>
          <w:sz w:val="24"/>
          <w:szCs w:val="24"/>
        </w:rPr>
        <w:t>合同进度计划</w:t>
      </w:r>
    </w:p>
    <w:p>
      <w:pPr>
        <w:spacing w:after="0" w:line="349"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本款补充：</w:t>
      </w:r>
    </w:p>
    <w:p>
      <w:pPr>
        <w:spacing w:after="0" w:line="126"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承包人编制施工方案说明的内容见项目专用合同条款。</w:t>
      </w:r>
    </w:p>
    <w:p>
      <w:pPr>
        <w:spacing w:after="0" w:line="127"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承包人向监理人报送施工进度计划和施工方案说明的期限：签订合同协议书后</w:t>
      </w:r>
    </w:p>
    <w:p>
      <w:pPr>
        <w:spacing w:after="0" w:line="108" w:lineRule="exact"/>
        <w:rPr>
          <w:color w:val="auto"/>
          <w:sz w:val="20"/>
          <w:szCs w:val="20"/>
        </w:rPr>
      </w:pPr>
    </w:p>
    <w:p>
      <w:pPr>
        <w:numPr>
          <w:ilvl w:val="0"/>
          <w:numId w:val="31"/>
        </w:numPr>
        <w:tabs>
          <w:tab w:val="left" w:pos="500"/>
        </w:tabs>
        <w:spacing w:after="0" w:line="292" w:lineRule="exact"/>
        <w:ind w:left="500" w:hanging="296"/>
        <w:rPr>
          <w:rFonts w:ascii="Times New Roman" w:hAnsi="Times New Roman" w:eastAsia="Times New Roman" w:cs="Times New Roman"/>
          <w:color w:val="auto"/>
          <w:sz w:val="24"/>
          <w:szCs w:val="24"/>
        </w:rPr>
      </w:pPr>
      <w:r>
        <w:rPr>
          <w:rFonts w:ascii="宋体" w:hAnsi="宋体" w:eastAsia="宋体" w:cs="宋体"/>
          <w:color w:val="auto"/>
          <w:sz w:val="24"/>
          <w:szCs w:val="24"/>
        </w:rPr>
        <w:t>天之内。</w:t>
      </w:r>
    </w:p>
    <w:p>
      <w:pPr>
        <w:spacing w:after="0" w:line="126" w:lineRule="exact"/>
        <w:rPr>
          <w:color w:val="auto"/>
          <w:sz w:val="20"/>
          <w:szCs w:val="20"/>
        </w:rPr>
      </w:pPr>
    </w:p>
    <w:p>
      <w:pPr>
        <w:spacing w:after="0" w:line="338" w:lineRule="exact"/>
        <w:ind w:left="200" w:right="144" w:firstLine="480"/>
        <w:jc w:val="both"/>
        <w:rPr>
          <w:color w:val="auto"/>
          <w:sz w:val="20"/>
          <w:szCs w:val="20"/>
        </w:rPr>
      </w:pPr>
      <w:r>
        <w:rPr>
          <w:rFonts w:ascii="宋体" w:hAnsi="宋体" w:eastAsia="宋体" w:cs="宋体"/>
          <w:color w:val="auto"/>
          <w:sz w:val="24"/>
          <w:szCs w:val="24"/>
        </w:rPr>
        <w:t>监理人应在</w:t>
      </w:r>
      <w:r>
        <w:rPr>
          <w:rFonts w:ascii="Times New Roman" w:hAnsi="Times New Roman" w:eastAsia="Times New Roman" w:cs="Times New Roman"/>
          <w:color w:val="auto"/>
          <w:sz w:val="24"/>
          <w:szCs w:val="24"/>
        </w:rPr>
        <w:t xml:space="preserve"> 14 </w:t>
      </w:r>
      <w:r>
        <w:rPr>
          <w:rFonts w:ascii="宋体" w:hAnsi="宋体" w:eastAsia="宋体" w:cs="宋体"/>
          <w:color w:val="auto"/>
          <w:sz w:val="24"/>
          <w:szCs w:val="24"/>
        </w:rPr>
        <w:t>天内对承包人施工进度计划和施工方案说明予以批复或提出修改意见。</w:t>
      </w:r>
    </w:p>
    <w:p>
      <w:pPr>
        <w:spacing w:after="0" w:line="160" w:lineRule="exact"/>
        <w:rPr>
          <w:color w:val="auto"/>
          <w:sz w:val="20"/>
          <w:szCs w:val="20"/>
        </w:rPr>
      </w:pPr>
    </w:p>
    <w:p>
      <w:pPr>
        <w:spacing w:after="0" w:line="320" w:lineRule="exact"/>
        <w:ind w:left="200" w:right="144" w:firstLine="480"/>
        <w:jc w:val="both"/>
        <w:rPr>
          <w:color w:val="auto"/>
          <w:sz w:val="20"/>
          <w:szCs w:val="20"/>
        </w:rPr>
      </w:pPr>
      <w:r>
        <w:rPr>
          <w:rFonts w:ascii="宋体" w:hAnsi="宋体" w:eastAsia="宋体" w:cs="宋体"/>
          <w:color w:val="auto"/>
          <w:sz w:val="24"/>
          <w:szCs w:val="24"/>
        </w:rPr>
        <w:t>合同进度计划应按照关键线路网络图和主要工作横道图两种形式分别编绘，并应包括每月预计完成的工作量和形象进度。</w:t>
      </w:r>
    </w:p>
    <w:p>
      <w:pPr>
        <w:spacing w:after="0" w:line="347"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10.2 </w:t>
      </w:r>
      <w:r>
        <w:rPr>
          <w:rFonts w:ascii="黑体" w:hAnsi="黑体" w:eastAsia="黑体" w:cs="黑体"/>
          <w:color w:val="auto"/>
          <w:sz w:val="24"/>
          <w:szCs w:val="24"/>
        </w:rPr>
        <w:t>合同进度计划的修订</w:t>
      </w:r>
    </w:p>
    <w:p>
      <w:pPr>
        <w:spacing w:after="0" w:line="348"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本款补充：</w:t>
      </w:r>
    </w:p>
    <w:p>
      <w:pPr>
        <w:spacing w:after="0" w:line="161" w:lineRule="exact"/>
        <w:rPr>
          <w:color w:val="auto"/>
          <w:sz w:val="20"/>
          <w:szCs w:val="20"/>
        </w:rPr>
      </w:pPr>
    </w:p>
    <w:p>
      <w:pPr>
        <w:spacing w:after="0" w:line="339" w:lineRule="exact"/>
        <w:ind w:left="200" w:right="144" w:firstLine="390"/>
        <w:jc w:val="both"/>
        <w:rPr>
          <w:color w:val="auto"/>
          <w:sz w:val="20"/>
          <w:szCs w:val="20"/>
        </w:rPr>
      </w:pPr>
      <w:r>
        <w:rPr>
          <w:rFonts w:ascii="宋体" w:hAnsi="宋体" w:eastAsia="宋体" w:cs="宋体"/>
          <w:color w:val="auto"/>
          <w:sz w:val="24"/>
          <w:szCs w:val="24"/>
        </w:rPr>
        <w:t>承包人提交合同进度计划修订申请报告，并附有关措施和相关资料的期限：实际进度发生滞后的当月</w:t>
      </w:r>
      <w:r>
        <w:rPr>
          <w:rFonts w:ascii="Times New Roman" w:hAnsi="Times New Roman" w:eastAsia="Times New Roman" w:cs="Times New Roman"/>
          <w:color w:val="auto"/>
          <w:sz w:val="24"/>
          <w:szCs w:val="24"/>
        </w:rPr>
        <w:t xml:space="preserve"> 25 </w:t>
      </w:r>
      <w:r>
        <w:rPr>
          <w:rFonts w:ascii="宋体" w:hAnsi="宋体" w:eastAsia="宋体" w:cs="宋体"/>
          <w:color w:val="auto"/>
          <w:sz w:val="24"/>
          <w:szCs w:val="24"/>
        </w:rPr>
        <w:t>日前。</w:t>
      </w:r>
    </w:p>
    <w:p>
      <w:pPr>
        <w:spacing w:after="0" w:line="89" w:lineRule="exact"/>
        <w:rPr>
          <w:color w:val="auto"/>
          <w:sz w:val="20"/>
          <w:szCs w:val="20"/>
        </w:rPr>
      </w:pPr>
    </w:p>
    <w:p>
      <w:pPr>
        <w:spacing w:after="0" w:line="292" w:lineRule="exact"/>
        <w:ind w:left="600"/>
        <w:rPr>
          <w:color w:val="auto"/>
          <w:sz w:val="20"/>
          <w:szCs w:val="20"/>
        </w:rPr>
      </w:pPr>
      <w:r>
        <w:rPr>
          <w:rFonts w:ascii="宋体" w:hAnsi="宋体" w:eastAsia="宋体" w:cs="宋体"/>
          <w:color w:val="auto"/>
          <w:sz w:val="24"/>
          <w:szCs w:val="24"/>
        </w:rPr>
        <w:t>监理人批复修订合同进度计划的期限：收到修订合同进度计划后</w:t>
      </w:r>
      <w:r>
        <w:rPr>
          <w:rFonts w:ascii="Times New Roman" w:hAnsi="Times New Roman" w:eastAsia="Times New Roman" w:cs="Times New Roman"/>
          <w:color w:val="auto"/>
          <w:sz w:val="24"/>
          <w:szCs w:val="24"/>
        </w:rPr>
        <w:t xml:space="preserve"> 14 </w:t>
      </w:r>
      <w:r>
        <w:rPr>
          <w:rFonts w:ascii="宋体" w:hAnsi="宋体" w:eastAsia="宋体" w:cs="宋体"/>
          <w:color w:val="auto"/>
          <w:sz w:val="24"/>
          <w:szCs w:val="24"/>
        </w:rPr>
        <w:t>天内。</w:t>
      </w:r>
    </w:p>
    <w:p>
      <w:pPr>
        <w:spacing w:after="0" w:line="349" w:lineRule="exact"/>
        <w:rPr>
          <w:color w:val="auto"/>
          <w:sz w:val="20"/>
          <w:szCs w:val="20"/>
        </w:rPr>
      </w:pPr>
    </w:p>
    <w:p>
      <w:pPr>
        <w:spacing w:after="0" w:line="292" w:lineRule="exact"/>
        <w:ind w:left="200"/>
        <w:rPr>
          <w:color w:val="auto"/>
          <w:sz w:val="20"/>
          <w:szCs w:val="20"/>
        </w:rPr>
      </w:pPr>
      <w:r>
        <w:rPr>
          <w:rFonts w:ascii="宋体" w:hAnsi="宋体" w:eastAsia="宋体" w:cs="宋体"/>
          <w:color w:val="auto"/>
          <w:sz w:val="24"/>
          <w:szCs w:val="24"/>
        </w:rPr>
        <w:t>补充第</w:t>
      </w:r>
      <w:r>
        <w:rPr>
          <w:rFonts w:ascii="Times New Roman" w:hAnsi="Times New Roman" w:eastAsia="Times New Roman" w:cs="Times New Roman"/>
          <w:color w:val="auto"/>
          <w:sz w:val="24"/>
          <w:szCs w:val="24"/>
        </w:rPr>
        <w:t xml:space="preserve"> 10.3 </w:t>
      </w:r>
      <w:r>
        <w:rPr>
          <w:rFonts w:ascii="宋体" w:hAnsi="宋体" w:eastAsia="宋体" w:cs="宋体"/>
          <w:color w:val="auto"/>
          <w:sz w:val="24"/>
          <w:szCs w:val="24"/>
        </w:rPr>
        <w:t>款、第</w:t>
      </w:r>
      <w:r>
        <w:rPr>
          <w:rFonts w:ascii="Times New Roman" w:hAnsi="Times New Roman" w:eastAsia="Times New Roman" w:cs="Times New Roman"/>
          <w:color w:val="auto"/>
          <w:sz w:val="24"/>
          <w:szCs w:val="24"/>
        </w:rPr>
        <w:t xml:space="preserve"> 10.4 </w:t>
      </w:r>
      <w:r>
        <w:rPr>
          <w:rFonts w:ascii="宋体" w:hAnsi="宋体" w:eastAsia="宋体" w:cs="宋体"/>
          <w:color w:val="auto"/>
          <w:sz w:val="24"/>
          <w:szCs w:val="24"/>
        </w:rPr>
        <w:t>款：</w:t>
      </w:r>
    </w:p>
    <w:p>
      <w:pPr>
        <w:spacing w:after="0" w:line="327"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10.3 </w:t>
      </w:r>
      <w:r>
        <w:rPr>
          <w:rFonts w:ascii="黑体" w:hAnsi="黑体" w:eastAsia="黑体" w:cs="黑体"/>
          <w:color w:val="auto"/>
          <w:sz w:val="24"/>
          <w:szCs w:val="24"/>
        </w:rPr>
        <w:t>年度施工计划</w:t>
      </w:r>
    </w:p>
    <w:p>
      <w:pPr>
        <w:spacing w:after="0" w:line="349" w:lineRule="exact"/>
        <w:rPr>
          <w:color w:val="auto"/>
          <w:sz w:val="20"/>
          <w:szCs w:val="20"/>
        </w:rPr>
      </w:pPr>
    </w:p>
    <w:p>
      <w:pPr>
        <w:spacing w:after="0" w:line="368" w:lineRule="exact"/>
        <w:ind w:left="200" w:right="144" w:firstLine="390"/>
        <w:jc w:val="both"/>
        <w:rPr>
          <w:color w:val="auto"/>
          <w:sz w:val="20"/>
          <w:szCs w:val="20"/>
        </w:rPr>
      </w:pPr>
      <w:r>
        <w:rPr>
          <w:rFonts w:ascii="宋体" w:hAnsi="宋体" w:eastAsia="宋体" w:cs="宋体"/>
          <w:color w:val="auto"/>
          <w:sz w:val="24"/>
          <w:szCs w:val="24"/>
        </w:rPr>
        <w:t>承包人应在每年</w:t>
      </w:r>
      <w:r>
        <w:rPr>
          <w:rFonts w:ascii="Times New Roman" w:hAnsi="Times New Roman" w:eastAsia="Times New Roman" w:cs="Times New Roman"/>
          <w:color w:val="auto"/>
          <w:sz w:val="24"/>
          <w:szCs w:val="24"/>
        </w:rPr>
        <w:t xml:space="preserve"> 11 </w:t>
      </w:r>
      <w:r>
        <w:rPr>
          <w:rFonts w:ascii="宋体" w:hAnsi="宋体" w:eastAsia="宋体" w:cs="宋体"/>
          <w:color w:val="auto"/>
          <w:sz w:val="24"/>
          <w:szCs w:val="24"/>
        </w:rPr>
        <w:t>月底前，根据已同意的合同进度计划或其修订的计划，向监理人提交</w:t>
      </w:r>
      <w:r>
        <w:rPr>
          <w:rFonts w:ascii="Times New Roman" w:hAnsi="Times New Roman" w:eastAsia="Times New Roman" w:cs="Times New Roman"/>
          <w:color w:val="auto"/>
          <w:sz w:val="24"/>
          <w:szCs w:val="24"/>
        </w:rPr>
        <w:t xml:space="preserve"> 2 </w:t>
      </w:r>
      <w:r>
        <w:rPr>
          <w:rFonts w:ascii="宋体" w:hAnsi="宋体" w:eastAsia="宋体" w:cs="宋体"/>
          <w:color w:val="auto"/>
          <w:sz w:val="24"/>
          <w:szCs w:val="24"/>
        </w:rPr>
        <w:t>份格式和内容符合监理人合理规定的下一年度的施工计划，以供审查。该计划应包括本年度估计完成的和下一年度预计完成的分项工程数量和工作量，以及为实施此计划将采取的措施。</w:t>
      </w:r>
    </w:p>
    <w:p>
      <w:pPr>
        <w:spacing w:after="0" w:line="292" w:lineRule="exact"/>
        <w:ind w:left="200"/>
        <w:rPr>
          <w:rFonts w:ascii="Times New Roman" w:hAnsi="Times New Roman" w:eastAsia="Times New Roman" w:cs="Times New Roman"/>
          <w:color w:val="auto"/>
          <w:sz w:val="24"/>
          <w:szCs w:val="24"/>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10.4 </w:t>
      </w:r>
      <w:r>
        <w:rPr>
          <w:rFonts w:ascii="黑体" w:hAnsi="黑体" w:eastAsia="黑体" w:cs="黑体"/>
          <w:color w:val="auto"/>
          <w:sz w:val="24"/>
          <w:szCs w:val="24"/>
        </w:rPr>
        <w:t>合同用款计划</w:t>
      </w:r>
    </w:p>
    <w:p>
      <w:pPr>
        <w:spacing w:after="0" w:line="358" w:lineRule="exact"/>
        <w:ind w:left="200" w:right="144" w:firstLine="390"/>
        <w:jc w:val="both"/>
        <w:rPr>
          <w:color w:val="auto"/>
          <w:sz w:val="20"/>
          <w:szCs w:val="20"/>
        </w:rPr>
      </w:pPr>
      <w:r>
        <w:rPr>
          <w:rFonts w:ascii="宋体" w:hAnsi="宋体" w:eastAsia="宋体" w:cs="宋体"/>
          <w:color w:val="auto"/>
          <w:sz w:val="24"/>
          <w:szCs w:val="24"/>
        </w:rPr>
        <w:t>承包人应在签订本合同协议书后</w:t>
      </w:r>
      <w:r>
        <w:rPr>
          <w:rFonts w:ascii="Times New Roman" w:hAnsi="Times New Roman" w:eastAsia="Times New Roman" w:cs="Times New Roman"/>
          <w:color w:val="auto"/>
          <w:sz w:val="24"/>
          <w:szCs w:val="24"/>
        </w:rPr>
        <w:t xml:space="preserve"> 28 </w:t>
      </w:r>
      <w:r>
        <w:rPr>
          <w:rFonts w:ascii="宋体" w:hAnsi="宋体" w:eastAsia="宋体" w:cs="宋体"/>
          <w:color w:val="auto"/>
          <w:sz w:val="24"/>
          <w:szCs w:val="24"/>
        </w:rPr>
        <w:t>天之内，按招标文件中规定的格式，向监理人提交</w:t>
      </w:r>
      <w:r>
        <w:rPr>
          <w:rFonts w:ascii="Times New Roman" w:hAnsi="Times New Roman" w:eastAsia="Times New Roman" w:cs="Times New Roman"/>
          <w:color w:val="auto"/>
          <w:sz w:val="24"/>
          <w:szCs w:val="24"/>
        </w:rPr>
        <w:t xml:space="preserve"> 2 </w:t>
      </w:r>
      <w:r>
        <w:rPr>
          <w:rFonts w:ascii="宋体" w:hAnsi="宋体" w:eastAsia="宋体" w:cs="宋体"/>
          <w:color w:val="auto"/>
          <w:sz w:val="24"/>
          <w:szCs w:val="24"/>
        </w:rPr>
        <w:t>份按合同规定承包人有权得到支付的详细的季度合同用款计划，以备监理人查阅。如果监理人提出要求，承包人还应按季度提交修订的合同用款计划。</w:t>
      </w:r>
    </w:p>
    <w:p>
      <w:pPr>
        <w:spacing w:after="0" w:line="200" w:lineRule="exact"/>
        <w:rPr>
          <w:color w:val="auto"/>
          <w:sz w:val="20"/>
          <w:szCs w:val="20"/>
        </w:rPr>
      </w:pPr>
    </w:p>
    <w:p>
      <w:pPr>
        <w:spacing w:after="0" w:line="317" w:lineRule="exact"/>
        <w:rPr>
          <w:color w:val="auto"/>
          <w:sz w:val="20"/>
          <w:szCs w:val="20"/>
        </w:rPr>
      </w:pPr>
    </w:p>
    <w:p>
      <w:pPr>
        <w:numPr>
          <w:ilvl w:val="0"/>
          <w:numId w:val="32"/>
        </w:numPr>
        <w:tabs>
          <w:tab w:val="left" w:pos="700"/>
        </w:tabs>
        <w:spacing w:after="0" w:line="341" w:lineRule="exact"/>
        <w:ind w:left="700" w:hanging="496"/>
        <w:rPr>
          <w:rFonts w:ascii="Times New Roman" w:hAnsi="Times New Roman" w:eastAsia="Times New Roman" w:cs="Times New Roman"/>
          <w:color w:val="auto"/>
          <w:sz w:val="28"/>
          <w:szCs w:val="28"/>
        </w:rPr>
      </w:pPr>
      <w:r>
        <w:rPr>
          <w:rFonts w:ascii="黑体" w:hAnsi="黑体" w:eastAsia="黑体" w:cs="黑体"/>
          <w:color w:val="auto"/>
          <w:sz w:val="28"/>
          <w:szCs w:val="28"/>
        </w:rPr>
        <w:t>开工和交工</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11.1 </w:t>
      </w:r>
      <w:r>
        <w:rPr>
          <w:rFonts w:ascii="黑体" w:hAnsi="黑体" w:eastAsia="黑体" w:cs="黑体"/>
          <w:color w:val="auto"/>
          <w:sz w:val="24"/>
          <w:szCs w:val="24"/>
        </w:rPr>
        <w:t>开工</w:t>
      </w:r>
    </w:p>
    <w:p>
      <w:pPr>
        <w:spacing w:after="0" w:line="348" w:lineRule="exact"/>
        <w:rPr>
          <w:color w:val="auto"/>
          <w:sz w:val="20"/>
          <w:szCs w:val="20"/>
        </w:rPr>
      </w:pPr>
    </w:p>
    <w:p>
      <w:pPr>
        <w:numPr>
          <w:ilvl w:val="0"/>
          <w:numId w:val="33"/>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11.1.2 </w:t>
      </w:r>
      <w:r>
        <w:rPr>
          <w:rFonts w:ascii="宋体" w:hAnsi="宋体" w:eastAsia="宋体" w:cs="宋体"/>
          <w:color w:val="auto"/>
          <w:sz w:val="24"/>
          <w:szCs w:val="24"/>
        </w:rPr>
        <w:t>项补充：</w:t>
      </w:r>
    </w:p>
    <w:p>
      <w:pPr>
        <w:spacing w:after="0" w:line="109" w:lineRule="exact"/>
        <w:rPr>
          <w:color w:val="auto"/>
          <w:sz w:val="20"/>
          <w:szCs w:val="20"/>
        </w:rPr>
      </w:pPr>
    </w:p>
    <w:p>
      <w:pPr>
        <w:spacing w:after="0" w:line="358" w:lineRule="exact"/>
        <w:ind w:left="200" w:right="144" w:firstLine="480"/>
        <w:jc w:val="both"/>
        <w:rPr>
          <w:color w:val="auto"/>
          <w:sz w:val="20"/>
          <w:szCs w:val="20"/>
        </w:rPr>
      </w:pPr>
      <w:r>
        <w:rPr>
          <w:rFonts w:ascii="宋体" w:hAnsi="宋体" w:eastAsia="宋体" w:cs="宋体"/>
          <w:color w:val="auto"/>
          <w:sz w:val="24"/>
          <w:szCs w:val="24"/>
        </w:rPr>
        <w:t>承包人应在分部工程开工前</w:t>
      </w:r>
      <w:r>
        <w:rPr>
          <w:rFonts w:ascii="Times New Roman" w:hAnsi="Times New Roman" w:eastAsia="Times New Roman" w:cs="Times New Roman"/>
          <w:color w:val="auto"/>
          <w:sz w:val="24"/>
          <w:szCs w:val="24"/>
        </w:rPr>
        <w:t xml:space="preserve"> 14 </w:t>
      </w:r>
      <w:r>
        <w:rPr>
          <w:rFonts w:ascii="宋体" w:hAnsi="宋体" w:eastAsia="宋体" w:cs="宋体"/>
          <w:color w:val="auto"/>
          <w:sz w:val="24"/>
          <w:szCs w:val="24"/>
        </w:rPr>
        <w:t>天向监理人提交分部工程开工报审表，若承包人的开工准备、工作计划和质量控制方法是可接受的且已获得批准，则经监理人书面同意，分部工程才能开工。</w:t>
      </w:r>
    </w:p>
    <w:p>
      <w:pPr>
        <w:spacing w:after="0" w:line="348"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11.3 </w:t>
      </w:r>
      <w:r>
        <w:rPr>
          <w:rFonts w:ascii="黑体" w:hAnsi="黑体" w:eastAsia="黑体" w:cs="黑体"/>
          <w:color w:val="auto"/>
          <w:sz w:val="24"/>
          <w:szCs w:val="24"/>
        </w:rPr>
        <w:t>发包人的工期延误</w:t>
      </w:r>
    </w:p>
    <w:p>
      <w:pPr>
        <w:spacing w:after="0" w:line="34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本款补充：</w:t>
      </w:r>
    </w:p>
    <w:p>
      <w:pPr>
        <w:spacing w:after="0" w:line="161" w:lineRule="exact"/>
        <w:rPr>
          <w:color w:val="auto"/>
          <w:sz w:val="20"/>
          <w:szCs w:val="20"/>
        </w:rPr>
      </w:pPr>
    </w:p>
    <w:p>
      <w:pPr>
        <w:spacing w:after="0" w:line="320" w:lineRule="exact"/>
        <w:ind w:left="200" w:right="144" w:firstLine="480"/>
        <w:jc w:val="both"/>
        <w:rPr>
          <w:color w:val="auto"/>
          <w:sz w:val="20"/>
          <w:szCs w:val="20"/>
        </w:rPr>
      </w:pPr>
      <w:r>
        <w:rPr>
          <w:rFonts w:ascii="宋体" w:hAnsi="宋体" w:eastAsia="宋体" w:cs="宋体"/>
          <w:color w:val="auto"/>
          <w:sz w:val="24"/>
          <w:szCs w:val="24"/>
        </w:rPr>
        <w:t>即使由于上述原因造成工期延误，如果受影响的工程并非处在工程施工进度网络计划的关键线路上，则承包人无权要求延长总工期。</w:t>
      </w:r>
    </w:p>
    <w:p>
      <w:pPr>
        <w:spacing w:after="0" w:line="346"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11.4 </w:t>
      </w:r>
      <w:r>
        <w:rPr>
          <w:rFonts w:ascii="黑体" w:hAnsi="黑体" w:eastAsia="黑体" w:cs="黑体"/>
          <w:color w:val="auto"/>
          <w:sz w:val="24"/>
          <w:szCs w:val="24"/>
        </w:rPr>
        <w:t>异常恶劣的气候条件</w:t>
      </w:r>
    </w:p>
    <w:p>
      <w:pPr>
        <w:spacing w:after="0" w:line="349"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本款补充：</w:t>
      </w:r>
    </w:p>
    <w:p>
      <w:pPr>
        <w:spacing w:after="0" w:line="126" w:lineRule="exact"/>
        <w:rPr>
          <w:color w:val="auto"/>
          <w:sz w:val="20"/>
          <w:szCs w:val="20"/>
        </w:rPr>
      </w:pPr>
    </w:p>
    <w:p>
      <w:pPr>
        <w:spacing w:after="0" w:line="357" w:lineRule="exact"/>
        <w:ind w:left="200" w:right="144" w:firstLine="480"/>
        <w:jc w:val="both"/>
        <w:rPr>
          <w:color w:val="auto"/>
          <w:sz w:val="20"/>
          <w:szCs w:val="20"/>
        </w:rPr>
      </w:pPr>
      <w:r>
        <w:rPr>
          <w:rFonts w:ascii="宋体" w:hAnsi="宋体" w:eastAsia="宋体" w:cs="宋体"/>
          <w:color w:val="auto"/>
          <w:sz w:val="24"/>
          <w:szCs w:val="24"/>
        </w:rPr>
        <w:t>异常气候是指项目所在地</w:t>
      </w:r>
      <w:r>
        <w:rPr>
          <w:rFonts w:ascii="Times New Roman" w:hAnsi="Times New Roman" w:eastAsia="Times New Roman" w:cs="Times New Roman"/>
          <w:color w:val="auto"/>
          <w:sz w:val="24"/>
          <w:szCs w:val="24"/>
        </w:rPr>
        <w:t xml:space="preserve"> 30 </w:t>
      </w:r>
      <w:r>
        <w:rPr>
          <w:rFonts w:ascii="宋体" w:hAnsi="宋体" w:eastAsia="宋体" w:cs="宋体"/>
          <w:color w:val="auto"/>
          <w:sz w:val="24"/>
          <w:szCs w:val="24"/>
        </w:rPr>
        <w:t>年以上一遇的罕见气候现象</w:t>
      </w:r>
      <w:r>
        <w:rPr>
          <w:rFonts w:ascii="Times New Roman" w:hAnsi="Times New Roman" w:eastAsia="Times New Roman" w:cs="Times New Roman"/>
          <w:color w:val="auto"/>
          <w:sz w:val="24"/>
          <w:szCs w:val="24"/>
        </w:rPr>
        <w:t>(</w:t>
      </w:r>
      <w:r>
        <w:rPr>
          <w:rFonts w:ascii="宋体" w:hAnsi="宋体" w:eastAsia="宋体" w:cs="宋体"/>
          <w:color w:val="auto"/>
          <w:sz w:val="24"/>
          <w:szCs w:val="24"/>
        </w:rPr>
        <w:t>包括温度、降水、降雪、风等</w:t>
      </w:r>
      <w:r>
        <w:rPr>
          <w:rFonts w:ascii="Times New Roman" w:hAnsi="Times New Roman" w:eastAsia="Times New Roman" w:cs="Times New Roman"/>
          <w:color w:val="auto"/>
          <w:sz w:val="24"/>
          <w:szCs w:val="24"/>
        </w:rPr>
        <w:t>)</w:t>
      </w:r>
      <w:r>
        <w:rPr>
          <w:rFonts w:ascii="宋体" w:hAnsi="宋体" w:eastAsia="宋体" w:cs="宋体"/>
          <w:color w:val="auto"/>
          <w:sz w:val="24"/>
          <w:szCs w:val="24"/>
        </w:rPr>
        <w:t>。异常恶劣的气候条件在项目专用合同条款中作具体规定。</w:t>
      </w:r>
    </w:p>
    <w:p>
      <w:pPr>
        <w:spacing w:after="0" w:line="307"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11.5 </w:t>
      </w:r>
      <w:r>
        <w:rPr>
          <w:rFonts w:ascii="黑体" w:hAnsi="黑体" w:eastAsia="黑体" w:cs="黑体"/>
          <w:color w:val="auto"/>
          <w:sz w:val="24"/>
          <w:szCs w:val="24"/>
        </w:rPr>
        <w:t>承包人的工期延误</w:t>
      </w:r>
    </w:p>
    <w:p>
      <w:pPr>
        <w:spacing w:after="0" w:line="349"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本款细化为：</w:t>
      </w:r>
    </w:p>
    <w:p>
      <w:pPr>
        <w:spacing w:after="0" w:line="126" w:lineRule="exact"/>
        <w:rPr>
          <w:color w:val="auto"/>
          <w:sz w:val="20"/>
          <w:szCs w:val="20"/>
        </w:rPr>
      </w:pPr>
    </w:p>
    <w:p>
      <w:pPr>
        <w:spacing w:after="0" w:line="379" w:lineRule="exact"/>
        <w:ind w:left="200" w:right="144" w:firstLine="480"/>
        <w:jc w:val="both"/>
        <w:rPr>
          <w:color w:val="auto"/>
          <w:sz w:val="24"/>
          <w:szCs w:val="24"/>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承包人应严格执行监理人批准的合同进度计划，对工作量计划和形象进度计划分别控制。除第</w:t>
      </w:r>
      <w:r>
        <w:rPr>
          <w:rFonts w:ascii="Times New Roman" w:hAnsi="Times New Roman" w:eastAsia="Times New Roman" w:cs="Times New Roman"/>
          <w:color w:val="auto"/>
          <w:sz w:val="24"/>
          <w:szCs w:val="24"/>
        </w:rPr>
        <w:t xml:space="preserve"> 11.3 </w:t>
      </w:r>
      <w:r>
        <w:rPr>
          <w:rFonts w:ascii="宋体" w:hAnsi="宋体" w:eastAsia="宋体" w:cs="宋体"/>
          <w:color w:val="auto"/>
          <w:sz w:val="24"/>
          <w:szCs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after="0" w:line="130" w:lineRule="exact"/>
        <w:rPr>
          <w:color w:val="auto"/>
          <w:sz w:val="24"/>
          <w:szCs w:val="24"/>
        </w:rPr>
      </w:pPr>
    </w:p>
    <w:p>
      <w:pPr>
        <w:spacing w:after="0" w:line="337" w:lineRule="exact"/>
        <w:ind w:left="200" w:right="24" w:firstLine="480"/>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如果承包人在接到监理人通知后的</w:t>
      </w:r>
      <w:r>
        <w:rPr>
          <w:rFonts w:ascii="Times New Roman" w:hAnsi="Times New Roman" w:eastAsia="Times New Roman" w:cs="Times New Roman"/>
          <w:color w:val="auto"/>
          <w:sz w:val="24"/>
          <w:szCs w:val="24"/>
        </w:rPr>
        <w:t xml:space="preserve"> 14 </w:t>
      </w:r>
      <w:r>
        <w:rPr>
          <w:rFonts w:ascii="宋体" w:hAnsi="宋体" w:eastAsia="宋体" w:cs="宋体"/>
          <w:color w:val="auto"/>
          <w:sz w:val="24"/>
          <w:szCs w:val="24"/>
        </w:rPr>
        <w:t>天内，未能采取加快工程进度的措施，致使实际工程进度进一步滞后，或承包人虽采取了一些措施，仍无法按预计工期交工时，监理人应立即通知发包人。发包人在向承包人发出书面警告通知</w:t>
      </w:r>
      <w:r>
        <w:rPr>
          <w:rFonts w:ascii="Times New Roman" w:hAnsi="Times New Roman" w:eastAsia="Times New Roman" w:cs="Times New Roman"/>
          <w:color w:val="auto"/>
          <w:sz w:val="24"/>
          <w:szCs w:val="24"/>
        </w:rPr>
        <w:t xml:space="preserve"> 14 </w:t>
      </w:r>
      <w:r>
        <w:rPr>
          <w:rFonts w:ascii="宋体" w:hAnsi="宋体" w:eastAsia="宋体" w:cs="宋体"/>
          <w:color w:val="auto"/>
          <w:sz w:val="24"/>
          <w:szCs w:val="24"/>
        </w:rPr>
        <w:t>天后，发包人可按第</w:t>
      </w:r>
      <w:r>
        <w:rPr>
          <w:rFonts w:ascii="Times New Roman" w:hAnsi="Times New Roman" w:eastAsia="Times New Roman" w:cs="Times New Roman"/>
          <w:color w:val="auto"/>
          <w:sz w:val="24"/>
          <w:szCs w:val="24"/>
        </w:rPr>
        <w:t xml:space="preserve"> 22.1 </w:t>
      </w:r>
      <w:r>
        <w:rPr>
          <w:rFonts w:ascii="宋体" w:hAnsi="宋体" w:eastAsia="宋体" w:cs="宋体"/>
          <w:color w:val="auto"/>
          <w:sz w:val="24"/>
          <w:szCs w:val="24"/>
        </w:rPr>
        <w:t>款终止对承包人的雇用，也可将本合同工程中的一部分工作交由其他承包人或其他分包人完成。在不解除本合同规定的承包人责任和义务的同时，承包人应承担因此所增加的一切费用。</w:t>
      </w:r>
    </w:p>
    <w:p>
      <w:pPr>
        <w:spacing w:after="0" w:line="130" w:lineRule="exact"/>
        <w:rPr>
          <w:color w:val="auto"/>
          <w:sz w:val="20"/>
          <w:szCs w:val="20"/>
        </w:rPr>
      </w:pPr>
    </w:p>
    <w:p>
      <w:pPr>
        <w:spacing w:after="0" w:line="374" w:lineRule="exact"/>
        <w:ind w:left="200" w:right="144" w:firstLine="480"/>
        <w:jc w:val="both"/>
        <w:rPr>
          <w:color w:val="auto"/>
          <w:sz w:val="20"/>
          <w:szCs w:val="20"/>
        </w:rPr>
      </w:pPr>
      <w:r>
        <w:rPr>
          <w:rFonts w:ascii="Times New Roman" w:hAnsi="Times New Roman" w:eastAsia="Times New Roman" w:cs="Times New Roman"/>
          <w:color w:val="auto"/>
          <w:sz w:val="24"/>
          <w:szCs w:val="24"/>
        </w:rPr>
        <w:t>(3)</w:t>
      </w:r>
      <w:r>
        <w:rPr>
          <w:rFonts w:ascii="宋体" w:hAnsi="宋体" w:eastAsia="宋体" w:cs="宋体"/>
          <w:color w:val="auto"/>
          <w:sz w:val="24"/>
          <w:szCs w:val="24"/>
        </w:rPr>
        <w:t>由于承包人原因造成工期延误，承包人应支付逾期交工违约金。逾期交工违约金的计算方法在项目专用合同条款数据表中约定，时间自预定的交工日期起到交工验收证书中写明的实际交工日期止</w:t>
      </w:r>
      <w:r>
        <w:rPr>
          <w:rFonts w:ascii="Times New Roman" w:hAnsi="Times New Roman" w:eastAsia="Times New Roman" w:cs="Times New Roman"/>
          <w:color w:val="auto"/>
          <w:sz w:val="24"/>
          <w:szCs w:val="24"/>
        </w:rPr>
        <w:t>(</w:t>
      </w:r>
      <w:r>
        <w:rPr>
          <w:rFonts w:ascii="宋体" w:hAnsi="宋体" w:eastAsia="宋体" w:cs="宋体"/>
          <w:color w:val="auto"/>
          <w:sz w:val="24"/>
          <w:szCs w:val="24"/>
        </w:rPr>
        <w:t>扣除已批准的延长工期</w:t>
      </w:r>
      <w:r>
        <w:rPr>
          <w:rFonts w:ascii="Times New Roman" w:hAnsi="Times New Roman" w:eastAsia="Times New Roman" w:cs="Times New Roman"/>
          <w:color w:val="auto"/>
          <w:sz w:val="24"/>
          <w:szCs w:val="24"/>
        </w:rPr>
        <w:t>)</w:t>
      </w:r>
      <w:r>
        <w:rPr>
          <w:rFonts w:ascii="宋体" w:hAnsi="宋体" w:eastAsia="宋体" w:cs="宋体"/>
          <w:color w:val="auto"/>
          <w:sz w:val="24"/>
          <w:szCs w:val="24"/>
        </w:rPr>
        <w:t>，按天计算。逾期交工违约金累计金额最高不超过项目专用合同条款数据表中写明的限额。发包人可以从应付或到期应付给承包人的任何款项中或采用其他方法扣除此违约金。</w:t>
      </w:r>
    </w:p>
    <w:p>
      <w:pPr>
        <w:spacing w:after="0" w:line="131"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(4)</w:t>
      </w:r>
      <w:r>
        <w:rPr>
          <w:rFonts w:ascii="宋体" w:hAnsi="宋体" w:eastAsia="宋体" w:cs="宋体"/>
          <w:color w:val="auto"/>
          <w:sz w:val="24"/>
          <w:szCs w:val="24"/>
        </w:rPr>
        <w:t>承包人支付逾期交工违约金，不免除承包人完成工程及修补缺陷的义务。</w:t>
      </w:r>
    </w:p>
    <w:p>
      <w:pPr>
        <w:spacing w:after="0" w:line="109" w:lineRule="exact"/>
        <w:rPr>
          <w:color w:val="auto"/>
          <w:sz w:val="20"/>
          <w:szCs w:val="20"/>
        </w:rPr>
      </w:pPr>
    </w:p>
    <w:p>
      <w:pPr>
        <w:spacing w:after="0" w:line="368" w:lineRule="exact"/>
        <w:ind w:left="200" w:right="144" w:firstLine="480"/>
        <w:jc w:val="both"/>
        <w:rPr>
          <w:color w:val="auto"/>
          <w:sz w:val="20"/>
          <w:szCs w:val="20"/>
        </w:rPr>
      </w:pPr>
      <w:r>
        <w:rPr>
          <w:rFonts w:ascii="Times New Roman" w:hAnsi="Times New Roman" w:eastAsia="Times New Roman" w:cs="Times New Roman"/>
          <w:color w:val="auto"/>
          <w:sz w:val="24"/>
          <w:szCs w:val="24"/>
        </w:rPr>
        <w:t>(5)</w:t>
      </w:r>
      <w:r>
        <w:rPr>
          <w:rFonts w:ascii="宋体" w:hAnsi="宋体" w:eastAsia="宋体" w:cs="宋体"/>
          <w:color w:val="auto"/>
          <w:sz w:val="24"/>
          <w:szCs w:val="24"/>
        </w:rPr>
        <w:t>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spacing w:after="0" w:line="348"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11.6 </w:t>
      </w:r>
      <w:r>
        <w:rPr>
          <w:rFonts w:ascii="黑体" w:hAnsi="黑体" w:eastAsia="黑体" w:cs="黑体"/>
          <w:color w:val="auto"/>
          <w:sz w:val="24"/>
          <w:szCs w:val="24"/>
        </w:rPr>
        <w:t>工期提前</w:t>
      </w:r>
    </w:p>
    <w:p>
      <w:pPr>
        <w:spacing w:after="0" w:line="349"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本款补充：</w:t>
      </w:r>
    </w:p>
    <w:p>
      <w:pPr>
        <w:spacing w:after="0" w:line="159" w:lineRule="exact"/>
        <w:rPr>
          <w:color w:val="auto"/>
          <w:sz w:val="20"/>
          <w:szCs w:val="20"/>
        </w:rPr>
      </w:pPr>
    </w:p>
    <w:p>
      <w:pPr>
        <w:spacing w:after="0" w:line="347" w:lineRule="exact"/>
        <w:ind w:left="200" w:right="24" w:firstLine="480"/>
        <w:rPr>
          <w:color w:val="auto"/>
          <w:sz w:val="20"/>
          <w:szCs w:val="20"/>
        </w:rPr>
      </w:pPr>
      <w:r>
        <w:rPr>
          <w:rFonts w:ascii="宋体" w:hAnsi="宋体" w:eastAsia="宋体" w:cs="宋体"/>
          <w:color w:val="auto"/>
          <w:sz w:val="24"/>
          <w:szCs w:val="24"/>
        </w:rPr>
        <w:t>发包人不得随意要求承包人提前交工，承包人也不得随意提出提前交工的建议。如遇特殊情况，确需将工期提前的，发包人和承包人必须采取有效措施，确保工程质量。</w:t>
      </w:r>
    </w:p>
    <w:p>
      <w:pPr>
        <w:spacing w:after="0" w:line="160" w:lineRule="exact"/>
        <w:rPr>
          <w:color w:val="auto"/>
          <w:sz w:val="20"/>
          <w:szCs w:val="20"/>
        </w:rPr>
      </w:pPr>
    </w:p>
    <w:p>
      <w:pPr>
        <w:spacing w:after="0" w:line="347" w:lineRule="exact"/>
        <w:ind w:left="200" w:right="144" w:firstLine="480"/>
        <w:jc w:val="both"/>
        <w:rPr>
          <w:color w:val="auto"/>
          <w:sz w:val="20"/>
          <w:szCs w:val="20"/>
        </w:rPr>
      </w:pPr>
      <w:r>
        <w:rPr>
          <w:rFonts w:ascii="宋体" w:hAnsi="宋体" w:eastAsia="宋体" w:cs="宋体"/>
          <w:color w:val="auto"/>
          <w:sz w:val="24"/>
          <w:szCs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spacing w:after="0" w:line="200" w:lineRule="exact"/>
        <w:rPr>
          <w:color w:val="auto"/>
          <w:sz w:val="20"/>
          <w:szCs w:val="20"/>
        </w:rPr>
      </w:pPr>
    </w:p>
    <w:p>
      <w:pPr>
        <w:spacing w:after="0" w:line="326" w:lineRule="exact"/>
        <w:rPr>
          <w:color w:val="auto"/>
          <w:sz w:val="20"/>
          <w:szCs w:val="20"/>
        </w:rPr>
      </w:pPr>
    </w:p>
    <w:p>
      <w:pPr>
        <w:spacing w:after="0" w:line="292" w:lineRule="exact"/>
        <w:ind w:left="200"/>
        <w:rPr>
          <w:color w:val="auto"/>
          <w:sz w:val="20"/>
          <w:szCs w:val="20"/>
        </w:rPr>
      </w:pPr>
      <w:r>
        <w:rPr>
          <w:rFonts w:ascii="宋体" w:hAnsi="宋体" w:eastAsia="宋体" w:cs="宋体"/>
          <w:color w:val="auto"/>
          <w:sz w:val="24"/>
          <w:szCs w:val="24"/>
        </w:rPr>
        <w:t>补充第</w:t>
      </w:r>
      <w:r>
        <w:rPr>
          <w:rFonts w:ascii="Times New Roman" w:hAnsi="Times New Roman" w:eastAsia="Times New Roman" w:cs="Times New Roman"/>
          <w:color w:val="auto"/>
          <w:sz w:val="24"/>
          <w:szCs w:val="24"/>
        </w:rPr>
        <w:t xml:space="preserve"> 11.7 </w:t>
      </w:r>
      <w:r>
        <w:rPr>
          <w:rFonts w:ascii="宋体" w:hAnsi="宋体" w:eastAsia="宋体" w:cs="宋体"/>
          <w:color w:val="auto"/>
          <w:sz w:val="24"/>
          <w:szCs w:val="24"/>
        </w:rPr>
        <w:t>款：</w:t>
      </w:r>
    </w:p>
    <w:p>
      <w:pPr>
        <w:spacing w:after="0" w:line="328"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11.7 </w:t>
      </w:r>
      <w:r>
        <w:rPr>
          <w:rFonts w:ascii="黑体" w:hAnsi="黑体" w:eastAsia="黑体" w:cs="黑体"/>
          <w:color w:val="auto"/>
          <w:sz w:val="24"/>
          <w:szCs w:val="24"/>
        </w:rPr>
        <w:t>工作时间的限制</w:t>
      </w:r>
    </w:p>
    <w:p>
      <w:pPr>
        <w:spacing w:after="0" w:line="382" w:lineRule="exact"/>
        <w:rPr>
          <w:color w:val="auto"/>
          <w:sz w:val="20"/>
          <w:szCs w:val="20"/>
        </w:rPr>
      </w:pPr>
    </w:p>
    <w:p>
      <w:pPr>
        <w:spacing w:after="0" w:line="320" w:lineRule="exact"/>
        <w:ind w:left="200" w:right="144" w:firstLine="480"/>
        <w:jc w:val="both"/>
        <w:rPr>
          <w:color w:val="auto"/>
          <w:sz w:val="20"/>
          <w:szCs w:val="20"/>
        </w:rPr>
      </w:pPr>
      <w:r>
        <w:rPr>
          <w:rFonts w:ascii="宋体" w:hAnsi="宋体" w:eastAsia="宋体" w:cs="宋体"/>
          <w:color w:val="auto"/>
          <w:sz w:val="24"/>
          <w:szCs w:val="24"/>
        </w:rPr>
        <w:t>承包人在夜间或国家规定的节假日进行永久工程的施工，应向监理人报告，以便监理人履行监理职责和义务。</w:t>
      </w:r>
    </w:p>
    <w:p>
      <w:pPr>
        <w:spacing w:after="0" w:line="162" w:lineRule="exact"/>
        <w:rPr>
          <w:color w:val="auto"/>
          <w:sz w:val="20"/>
          <w:szCs w:val="20"/>
        </w:rPr>
      </w:pPr>
    </w:p>
    <w:p>
      <w:pPr>
        <w:spacing w:after="0" w:line="320" w:lineRule="exact"/>
        <w:ind w:left="200" w:right="144" w:firstLine="480"/>
        <w:jc w:val="both"/>
        <w:rPr>
          <w:color w:val="auto"/>
          <w:sz w:val="20"/>
          <w:szCs w:val="20"/>
        </w:rPr>
      </w:pPr>
      <w:r>
        <w:rPr>
          <w:rFonts w:ascii="宋体" w:hAnsi="宋体" w:eastAsia="宋体" w:cs="宋体"/>
          <w:color w:val="auto"/>
          <w:sz w:val="24"/>
          <w:szCs w:val="24"/>
        </w:rPr>
        <w:t>但是，为了抢救生命或保护财产，或为了工程的安全、质量而不可避免地短暂作业，则不必事先向监理人报告。但承包人应在事后立即向监理人报告。</w:t>
      </w:r>
    </w:p>
    <w:p>
      <w:pPr>
        <w:spacing w:after="0" w:line="12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本款规定不适用于习惯上或施工本身要求实行连续生产的作业。</w:t>
      </w:r>
    </w:p>
    <w:p>
      <w:pPr>
        <w:spacing w:after="0" w:line="200" w:lineRule="exact"/>
        <w:rPr>
          <w:color w:val="auto"/>
          <w:sz w:val="20"/>
          <w:szCs w:val="20"/>
        </w:rPr>
      </w:pPr>
    </w:p>
    <w:p>
      <w:pPr>
        <w:numPr>
          <w:ilvl w:val="0"/>
          <w:numId w:val="34"/>
        </w:numPr>
        <w:tabs>
          <w:tab w:val="left" w:pos="700"/>
        </w:tabs>
        <w:spacing w:after="0" w:line="341" w:lineRule="exact"/>
        <w:ind w:left="700" w:hanging="496"/>
        <w:rPr>
          <w:rFonts w:ascii="Times New Roman" w:hAnsi="Times New Roman" w:eastAsia="Times New Roman" w:cs="Times New Roman"/>
          <w:color w:val="auto"/>
          <w:sz w:val="28"/>
          <w:szCs w:val="28"/>
        </w:rPr>
      </w:pPr>
      <w:r>
        <w:rPr>
          <w:rFonts w:ascii="黑体" w:hAnsi="黑体" w:eastAsia="黑体" w:cs="黑体"/>
          <w:color w:val="auto"/>
          <w:sz w:val="28"/>
          <w:szCs w:val="28"/>
        </w:rPr>
        <w:t>暂停施工</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12.1 </w:t>
      </w:r>
      <w:r>
        <w:rPr>
          <w:rFonts w:ascii="黑体" w:hAnsi="黑体" w:eastAsia="黑体" w:cs="黑体"/>
          <w:color w:val="auto"/>
          <w:sz w:val="24"/>
          <w:szCs w:val="24"/>
        </w:rPr>
        <w:t>承包人暂停施工的责任</w:t>
      </w:r>
    </w:p>
    <w:p>
      <w:pPr>
        <w:spacing w:after="0" w:line="349"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本款第</w:t>
      </w:r>
      <w:r>
        <w:rPr>
          <w:rFonts w:ascii="Times New Roman" w:hAnsi="Times New Roman" w:eastAsia="Times New Roman" w:cs="Times New Roman"/>
          <w:color w:val="auto"/>
          <w:sz w:val="24"/>
          <w:szCs w:val="24"/>
        </w:rPr>
        <w:t>(5)</w:t>
      </w:r>
      <w:r>
        <w:rPr>
          <w:rFonts w:ascii="宋体" w:hAnsi="宋体" w:eastAsia="宋体" w:cs="宋体"/>
          <w:color w:val="auto"/>
          <w:sz w:val="24"/>
          <w:szCs w:val="24"/>
        </w:rPr>
        <w:t>项细化为：</w:t>
      </w:r>
    </w:p>
    <w:p>
      <w:pPr>
        <w:spacing w:after="0" w:line="10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(5)</w:t>
      </w:r>
      <w:r>
        <w:rPr>
          <w:rFonts w:ascii="宋体" w:hAnsi="宋体" w:eastAsia="宋体" w:cs="宋体"/>
          <w:color w:val="auto"/>
          <w:sz w:val="24"/>
          <w:szCs w:val="24"/>
        </w:rPr>
        <w:t>现场气候条件导致的必要停工</w:t>
      </w:r>
      <w:r>
        <w:rPr>
          <w:rFonts w:ascii="Times New Roman" w:hAnsi="Times New Roman" w:eastAsia="Times New Roman" w:cs="Times New Roman"/>
          <w:color w:val="auto"/>
          <w:sz w:val="24"/>
          <w:szCs w:val="24"/>
        </w:rPr>
        <w:t>(</w:t>
      </w:r>
      <w:r>
        <w:rPr>
          <w:rFonts w:ascii="宋体" w:hAnsi="宋体" w:eastAsia="宋体" w:cs="宋体"/>
          <w:color w:val="auto"/>
          <w:sz w:val="24"/>
          <w:szCs w:val="24"/>
        </w:rPr>
        <w:t>第</w:t>
      </w:r>
      <w:r>
        <w:rPr>
          <w:rFonts w:ascii="Times New Roman" w:hAnsi="Times New Roman" w:eastAsia="Times New Roman" w:cs="Times New Roman"/>
          <w:color w:val="auto"/>
          <w:sz w:val="24"/>
          <w:szCs w:val="24"/>
        </w:rPr>
        <w:t xml:space="preserve"> 11.4 </w:t>
      </w:r>
      <w:r>
        <w:rPr>
          <w:rFonts w:ascii="宋体" w:hAnsi="宋体" w:eastAsia="宋体" w:cs="宋体"/>
          <w:color w:val="auto"/>
          <w:sz w:val="24"/>
          <w:szCs w:val="24"/>
        </w:rPr>
        <w:t>款规定的异常恶劣的气候条件除外</w:t>
      </w:r>
      <w:r>
        <w:rPr>
          <w:rFonts w:ascii="Times New Roman" w:hAnsi="Times New Roman" w:eastAsia="Times New Roman" w:cs="Times New Roman"/>
          <w:color w:val="auto"/>
          <w:sz w:val="24"/>
          <w:szCs w:val="24"/>
        </w:rPr>
        <w:t>)</w:t>
      </w:r>
      <w:r>
        <w:rPr>
          <w:rFonts w:ascii="宋体" w:hAnsi="宋体" w:eastAsia="宋体" w:cs="宋体"/>
          <w:color w:val="auto"/>
          <w:sz w:val="24"/>
          <w:szCs w:val="24"/>
        </w:rPr>
        <w:t>；</w:t>
      </w:r>
    </w:p>
    <w:p>
      <w:pPr>
        <w:spacing w:after="0" w:line="10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(6)</w:t>
      </w:r>
      <w:r>
        <w:rPr>
          <w:rFonts w:ascii="宋体" w:hAnsi="宋体" w:eastAsia="宋体" w:cs="宋体"/>
          <w:color w:val="auto"/>
          <w:sz w:val="24"/>
          <w:szCs w:val="24"/>
        </w:rPr>
        <w:t>项目专用合同条款可能约定的由承包人承担的其他暂停施工。</w:t>
      </w:r>
    </w:p>
    <w:p>
      <w:pPr>
        <w:spacing w:after="0" w:line="200" w:lineRule="exact"/>
        <w:rPr>
          <w:color w:val="auto"/>
          <w:sz w:val="20"/>
          <w:szCs w:val="20"/>
        </w:rPr>
      </w:pPr>
    </w:p>
    <w:p>
      <w:pPr>
        <w:spacing w:after="0" w:line="298" w:lineRule="exact"/>
        <w:rPr>
          <w:color w:val="auto"/>
          <w:sz w:val="20"/>
          <w:szCs w:val="20"/>
        </w:rPr>
      </w:pPr>
    </w:p>
    <w:p>
      <w:pPr>
        <w:numPr>
          <w:ilvl w:val="0"/>
          <w:numId w:val="35"/>
        </w:numPr>
        <w:tabs>
          <w:tab w:val="left" w:pos="700"/>
        </w:tabs>
        <w:spacing w:after="0" w:line="341" w:lineRule="exact"/>
        <w:ind w:left="700" w:hanging="496"/>
        <w:rPr>
          <w:rFonts w:ascii="Times New Roman" w:hAnsi="Times New Roman" w:eastAsia="Times New Roman" w:cs="Times New Roman"/>
          <w:color w:val="auto"/>
          <w:sz w:val="28"/>
          <w:szCs w:val="28"/>
        </w:rPr>
      </w:pPr>
      <w:r>
        <w:rPr>
          <w:rFonts w:ascii="黑体" w:hAnsi="黑体" w:eastAsia="黑体" w:cs="黑体"/>
          <w:color w:val="auto"/>
          <w:sz w:val="28"/>
          <w:szCs w:val="28"/>
        </w:rPr>
        <w:t>工程质量</w:t>
      </w:r>
    </w:p>
    <w:p>
      <w:pPr>
        <w:spacing w:after="0" w:line="349"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13.1 </w:t>
      </w:r>
      <w:r>
        <w:rPr>
          <w:rFonts w:ascii="黑体" w:hAnsi="黑体" w:eastAsia="黑体" w:cs="黑体"/>
          <w:color w:val="auto"/>
          <w:sz w:val="24"/>
          <w:szCs w:val="24"/>
        </w:rPr>
        <w:t>工程质量要求</w:t>
      </w:r>
    </w:p>
    <w:p>
      <w:pPr>
        <w:spacing w:after="0" w:line="349" w:lineRule="exact"/>
        <w:rPr>
          <w:color w:val="auto"/>
          <w:sz w:val="20"/>
          <w:szCs w:val="20"/>
        </w:rPr>
      </w:pPr>
    </w:p>
    <w:p>
      <w:pPr>
        <w:numPr>
          <w:ilvl w:val="0"/>
          <w:numId w:val="36"/>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13.1.1 </w:t>
      </w:r>
      <w:r>
        <w:rPr>
          <w:rFonts w:ascii="宋体" w:hAnsi="宋体" w:eastAsia="宋体" w:cs="宋体"/>
          <w:color w:val="auto"/>
          <w:sz w:val="24"/>
          <w:szCs w:val="24"/>
        </w:rPr>
        <w:t>项约定为：</w:t>
      </w:r>
    </w:p>
    <w:p>
      <w:pPr>
        <w:spacing w:after="0" w:line="10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工程质量验收按技术规范及《公路工程质量检验评定标准》执行。</w:t>
      </w:r>
    </w:p>
    <w:p>
      <w:pPr>
        <w:spacing w:after="0" w:line="127"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本款补充第</w:t>
      </w:r>
      <w:r>
        <w:rPr>
          <w:rFonts w:ascii="Times New Roman" w:hAnsi="Times New Roman" w:eastAsia="Times New Roman" w:cs="Times New Roman"/>
          <w:color w:val="auto"/>
          <w:sz w:val="24"/>
          <w:szCs w:val="24"/>
        </w:rPr>
        <w:t xml:space="preserve"> 13.1.4 </w:t>
      </w:r>
      <w:r>
        <w:rPr>
          <w:rFonts w:ascii="宋体" w:hAnsi="宋体" w:eastAsia="宋体" w:cs="宋体"/>
          <w:color w:val="auto"/>
          <w:sz w:val="24"/>
          <w:szCs w:val="24"/>
        </w:rPr>
        <w:t>项和第</w:t>
      </w:r>
      <w:r>
        <w:rPr>
          <w:rFonts w:ascii="Times New Roman" w:hAnsi="Times New Roman" w:eastAsia="Times New Roman" w:cs="Times New Roman"/>
          <w:color w:val="auto"/>
          <w:sz w:val="24"/>
          <w:szCs w:val="24"/>
        </w:rPr>
        <w:t xml:space="preserve"> 13.1.5 </w:t>
      </w:r>
      <w:r>
        <w:rPr>
          <w:rFonts w:ascii="宋体" w:hAnsi="宋体" w:eastAsia="宋体" w:cs="宋体"/>
          <w:color w:val="auto"/>
          <w:sz w:val="24"/>
          <w:szCs w:val="24"/>
        </w:rPr>
        <w:t>项：</w:t>
      </w:r>
    </w:p>
    <w:p>
      <w:pPr>
        <w:spacing w:after="0" w:line="108" w:lineRule="exact"/>
        <w:rPr>
          <w:color w:val="auto"/>
          <w:sz w:val="20"/>
          <w:szCs w:val="20"/>
        </w:rPr>
      </w:pPr>
    </w:p>
    <w:p>
      <w:pPr>
        <w:spacing w:after="0" w:line="358" w:lineRule="exact"/>
        <w:ind w:left="200" w:right="144" w:firstLine="480"/>
        <w:jc w:val="both"/>
        <w:rPr>
          <w:color w:val="auto"/>
          <w:sz w:val="20"/>
          <w:szCs w:val="20"/>
        </w:rPr>
      </w:pPr>
      <w:r>
        <w:rPr>
          <w:rFonts w:ascii="Times New Roman" w:hAnsi="Times New Roman" w:eastAsia="Times New Roman" w:cs="Times New Roman"/>
          <w:color w:val="auto"/>
          <w:sz w:val="24"/>
          <w:szCs w:val="24"/>
        </w:rPr>
        <w:t xml:space="preserve">13.1.4 </w:t>
      </w:r>
      <w:r>
        <w:rPr>
          <w:rFonts w:ascii="宋体" w:hAnsi="宋体" w:eastAsia="宋体" w:cs="宋体"/>
          <w:color w:val="auto"/>
          <w:sz w:val="24"/>
          <w:szCs w:val="24"/>
        </w:rPr>
        <w:t>发包人和承包人应严格遵守《关于严格落实公路工程质量责任制的若干意见》的相关规定，认真执行工程质量责任登记制度并按要求填写工程质量责任登记表。</w:t>
      </w:r>
    </w:p>
    <w:p>
      <w:pPr>
        <w:spacing w:after="0" w:line="126" w:lineRule="exact"/>
        <w:rPr>
          <w:color w:val="auto"/>
          <w:sz w:val="20"/>
          <w:szCs w:val="20"/>
        </w:rPr>
      </w:pPr>
    </w:p>
    <w:p>
      <w:pPr>
        <w:spacing w:after="0" w:line="358" w:lineRule="exact"/>
        <w:ind w:left="200" w:right="24" w:firstLine="480"/>
        <w:jc w:val="both"/>
        <w:rPr>
          <w:color w:val="auto"/>
          <w:sz w:val="20"/>
          <w:szCs w:val="20"/>
        </w:rPr>
      </w:pPr>
      <w:r>
        <w:rPr>
          <w:rFonts w:ascii="Times New Roman" w:hAnsi="Times New Roman" w:eastAsia="Times New Roman" w:cs="Times New Roman"/>
          <w:color w:val="auto"/>
          <w:sz w:val="24"/>
          <w:szCs w:val="24"/>
        </w:rPr>
        <w:t xml:space="preserve">13.1.5 </w:t>
      </w:r>
      <w:r>
        <w:rPr>
          <w:rFonts w:ascii="宋体" w:hAnsi="宋体" w:eastAsia="宋体" w:cs="宋体"/>
          <w:color w:val="auto"/>
          <w:sz w:val="24"/>
          <w:szCs w:val="24"/>
        </w:rPr>
        <w:t>本项目严格执行质量责任追究制度。质量事故处理实行</w:t>
      </w:r>
      <w:r>
        <w:rPr>
          <w:rFonts w:ascii="Times New Roman" w:hAnsi="Times New Roman" w:eastAsia="Times New Roman" w:cs="Times New Roman"/>
          <w:color w:val="auto"/>
          <w:sz w:val="24"/>
          <w:szCs w:val="24"/>
        </w:rPr>
        <w:t>“</w:t>
      </w:r>
      <w:r>
        <w:rPr>
          <w:rFonts w:ascii="宋体" w:hAnsi="宋体" w:eastAsia="宋体" w:cs="宋体"/>
          <w:color w:val="auto"/>
          <w:sz w:val="24"/>
          <w:szCs w:val="24"/>
        </w:rPr>
        <w:t>四不放过</w:t>
      </w:r>
      <w:r>
        <w:rPr>
          <w:rFonts w:ascii="Times New Roman" w:hAnsi="Times New Roman" w:eastAsia="Times New Roman" w:cs="Times New Roman"/>
          <w:color w:val="auto"/>
          <w:sz w:val="24"/>
          <w:szCs w:val="24"/>
        </w:rPr>
        <w:t>”</w:t>
      </w:r>
      <w:r>
        <w:rPr>
          <w:rFonts w:ascii="宋体" w:hAnsi="宋体" w:eastAsia="宋体" w:cs="宋体"/>
          <w:color w:val="auto"/>
          <w:sz w:val="24"/>
          <w:szCs w:val="24"/>
        </w:rPr>
        <w:t>原则：事故原因调查不清不放过；事故责任者没有受到教育不放过；没有防范措施不放过；相关责任人没受到处理不放过。</w:t>
      </w:r>
    </w:p>
    <w:p>
      <w:pPr>
        <w:spacing w:after="0" w:line="346"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13.2 </w:t>
      </w:r>
      <w:r>
        <w:rPr>
          <w:rFonts w:ascii="黑体" w:hAnsi="黑体" w:eastAsia="黑体" w:cs="黑体"/>
          <w:color w:val="auto"/>
          <w:sz w:val="24"/>
          <w:szCs w:val="24"/>
        </w:rPr>
        <w:t>承包人的质量管理</w:t>
      </w:r>
    </w:p>
    <w:p>
      <w:pPr>
        <w:spacing w:after="0" w:line="349" w:lineRule="exact"/>
        <w:rPr>
          <w:color w:val="auto"/>
          <w:sz w:val="20"/>
          <w:szCs w:val="20"/>
        </w:rPr>
      </w:pPr>
    </w:p>
    <w:p>
      <w:pPr>
        <w:numPr>
          <w:ilvl w:val="0"/>
          <w:numId w:val="37"/>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13.2.1 </w:t>
      </w:r>
      <w:r>
        <w:rPr>
          <w:rFonts w:ascii="宋体" w:hAnsi="宋体" w:eastAsia="宋体" w:cs="宋体"/>
          <w:color w:val="auto"/>
          <w:sz w:val="24"/>
          <w:szCs w:val="24"/>
        </w:rPr>
        <w:t>项补充：</w:t>
      </w:r>
    </w:p>
    <w:p>
      <w:pPr>
        <w:spacing w:after="0" w:line="108"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承包人提交工程质量保证措施文件的期限：签订合同协议书后</w:t>
      </w:r>
      <w:r>
        <w:rPr>
          <w:rFonts w:ascii="Times New Roman" w:hAnsi="Times New Roman" w:eastAsia="Times New Roman" w:cs="Times New Roman"/>
          <w:color w:val="auto"/>
          <w:sz w:val="24"/>
          <w:szCs w:val="24"/>
        </w:rPr>
        <w:t xml:space="preserve"> 28 </w:t>
      </w:r>
      <w:r>
        <w:rPr>
          <w:rFonts w:ascii="宋体" w:hAnsi="宋体" w:eastAsia="宋体" w:cs="宋体"/>
          <w:color w:val="auto"/>
          <w:sz w:val="24"/>
          <w:szCs w:val="24"/>
        </w:rPr>
        <w:t>天之内。</w:t>
      </w:r>
    </w:p>
    <w:p>
      <w:pPr>
        <w:spacing w:after="0" w:line="108"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本款补充第</w:t>
      </w:r>
      <w:r>
        <w:rPr>
          <w:rFonts w:ascii="Times New Roman" w:hAnsi="Times New Roman" w:eastAsia="Times New Roman" w:cs="Times New Roman"/>
          <w:color w:val="auto"/>
          <w:sz w:val="24"/>
          <w:szCs w:val="24"/>
        </w:rPr>
        <w:t xml:space="preserve"> 13.2.3 </w:t>
      </w:r>
      <w:r>
        <w:rPr>
          <w:rFonts w:ascii="宋体" w:hAnsi="宋体" w:eastAsia="宋体" w:cs="宋体"/>
          <w:color w:val="auto"/>
          <w:sz w:val="24"/>
          <w:szCs w:val="24"/>
        </w:rPr>
        <w:t>项</w:t>
      </w:r>
      <w:r>
        <w:rPr>
          <w:rFonts w:ascii="Times New Roman" w:hAnsi="Times New Roman" w:eastAsia="Times New Roman" w:cs="Times New Roman"/>
          <w:color w:val="auto"/>
          <w:sz w:val="24"/>
          <w:szCs w:val="24"/>
        </w:rPr>
        <w:t>~</w:t>
      </w:r>
      <w:r>
        <w:rPr>
          <w:rFonts w:ascii="宋体" w:hAnsi="宋体" w:eastAsia="宋体" w:cs="宋体"/>
          <w:color w:val="auto"/>
          <w:sz w:val="24"/>
          <w:szCs w:val="24"/>
        </w:rPr>
        <w:t>第</w:t>
      </w:r>
      <w:r>
        <w:rPr>
          <w:rFonts w:ascii="Times New Roman" w:hAnsi="Times New Roman" w:eastAsia="Times New Roman" w:cs="Times New Roman"/>
          <w:color w:val="auto"/>
          <w:sz w:val="24"/>
          <w:szCs w:val="24"/>
        </w:rPr>
        <w:t xml:space="preserve"> 13.2.6 </w:t>
      </w:r>
      <w:r>
        <w:rPr>
          <w:rFonts w:ascii="宋体" w:hAnsi="宋体" w:eastAsia="宋体" w:cs="宋体"/>
          <w:color w:val="auto"/>
          <w:sz w:val="24"/>
          <w:szCs w:val="24"/>
        </w:rPr>
        <w:t>项：</w:t>
      </w:r>
    </w:p>
    <w:p>
      <w:pPr>
        <w:spacing w:after="0" w:line="109" w:lineRule="exact"/>
        <w:rPr>
          <w:color w:val="auto"/>
          <w:sz w:val="20"/>
          <w:szCs w:val="20"/>
        </w:rPr>
      </w:pPr>
    </w:p>
    <w:p>
      <w:pPr>
        <w:spacing w:after="0" w:line="357" w:lineRule="exact"/>
        <w:ind w:left="200" w:right="144" w:firstLine="480"/>
        <w:jc w:val="both"/>
        <w:rPr>
          <w:color w:val="auto"/>
          <w:sz w:val="20"/>
          <w:szCs w:val="20"/>
        </w:rPr>
      </w:pPr>
      <w:r>
        <w:rPr>
          <w:rFonts w:ascii="Times New Roman" w:hAnsi="Times New Roman" w:eastAsia="Times New Roman" w:cs="Times New Roman"/>
          <w:color w:val="auto"/>
          <w:sz w:val="24"/>
          <w:szCs w:val="24"/>
        </w:rPr>
        <w:t xml:space="preserve">13.2.3 </w:t>
      </w:r>
      <w:r>
        <w:rPr>
          <w:rFonts w:ascii="宋体" w:hAnsi="宋体" w:eastAsia="宋体" w:cs="宋体"/>
          <w:color w:val="auto"/>
          <w:sz w:val="24"/>
          <w:szCs w:val="24"/>
        </w:rPr>
        <w:t>承包人必须遵守国家有关法律、法规和规章，严格执行公路工程强制性技术标准、各类技术规范及规程，全面履行工程合同义务，依法对公路工程质量负责。</w:t>
      </w:r>
    </w:p>
    <w:p>
      <w:pPr>
        <w:spacing w:after="0" w:line="130" w:lineRule="exact"/>
        <w:rPr>
          <w:color w:val="auto"/>
          <w:sz w:val="20"/>
          <w:szCs w:val="20"/>
        </w:rPr>
      </w:pPr>
    </w:p>
    <w:p>
      <w:pPr>
        <w:spacing w:after="0" w:line="336" w:lineRule="exact"/>
        <w:ind w:left="200" w:right="144" w:firstLine="480"/>
        <w:jc w:val="both"/>
        <w:rPr>
          <w:color w:val="auto"/>
          <w:sz w:val="20"/>
          <w:szCs w:val="20"/>
        </w:rPr>
      </w:pPr>
      <w:r>
        <w:rPr>
          <w:rFonts w:ascii="Times New Roman" w:hAnsi="Times New Roman" w:eastAsia="Times New Roman" w:cs="Times New Roman"/>
          <w:color w:val="auto"/>
          <w:sz w:val="24"/>
          <w:szCs w:val="24"/>
        </w:rPr>
        <w:t xml:space="preserve">13.2.4 </w:t>
      </w:r>
      <w:r>
        <w:rPr>
          <w:rFonts w:ascii="宋体" w:hAnsi="宋体" w:eastAsia="宋体" w:cs="宋体"/>
          <w:color w:val="auto"/>
          <w:sz w:val="24"/>
          <w:szCs w:val="24"/>
        </w:rPr>
        <w:t>承包人应加强质量监控，确保规范规定的检验、抽检频率，现场质检的原始资料必须真实、准确、可靠，不得追记，接受质量检查时必须出示原始资料。</w:t>
      </w:r>
    </w:p>
    <w:p>
      <w:pPr>
        <w:spacing w:after="0" w:line="127" w:lineRule="exact"/>
        <w:rPr>
          <w:color w:val="auto"/>
          <w:sz w:val="20"/>
          <w:szCs w:val="20"/>
        </w:rPr>
      </w:pPr>
    </w:p>
    <w:p>
      <w:pPr>
        <w:spacing w:after="0" w:line="358" w:lineRule="exact"/>
        <w:ind w:left="200" w:right="144" w:firstLine="480"/>
        <w:jc w:val="both"/>
        <w:rPr>
          <w:color w:val="auto"/>
          <w:sz w:val="20"/>
          <w:szCs w:val="20"/>
        </w:rPr>
      </w:pPr>
      <w:r>
        <w:rPr>
          <w:rFonts w:ascii="Times New Roman" w:hAnsi="Times New Roman" w:eastAsia="Times New Roman" w:cs="Times New Roman"/>
          <w:color w:val="auto"/>
          <w:sz w:val="24"/>
          <w:szCs w:val="24"/>
        </w:rPr>
        <w:t xml:space="preserve">13.2.5 </w:t>
      </w:r>
      <w:r>
        <w:rPr>
          <w:rFonts w:ascii="宋体" w:hAnsi="宋体" w:eastAsia="宋体" w:cs="宋体"/>
          <w:color w:val="auto"/>
          <w:sz w:val="24"/>
          <w:szCs w:val="24"/>
        </w:rPr>
        <w:t>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spacing w:after="0" w:line="126" w:lineRule="exact"/>
        <w:rPr>
          <w:color w:val="auto"/>
          <w:sz w:val="20"/>
          <w:szCs w:val="20"/>
        </w:rPr>
      </w:pPr>
    </w:p>
    <w:p>
      <w:pPr>
        <w:spacing w:after="0" w:line="292" w:lineRule="exact"/>
        <w:ind w:firstLine="720" w:firstLineChars="0"/>
        <w:rPr>
          <w:color w:val="auto"/>
          <w:sz w:val="20"/>
          <w:szCs w:val="20"/>
        </w:rPr>
      </w:pPr>
      <w:r>
        <w:rPr>
          <w:rFonts w:ascii="Times New Roman" w:hAnsi="Times New Roman" w:eastAsia="Times New Roman" w:cs="Times New Roman"/>
          <w:color w:val="auto"/>
          <w:sz w:val="24"/>
          <w:szCs w:val="24"/>
        </w:rPr>
        <w:t xml:space="preserve">13.2.6 </w:t>
      </w:r>
      <w:r>
        <w:rPr>
          <w:rFonts w:ascii="宋体" w:hAnsi="宋体" w:eastAsia="宋体" w:cs="宋体"/>
          <w:color w:val="auto"/>
          <w:sz w:val="24"/>
          <w:szCs w:val="24"/>
        </w:rPr>
        <w:t>承包人驻工程现场机构应在现场驻地和重要的分部、分项工程施工现场设置明显的工程质量责任登记表公示牌。</w:t>
      </w:r>
    </w:p>
    <w:p>
      <w:pPr>
        <w:spacing w:after="0" w:line="346"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13.4 </w:t>
      </w:r>
      <w:r>
        <w:rPr>
          <w:rFonts w:ascii="黑体" w:hAnsi="黑体" w:eastAsia="黑体" w:cs="黑体"/>
          <w:color w:val="auto"/>
          <w:sz w:val="24"/>
          <w:szCs w:val="24"/>
        </w:rPr>
        <w:t>监理人的质量检查</w:t>
      </w:r>
    </w:p>
    <w:p>
      <w:pPr>
        <w:spacing w:after="0" w:line="34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本款补充：</w:t>
      </w:r>
    </w:p>
    <w:p>
      <w:pPr>
        <w:spacing w:after="0" w:line="161" w:lineRule="exact"/>
        <w:rPr>
          <w:color w:val="auto"/>
          <w:sz w:val="20"/>
          <w:szCs w:val="20"/>
        </w:rPr>
      </w:pPr>
    </w:p>
    <w:p>
      <w:pPr>
        <w:spacing w:after="0" w:line="346" w:lineRule="exact"/>
        <w:ind w:left="200" w:right="24" w:firstLine="480"/>
        <w:rPr>
          <w:color w:val="auto"/>
          <w:sz w:val="20"/>
          <w:szCs w:val="20"/>
        </w:rPr>
      </w:pPr>
      <w:r>
        <w:rPr>
          <w:rFonts w:ascii="宋体" w:hAnsi="宋体" w:eastAsia="宋体" w:cs="宋体"/>
          <w:color w:val="auto"/>
          <w:sz w:val="24"/>
          <w:szCs w:val="24"/>
        </w:rPr>
        <w:t>监理人及其委派的检验人员，应能进入工程现场，以及材料或工程设备的制造、加工或制配的车间和场所，包括不属于承包人的车间或场所进行检查，承包人应为此提供便利和协助。</w:t>
      </w:r>
    </w:p>
    <w:p>
      <w:pPr>
        <w:spacing w:after="0" w:line="163" w:lineRule="exact"/>
        <w:rPr>
          <w:color w:val="auto"/>
          <w:sz w:val="20"/>
          <w:szCs w:val="20"/>
        </w:rPr>
      </w:pPr>
    </w:p>
    <w:p>
      <w:pPr>
        <w:spacing w:after="0" w:line="359" w:lineRule="exact"/>
        <w:ind w:left="200" w:right="144" w:firstLine="480"/>
        <w:jc w:val="both"/>
        <w:rPr>
          <w:color w:val="auto"/>
          <w:sz w:val="20"/>
          <w:szCs w:val="20"/>
        </w:rPr>
      </w:pPr>
      <w:r>
        <w:rPr>
          <w:rFonts w:ascii="宋体" w:hAnsi="宋体" w:eastAsia="宋体" w:cs="宋体"/>
          <w:color w:val="auto"/>
          <w:sz w:val="24"/>
          <w:szCs w:val="24"/>
        </w:rPr>
        <w:t>监理人可以将材料或工程设备的检查和检验委托给一家独立的有质量检验认证资格的检验单位。该独立检验单位的检验结果应视为监理人完成的。监理人应将这种委托的通知书不少于</w:t>
      </w:r>
      <w:r>
        <w:rPr>
          <w:rFonts w:ascii="Times New Roman" w:hAnsi="Times New Roman" w:eastAsia="Times New Roman" w:cs="Times New Roman"/>
          <w:color w:val="auto"/>
          <w:sz w:val="24"/>
          <w:szCs w:val="24"/>
        </w:rPr>
        <w:t xml:space="preserve"> 7 </w:t>
      </w:r>
      <w:r>
        <w:rPr>
          <w:rFonts w:ascii="宋体" w:hAnsi="宋体" w:eastAsia="宋体" w:cs="宋体"/>
          <w:color w:val="auto"/>
          <w:sz w:val="24"/>
          <w:szCs w:val="24"/>
        </w:rPr>
        <w:t>天前交给承包人。</w:t>
      </w:r>
    </w:p>
    <w:p>
      <w:pPr>
        <w:spacing w:after="0" w:line="31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13.5 </w:t>
      </w:r>
      <w:r>
        <w:rPr>
          <w:rFonts w:ascii="黑体" w:hAnsi="黑体" w:eastAsia="黑体" w:cs="黑体"/>
          <w:color w:val="auto"/>
          <w:sz w:val="24"/>
          <w:szCs w:val="24"/>
        </w:rPr>
        <w:t>工程隐蔽部位覆盖前的检查</w:t>
      </w:r>
    </w:p>
    <w:p>
      <w:pPr>
        <w:spacing w:after="0" w:line="348" w:lineRule="exact"/>
        <w:rPr>
          <w:color w:val="auto"/>
          <w:sz w:val="20"/>
          <w:szCs w:val="20"/>
        </w:rPr>
      </w:pPr>
    </w:p>
    <w:p>
      <w:pPr>
        <w:numPr>
          <w:ilvl w:val="0"/>
          <w:numId w:val="38"/>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13.5.1 </w:t>
      </w:r>
      <w:r>
        <w:rPr>
          <w:rFonts w:ascii="宋体" w:hAnsi="宋体" w:eastAsia="宋体" w:cs="宋体"/>
          <w:color w:val="auto"/>
          <w:sz w:val="24"/>
          <w:szCs w:val="24"/>
        </w:rPr>
        <w:t>项补充：</w:t>
      </w:r>
    </w:p>
    <w:p>
      <w:pPr>
        <w:spacing w:after="0" w:line="109" w:lineRule="exact"/>
        <w:rPr>
          <w:rFonts w:ascii="宋体" w:hAnsi="宋体" w:eastAsia="宋体" w:cs="宋体"/>
          <w:color w:val="auto"/>
          <w:sz w:val="24"/>
          <w:szCs w:val="24"/>
        </w:rPr>
      </w:pPr>
    </w:p>
    <w:p>
      <w:pPr>
        <w:spacing w:after="0" w:line="274" w:lineRule="exact"/>
        <w:ind w:left="680"/>
        <w:rPr>
          <w:rFonts w:ascii="宋体" w:hAnsi="宋体" w:eastAsia="宋体" w:cs="宋体"/>
          <w:color w:val="auto"/>
          <w:sz w:val="24"/>
          <w:szCs w:val="24"/>
        </w:rPr>
      </w:pPr>
      <w:r>
        <w:rPr>
          <w:rFonts w:ascii="宋体" w:hAnsi="宋体" w:eastAsia="宋体" w:cs="宋体"/>
          <w:color w:val="auto"/>
          <w:sz w:val="24"/>
          <w:szCs w:val="24"/>
        </w:rPr>
        <w:t>当监理人有指令时，承包人应对重要隐蔽工程进行拍摄或照相并应保证监理人</w:t>
      </w:r>
    </w:p>
    <w:p>
      <w:pPr>
        <w:spacing w:after="0" w:line="159" w:lineRule="exact"/>
        <w:rPr>
          <w:color w:val="auto"/>
          <w:sz w:val="20"/>
          <w:szCs w:val="20"/>
        </w:rPr>
      </w:pPr>
    </w:p>
    <w:p>
      <w:pPr>
        <w:spacing w:after="0" w:line="320" w:lineRule="exact"/>
        <w:ind w:left="200" w:right="144"/>
        <w:rPr>
          <w:color w:val="auto"/>
          <w:sz w:val="20"/>
          <w:szCs w:val="20"/>
        </w:rPr>
      </w:pPr>
      <w:r>
        <w:rPr>
          <w:rFonts w:ascii="宋体" w:hAnsi="宋体" w:eastAsia="宋体" w:cs="宋体"/>
          <w:color w:val="auto"/>
          <w:sz w:val="24"/>
          <w:szCs w:val="24"/>
        </w:rPr>
        <w:t>有充分的机会对将要覆盖或掩蔽的工程进行检查和量测，特别是在基础以上的任一部分工程修筑之前，对该基础进行检查。</w:t>
      </w:r>
    </w:p>
    <w:p>
      <w:pPr>
        <w:spacing w:after="0" w:line="347"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13.6 </w:t>
      </w:r>
      <w:r>
        <w:rPr>
          <w:rFonts w:ascii="黑体" w:hAnsi="黑体" w:eastAsia="黑体" w:cs="黑体"/>
          <w:color w:val="auto"/>
          <w:sz w:val="24"/>
          <w:szCs w:val="24"/>
        </w:rPr>
        <w:t>清除不合格工程</w:t>
      </w:r>
    </w:p>
    <w:p>
      <w:pPr>
        <w:spacing w:after="0" w:line="348" w:lineRule="exact"/>
        <w:rPr>
          <w:color w:val="auto"/>
          <w:sz w:val="20"/>
          <w:szCs w:val="20"/>
        </w:rPr>
      </w:pPr>
    </w:p>
    <w:p>
      <w:pPr>
        <w:numPr>
          <w:ilvl w:val="0"/>
          <w:numId w:val="39"/>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13.6.1 </w:t>
      </w:r>
      <w:r>
        <w:rPr>
          <w:rFonts w:ascii="宋体" w:hAnsi="宋体" w:eastAsia="宋体" w:cs="宋体"/>
          <w:color w:val="auto"/>
          <w:sz w:val="24"/>
          <w:szCs w:val="24"/>
        </w:rPr>
        <w:t>项细化为：</w:t>
      </w:r>
    </w:p>
    <w:p>
      <w:pPr>
        <w:spacing w:after="0" w:line="109" w:lineRule="exact"/>
        <w:rPr>
          <w:color w:val="auto"/>
          <w:sz w:val="20"/>
          <w:szCs w:val="20"/>
        </w:rPr>
      </w:pPr>
    </w:p>
    <w:p>
      <w:pPr>
        <w:spacing w:after="0" w:line="368" w:lineRule="exact"/>
        <w:ind w:left="200" w:right="24" w:firstLine="480"/>
        <w:rPr>
          <w:color w:val="auto"/>
          <w:sz w:val="20"/>
          <w:szCs w:val="20"/>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w:t>
      </w:r>
      <w:r>
        <w:rPr>
          <w:rFonts w:ascii="Times New Roman" w:hAnsi="Times New Roman" w:eastAsia="Times New Roman" w:cs="Times New Roman"/>
          <w:color w:val="auto"/>
          <w:sz w:val="24"/>
          <w:szCs w:val="24"/>
        </w:rPr>
        <w:t>(</w:t>
      </w:r>
      <w:r>
        <w:rPr>
          <w:rFonts w:ascii="宋体" w:hAnsi="宋体" w:eastAsia="宋体" w:cs="宋体"/>
          <w:color w:val="auto"/>
          <w:sz w:val="24"/>
          <w:szCs w:val="24"/>
        </w:rPr>
        <w:t>或</w:t>
      </w:r>
      <w:r>
        <w:rPr>
          <w:rFonts w:ascii="Times New Roman" w:hAnsi="Times New Roman" w:eastAsia="Times New Roman" w:cs="Times New Roman"/>
          <w:color w:val="auto"/>
          <w:sz w:val="24"/>
          <w:szCs w:val="24"/>
        </w:rPr>
        <w:t>)</w:t>
      </w:r>
      <w:r>
        <w:rPr>
          <w:rFonts w:ascii="宋体" w:hAnsi="宋体" w:eastAsia="宋体" w:cs="宋体"/>
          <w:color w:val="auto"/>
          <w:sz w:val="24"/>
          <w:szCs w:val="24"/>
        </w:rPr>
        <w:t>工期延误由承包人承担。</w:t>
      </w:r>
    </w:p>
    <w:p>
      <w:pPr>
        <w:spacing w:after="0" w:line="130" w:lineRule="exact"/>
        <w:rPr>
          <w:color w:val="auto"/>
          <w:sz w:val="20"/>
          <w:szCs w:val="20"/>
        </w:rPr>
      </w:pPr>
    </w:p>
    <w:p>
      <w:pPr>
        <w:spacing w:after="0" w:line="356" w:lineRule="exact"/>
        <w:ind w:left="200" w:right="144" w:firstLine="480"/>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如果承包人未在规定时间内执行监理人的指示，发包人有权雇用他人执行，由此增加的费用和</w:t>
      </w:r>
      <w:r>
        <w:rPr>
          <w:rFonts w:ascii="Times New Roman" w:hAnsi="Times New Roman" w:eastAsia="Times New Roman" w:cs="Times New Roman"/>
          <w:color w:val="auto"/>
          <w:sz w:val="24"/>
          <w:szCs w:val="24"/>
        </w:rPr>
        <w:t>(</w:t>
      </w:r>
      <w:r>
        <w:rPr>
          <w:rFonts w:ascii="宋体" w:hAnsi="宋体" w:eastAsia="宋体" w:cs="宋体"/>
          <w:color w:val="auto"/>
          <w:sz w:val="24"/>
          <w:szCs w:val="24"/>
        </w:rPr>
        <w:t>或</w:t>
      </w:r>
      <w:r>
        <w:rPr>
          <w:rFonts w:ascii="Times New Roman" w:hAnsi="Times New Roman" w:eastAsia="Times New Roman" w:cs="Times New Roman"/>
          <w:color w:val="auto"/>
          <w:sz w:val="24"/>
          <w:szCs w:val="24"/>
        </w:rPr>
        <w:t>)</w:t>
      </w:r>
      <w:r>
        <w:rPr>
          <w:rFonts w:ascii="宋体" w:hAnsi="宋体" w:eastAsia="宋体" w:cs="宋体"/>
          <w:color w:val="auto"/>
          <w:sz w:val="24"/>
          <w:szCs w:val="24"/>
        </w:rPr>
        <w:t>工期延误由承包人承担。</w:t>
      </w:r>
    </w:p>
    <w:p>
      <w:pPr>
        <w:spacing w:after="0" w:line="200" w:lineRule="exact"/>
        <w:rPr>
          <w:color w:val="auto"/>
          <w:sz w:val="20"/>
          <w:szCs w:val="20"/>
        </w:rPr>
      </w:pPr>
    </w:p>
    <w:p>
      <w:pPr>
        <w:spacing w:after="0" w:line="279" w:lineRule="exact"/>
        <w:rPr>
          <w:color w:val="auto"/>
          <w:sz w:val="20"/>
          <w:szCs w:val="20"/>
        </w:rPr>
      </w:pPr>
    </w:p>
    <w:p>
      <w:pPr>
        <w:numPr>
          <w:ilvl w:val="0"/>
          <w:numId w:val="40"/>
        </w:numPr>
        <w:tabs>
          <w:tab w:val="left" w:pos="700"/>
        </w:tabs>
        <w:spacing w:after="0" w:line="341" w:lineRule="exact"/>
        <w:ind w:left="700" w:hanging="496"/>
        <w:rPr>
          <w:rFonts w:ascii="Times New Roman" w:hAnsi="Times New Roman" w:eastAsia="Times New Roman" w:cs="Times New Roman"/>
          <w:color w:val="auto"/>
          <w:sz w:val="28"/>
          <w:szCs w:val="28"/>
        </w:rPr>
      </w:pPr>
      <w:r>
        <w:rPr>
          <w:rFonts w:ascii="黑体" w:hAnsi="黑体" w:eastAsia="黑体" w:cs="黑体"/>
          <w:color w:val="auto"/>
          <w:sz w:val="28"/>
          <w:szCs w:val="28"/>
        </w:rPr>
        <w:t>试验和检验</w:t>
      </w:r>
    </w:p>
    <w:p>
      <w:pPr>
        <w:spacing w:after="0" w:line="370" w:lineRule="exact"/>
        <w:rPr>
          <w:color w:val="auto"/>
          <w:sz w:val="20"/>
          <w:szCs w:val="20"/>
        </w:rPr>
      </w:pPr>
    </w:p>
    <w:p>
      <w:pPr>
        <w:spacing w:after="0" w:line="292" w:lineRule="exact"/>
        <w:ind w:left="200"/>
        <w:rPr>
          <w:color w:val="auto"/>
          <w:sz w:val="20"/>
          <w:szCs w:val="20"/>
        </w:rPr>
      </w:pPr>
      <w:r>
        <w:rPr>
          <w:rFonts w:ascii="宋体" w:hAnsi="宋体" w:eastAsia="宋体" w:cs="宋体"/>
          <w:color w:val="auto"/>
          <w:sz w:val="24"/>
          <w:szCs w:val="24"/>
        </w:rPr>
        <w:t>补充第</w:t>
      </w:r>
      <w:r>
        <w:rPr>
          <w:rFonts w:ascii="Times New Roman" w:hAnsi="Times New Roman" w:eastAsia="Times New Roman" w:cs="Times New Roman"/>
          <w:color w:val="auto"/>
          <w:sz w:val="24"/>
          <w:szCs w:val="24"/>
        </w:rPr>
        <w:t xml:space="preserve"> 14.4 </w:t>
      </w:r>
      <w:r>
        <w:rPr>
          <w:rFonts w:ascii="宋体" w:hAnsi="宋体" w:eastAsia="宋体" w:cs="宋体"/>
          <w:color w:val="auto"/>
          <w:sz w:val="24"/>
          <w:szCs w:val="24"/>
        </w:rPr>
        <w:t>款：</w:t>
      </w:r>
    </w:p>
    <w:p>
      <w:pPr>
        <w:spacing w:after="0" w:line="328"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14.4 </w:t>
      </w:r>
      <w:r>
        <w:rPr>
          <w:rFonts w:ascii="黑体" w:hAnsi="黑体" w:eastAsia="黑体" w:cs="黑体"/>
          <w:color w:val="auto"/>
          <w:sz w:val="24"/>
          <w:szCs w:val="24"/>
        </w:rPr>
        <w:t>试验和检验费用</w:t>
      </w:r>
    </w:p>
    <w:p>
      <w:pPr>
        <w:spacing w:after="0" w:line="348" w:lineRule="exact"/>
        <w:rPr>
          <w:color w:val="auto"/>
          <w:sz w:val="20"/>
          <w:szCs w:val="20"/>
        </w:rPr>
      </w:pPr>
    </w:p>
    <w:p>
      <w:pPr>
        <w:spacing w:after="0" w:line="337" w:lineRule="exact"/>
        <w:ind w:left="200" w:right="144" w:firstLine="480"/>
        <w:rPr>
          <w:color w:val="auto"/>
          <w:sz w:val="20"/>
          <w:szCs w:val="20"/>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承包人应负责提供合同和技术规范规定的试验和检验所需的全部样品，并承担其费用。</w:t>
      </w:r>
    </w:p>
    <w:p>
      <w:pPr>
        <w:spacing w:after="0" w:line="127" w:lineRule="exact"/>
        <w:rPr>
          <w:color w:val="auto"/>
          <w:sz w:val="20"/>
          <w:szCs w:val="20"/>
        </w:rPr>
      </w:pPr>
    </w:p>
    <w:p>
      <w:pPr>
        <w:spacing w:after="0" w:line="292" w:lineRule="exact"/>
        <w:ind w:firstLine="720" w:firstLineChars="0"/>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在合同中明确规定的试验和检验，包括无须在工程量清单中单独列项和已在工程量清单中单独列项的试验和检验，其试验和检验的费用由承包人负担。</w:t>
      </w:r>
    </w:p>
    <w:p>
      <w:pPr>
        <w:spacing w:after="0" w:line="127" w:lineRule="exact"/>
        <w:rPr>
          <w:color w:val="auto"/>
          <w:sz w:val="20"/>
          <w:szCs w:val="20"/>
        </w:rPr>
      </w:pPr>
    </w:p>
    <w:p>
      <w:pPr>
        <w:spacing w:after="0" w:line="368" w:lineRule="exact"/>
        <w:ind w:left="200" w:right="144" w:firstLine="480"/>
        <w:jc w:val="both"/>
        <w:rPr>
          <w:color w:val="auto"/>
          <w:sz w:val="20"/>
          <w:szCs w:val="20"/>
        </w:rPr>
      </w:pPr>
      <w:r>
        <w:rPr>
          <w:rFonts w:ascii="Times New Roman" w:hAnsi="Times New Roman" w:eastAsia="Times New Roman" w:cs="Times New Roman"/>
          <w:color w:val="auto"/>
          <w:sz w:val="24"/>
          <w:szCs w:val="24"/>
        </w:rPr>
        <w:t>(3)</w:t>
      </w:r>
      <w:r>
        <w:rPr>
          <w:rFonts w:ascii="宋体" w:hAnsi="宋体" w:eastAsia="宋体" w:cs="宋体"/>
          <w:color w:val="auto"/>
          <w:sz w:val="24"/>
          <w:szCs w:val="24"/>
        </w:rPr>
        <w:t>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spacing w:after="0" w:line="200" w:lineRule="exact"/>
        <w:rPr>
          <w:color w:val="auto"/>
          <w:sz w:val="20"/>
          <w:szCs w:val="20"/>
        </w:rPr>
      </w:pPr>
    </w:p>
    <w:p>
      <w:pPr>
        <w:spacing w:after="0" w:line="318" w:lineRule="exact"/>
        <w:rPr>
          <w:color w:val="auto"/>
          <w:sz w:val="20"/>
          <w:szCs w:val="20"/>
        </w:rPr>
      </w:pPr>
    </w:p>
    <w:p>
      <w:pPr>
        <w:numPr>
          <w:ilvl w:val="0"/>
          <w:numId w:val="41"/>
        </w:numPr>
        <w:tabs>
          <w:tab w:val="left" w:pos="700"/>
        </w:tabs>
        <w:spacing w:after="0" w:line="341" w:lineRule="exact"/>
        <w:ind w:left="700" w:hanging="496"/>
        <w:rPr>
          <w:rFonts w:ascii="Times New Roman" w:hAnsi="Times New Roman" w:eastAsia="Times New Roman" w:cs="Times New Roman"/>
          <w:color w:val="auto"/>
          <w:sz w:val="28"/>
          <w:szCs w:val="28"/>
        </w:rPr>
      </w:pPr>
      <w:r>
        <w:rPr>
          <w:rFonts w:ascii="黑体" w:hAnsi="黑体" w:eastAsia="黑体" w:cs="黑体"/>
          <w:color w:val="auto"/>
          <w:sz w:val="28"/>
          <w:szCs w:val="28"/>
        </w:rPr>
        <w:t>变更</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15.1 </w:t>
      </w:r>
      <w:r>
        <w:rPr>
          <w:rFonts w:ascii="黑体" w:hAnsi="黑体" w:eastAsia="黑体" w:cs="黑体"/>
          <w:color w:val="auto"/>
          <w:sz w:val="24"/>
          <w:szCs w:val="24"/>
        </w:rPr>
        <w:t>变更的范围和内容</w:t>
      </w:r>
    </w:p>
    <w:p>
      <w:pPr>
        <w:spacing w:after="0" w:line="348"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本款第</w:t>
      </w:r>
      <w:r>
        <w:rPr>
          <w:rFonts w:ascii="Times New Roman" w:hAnsi="Times New Roman" w:eastAsia="Times New Roman" w:cs="Times New Roman"/>
          <w:color w:val="auto"/>
          <w:sz w:val="24"/>
          <w:szCs w:val="24"/>
        </w:rPr>
        <w:t>(1)</w:t>
      </w:r>
      <w:r>
        <w:rPr>
          <w:rFonts w:ascii="宋体" w:hAnsi="宋体" w:eastAsia="宋体" w:cs="宋体"/>
          <w:color w:val="auto"/>
          <w:sz w:val="24"/>
          <w:szCs w:val="24"/>
        </w:rPr>
        <w:t>项细化为：</w:t>
      </w:r>
    </w:p>
    <w:p>
      <w:pPr>
        <w:spacing w:after="0" w:line="109" w:lineRule="exact"/>
        <w:rPr>
          <w:color w:val="auto"/>
          <w:sz w:val="20"/>
          <w:szCs w:val="20"/>
        </w:rPr>
      </w:pPr>
    </w:p>
    <w:p>
      <w:pPr>
        <w:spacing w:after="0" w:line="336" w:lineRule="exact"/>
        <w:ind w:left="200" w:right="144" w:firstLine="480"/>
        <w:jc w:val="both"/>
        <w:rPr>
          <w:color w:val="auto"/>
          <w:sz w:val="20"/>
          <w:szCs w:val="20"/>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取消合同中任何一项工作，但被取消的工作不能转由发包人或其他人实施，由于承包人违约造成的情况除外；</w:t>
      </w:r>
    </w:p>
    <w:p>
      <w:pPr>
        <w:spacing w:after="0" w:line="347"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15.3 </w:t>
      </w:r>
      <w:r>
        <w:rPr>
          <w:rFonts w:ascii="黑体" w:hAnsi="黑体" w:eastAsia="黑体" w:cs="黑体"/>
          <w:color w:val="auto"/>
          <w:sz w:val="24"/>
          <w:szCs w:val="24"/>
        </w:rPr>
        <w:t>变更程序</w:t>
      </w:r>
    </w:p>
    <w:p>
      <w:pPr>
        <w:spacing w:after="0" w:line="349"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本款补充第</w:t>
      </w:r>
      <w:r>
        <w:rPr>
          <w:rFonts w:ascii="Times New Roman" w:hAnsi="Times New Roman" w:eastAsia="Times New Roman" w:cs="Times New Roman"/>
          <w:color w:val="auto"/>
          <w:sz w:val="24"/>
          <w:szCs w:val="24"/>
        </w:rPr>
        <w:t xml:space="preserve"> 15.3.4 </w:t>
      </w:r>
      <w:r>
        <w:rPr>
          <w:rFonts w:ascii="宋体" w:hAnsi="宋体" w:eastAsia="宋体" w:cs="宋体"/>
          <w:color w:val="auto"/>
          <w:sz w:val="24"/>
          <w:szCs w:val="24"/>
        </w:rPr>
        <w:t>项：</w:t>
      </w:r>
    </w:p>
    <w:p>
      <w:pPr>
        <w:spacing w:after="0" w:line="10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15.3.4 </w:t>
      </w:r>
      <w:r>
        <w:rPr>
          <w:rFonts w:ascii="宋体" w:hAnsi="宋体" w:eastAsia="宋体" w:cs="宋体"/>
          <w:color w:val="auto"/>
          <w:sz w:val="24"/>
          <w:szCs w:val="24"/>
        </w:rPr>
        <w:t>设计变更程序应执行《公路工程设计变更管理办法》的相关规定。</w:t>
      </w:r>
    </w:p>
    <w:p>
      <w:pPr>
        <w:spacing w:after="0" w:line="328"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15.4 </w:t>
      </w:r>
      <w:r>
        <w:rPr>
          <w:rFonts w:ascii="黑体" w:hAnsi="黑体" w:eastAsia="黑体" w:cs="黑体"/>
          <w:color w:val="auto"/>
          <w:sz w:val="24"/>
          <w:szCs w:val="24"/>
        </w:rPr>
        <w:t>变更的估价原则</w:t>
      </w:r>
    </w:p>
    <w:p>
      <w:pPr>
        <w:spacing w:after="0" w:line="34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本款细化为：</w:t>
      </w:r>
    </w:p>
    <w:p>
      <w:pPr>
        <w:spacing w:after="0" w:line="161" w:lineRule="exact"/>
        <w:rPr>
          <w:color w:val="auto"/>
          <w:sz w:val="20"/>
          <w:szCs w:val="20"/>
        </w:rPr>
      </w:pPr>
    </w:p>
    <w:p>
      <w:pPr>
        <w:spacing w:after="0" w:line="339" w:lineRule="exact"/>
        <w:ind w:left="680" w:right="184"/>
        <w:rPr>
          <w:color w:val="auto"/>
          <w:sz w:val="20"/>
          <w:szCs w:val="20"/>
        </w:rPr>
      </w:pPr>
      <w:r>
        <w:rPr>
          <w:rFonts w:ascii="宋体" w:hAnsi="宋体" w:eastAsia="宋体" w:cs="宋体"/>
          <w:color w:val="auto"/>
          <w:sz w:val="24"/>
          <w:szCs w:val="24"/>
        </w:rPr>
        <w:t xml:space="preserve">除项目专用合同条款另有约定外，因变更引起的价格调整按照本款约定处理。 </w:t>
      </w:r>
      <w:r>
        <w:rPr>
          <w:rFonts w:ascii="Times New Roman" w:hAnsi="Times New Roman" w:eastAsia="Times New Roman" w:cs="Times New Roman"/>
          <w:color w:val="auto"/>
          <w:sz w:val="24"/>
          <w:szCs w:val="24"/>
        </w:rPr>
        <w:t xml:space="preserve">15.4.1 </w:t>
      </w:r>
      <w:r>
        <w:rPr>
          <w:rFonts w:ascii="宋体" w:hAnsi="宋体" w:eastAsia="宋体" w:cs="宋体"/>
          <w:color w:val="auto"/>
          <w:sz w:val="24"/>
          <w:szCs w:val="24"/>
        </w:rPr>
        <w:t>如果取消某项工作，则该项工作的总额价不予支付；</w:t>
      </w:r>
    </w:p>
    <w:p>
      <w:pPr>
        <w:spacing w:after="0" w:line="89" w:lineRule="exact"/>
        <w:rPr>
          <w:color w:val="auto"/>
          <w:sz w:val="20"/>
          <w:szCs w:val="20"/>
        </w:rPr>
      </w:pPr>
    </w:p>
    <w:p>
      <w:pPr>
        <w:spacing w:after="0" w:line="292" w:lineRule="exact"/>
        <w:ind w:left="680"/>
        <w:rPr>
          <w:color w:val="auto"/>
          <w:sz w:val="24"/>
          <w:szCs w:val="24"/>
        </w:rPr>
      </w:pPr>
      <w:r>
        <w:rPr>
          <w:rFonts w:ascii="Times New Roman" w:hAnsi="Times New Roman" w:eastAsia="Times New Roman" w:cs="Times New Roman"/>
          <w:color w:val="auto"/>
          <w:sz w:val="24"/>
          <w:szCs w:val="24"/>
        </w:rPr>
        <w:t xml:space="preserve">15.4.2 </w:t>
      </w:r>
      <w:r>
        <w:rPr>
          <w:rFonts w:ascii="宋体" w:hAnsi="宋体" w:eastAsia="宋体" w:cs="宋体"/>
          <w:color w:val="auto"/>
          <w:sz w:val="24"/>
          <w:szCs w:val="24"/>
        </w:rPr>
        <w:t>已标价工程量清单中有适用于变更工作的子目的，采用该子目的单价。</w:t>
      </w:r>
    </w:p>
    <w:p>
      <w:pPr>
        <w:spacing w:after="0" w:line="109" w:lineRule="exact"/>
        <w:rPr>
          <w:color w:val="auto"/>
          <w:sz w:val="24"/>
          <w:szCs w:val="24"/>
        </w:rPr>
      </w:pPr>
    </w:p>
    <w:p>
      <w:pPr>
        <w:spacing w:after="0" w:line="356" w:lineRule="exact"/>
        <w:ind w:left="200" w:right="24" w:firstLine="480"/>
        <w:rPr>
          <w:color w:val="auto"/>
          <w:sz w:val="20"/>
          <w:szCs w:val="20"/>
        </w:rPr>
      </w:pPr>
      <w:r>
        <w:rPr>
          <w:rFonts w:ascii="Times New Roman" w:hAnsi="Times New Roman" w:eastAsia="Times New Roman" w:cs="Times New Roman"/>
          <w:color w:val="auto"/>
          <w:sz w:val="24"/>
          <w:szCs w:val="24"/>
        </w:rPr>
        <w:t xml:space="preserve">15.4.3 </w:t>
      </w:r>
      <w:r>
        <w:rPr>
          <w:rFonts w:ascii="宋体" w:hAnsi="宋体" w:eastAsia="宋体" w:cs="宋体"/>
          <w:color w:val="auto"/>
          <w:sz w:val="24"/>
          <w:szCs w:val="24"/>
        </w:rPr>
        <w:t>已标价工程量清单中无适用于变更工作的子目，但有类似子目的，可在合理范围内参照类似子目的单价，由监理人按第</w:t>
      </w:r>
      <w:r>
        <w:rPr>
          <w:rFonts w:ascii="Times New Roman" w:hAnsi="Times New Roman" w:eastAsia="Times New Roman" w:cs="Times New Roman"/>
          <w:color w:val="auto"/>
          <w:sz w:val="24"/>
          <w:szCs w:val="24"/>
        </w:rPr>
        <w:t xml:space="preserve"> 3.5 </w:t>
      </w:r>
      <w:r>
        <w:rPr>
          <w:rFonts w:ascii="宋体" w:hAnsi="宋体" w:eastAsia="宋体" w:cs="宋体"/>
          <w:color w:val="auto"/>
          <w:sz w:val="24"/>
          <w:szCs w:val="24"/>
        </w:rPr>
        <w:t>款商定或确定变更工作的单价。</w:t>
      </w:r>
    </w:p>
    <w:p>
      <w:pPr>
        <w:spacing w:after="0" w:line="88" w:lineRule="exact"/>
        <w:rPr>
          <w:color w:val="auto"/>
          <w:sz w:val="20"/>
          <w:szCs w:val="20"/>
        </w:rPr>
      </w:pPr>
    </w:p>
    <w:p>
      <w:pPr>
        <w:spacing w:after="0" w:line="358" w:lineRule="exact"/>
        <w:ind w:left="200" w:right="144" w:firstLine="480"/>
        <w:jc w:val="both"/>
        <w:rPr>
          <w:color w:val="auto"/>
          <w:sz w:val="20"/>
          <w:szCs w:val="20"/>
        </w:rPr>
      </w:pPr>
      <w:r>
        <w:rPr>
          <w:rFonts w:ascii="Times New Roman" w:hAnsi="Times New Roman" w:eastAsia="Times New Roman" w:cs="Times New Roman"/>
          <w:color w:val="auto"/>
          <w:sz w:val="24"/>
          <w:szCs w:val="24"/>
        </w:rPr>
        <w:t xml:space="preserve">15.4.4 </w:t>
      </w:r>
      <w:r>
        <w:rPr>
          <w:rFonts w:ascii="宋体" w:hAnsi="宋体" w:eastAsia="宋体" w:cs="宋体"/>
          <w:color w:val="auto"/>
          <w:sz w:val="24"/>
          <w:szCs w:val="24"/>
        </w:rPr>
        <w:t>已标价工程量清单中无适用或类似子目的单价，可在综合考虑承包人在投标时所提供的单价分析表的基础上，由监理人按第</w:t>
      </w:r>
      <w:r>
        <w:rPr>
          <w:rFonts w:ascii="Times New Roman" w:hAnsi="Times New Roman" w:eastAsia="Times New Roman" w:cs="Times New Roman"/>
          <w:color w:val="auto"/>
          <w:sz w:val="24"/>
          <w:szCs w:val="24"/>
        </w:rPr>
        <w:t xml:space="preserve"> 3.5 </w:t>
      </w:r>
      <w:r>
        <w:rPr>
          <w:rFonts w:ascii="宋体" w:hAnsi="宋体" w:eastAsia="宋体" w:cs="宋体"/>
          <w:color w:val="auto"/>
          <w:sz w:val="24"/>
          <w:szCs w:val="24"/>
        </w:rPr>
        <w:t>款商定或确定变更工作的单价。</w:t>
      </w:r>
    </w:p>
    <w:p>
      <w:pPr>
        <w:spacing w:after="0" w:line="128" w:lineRule="exact"/>
        <w:rPr>
          <w:color w:val="auto"/>
          <w:sz w:val="20"/>
          <w:szCs w:val="20"/>
        </w:rPr>
      </w:pPr>
    </w:p>
    <w:p>
      <w:pPr>
        <w:spacing w:after="0" w:line="338" w:lineRule="exact"/>
        <w:ind w:left="200" w:right="144" w:firstLine="480"/>
        <w:jc w:val="both"/>
        <w:rPr>
          <w:color w:val="auto"/>
          <w:sz w:val="20"/>
          <w:szCs w:val="20"/>
        </w:rPr>
      </w:pPr>
      <w:r>
        <w:rPr>
          <w:rFonts w:ascii="Times New Roman" w:hAnsi="Times New Roman" w:eastAsia="Times New Roman" w:cs="Times New Roman"/>
          <w:color w:val="auto"/>
          <w:sz w:val="24"/>
          <w:szCs w:val="24"/>
        </w:rPr>
        <w:t xml:space="preserve">15.4.5 </w:t>
      </w:r>
      <w:r>
        <w:rPr>
          <w:rFonts w:ascii="宋体" w:hAnsi="宋体" w:eastAsia="宋体" w:cs="宋体"/>
          <w:color w:val="auto"/>
          <w:sz w:val="24"/>
          <w:szCs w:val="24"/>
        </w:rPr>
        <w:t>如果本工程的变更指示是因承包人过错、承包人违反合同或承包人责任造成的，则这种违约引起的任何额外费用应由承包人承担。</w:t>
      </w:r>
    </w:p>
    <w:p>
      <w:pPr>
        <w:spacing w:after="0" w:line="346"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15.5 </w:t>
      </w:r>
      <w:r>
        <w:rPr>
          <w:rFonts w:ascii="黑体" w:hAnsi="黑体" w:eastAsia="黑体" w:cs="黑体"/>
          <w:color w:val="auto"/>
          <w:sz w:val="24"/>
          <w:szCs w:val="24"/>
        </w:rPr>
        <w:t>承包人的合理化建议</w:t>
      </w:r>
    </w:p>
    <w:p>
      <w:pPr>
        <w:spacing w:after="0" w:line="349" w:lineRule="exact"/>
        <w:rPr>
          <w:color w:val="auto"/>
          <w:sz w:val="20"/>
          <w:szCs w:val="20"/>
        </w:rPr>
      </w:pPr>
    </w:p>
    <w:p>
      <w:pPr>
        <w:numPr>
          <w:ilvl w:val="0"/>
          <w:numId w:val="42"/>
        </w:numPr>
        <w:tabs>
          <w:tab w:val="left" w:pos="900"/>
        </w:tabs>
        <w:spacing w:after="0" w:line="292" w:lineRule="exact"/>
        <w:ind w:left="900" w:hanging="30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15.5.2 </w:t>
      </w:r>
      <w:r>
        <w:rPr>
          <w:rFonts w:ascii="宋体" w:hAnsi="宋体" w:eastAsia="宋体" w:cs="宋体"/>
          <w:color w:val="auto"/>
          <w:sz w:val="24"/>
          <w:szCs w:val="24"/>
        </w:rPr>
        <w:t>项约定为：</w:t>
      </w:r>
    </w:p>
    <w:p>
      <w:pPr>
        <w:spacing w:after="0" w:line="108" w:lineRule="exact"/>
        <w:rPr>
          <w:color w:val="auto"/>
          <w:sz w:val="20"/>
          <w:szCs w:val="20"/>
        </w:rPr>
      </w:pPr>
    </w:p>
    <w:p>
      <w:pPr>
        <w:spacing w:after="0" w:line="292" w:lineRule="exact"/>
        <w:ind w:firstLine="720" w:firstLineChars="0"/>
        <w:rPr>
          <w:color w:val="auto"/>
          <w:sz w:val="20"/>
          <w:szCs w:val="20"/>
        </w:rPr>
      </w:pPr>
      <w:r>
        <w:rPr>
          <w:rFonts w:ascii="宋体" w:hAnsi="宋体" w:eastAsia="宋体" w:cs="宋体"/>
          <w:color w:val="auto"/>
          <w:sz w:val="24"/>
          <w:szCs w:val="24"/>
        </w:rPr>
        <w:t>承包人提出的合理化建议缩短了工期，发包人按第</w:t>
      </w:r>
      <w:r>
        <w:rPr>
          <w:rFonts w:ascii="Times New Roman" w:hAnsi="Times New Roman" w:eastAsia="Times New Roman" w:cs="Times New Roman"/>
          <w:color w:val="auto"/>
          <w:sz w:val="24"/>
          <w:szCs w:val="24"/>
        </w:rPr>
        <w:t xml:space="preserve"> 11.6 </w:t>
      </w:r>
      <w:r>
        <w:rPr>
          <w:rFonts w:ascii="宋体" w:hAnsi="宋体" w:eastAsia="宋体" w:cs="宋体"/>
          <w:color w:val="auto"/>
          <w:sz w:val="24"/>
          <w:szCs w:val="24"/>
        </w:rPr>
        <w:t>款的规定给予奖励。承包人提出的合理化建议降低了合同价格或者提高了工程经济效益的，发包人按项目专用合同条款数据表中规定的金额给予奖励。</w:t>
      </w:r>
    </w:p>
    <w:p>
      <w:pPr>
        <w:spacing w:after="0" w:line="347"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15.6 </w:t>
      </w:r>
      <w:r>
        <w:rPr>
          <w:rFonts w:ascii="黑体" w:hAnsi="黑体" w:eastAsia="黑体" w:cs="黑体"/>
          <w:color w:val="auto"/>
          <w:sz w:val="24"/>
          <w:szCs w:val="24"/>
        </w:rPr>
        <w:t>暂列金额</w:t>
      </w:r>
    </w:p>
    <w:p>
      <w:pPr>
        <w:spacing w:after="0" w:line="349"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本款细化为：</w:t>
      </w:r>
    </w:p>
    <w:p>
      <w:pPr>
        <w:spacing w:after="0" w:line="126" w:lineRule="exact"/>
        <w:rPr>
          <w:color w:val="auto"/>
          <w:sz w:val="20"/>
          <w:szCs w:val="20"/>
        </w:rPr>
      </w:pPr>
    </w:p>
    <w:p>
      <w:pPr>
        <w:spacing w:after="0" w:line="336" w:lineRule="exact"/>
        <w:ind w:left="200" w:right="144" w:firstLine="390"/>
        <w:jc w:val="both"/>
        <w:rPr>
          <w:color w:val="auto"/>
          <w:sz w:val="20"/>
          <w:szCs w:val="20"/>
        </w:rPr>
      </w:pPr>
      <w:r>
        <w:rPr>
          <w:rFonts w:ascii="Times New Roman" w:hAnsi="Times New Roman" w:eastAsia="Times New Roman" w:cs="Times New Roman"/>
          <w:color w:val="auto"/>
          <w:sz w:val="24"/>
          <w:szCs w:val="24"/>
        </w:rPr>
        <w:t xml:space="preserve">15.6.1 </w:t>
      </w:r>
      <w:r>
        <w:rPr>
          <w:rFonts w:ascii="宋体" w:hAnsi="宋体" w:eastAsia="宋体" w:cs="宋体"/>
          <w:color w:val="auto"/>
          <w:sz w:val="24"/>
          <w:szCs w:val="24"/>
        </w:rPr>
        <w:t>暂列金额应由监理人报发包人批准后指令全部或部分地使用，或者根本不予动用。</w:t>
      </w:r>
    </w:p>
    <w:p>
      <w:pPr>
        <w:spacing w:after="0" w:line="129" w:lineRule="exact"/>
        <w:rPr>
          <w:color w:val="auto"/>
          <w:sz w:val="20"/>
          <w:szCs w:val="20"/>
        </w:rPr>
      </w:pPr>
    </w:p>
    <w:p>
      <w:pPr>
        <w:spacing w:after="0" w:line="370" w:lineRule="exact"/>
        <w:ind w:left="200" w:right="144" w:firstLine="390"/>
        <w:jc w:val="both"/>
        <w:rPr>
          <w:color w:val="auto"/>
          <w:sz w:val="20"/>
          <w:szCs w:val="20"/>
        </w:rPr>
      </w:pPr>
      <w:r>
        <w:rPr>
          <w:rFonts w:ascii="Times New Roman" w:hAnsi="Times New Roman" w:eastAsia="Times New Roman" w:cs="Times New Roman"/>
          <w:color w:val="auto"/>
          <w:sz w:val="24"/>
          <w:szCs w:val="24"/>
        </w:rPr>
        <w:t xml:space="preserve">15.6.2 </w:t>
      </w:r>
      <w:r>
        <w:rPr>
          <w:rFonts w:ascii="宋体" w:hAnsi="宋体" w:eastAsia="宋体" w:cs="宋体"/>
          <w:color w:val="auto"/>
          <w:sz w:val="24"/>
          <w:szCs w:val="24"/>
        </w:rPr>
        <w:t xml:space="preserve">对于经发包人批准的每一笔暂列金额，监理人有权向承包人发出实施工程或提供材料、工程设备或服务的指令。这些指令应由承包人完成，监理人应根据第 </w:t>
      </w:r>
      <w:r>
        <w:rPr>
          <w:rFonts w:ascii="Times New Roman" w:hAnsi="Times New Roman" w:eastAsia="Times New Roman" w:cs="Times New Roman"/>
          <w:color w:val="auto"/>
          <w:sz w:val="24"/>
          <w:szCs w:val="24"/>
        </w:rPr>
        <w:t xml:space="preserve">15.4 </w:t>
      </w:r>
      <w:r>
        <w:rPr>
          <w:rFonts w:ascii="宋体" w:hAnsi="宋体" w:eastAsia="宋体" w:cs="宋体"/>
          <w:color w:val="auto"/>
          <w:sz w:val="24"/>
          <w:szCs w:val="24"/>
        </w:rPr>
        <w:t>款约定的变更估价原则和第</w:t>
      </w:r>
      <w:r>
        <w:rPr>
          <w:rFonts w:ascii="Times New Roman" w:hAnsi="Times New Roman" w:eastAsia="Times New Roman" w:cs="Times New Roman"/>
          <w:color w:val="auto"/>
          <w:sz w:val="24"/>
          <w:szCs w:val="24"/>
        </w:rPr>
        <w:t xml:space="preserve"> 15.7 </w:t>
      </w:r>
      <w:r>
        <w:rPr>
          <w:rFonts w:ascii="宋体" w:hAnsi="宋体" w:eastAsia="宋体" w:cs="宋体"/>
          <w:color w:val="auto"/>
          <w:sz w:val="24"/>
          <w:szCs w:val="24"/>
        </w:rPr>
        <w:t>款的规定，对合同价格进行相应调整。</w:t>
      </w:r>
    </w:p>
    <w:p>
      <w:pPr>
        <w:spacing w:after="0" w:line="91" w:lineRule="exact"/>
        <w:rPr>
          <w:color w:val="auto"/>
          <w:sz w:val="20"/>
          <w:szCs w:val="20"/>
        </w:rPr>
      </w:pPr>
    </w:p>
    <w:p>
      <w:pPr>
        <w:spacing w:after="0" w:line="358" w:lineRule="exact"/>
        <w:ind w:left="200" w:right="144" w:firstLine="390"/>
        <w:jc w:val="both"/>
        <w:rPr>
          <w:color w:val="auto"/>
          <w:sz w:val="20"/>
          <w:szCs w:val="20"/>
        </w:rPr>
      </w:pPr>
      <w:r>
        <w:rPr>
          <w:rFonts w:ascii="Times New Roman" w:hAnsi="Times New Roman" w:eastAsia="Times New Roman" w:cs="Times New Roman"/>
          <w:color w:val="auto"/>
          <w:sz w:val="24"/>
          <w:szCs w:val="24"/>
        </w:rPr>
        <w:t xml:space="preserve">15.6.3 </w:t>
      </w:r>
      <w:r>
        <w:rPr>
          <w:rFonts w:ascii="宋体" w:hAnsi="宋体" w:eastAsia="宋体" w:cs="宋体"/>
          <w:color w:val="auto"/>
          <w:sz w:val="24"/>
          <w:szCs w:val="24"/>
        </w:rPr>
        <w:t>当监理人提出要求时，承包人应提供有关暂列金额支出的所有报价单、发票、凭证和账单或收据，除非该工作是根据已标价工程量清单列明的单价或总额价进行的估价。</w:t>
      </w:r>
    </w:p>
    <w:p>
      <w:pPr>
        <w:spacing w:after="0" w:line="200" w:lineRule="exact"/>
        <w:rPr>
          <w:color w:val="auto"/>
          <w:sz w:val="20"/>
          <w:szCs w:val="20"/>
        </w:rPr>
      </w:pPr>
    </w:p>
    <w:p>
      <w:pPr>
        <w:spacing w:after="0" w:line="317" w:lineRule="exact"/>
        <w:rPr>
          <w:color w:val="auto"/>
          <w:sz w:val="20"/>
          <w:szCs w:val="20"/>
        </w:rPr>
      </w:pPr>
    </w:p>
    <w:p>
      <w:pPr>
        <w:numPr>
          <w:ilvl w:val="0"/>
          <w:numId w:val="43"/>
        </w:numPr>
        <w:tabs>
          <w:tab w:val="left" w:pos="700"/>
        </w:tabs>
        <w:spacing w:after="0" w:line="341" w:lineRule="exact"/>
        <w:ind w:left="700" w:hanging="496"/>
        <w:rPr>
          <w:rFonts w:ascii="Times New Roman" w:hAnsi="Times New Roman" w:eastAsia="Times New Roman" w:cs="Times New Roman"/>
          <w:color w:val="auto"/>
          <w:sz w:val="28"/>
          <w:szCs w:val="28"/>
        </w:rPr>
      </w:pPr>
      <w:r>
        <w:rPr>
          <w:rFonts w:ascii="黑体" w:hAnsi="黑体" w:eastAsia="黑体" w:cs="黑体"/>
          <w:color w:val="auto"/>
          <w:sz w:val="28"/>
          <w:szCs w:val="28"/>
        </w:rPr>
        <w:t>价格调整</w:t>
      </w:r>
    </w:p>
    <w:p>
      <w:pPr>
        <w:spacing w:after="0" w:line="349"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16.1 </w:t>
      </w:r>
      <w:r>
        <w:rPr>
          <w:rFonts w:ascii="黑体" w:hAnsi="黑体" w:eastAsia="黑体" w:cs="黑体"/>
          <w:color w:val="auto"/>
          <w:sz w:val="24"/>
          <w:szCs w:val="24"/>
        </w:rPr>
        <w:t>物价波动引起的价格调整</w:t>
      </w:r>
    </w:p>
    <w:p>
      <w:pPr>
        <w:spacing w:after="0" w:line="349"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本款约定为：</w:t>
      </w:r>
    </w:p>
    <w:p>
      <w:pPr>
        <w:spacing w:after="0" w:line="159" w:lineRule="exact"/>
        <w:rPr>
          <w:color w:val="auto"/>
          <w:sz w:val="20"/>
          <w:szCs w:val="20"/>
        </w:rPr>
      </w:pPr>
    </w:p>
    <w:p>
      <w:pPr>
        <w:numPr>
          <w:ilvl w:val="0"/>
          <w:numId w:val="44"/>
        </w:numPr>
        <w:tabs>
          <w:tab w:val="left" w:pos="1084"/>
        </w:tabs>
        <w:spacing w:after="0" w:line="340" w:lineRule="exact"/>
        <w:ind w:left="200" w:right="144" w:firstLine="484"/>
        <w:rPr>
          <w:rFonts w:ascii="Times New Roman" w:hAnsi="Times New Roman" w:eastAsia="Times New Roman" w:cs="Times New Roman"/>
          <w:color w:val="auto"/>
          <w:sz w:val="24"/>
          <w:szCs w:val="24"/>
        </w:rPr>
      </w:pPr>
      <w:r>
        <w:rPr>
          <w:rFonts w:ascii="宋体" w:hAnsi="宋体" w:eastAsia="宋体" w:cs="宋体"/>
          <w:color w:val="auto"/>
          <w:sz w:val="24"/>
          <w:szCs w:val="24"/>
        </w:rPr>
        <w:t>除项目专用合同条款另有约定外，因物价波动引起的价格调整应按项目专用合同条款数据表的规定，按照第</w:t>
      </w:r>
      <w:r>
        <w:rPr>
          <w:rFonts w:ascii="Times New Roman" w:hAnsi="Times New Roman" w:eastAsia="Times New Roman" w:cs="Times New Roman"/>
          <w:color w:val="auto"/>
          <w:sz w:val="24"/>
          <w:szCs w:val="24"/>
        </w:rPr>
        <w:t xml:space="preserve"> 16.1.1 </w:t>
      </w:r>
      <w:r>
        <w:rPr>
          <w:rFonts w:ascii="宋体" w:hAnsi="宋体" w:eastAsia="宋体" w:cs="宋体"/>
          <w:color w:val="auto"/>
          <w:sz w:val="24"/>
          <w:szCs w:val="24"/>
        </w:rPr>
        <w:t>项或第</w:t>
      </w:r>
      <w:r>
        <w:rPr>
          <w:rFonts w:ascii="Times New Roman" w:hAnsi="Times New Roman" w:eastAsia="Times New Roman" w:cs="Times New Roman"/>
          <w:color w:val="auto"/>
          <w:sz w:val="24"/>
          <w:szCs w:val="24"/>
        </w:rPr>
        <w:t xml:space="preserve"> 16.1.2 </w:t>
      </w:r>
      <w:r>
        <w:rPr>
          <w:rFonts w:ascii="宋体" w:hAnsi="宋体" w:eastAsia="宋体" w:cs="宋体"/>
          <w:color w:val="auto"/>
          <w:sz w:val="24"/>
          <w:szCs w:val="24"/>
        </w:rPr>
        <w:t>项约定的原则处理；或者</w:t>
      </w:r>
    </w:p>
    <w:p>
      <w:pPr>
        <w:spacing w:after="0" w:line="87" w:lineRule="exact"/>
        <w:rPr>
          <w:rFonts w:ascii="Times New Roman" w:hAnsi="Times New Roman" w:eastAsia="Times New Roman" w:cs="Times New Roman"/>
          <w:color w:val="auto"/>
          <w:sz w:val="24"/>
          <w:szCs w:val="24"/>
        </w:rPr>
      </w:pPr>
    </w:p>
    <w:p>
      <w:pPr>
        <w:numPr>
          <w:ilvl w:val="0"/>
          <w:numId w:val="44"/>
        </w:numPr>
        <w:tabs>
          <w:tab w:val="left" w:pos="1080"/>
        </w:tabs>
        <w:spacing w:after="0" w:line="280" w:lineRule="exact"/>
        <w:ind w:left="1080" w:hanging="396"/>
        <w:rPr>
          <w:rFonts w:ascii="Times New Roman" w:hAnsi="Times New Roman" w:eastAsia="Times New Roman" w:cs="Times New Roman"/>
          <w:color w:val="auto"/>
          <w:sz w:val="24"/>
          <w:szCs w:val="24"/>
        </w:rPr>
      </w:pPr>
      <w:r>
        <w:rPr>
          <w:rFonts w:ascii="宋体" w:hAnsi="宋体" w:eastAsia="宋体" w:cs="宋体"/>
          <w:color w:val="auto"/>
          <w:sz w:val="24"/>
          <w:szCs w:val="24"/>
        </w:rPr>
        <w:t>在合同在执行期间</w:t>
      </w:r>
      <w:r>
        <w:rPr>
          <w:rFonts w:ascii="Times New Roman" w:hAnsi="Times New Roman" w:eastAsia="Times New Roman" w:cs="Times New Roman"/>
          <w:color w:val="auto"/>
          <w:sz w:val="24"/>
          <w:szCs w:val="24"/>
        </w:rPr>
        <w:t>(</w:t>
      </w:r>
      <w:r>
        <w:rPr>
          <w:rFonts w:ascii="宋体" w:hAnsi="宋体" w:eastAsia="宋体" w:cs="宋体"/>
          <w:color w:val="auto"/>
          <w:sz w:val="24"/>
          <w:szCs w:val="24"/>
        </w:rPr>
        <w:t>包括工期拖延期间</w:t>
      </w:r>
      <w:r>
        <w:rPr>
          <w:rFonts w:ascii="Times New Roman" w:hAnsi="Times New Roman" w:eastAsia="Times New Roman" w:cs="Times New Roman"/>
          <w:color w:val="auto"/>
          <w:sz w:val="24"/>
          <w:szCs w:val="24"/>
        </w:rPr>
        <w:t>)</w:t>
      </w:r>
      <w:r>
        <w:rPr>
          <w:rFonts w:ascii="宋体" w:hAnsi="宋体" w:eastAsia="宋体" w:cs="宋体"/>
          <w:color w:val="auto"/>
          <w:sz w:val="24"/>
          <w:szCs w:val="24"/>
        </w:rPr>
        <w:t>由于人工、材料和设备价格的上涨而</w:t>
      </w:r>
    </w:p>
    <w:p>
      <w:pPr>
        <w:spacing w:after="0" w:line="120" w:lineRule="exact"/>
        <w:rPr>
          <w:color w:val="auto"/>
          <w:sz w:val="24"/>
          <w:szCs w:val="24"/>
        </w:rPr>
      </w:pPr>
    </w:p>
    <w:p>
      <w:pPr>
        <w:spacing w:after="0" w:line="274" w:lineRule="exact"/>
        <w:ind w:left="200"/>
        <w:rPr>
          <w:color w:val="auto"/>
          <w:sz w:val="20"/>
          <w:szCs w:val="20"/>
        </w:rPr>
      </w:pPr>
      <w:r>
        <w:rPr>
          <w:rFonts w:ascii="宋体" w:hAnsi="宋体" w:eastAsia="宋体" w:cs="宋体"/>
          <w:color w:val="auto"/>
          <w:sz w:val="24"/>
          <w:szCs w:val="24"/>
        </w:rPr>
        <w:t>引起工程施工成本增加的风险由承包人自行承担，合同价格不会因此而调整。</w:t>
      </w:r>
    </w:p>
    <w:p>
      <w:pPr>
        <w:spacing w:after="0" w:line="127"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16.1.1 </w:t>
      </w:r>
      <w:r>
        <w:rPr>
          <w:rFonts w:ascii="黑体" w:hAnsi="黑体" w:eastAsia="黑体" w:cs="黑体"/>
          <w:color w:val="auto"/>
          <w:sz w:val="24"/>
          <w:szCs w:val="24"/>
        </w:rPr>
        <w:t>采用价格指数调整价格差额</w:t>
      </w:r>
    </w:p>
    <w:p>
      <w:pPr>
        <w:spacing w:after="0" w:line="10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16.1.1.1 </w:t>
      </w:r>
      <w:r>
        <w:rPr>
          <w:rFonts w:ascii="宋体" w:hAnsi="宋体" w:eastAsia="宋体" w:cs="宋体"/>
          <w:color w:val="auto"/>
          <w:sz w:val="24"/>
          <w:szCs w:val="24"/>
        </w:rPr>
        <w:t>价格调整公式</w:t>
      </w:r>
    </w:p>
    <w:p>
      <w:pPr>
        <w:spacing w:after="0" w:line="10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价格调整公式后增加备注如下：</w:t>
      </w:r>
    </w:p>
    <w:p>
      <w:pPr>
        <w:spacing w:after="0" w:line="121" w:lineRule="exact"/>
        <w:rPr>
          <w:color w:val="auto"/>
          <w:sz w:val="20"/>
          <w:szCs w:val="20"/>
        </w:rPr>
      </w:pPr>
    </w:p>
    <w:p>
      <w:pPr>
        <w:spacing w:after="0" w:line="292" w:lineRule="exact"/>
        <w:ind w:left="960"/>
        <w:rPr>
          <w:color w:val="auto"/>
          <w:sz w:val="20"/>
          <w:szCs w:val="20"/>
        </w:rPr>
      </w:pPr>
      <w:r>
        <w:rPr>
          <w:rFonts w:ascii="宋体" w:hAnsi="宋体" w:eastAsia="宋体" w:cs="宋体"/>
          <w:color w:val="auto"/>
          <w:sz w:val="24"/>
          <w:szCs w:val="24"/>
        </w:rPr>
        <w:t>式中，</w:t>
      </w:r>
      <w:r>
        <w:rPr>
          <w:rFonts w:ascii="Times New Roman" w:hAnsi="Times New Roman" w:eastAsia="Times New Roman" w:cs="Times New Roman"/>
          <w:b/>
          <w:bCs/>
          <w:color w:val="auto"/>
          <w:sz w:val="24"/>
          <w:szCs w:val="24"/>
        </w:rPr>
        <w:t>A=1</w:t>
      </w:r>
      <w:r>
        <w:rPr>
          <w:rFonts w:ascii="宋体" w:hAnsi="宋体" w:eastAsia="宋体" w:cs="宋体"/>
          <w:b/>
          <w:bCs/>
          <w:color w:val="auto"/>
          <w:sz w:val="24"/>
          <w:szCs w:val="24"/>
        </w:rPr>
        <w:t>－</w:t>
      </w:r>
      <w:r>
        <w:rPr>
          <w:rFonts w:ascii="Times New Roman" w:hAnsi="Times New Roman" w:eastAsia="Times New Roman" w:cs="Times New Roman"/>
          <w:b/>
          <w:bCs/>
          <w:color w:val="auto"/>
          <w:sz w:val="24"/>
          <w:szCs w:val="24"/>
        </w:rPr>
        <w:t>(B</w:t>
      </w:r>
      <w:r>
        <w:rPr>
          <w:rFonts w:ascii="Times New Roman" w:hAnsi="Times New Roman" w:eastAsia="Times New Roman" w:cs="Times New Roman"/>
          <w:b/>
          <w:bCs/>
          <w:color w:val="auto"/>
          <w:sz w:val="15"/>
          <w:szCs w:val="15"/>
        </w:rPr>
        <w:t>1</w:t>
      </w:r>
      <w:r>
        <w:rPr>
          <w:rFonts w:ascii="宋体" w:hAnsi="宋体" w:eastAsia="宋体" w:cs="宋体"/>
          <w:b/>
          <w:bCs/>
          <w:color w:val="auto"/>
          <w:sz w:val="24"/>
          <w:szCs w:val="24"/>
        </w:rPr>
        <w:t>＋</w:t>
      </w:r>
      <w:r>
        <w:rPr>
          <w:rFonts w:ascii="Times New Roman" w:hAnsi="Times New Roman" w:eastAsia="Times New Roman" w:cs="Times New Roman"/>
          <w:b/>
          <w:bCs/>
          <w:color w:val="auto"/>
          <w:sz w:val="24"/>
          <w:szCs w:val="24"/>
        </w:rPr>
        <w:t>B</w:t>
      </w:r>
      <w:r>
        <w:rPr>
          <w:rFonts w:ascii="Times New Roman" w:hAnsi="Times New Roman" w:eastAsia="Times New Roman" w:cs="Times New Roman"/>
          <w:b/>
          <w:bCs/>
          <w:color w:val="auto"/>
          <w:sz w:val="15"/>
          <w:szCs w:val="15"/>
        </w:rPr>
        <w:t>2</w:t>
      </w:r>
      <w:r>
        <w:rPr>
          <w:rFonts w:ascii="宋体" w:hAnsi="宋体" w:eastAsia="宋体" w:cs="宋体"/>
          <w:b/>
          <w:bCs/>
          <w:color w:val="auto"/>
          <w:sz w:val="24"/>
          <w:szCs w:val="24"/>
        </w:rPr>
        <w:t>＋</w:t>
      </w:r>
      <w:r>
        <w:rPr>
          <w:rFonts w:ascii="Times New Roman" w:hAnsi="Times New Roman" w:eastAsia="Times New Roman" w:cs="Times New Roman"/>
          <w:b/>
          <w:bCs/>
          <w:color w:val="auto"/>
          <w:sz w:val="24"/>
          <w:szCs w:val="24"/>
        </w:rPr>
        <w:t>B</w:t>
      </w:r>
      <w:r>
        <w:rPr>
          <w:rFonts w:ascii="Times New Roman" w:hAnsi="Times New Roman" w:eastAsia="Times New Roman" w:cs="Times New Roman"/>
          <w:b/>
          <w:bCs/>
          <w:color w:val="auto"/>
          <w:sz w:val="15"/>
          <w:szCs w:val="15"/>
        </w:rPr>
        <w:t>3</w:t>
      </w:r>
      <w:r>
        <w:rPr>
          <w:rFonts w:ascii="宋体" w:hAnsi="宋体" w:eastAsia="宋体" w:cs="宋体"/>
          <w:b/>
          <w:bCs/>
          <w:color w:val="auto"/>
          <w:sz w:val="24"/>
          <w:szCs w:val="24"/>
        </w:rPr>
        <w:t>＋</w:t>
      </w:r>
      <w:r>
        <w:rPr>
          <w:rFonts w:ascii="Times New Roman" w:hAnsi="Times New Roman" w:eastAsia="Times New Roman" w:cs="Times New Roman"/>
          <w:b/>
          <w:bCs/>
          <w:color w:val="auto"/>
          <w:sz w:val="15"/>
          <w:szCs w:val="15"/>
        </w:rPr>
        <w:t>……</w:t>
      </w:r>
      <w:r>
        <w:rPr>
          <w:rFonts w:ascii="宋体" w:hAnsi="宋体" w:eastAsia="宋体" w:cs="宋体"/>
          <w:b/>
          <w:bCs/>
          <w:color w:val="auto"/>
          <w:sz w:val="24"/>
          <w:szCs w:val="24"/>
        </w:rPr>
        <w:t>＋</w:t>
      </w:r>
      <w:r>
        <w:rPr>
          <w:rFonts w:ascii="Times New Roman" w:hAnsi="Times New Roman" w:eastAsia="Times New Roman" w:cs="Times New Roman"/>
          <w:b/>
          <w:bCs/>
          <w:color w:val="auto"/>
          <w:sz w:val="24"/>
          <w:szCs w:val="24"/>
        </w:rPr>
        <w:t>B</w:t>
      </w:r>
      <w:r>
        <w:rPr>
          <w:rFonts w:ascii="Times New Roman" w:hAnsi="Times New Roman" w:eastAsia="Times New Roman" w:cs="Times New Roman"/>
          <w:b/>
          <w:bCs/>
          <w:color w:val="auto"/>
          <w:sz w:val="15"/>
          <w:szCs w:val="15"/>
        </w:rPr>
        <w:t>n</w:t>
      </w:r>
      <w:r>
        <w:rPr>
          <w:rFonts w:ascii="Times New Roman" w:hAnsi="Times New Roman" w:eastAsia="Times New Roman" w:cs="Times New Roman"/>
          <w:b/>
          <w:bCs/>
          <w:color w:val="auto"/>
          <w:sz w:val="24"/>
          <w:szCs w:val="24"/>
        </w:rPr>
        <w:t>)</w:t>
      </w:r>
      <w:r>
        <w:rPr>
          <w:rFonts w:ascii="宋体" w:hAnsi="宋体" w:eastAsia="宋体" w:cs="宋体"/>
          <w:color w:val="auto"/>
          <w:sz w:val="24"/>
          <w:szCs w:val="24"/>
        </w:rPr>
        <w:t>。</w:t>
      </w:r>
    </w:p>
    <w:p>
      <w:pPr>
        <w:spacing w:after="0" w:line="114"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本目最后一段文字细化为：</w:t>
      </w:r>
    </w:p>
    <w:p>
      <w:pPr>
        <w:spacing w:after="0" w:line="126"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在采用价格调整公式进行调价时，还应遵守以下规定：</w:t>
      </w:r>
    </w:p>
    <w:p>
      <w:pPr>
        <w:spacing w:after="0" w:line="127" w:lineRule="exact"/>
        <w:rPr>
          <w:color w:val="auto"/>
          <w:sz w:val="20"/>
          <w:szCs w:val="20"/>
        </w:rPr>
      </w:pPr>
    </w:p>
    <w:p>
      <w:pPr>
        <w:spacing w:after="0" w:line="368" w:lineRule="exact"/>
        <w:ind w:left="200" w:right="144" w:firstLine="478"/>
        <w:jc w:val="both"/>
        <w:rPr>
          <w:color w:val="auto"/>
          <w:sz w:val="24"/>
          <w:szCs w:val="24"/>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spacing w:after="0" w:line="129" w:lineRule="exact"/>
        <w:rPr>
          <w:color w:val="auto"/>
          <w:sz w:val="24"/>
          <w:szCs w:val="24"/>
        </w:rPr>
      </w:pPr>
    </w:p>
    <w:p>
      <w:pPr>
        <w:spacing w:after="0" w:line="280" w:lineRule="exact"/>
        <w:ind w:firstLine="720" w:firstLineChars="0"/>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价格调整公式中的变值权重，由发包人根据项目实际情况测算确定范围，并在投标函附录价格指数和权重表中约定范围；承包人在投标时在此范围内填写各可调因子的权重，合同实施期间将按此权重进行调价。</w:t>
      </w:r>
    </w:p>
    <w:p>
      <w:pPr>
        <w:spacing w:after="0" w:line="200" w:lineRule="exact"/>
        <w:rPr>
          <w:color w:val="auto"/>
          <w:sz w:val="20"/>
          <w:szCs w:val="20"/>
        </w:rPr>
      </w:pPr>
    </w:p>
    <w:p>
      <w:pPr>
        <w:spacing w:after="0" w:line="317" w:lineRule="exact"/>
        <w:rPr>
          <w:color w:val="auto"/>
          <w:sz w:val="20"/>
          <w:szCs w:val="20"/>
        </w:rPr>
      </w:pPr>
    </w:p>
    <w:p>
      <w:pPr>
        <w:numPr>
          <w:ilvl w:val="0"/>
          <w:numId w:val="45"/>
        </w:numPr>
        <w:tabs>
          <w:tab w:val="left" w:pos="700"/>
        </w:tabs>
        <w:spacing w:after="0" w:line="341" w:lineRule="exact"/>
        <w:ind w:left="700" w:hanging="496"/>
        <w:rPr>
          <w:rFonts w:ascii="Times New Roman" w:hAnsi="Times New Roman" w:eastAsia="Times New Roman" w:cs="Times New Roman"/>
          <w:color w:val="auto"/>
          <w:sz w:val="28"/>
          <w:szCs w:val="28"/>
        </w:rPr>
      </w:pPr>
      <w:r>
        <w:rPr>
          <w:rFonts w:ascii="黑体" w:hAnsi="黑体" w:eastAsia="黑体" w:cs="黑体"/>
          <w:color w:val="auto"/>
          <w:sz w:val="28"/>
          <w:szCs w:val="28"/>
        </w:rPr>
        <w:t>计量与支付</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17.1 </w:t>
      </w:r>
      <w:r>
        <w:rPr>
          <w:rFonts w:ascii="黑体" w:hAnsi="黑体" w:eastAsia="黑体" w:cs="黑体"/>
          <w:color w:val="auto"/>
          <w:sz w:val="24"/>
          <w:szCs w:val="24"/>
        </w:rPr>
        <w:t>计量</w:t>
      </w:r>
    </w:p>
    <w:p>
      <w:pPr>
        <w:spacing w:after="0" w:line="34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17.1.2 </w:t>
      </w:r>
      <w:r>
        <w:rPr>
          <w:rFonts w:ascii="黑体" w:hAnsi="黑体" w:eastAsia="黑体" w:cs="黑体"/>
          <w:color w:val="auto"/>
          <w:sz w:val="24"/>
          <w:szCs w:val="24"/>
        </w:rPr>
        <w:t>计量方法</w:t>
      </w:r>
    </w:p>
    <w:p>
      <w:pPr>
        <w:spacing w:after="0" w:line="109"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本项约定为：</w:t>
      </w:r>
    </w:p>
    <w:p>
      <w:pPr>
        <w:spacing w:after="0" w:line="159" w:lineRule="exact"/>
        <w:rPr>
          <w:color w:val="auto"/>
          <w:sz w:val="20"/>
          <w:szCs w:val="20"/>
        </w:rPr>
      </w:pPr>
    </w:p>
    <w:p>
      <w:pPr>
        <w:spacing w:after="0" w:line="320" w:lineRule="exact"/>
        <w:ind w:left="200" w:right="144" w:firstLine="480"/>
        <w:jc w:val="both"/>
        <w:rPr>
          <w:color w:val="auto"/>
          <w:sz w:val="20"/>
          <w:szCs w:val="20"/>
        </w:rPr>
      </w:pPr>
      <w:r>
        <w:rPr>
          <w:rFonts w:ascii="宋体" w:hAnsi="宋体" w:eastAsia="宋体" w:cs="宋体"/>
          <w:color w:val="auto"/>
          <w:sz w:val="24"/>
          <w:szCs w:val="24"/>
        </w:rPr>
        <w:t>工程的计量应以净值为准，除非项目专用合同条款另有约定。工程量清单中各个子目的具体计量方法按本合同文件技术规范中的规定执行。</w:t>
      </w:r>
    </w:p>
    <w:p>
      <w:pPr>
        <w:spacing w:after="0" w:line="12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17.1.4 </w:t>
      </w:r>
      <w:r>
        <w:rPr>
          <w:rFonts w:ascii="黑体" w:hAnsi="黑体" w:eastAsia="黑体" w:cs="黑体"/>
          <w:color w:val="auto"/>
          <w:sz w:val="24"/>
          <w:szCs w:val="24"/>
        </w:rPr>
        <w:t>单价子目的计量</w:t>
      </w:r>
    </w:p>
    <w:p>
      <w:pPr>
        <w:spacing w:after="0" w:line="10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本项补充：</w:t>
      </w:r>
    </w:p>
    <w:p>
      <w:pPr>
        <w:spacing w:after="0" w:line="126" w:lineRule="exact"/>
        <w:rPr>
          <w:color w:val="auto"/>
          <w:sz w:val="20"/>
          <w:szCs w:val="20"/>
        </w:rPr>
      </w:pPr>
    </w:p>
    <w:p>
      <w:pPr>
        <w:spacing w:after="0" w:line="337" w:lineRule="exact"/>
        <w:ind w:left="200" w:right="144" w:firstLine="480"/>
        <w:jc w:val="both"/>
        <w:rPr>
          <w:color w:val="auto"/>
          <w:sz w:val="20"/>
          <w:szCs w:val="20"/>
        </w:rPr>
      </w:pPr>
      <w:r>
        <w:rPr>
          <w:rFonts w:ascii="Times New Roman" w:hAnsi="Times New Roman" w:eastAsia="Times New Roman" w:cs="Times New Roman"/>
          <w:color w:val="auto"/>
          <w:sz w:val="24"/>
          <w:szCs w:val="24"/>
        </w:rPr>
        <w:t>(7)</w:t>
      </w:r>
      <w:r>
        <w:rPr>
          <w:rFonts w:ascii="宋体" w:hAnsi="宋体" w:eastAsia="宋体" w:cs="宋体"/>
          <w:color w:val="auto"/>
          <w:sz w:val="24"/>
          <w:szCs w:val="24"/>
        </w:rPr>
        <w:t>承包人未在已标价工程量清单中填入单价或总额价的工程子目，将被认为其已包含在本合同的其他子目的单价和总额价中，发包人将不另行支付。</w:t>
      </w:r>
    </w:p>
    <w:p>
      <w:pPr>
        <w:spacing w:after="0" w:line="346"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17.2 </w:t>
      </w:r>
      <w:r>
        <w:rPr>
          <w:rFonts w:ascii="黑体" w:hAnsi="黑体" w:eastAsia="黑体" w:cs="黑体"/>
          <w:color w:val="auto"/>
          <w:sz w:val="24"/>
          <w:szCs w:val="24"/>
        </w:rPr>
        <w:t>预付款</w:t>
      </w:r>
    </w:p>
    <w:p>
      <w:pPr>
        <w:spacing w:after="0" w:line="34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17.2.1 </w:t>
      </w:r>
      <w:r>
        <w:rPr>
          <w:rFonts w:ascii="黑体" w:hAnsi="黑体" w:eastAsia="黑体" w:cs="黑体"/>
          <w:color w:val="auto"/>
          <w:sz w:val="24"/>
          <w:szCs w:val="24"/>
        </w:rPr>
        <w:t>预付款</w:t>
      </w:r>
    </w:p>
    <w:p>
      <w:pPr>
        <w:spacing w:after="0" w:line="10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本项约定为：</w:t>
      </w:r>
    </w:p>
    <w:p>
      <w:pPr>
        <w:spacing w:after="0" w:line="126" w:lineRule="exact"/>
        <w:rPr>
          <w:color w:val="auto"/>
          <w:sz w:val="20"/>
          <w:szCs w:val="20"/>
        </w:rPr>
      </w:pPr>
    </w:p>
    <w:p>
      <w:pPr>
        <w:spacing w:after="0" w:line="274" w:lineRule="exact"/>
        <w:ind w:left="680"/>
        <w:rPr>
          <w:color w:val="auto"/>
          <w:sz w:val="24"/>
          <w:szCs w:val="24"/>
        </w:rPr>
      </w:pPr>
      <w:r>
        <w:rPr>
          <w:rFonts w:ascii="宋体" w:hAnsi="宋体" w:eastAsia="宋体" w:cs="宋体"/>
          <w:color w:val="auto"/>
          <w:sz w:val="24"/>
          <w:szCs w:val="24"/>
        </w:rPr>
        <w:t>预付款包括开工预付款和材料、设备预付款。具体额度和预付办法如下：</w:t>
      </w:r>
    </w:p>
    <w:p>
      <w:pPr>
        <w:spacing w:after="0" w:line="127" w:lineRule="exact"/>
        <w:rPr>
          <w:color w:val="auto"/>
          <w:sz w:val="24"/>
          <w:szCs w:val="24"/>
        </w:rPr>
      </w:pPr>
    </w:p>
    <w:p>
      <w:pPr>
        <w:spacing w:after="0" w:line="370" w:lineRule="exact"/>
        <w:ind w:left="200" w:right="144" w:firstLine="480"/>
        <w:jc w:val="both"/>
        <w:rPr>
          <w:color w:val="auto"/>
          <w:sz w:val="24"/>
          <w:szCs w:val="24"/>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开工预付款的金额在项目专用合同条款数据表中约定。在承包人签订了合同协议书并提交了开工预付款保函后，监理人应在当期进度付款证书中向承包人支付开工预付款的</w:t>
      </w:r>
      <w:r>
        <w:rPr>
          <w:rFonts w:ascii="Times New Roman" w:hAnsi="Times New Roman" w:eastAsia="Times New Roman" w:cs="Times New Roman"/>
          <w:color w:val="auto"/>
          <w:sz w:val="24"/>
          <w:szCs w:val="24"/>
        </w:rPr>
        <w:t xml:space="preserve"> 70%</w:t>
      </w:r>
      <w:r>
        <w:rPr>
          <w:rFonts w:ascii="宋体" w:hAnsi="宋体" w:eastAsia="宋体" w:cs="宋体"/>
          <w:color w:val="auto"/>
          <w:sz w:val="24"/>
          <w:szCs w:val="24"/>
        </w:rPr>
        <w:t>的价款；在承包人承诺的主要设备进场后，再支付预付款</w:t>
      </w:r>
      <w:r>
        <w:rPr>
          <w:rFonts w:ascii="Times New Roman" w:hAnsi="Times New Roman" w:eastAsia="Times New Roman" w:cs="Times New Roman"/>
          <w:color w:val="auto"/>
          <w:sz w:val="24"/>
          <w:szCs w:val="24"/>
        </w:rPr>
        <w:t xml:space="preserve"> 30%</w:t>
      </w:r>
      <w:r>
        <w:rPr>
          <w:rFonts w:ascii="宋体" w:hAnsi="宋体" w:eastAsia="宋体" w:cs="宋体"/>
          <w:color w:val="auto"/>
          <w:sz w:val="24"/>
          <w:szCs w:val="24"/>
        </w:rPr>
        <w:t>。</w:t>
      </w:r>
    </w:p>
    <w:p>
      <w:pPr>
        <w:spacing w:after="0" w:line="125" w:lineRule="exact"/>
        <w:rPr>
          <w:color w:val="auto"/>
          <w:sz w:val="20"/>
          <w:szCs w:val="20"/>
        </w:rPr>
      </w:pPr>
    </w:p>
    <w:p>
      <w:pPr>
        <w:spacing w:after="0" w:line="346" w:lineRule="exact"/>
        <w:ind w:left="200" w:right="144" w:firstLine="480"/>
        <w:jc w:val="both"/>
        <w:rPr>
          <w:color w:val="auto"/>
          <w:sz w:val="20"/>
          <w:szCs w:val="20"/>
        </w:rPr>
      </w:pPr>
      <w:r>
        <w:rPr>
          <w:rFonts w:ascii="宋体" w:hAnsi="宋体" w:eastAsia="宋体" w:cs="宋体"/>
          <w:color w:val="auto"/>
          <w:sz w:val="24"/>
          <w:szCs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spacing w:after="0" w:line="129" w:lineRule="exact"/>
        <w:rPr>
          <w:color w:val="auto"/>
          <w:sz w:val="20"/>
          <w:szCs w:val="20"/>
        </w:rPr>
      </w:pPr>
    </w:p>
    <w:p>
      <w:pPr>
        <w:spacing w:after="0" w:line="358" w:lineRule="exact"/>
        <w:ind w:left="200" w:right="144" w:firstLine="480"/>
        <w:jc w:val="both"/>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材料、设备预付款按项目专用合同条款数据表中所列主要材料、设备单据费用</w:t>
      </w:r>
      <w:r>
        <w:rPr>
          <w:rFonts w:ascii="Times New Roman" w:hAnsi="Times New Roman" w:eastAsia="Times New Roman" w:cs="Times New Roman"/>
          <w:color w:val="auto"/>
          <w:sz w:val="24"/>
          <w:szCs w:val="24"/>
        </w:rPr>
        <w:t>(</w:t>
      </w:r>
      <w:r>
        <w:rPr>
          <w:rFonts w:ascii="宋体" w:hAnsi="宋体" w:eastAsia="宋体" w:cs="宋体"/>
          <w:color w:val="auto"/>
          <w:sz w:val="24"/>
          <w:szCs w:val="24"/>
        </w:rPr>
        <w:t>进口的材料、设备为到岸价，国内采购的为出厂价或销售价，地方材料为堆场价</w:t>
      </w:r>
      <w:r>
        <w:rPr>
          <w:rFonts w:ascii="Times New Roman" w:hAnsi="Times New Roman" w:eastAsia="Times New Roman" w:cs="Times New Roman"/>
          <w:color w:val="auto"/>
          <w:sz w:val="24"/>
          <w:szCs w:val="24"/>
        </w:rPr>
        <w:t>)</w:t>
      </w:r>
      <w:r>
        <w:rPr>
          <w:rFonts w:ascii="宋体" w:hAnsi="宋体" w:eastAsia="宋体" w:cs="宋体"/>
          <w:color w:val="auto"/>
          <w:sz w:val="24"/>
          <w:szCs w:val="24"/>
        </w:rPr>
        <w:t>的百分比支付。其预付条件为：</w:t>
      </w:r>
    </w:p>
    <w:p>
      <w:pPr>
        <w:spacing w:after="0" w:line="109" w:lineRule="exact"/>
        <w:rPr>
          <w:color w:val="auto"/>
          <w:sz w:val="20"/>
          <w:szCs w:val="20"/>
        </w:rPr>
      </w:pPr>
    </w:p>
    <w:p>
      <w:pPr>
        <w:numPr>
          <w:ilvl w:val="0"/>
          <w:numId w:val="46"/>
        </w:numPr>
        <w:tabs>
          <w:tab w:val="left" w:pos="980"/>
        </w:tabs>
        <w:spacing w:after="0" w:line="292" w:lineRule="exact"/>
        <w:ind w:left="980" w:hanging="296"/>
        <w:rPr>
          <w:rFonts w:ascii="Times New Roman" w:hAnsi="Times New Roman" w:eastAsia="Times New Roman" w:cs="Times New Roman"/>
          <w:color w:val="auto"/>
          <w:sz w:val="24"/>
          <w:szCs w:val="24"/>
        </w:rPr>
      </w:pPr>
      <w:r>
        <w:rPr>
          <w:rFonts w:ascii="宋体" w:hAnsi="宋体" w:eastAsia="宋体" w:cs="宋体"/>
          <w:color w:val="auto"/>
          <w:sz w:val="24"/>
          <w:szCs w:val="24"/>
        </w:rPr>
        <w:t>材料、设备符合规范要求并经监理人认可；</w:t>
      </w:r>
    </w:p>
    <w:p>
      <w:pPr>
        <w:spacing w:after="0" w:line="107" w:lineRule="exact"/>
        <w:rPr>
          <w:rFonts w:ascii="Times New Roman" w:hAnsi="Times New Roman" w:eastAsia="Times New Roman" w:cs="Times New Roman"/>
          <w:color w:val="auto"/>
          <w:sz w:val="24"/>
          <w:szCs w:val="24"/>
        </w:rPr>
      </w:pPr>
    </w:p>
    <w:p>
      <w:pPr>
        <w:numPr>
          <w:ilvl w:val="0"/>
          <w:numId w:val="46"/>
        </w:numPr>
        <w:tabs>
          <w:tab w:val="left" w:pos="980"/>
        </w:tabs>
        <w:spacing w:after="0" w:line="292" w:lineRule="exact"/>
        <w:ind w:left="980" w:hanging="296"/>
        <w:rPr>
          <w:rFonts w:ascii="Times New Roman" w:hAnsi="Times New Roman" w:eastAsia="Times New Roman" w:cs="Times New Roman"/>
          <w:color w:val="auto"/>
          <w:sz w:val="24"/>
          <w:szCs w:val="24"/>
        </w:rPr>
      </w:pPr>
      <w:r>
        <w:rPr>
          <w:rFonts w:ascii="宋体" w:hAnsi="宋体" w:eastAsia="宋体" w:cs="宋体"/>
          <w:color w:val="auto"/>
          <w:sz w:val="24"/>
          <w:szCs w:val="24"/>
        </w:rPr>
        <w:t>承包人已出具材料、设备费用凭证或支付单据；</w:t>
      </w:r>
    </w:p>
    <w:p>
      <w:pPr>
        <w:spacing w:after="0" w:line="159" w:lineRule="exact"/>
        <w:rPr>
          <w:rFonts w:ascii="Times New Roman" w:hAnsi="Times New Roman" w:eastAsia="Times New Roman" w:cs="Times New Roman"/>
          <w:color w:val="auto"/>
          <w:sz w:val="24"/>
          <w:szCs w:val="24"/>
        </w:rPr>
      </w:pPr>
    </w:p>
    <w:p>
      <w:pPr>
        <w:numPr>
          <w:ilvl w:val="0"/>
          <w:numId w:val="46"/>
        </w:numPr>
        <w:tabs>
          <w:tab w:val="left" w:pos="967"/>
        </w:tabs>
        <w:spacing w:after="0" w:line="320" w:lineRule="exact"/>
        <w:ind w:left="200" w:right="144" w:firstLine="484"/>
        <w:rPr>
          <w:rFonts w:ascii="Times New Roman" w:hAnsi="Times New Roman" w:eastAsia="Times New Roman" w:cs="Times New Roman"/>
          <w:color w:val="auto"/>
          <w:sz w:val="24"/>
          <w:szCs w:val="24"/>
        </w:rPr>
      </w:pPr>
      <w:r>
        <w:rPr>
          <w:rFonts w:ascii="宋体" w:hAnsi="宋体" w:eastAsia="宋体" w:cs="宋体"/>
          <w:color w:val="auto"/>
          <w:sz w:val="24"/>
          <w:szCs w:val="24"/>
        </w:rPr>
        <w:t>材料、设备已在现场交货，且存储良好，监理人认为材料、设备的存储方法符合要求。</w:t>
      </w:r>
    </w:p>
    <w:p>
      <w:pPr>
        <w:spacing w:after="0" w:line="128" w:lineRule="exact"/>
        <w:rPr>
          <w:rFonts w:ascii="Times New Roman" w:hAnsi="Times New Roman" w:eastAsia="Times New Roman" w:cs="Times New Roman"/>
          <w:color w:val="auto"/>
          <w:sz w:val="24"/>
          <w:szCs w:val="24"/>
        </w:rPr>
      </w:pPr>
    </w:p>
    <w:p>
      <w:pPr>
        <w:spacing w:after="0" w:line="274" w:lineRule="exact"/>
        <w:ind w:firstLine="720" w:firstLineChars="0"/>
        <w:rPr>
          <w:color w:val="auto"/>
          <w:sz w:val="20"/>
          <w:szCs w:val="20"/>
        </w:rPr>
      </w:pPr>
      <w:r>
        <w:rPr>
          <w:rFonts w:ascii="宋体" w:hAnsi="宋体" w:eastAsia="宋体" w:cs="宋体"/>
          <w:color w:val="auto"/>
          <w:sz w:val="24"/>
          <w:szCs w:val="24"/>
        </w:rPr>
        <w:t>则监理人应将此项金额作为材料、设备预付款计入下一次的进度付款证书中。在预计交工前</w:t>
      </w:r>
      <w:r>
        <w:rPr>
          <w:rFonts w:ascii="Times New Roman" w:hAnsi="Times New Roman" w:eastAsia="Times New Roman" w:cs="Times New Roman"/>
          <w:color w:val="auto"/>
          <w:sz w:val="24"/>
          <w:szCs w:val="24"/>
        </w:rPr>
        <w:t xml:space="preserve"> 3 </w:t>
      </w:r>
      <w:r>
        <w:rPr>
          <w:rFonts w:ascii="宋体" w:hAnsi="宋体" w:eastAsia="宋体" w:cs="宋体"/>
          <w:color w:val="auto"/>
          <w:sz w:val="24"/>
          <w:szCs w:val="24"/>
        </w:rPr>
        <w:t>个月，将不再支付材料、设备预付款。</w:t>
      </w:r>
    </w:p>
    <w:p>
      <w:pPr>
        <w:spacing w:after="0" w:line="10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17.2.2 </w:t>
      </w:r>
      <w:r>
        <w:rPr>
          <w:rFonts w:ascii="黑体" w:hAnsi="黑体" w:eastAsia="黑体" w:cs="黑体"/>
          <w:color w:val="auto"/>
          <w:sz w:val="24"/>
          <w:szCs w:val="24"/>
        </w:rPr>
        <w:t>预付款保函</w:t>
      </w:r>
    </w:p>
    <w:p>
      <w:pPr>
        <w:spacing w:after="0" w:line="10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本项细化为：</w:t>
      </w:r>
    </w:p>
    <w:p>
      <w:pPr>
        <w:spacing w:after="0" w:line="159" w:lineRule="exact"/>
        <w:rPr>
          <w:color w:val="auto"/>
          <w:sz w:val="20"/>
          <w:szCs w:val="20"/>
        </w:rPr>
      </w:pPr>
    </w:p>
    <w:p>
      <w:pPr>
        <w:spacing w:after="0" w:line="368" w:lineRule="exact"/>
        <w:ind w:left="200" w:right="144" w:firstLine="480"/>
        <w:jc w:val="both"/>
        <w:rPr>
          <w:color w:val="auto"/>
          <w:sz w:val="20"/>
          <w:szCs w:val="20"/>
        </w:rPr>
      </w:pPr>
      <w:r>
        <w:rPr>
          <w:rFonts w:ascii="宋体" w:hAnsi="宋体" w:eastAsia="宋体" w:cs="宋体"/>
          <w:color w:val="auto"/>
          <w:sz w:val="24"/>
          <w:szCs w:val="24"/>
        </w:rPr>
        <w:t>除项目专用合同条款另有约定外，承包人应在收到开工预付款前向发包人提交开工预付款保函，开工预付款保函的担保金额应与开工预付款金额相同。出具保函的银行须与第</w:t>
      </w:r>
      <w:r>
        <w:rPr>
          <w:rFonts w:ascii="Times New Roman" w:hAnsi="Times New Roman" w:eastAsia="Times New Roman" w:cs="Times New Roman"/>
          <w:color w:val="auto"/>
          <w:sz w:val="24"/>
          <w:szCs w:val="24"/>
        </w:rPr>
        <w:t xml:space="preserve"> 4.2 </w:t>
      </w:r>
      <w:r>
        <w:rPr>
          <w:rFonts w:ascii="宋体" w:hAnsi="宋体" w:eastAsia="宋体" w:cs="宋体"/>
          <w:color w:val="auto"/>
          <w:sz w:val="24"/>
          <w:szCs w:val="24"/>
        </w:rPr>
        <w:t>款的要求相同，所需费用由承包人承担。银行保函的正本由发包人保存，该保函在发包人将开工预付款全部扣回之前一直有效，担保金额可根据开工预付款扣回的金额相应递减。</w:t>
      </w:r>
    </w:p>
    <w:p>
      <w:pPr>
        <w:spacing w:after="0" w:line="128" w:lineRule="exact"/>
        <w:rPr>
          <w:color w:val="auto"/>
          <w:sz w:val="20"/>
          <w:szCs w:val="20"/>
        </w:rPr>
      </w:pPr>
    </w:p>
    <w:p>
      <w:pPr>
        <w:spacing w:after="0" w:line="292" w:lineRule="exact"/>
        <w:ind w:left="620"/>
        <w:rPr>
          <w:color w:val="auto"/>
          <w:sz w:val="20"/>
          <w:szCs w:val="20"/>
        </w:rPr>
      </w:pPr>
      <w:r>
        <w:rPr>
          <w:rFonts w:ascii="Times New Roman" w:hAnsi="Times New Roman" w:eastAsia="Times New Roman" w:cs="Times New Roman"/>
          <w:color w:val="auto"/>
          <w:sz w:val="24"/>
          <w:szCs w:val="24"/>
        </w:rPr>
        <w:t xml:space="preserve">17.2.3 </w:t>
      </w:r>
      <w:r>
        <w:rPr>
          <w:rFonts w:ascii="黑体" w:hAnsi="黑体" w:eastAsia="黑体" w:cs="黑体"/>
          <w:color w:val="auto"/>
          <w:sz w:val="24"/>
          <w:szCs w:val="24"/>
        </w:rPr>
        <w:t>预付款的扣回与还清</w:t>
      </w:r>
    </w:p>
    <w:p>
      <w:pPr>
        <w:spacing w:after="0" w:line="108" w:lineRule="exact"/>
        <w:rPr>
          <w:color w:val="auto"/>
          <w:sz w:val="20"/>
          <w:szCs w:val="20"/>
        </w:rPr>
      </w:pPr>
    </w:p>
    <w:p>
      <w:pPr>
        <w:spacing w:after="0" w:line="274" w:lineRule="exact"/>
        <w:ind w:left="620"/>
        <w:rPr>
          <w:color w:val="auto"/>
          <w:sz w:val="20"/>
          <w:szCs w:val="20"/>
        </w:rPr>
      </w:pPr>
      <w:r>
        <w:rPr>
          <w:rFonts w:ascii="宋体" w:hAnsi="宋体" w:eastAsia="宋体" w:cs="宋体"/>
          <w:color w:val="auto"/>
          <w:sz w:val="24"/>
          <w:szCs w:val="24"/>
        </w:rPr>
        <w:t>本项约定为：</w:t>
      </w:r>
    </w:p>
    <w:p>
      <w:pPr>
        <w:spacing w:after="0" w:line="127" w:lineRule="exact"/>
        <w:rPr>
          <w:color w:val="auto"/>
          <w:sz w:val="20"/>
          <w:szCs w:val="20"/>
        </w:rPr>
      </w:pPr>
    </w:p>
    <w:p>
      <w:pPr>
        <w:spacing w:after="0" w:line="356" w:lineRule="exact"/>
        <w:ind w:left="200" w:right="144" w:firstLine="420"/>
        <w:jc w:val="both"/>
        <w:rPr>
          <w:color w:val="auto"/>
          <w:sz w:val="20"/>
          <w:szCs w:val="20"/>
        </w:rPr>
      </w:pPr>
      <w:r>
        <w:rPr>
          <w:rFonts w:ascii="Times New Roman" w:hAnsi="Times New Roman" w:eastAsia="Times New Roman" w:cs="Times New Roman"/>
          <w:color w:val="auto"/>
          <w:sz w:val="23"/>
          <w:szCs w:val="23"/>
        </w:rPr>
        <w:t>(1)</w:t>
      </w:r>
      <w:r>
        <w:rPr>
          <w:rFonts w:ascii="宋体" w:hAnsi="宋体" w:eastAsia="宋体" w:cs="宋体"/>
          <w:color w:val="auto"/>
          <w:sz w:val="23"/>
          <w:szCs w:val="23"/>
        </w:rPr>
        <w:t>开工预付款在进度付款证书的累计金额未达到签约合同价的</w:t>
      </w:r>
      <w:r>
        <w:rPr>
          <w:rFonts w:ascii="Times New Roman" w:hAnsi="Times New Roman" w:eastAsia="Times New Roman" w:cs="Times New Roman"/>
          <w:color w:val="auto"/>
          <w:sz w:val="23"/>
          <w:szCs w:val="23"/>
        </w:rPr>
        <w:t xml:space="preserve"> 30%</w:t>
      </w:r>
      <w:r>
        <w:rPr>
          <w:rFonts w:ascii="宋体" w:hAnsi="宋体" w:eastAsia="宋体" w:cs="宋体"/>
          <w:color w:val="auto"/>
          <w:sz w:val="23"/>
          <w:szCs w:val="23"/>
        </w:rPr>
        <w:t>之前不予扣回，在达到签约合同价</w:t>
      </w:r>
      <w:r>
        <w:rPr>
          <w:rFonts w:ascii="Times New Roman" w:hAnsi="Times New Roman" w:eastAsia="Times New Roman" w:cs="Times New Roman"/>
          <w:color w:val="auto"/>
          <w:sz w:val="23"/>
          <w:szCs w:val="23"/>
        </w:rPr>
        <w:t xml:space="preserve"> 30%</w:t>
      </w:r>
      <w:r>
        <w:rPr>
          <w:rFonts w:ascii="宋体" w:hAnsi="宋体" w:eastAsia="宋体" w:cs="宋体"/>
          <w:color w:val="auto"/>
          <w:sz w:val="23"/>
          <w:szCs w:val="23"/>
        </w:rPr>
        <w:t>之后，开始按工程进度以固定比例</w:t>
      </w:r>
      <w:r>
        <w:rPr>
          <w:rFonts w:ascii="Times New Roman" w:hAnsi="Times New Roman" w:eastAsia="Times New Roman" w:cs="Times New Roman"/>
          <w:color w:val="auto"/>
          <w:sz w:val="23"/>
          <w:szCs w:val="23"/>
        </w:rPr>
        <w:t>(</w:t>
      </w:r>
      <w:r>
        <w:rPr>
          <w:rFonts w:ascii="宋体" w:hAnsi="宋体" w:eastAsia="宋体" w:cs="宋体"/>
          <w:color w:val="auto"/>
          <w:sz w:val="23"/>
          <w:szCs w:val="23"/>
        </w:rPr>
        <w:t>即每完成签约合同价</w:t>
      </w:r>
    </w:p>
    <w:p>
      <w:pPr>
        <w:spacing w:after="0" w:line="88" w:lineRule="exact"/>
        <w:rPr>
          <w:color w:val="auto"/>
          <w:sz w:val="20"/>
          <w:szCs w:val="20"/>
        </w:rPr>
      </w:pPr>
    </w:p>
    <w:p>
      <w:pPr>
        <w:numPr>
          <w:ilvl w:val="0"/>
          <w:numId w:val="47"/>
        </w:numPr>
        <w:tabs>
          <w:tab w:val="left" w:pos="500"/>
        </w:tabs>
        <w:spacing w:after="0" w:line="357" w:lineRule="exact"/>
        <w:ind w:left="200" w:right="144" w:firstLine="4"/>
        <w:rPr>
          <w:rFonts w:ascii="宋体" w:hAnsi="宋体" w:eastAsia="宋体" w:cs="宋体"/>
          <w:color w:val="auto"/>
          <w:sz w:val="24"/>
          <w:szCs w:val="24"/>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，扣回开工预付款的</w:t>
      </w:r>
      <w:r>
        <w:rPr>
          <w:rFonts w:ascii="Times New Roman" w:hAnsi="Times New Roman" w:eastAsia="Times New Roman" w:cs="Times New Roman"/>
          <w:color w:val="auto"/>
          <w:sz w:val="24"/>
          <w:szCs w:val="24"/>
        </w:rPr>
        <w:t xml:space="preserve"> 2%)</w:t>
      </w:r>
      <w:r>
        <w:rPr>
          <w:rFonts w:ascii="宋体" w:hAnsi="宋体" w:eastAsia="宋体" w:cs="宋体"/>
          <w:color w:val="auto"/>
          <w:sz w:val="24"/>
          <w:szCs w:val="24"/>
        </w:rPr>
        <w:t>分期从各月的进度付款证书中扣回，全部金额在进度付款证书的累计金额达到签约合同价的</w:t>
      </w:r>
      <w:r>
        <w:rPr>
          <w:rFonts w:ascii="Times New Roman" w:hAnsi="Times New Roman" w:eastAsia="Times New Roman" w:cs="Times New Roman"/>
          <w:color w:val="auto"/>
          <w:sz w:val="24"/>
          <w:szCs w:val="24"/>
        </w:rPr>
        <w:t xml:space="preserve"> 80%</w:t>
      </w:r>
      <w:r>
        <w:rPr>
          <w:rFonts w:ascii="宋体" w:hAnsi="宋体" w:eastAsia="宋体" w:cs="宋体"/>
          <w:color w:val="auto"/>
          <w:sz w:val="24"/>
          <w:szCs w:val="24"/>
        </w:rPr>
        <w:t>时扣完。</w:t>
      </w:r>
    </w:p>
    <w:p>
      <w:pPr>
        <w:spacing w:after="0" w:line="87" w:lineRule="exact"/>
        <w:rPr>
          <w:rFonts w:ascii="宋体" w:hAnsi="宋体" w:eastAsia="宋体" w:cs="宋体"/>
          <w:color w:val="auto"/>
          <w:sz w:val="24"/>
          <w:szCs w:val="24"/>
        </w:rPr>
      </w:pPr>
    </w:p>
    <w:p>
      <w:pPr>
        <w:spacing w:after="0" w:line="358" w:lineRule="exact"/>
        <w:ind w:left="200" w:right="144" w:firstLine="420"/>
        <w:jc w:val="both"/>
        <w:rPr>
          <w:rFonts w:ascii="宋体" w:hAnsi="宋体" w:eastAsia="宋体" w:cs="宋体"/>
          <w:color w:val="auto"/>
          <w:sz w:val="24"/>
          <w:szCs w:val="24"/>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当材料、设备已用于或安装在永久工程之中时，材料、设备预付款应从进度付款证书中扣回，扣回期不超过</w:t>
      </w:r>
      <w:r>
        <w:rPr>
          <w:rFonts w:ascii="Times New Roman" w:hAnsi="Times New Roman" w:eastAsia="Times New Roman" w:cs="Times New Roman"/>
          <w:color w:val="auto"/>
          <w:sz w:val="24"/>
          <w:szCs w:val="24"/>
        </w:rPr>
        <w:t xml:space="preserve"> 3 </w:t>
      </w:r>
      <w:r>
        <w:rPr>
          <w:rFonts w:ascii="宋体" w:hAnsi="宋体" w:eastAsia="宋体" w:cs="宋体"/>
          <w:color w:val="auto"/>
          <w:sz w:val="24"/>
          <w:szCs w:val="24"/>
        </w:rPr>
        <w:t>个月。已经支付材料、设备预付款的材料、设备的所有权应属于发包人。</w:t>
      </w:r>
    </w:p>
    <w:p>
      <w:pPr>
        <w:spacing w:after="0" w:line="348"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17.3 </w:t>
      </w:r>
      <w:r>
        <w:rPr>
          <w:rFonts w:ascii="黑体" w:hAnsi="黑体" w:eastAsia="黑体" w:cs="黑体"/>
          <w:color w:val="auto"/>
          <w:sz w:val="24"/>
          <w:szCs w:val="24"/>
        </w:rPr>
        <w:t>工程进度付款</w:t>
      </w:r>
    </w:p>
    <w:p>
      <w:pPr>
        <w:spacing w:after="0" w:line="34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17.3.3 </w:t>
      </w:r>
      <w:r>
        <w:rPr>
          <w:rFonts w:ascii="黑体" w:hAnsi="黑体" w:eastAsia="黑体" w:cs="黑体"/>
          <w:color w:val="auto"/>
          <w:sz w:val="24"/>
          <w:szCs w:val="24"/>
        </w:rPr>
        <w:t>进度付款证书和支付时间</w:t>
      </w:r>
    </w:p>
    <w:p>
      <w:pPr>
        <w:spacing w:after="0" w:line="108"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本项</w:t>
      </w:r>
      <w:r>
        <w:rPr>
          <w:rFonts w:ascii="Times New Roman" w:hAnsi="Times New Roman" w:eastAsia="Times New Roman" w:cs="Times New Roman"/>
          <w:color w:val="auto"/>
          <w:sz w:val="24"/>
          <w:szCs w:val="24"/>
        </w:rPr>
        <w:t>(1)</w:t>
      </w:r>
      <w:r>
        <w:rPr>
          <w:rFonts w:ascii="宋体" w:hAnsi="宋体" w:eastAsia="宋体" w:cs="宋体"/>
          <w:color w:val="auto"/>
          <w:sz w:val="24"/>
          <w:szCs w:val="24"/>
        </w:rPr>
        <w:t>目补充：</w:t>
      </w:r>
    </w:p>
    <w:p>
      <w:pPr>
        <w:spacing w:after="0" w:line="142" w:lineRule="exact"/>
        <w:rPr>
          <w:color w:val="auto"/>
          <w:sz w:val="20"/>
          <w:szCs w:val="20"/>
        </w:rPr>
      </w:pPr>
    </w:p>
    <w:p>
      <w:pPr>
        <w:spacing w:after="0" w:line="360" w:lineRule="exact"/>
        <w:ind w:left="200" w:right="144" w:firstLine="480"/>
        <w:jc w:val="both"/>
        <w:rPr>
          <w:color w:val="auto"/>
          <w:sz w:val="20"/>
          <w:szCs w:val="20"/>
        </w:rPr>
      </w:pPr>
      <w:r>
        <w:rPr>
          <w:rFonts w:ascii="宋体" w:hAnsi="宋体" w:eastAsia="宋体" w:cs="宋体"/>
          <w:color w:val="auto"/>
          <w:sz w:val="24"/>
          <w:szCs w:val="24"/>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spacing w:after="0" w:line="130"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本项</w:t>
      </w:r>
      <w:r>
        <w:rPr>
          <w:rFonts w:ascii="Times New Roman" w:hAnsi="Times New Roman" w:eastAsia="Times New Roman" w:cs="Times New Roman"/>
          <w:color w:val="auto"/>
          <w:sz w:val="24"/>
          <w:szCs w:val="24"/>
        </w:rPr>
        <w:t>(2)</w:t>
      </w:r>
      <w:r>
        <w:rPr>
          <w:rFonts w:ascii="宋体" w:hAnsi="宋体" w:eastAsia="宋体" w:cs="宋体"/>
          <w:color w:val="auto"/>
          <w:sz w:val="24"/>
          <w:szCs w:val="24"/>
        </w:rPr>
        <w:t>目细化为：</w:t>
      </w:r>
    </w:p>
    <w:p>
      <w:pPr>
        <w:spacing w:after="0" w:line="142" w:lineRule="exact"/>
        <w:rPr>
          <w:color w:val="auto"/>
          <w:sz w:val="20"/>
          <w:szCs w:val="20"/>
        </w:rPr>
      </w:pPr>
    </w:p>
    <w:p>
      <w:pPr>
        <w:spacing w:after="0" w:line="339" w:lineRule="exact"/>
        <w:ind w:left="200" w:right="144" w:firstLine="480"/>
        <w:jc w:val="both"/>
        <w:rPr>
          <w:color w:val="auto"/>
          <w:sz w:val="20"/>
          <w:szCs w:val="20"/>
        </w:rPr>
      </w:pPr>
      <w:r>
        <w:rPr>
          <w:rFonts w:ascii="宋体" w:hAnsi="宋体" w:eastAsia="宋体" w:cs="宋体"/>
          <w:color w:val="auto"/>
          <w:sz w:val="24"/>
          <w:szCs w:val="24"/>
        </w:rPr>
        <w:t>发包人应在监理人收到进度付款申请单且承包人提交了合格的增值税专用发票后的</w:t>
      </w:r>
      <w:r>
        <w:rPr>
          <w:rFonts w:ascii="Times New Roman" w:hAnsi="Times New Roman" w:eastAsia="Times New Roman" w:cs="Times New Roman"/>
          <w:color w:val="auto"/>
          <w:sz w:val="24"/>
          <w:szCs w:val="24"/>
        </w:rPr>
        <w:t xml:space="preserve"> 28 </w:t>
      </w:r>
      <w:r>
        <w:rPr>
          <w:rFonts w:ascii="宋体" w:hAnsi="宋体" w:eastAsia="宋体" w:cs="宋体"/>
          <w:color w:val="auto"/>
          <w:sz w:val="24"/>
          <w:szCs w:val="24"/>
        </w:rPr>
        <w:t>天内，将进度应付款支付给承包人。</w:t>
      </w:r>
    </w:p>
    <w:p>
      <w:pPr>
        <w:spacing w:after="0" w:line="124" w:lineRule="exact"/>
        <w:rPr>
          <w:color w:val="auto"/>
          <w:sz w:val="20"/>
          <w:szCs w:val="20"/>
        </w:rPr>
      </w:pPr>
    </w:p>
    <w:p>
      <w:pPr>
        <w:spacing w:after="0" w:line="359" w:lineRule="exact"/>
        <w:ind w:left="200" w:right="144" w:firstLine="480"/>
        <w:jc w:val="both"/>
        <w:rPr>
          <w:color w:val="auto"/>
          <w:sz w:val="20"/>
          <w:szCs w:val="20"/>
        </w:rPr>
      </w:pPr>
      <w:r>
        <w:rPr>
          <w:rFonts w:ascii="宋体" w:hAnsi="宋体" w:eastAsia="宋体" w:cs="宋体"/>
          <w:color w:val="auto"/>
          <w:sz w:val="24"/>
          <w:szCs w:val="24"/>
        </w:rPr>
        <w:t>发包人不按期支付的，按项目专用合同条款数据表中约定的利率向承包人支付逾期付款违约金。违约金计算基数为发包人的全部未付款额，时间从应付而未付该款额之日算起</w:t>
      </w:r>
      <w:r>
        <w:rPr>
          <w:rFonts w:ascii="Times New Roman" w:hAnsi="Times New Roman" w:eastAsia="Times New Roman" w:cs="Times New Roman"/>
          <w:color w:val="auto"/>
          <w:sz w:val="24"/>
          <w:szCs w:val="24"/>
        </w:rPr>
        <w:t>(</w:t>
      </w:r>
      <w:r>
        <w:rPr>
          <w:rFonts w:ascii="宋体" w:hAnsi="宋体" w:eastAsia="宋体" w:cs="宋体"/>
          <w:color w:val="auto"/>
          <w:sz w:val="24"/>
          <w:szCs w:val="24"/>
        </w:rPr>
        <w:t>不计复利</w:t>
      </w:r>
      <w:r>
        <w:rPr>
          <w:rFonts w:ascii="Times New Roman" w:hAnsi="Times New Roman" w:eastAsia="Times New Roman" w:cs="Times New Roman"/>
          <w:color w:val="auto"/>
          <w:sz w:val="24"/>
          <w:szCs w:val="24"/>
        </w:rPr>
        <w:t>)</w:t>
      </w:r>
      <w:r>
        <w:rPr>
          <w:rFonts w:ascii="宋体" w:hAnsi="宋体" w:eastAsia="宋体" w:cs="宋体"/>
          <w:color w:val="auto"/>
          <w:sz w:val="24"/>
          <w:szCs w:val="24"/>
        </w:rPr>
        <w:t>。</w:t>
      </w:r>
    </w:p>
    <w:p>
      <w:pPr>
        <w:spacing w:after="0" w:line="111"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本款补充第</w:t>
      </w:r>
      <w:r>
        <w:rPr>
          <w:rFonts w:ascii="Times New Roman" w:hAnsi="Times New Roman" w:eastAsia="Times New Roman" w:cs="Times New Roman"/>
          <w:color w:val="auto"/>
          <w:sz w:val="24"/>
          <w:szCs w:val="24"/>
        </w:rPr>
        <w:t xml:space="preserve"> 17.3.5 </w:t>
      </w:r>
      <w:r>
        <w:rPr>
          <w:rFonts w:ascii="宋体" w:hAnsi="宋体" w:eastAsia="宋体" w:cs="宋体"/>
          <w:color w:val="auto"/>
          <w:sz w:val="24"/>
          <w:szCs w:val="24"/>
        </w:rPr>
        <w:t>项：</w:t>
      </w:r>
    </w:p>
    <w:p>
      <w:pPr>
        <w:spacing w:after="0" w:line="128" w:lineRule="exact"/>
        <w:rPr>
          <w:color w:val="auto"/>
          <w:sz w:val="20"/>
          <w:szCs w:val="20"/>
        </w:rPr>
      </w:pPr>
    </w:p>
    <w:p>
      <w:pPr>
        <w:spacing w:after="0" w:line="360" w:lineRule="auto"/>
        <w:ind w:left="680"/>
        <w:rPr>
          <w:color w:val="auto"/>
          <w:sz w:val="20"/>
          <w:szCs w:val="20"/>
        </w:rPr>
      </w:pPr>
      <w:r>
        <w:rPr>
          <w:rFonts w:ascii="Times New Roman" w:hAnsi="Times New Roman" w:eastAsia="Times New Roman" w:cs="Times New Roman"/>
          <w:color w:val="auto"/>
          <w:sz w:val="24"/>
          <w:szCs w:val="24"/>
        </w:rPr>
        <w:t xml:space="preserve">17.3.5 </w:t>
      </w:r>
      <w:r>
        <w:rPr>
          <w:rFonts w:ascii="黑体" w:hAnsi="黑体" w:eastAsia="黑体" w:cs="黑体"/>
          <w:color w:val="auto"/>
          <w:sz w:val="24"/>
          <w:szCs w:val="24"/>
        </w:rPr>
        <w:t>农民工工资保证金</w:t>
      </w:r>
    </w:p>
    <w:p>
      <w:pPr>
        <w:spacing w:after="0" w:line="280" w:lineRule="exact"/>
        <w:ind w:left="680"/>
        <w:rPr>
          <w:color w:val="auto"/>
          <w:sz w:val="24"/>
          <w:szCs w:val="24"/>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为确保施工过程中农民工工资实时、足额发放到位，承包人应按照项目专用</w:t>
      </w:r>
    </w:p>
    <w:p>
      <w:pPr>
        <w:spacing w:after="0" w:line="140" w:lineRule="exact"/>
        <w:rPr>
          <w:color w:val="auto"/>
          <w:sz w:val="24"/>
          <w:szCs w:val="24"/>
        </w:rPr>
      </w:pPr>
    </w:p>
    <w:p>
      <w:pPr>
        <w:spacing w:after="0" w:line="274" w:lineRule="exact"/>
        <w:ind w:left="200"/>
        <w:rPr>
          <w:color w:val="auto"/>
          <w:sz w:val="20"/>
          <w:szCs w:val="20"/>
        </w:rPr>
      </w:pPr>
      <w:r>
        <w:rPr>
          <w:rFonts w:ascii="宋体" w:hAnsi="宋体" w:eastAsia="宋体" w:cs="宋体"/>
          <w:color w:val="auto"/>
          <w:sz w:val="24"/>
          <w:szCs w:val="24"/>
        </w:rPr>
        <w:t>合同条款约定的时间和金额缴存农民工工资保证金。</w:t>
      </w:r>
    </w:p>
    <w:p>
      <w:pPr>
        <w:spacing w:after="0" w:line="146" w:lineRule="exact"/>
        <w:rPr>
          <w:color w:val="auto"/>
          <w:sz w:val="20"/>
          <w:szCs w:val="20"/>
        </w:rPr>
      </w:pPr>
    </w:p>
    <w:p>
      <w:pPr>
        <w:spacing w:after="0" w:line="371" w:lineRule="exact"/>
        <w:ind w:left="200" w:right="144" w:firstLine="480"/>
        <w:jc w:val="both"/>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农民工工资保证金可采用银行保函或现金、支票形式。采用银行保函时，出具保函的银行须具有相应担保能力，且按照发包人批准的格式出具，所需费用由承包人承担。</w:t>
      </w:r>
    </w:p>
    <w:p>
      <w:pPr>
        <w:spacing w:after="0" w:line="14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(3)</w:t>
      </w:r>
      <w:r>
        <w:rPr>
          <w:rFonts w:ascii="宋体" w:hAnsi="宋体" w:eastAsia="宋体" w:cs="宋体"/>
          <w:color w:val="auto"/>
          <w:sz w:val="24"/>
          <w:szCs w:val="24"/>
        </w:rPr>
        <w:t>农民工工资保证金的扣留条件、返还时间按照项目专用合同条款的约定执</w:t>
      </w:r>
    </w:p>
    <w:p>
      <w:pPr>
        <w:spacing w:after="0" w:line="128" w:lineRule="exact"/>
        <w:rPr>
          <w:color w:val="auto"/>
          <w:sz w:val="20"/>
          <w:szCs w:val="20"/>
        </w:rPr>
      </w:pPr>
    </w:p>
    <w:p>
      <w:pPr>
        <w:spacing w:after="0" w:line="274" w:lineRule="exact"/>
        <w:ind w:left="200"/>
        <w:rPr>
          <w:color w:val="auto"/>
          <w:sz w:val="20"/>
          <w:szCs w:val="20"/>
        </w:rPr>
      </w:pPr>
      <w:r>
        <w:rPr>
          <w:rFonts w:ascii="宋体" w:hAnsi="宋体" w:eastAsia="宋体" w:cs="宋体"/>
          <w:color w:val="auto"/>
          <w:sz w:val="24"/>
          <w:szCs w:val="24"/>
        </w:rPr>
        <w:t>行。</w:t>
      </w:r>
    </w:p>
    <w:p>
      <w:pPr>
        <w:spacing w:after="0" w:line="345"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17.4 </w:t>
      </w:r>
      <w:r>
        <w:rPr>
          <w:rFonts w:ascii="黑体" w:hAnsi="黑体" w:eastAsia="黑体" w:cs="黑体"/>
          <w:color w:val="auto"/>
          <w:sz w:val="24"/>
          <w:szCs w:val="24"/>
        </w:rPr>
        <w:t>质量保证金</w:t>
      </w:r>
    </w:p>
    <w:p>
      <w:pPr>
        <w:spacing w:after="0" w:line="349" w:lineRule="exact"/>
        <w:rPr>
          <w:color w:val="auto"/>
          <w:sz w:val="20"/>
          <w:szCs w:val="20"/>
        </w:rPr>
      </w:pPr>
    </w:p>
    <w:p>
      <w:pPr>
        <w:numPr>
          <w:ilvl w:val="0"/>
          <w:numId w:val="48"/>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17.4.1 </w:t>
      </w:r>
      <w:r>
        <w:rPr>
          <w:rFonts w:ascii="宋体" w:hAnsi="宋体" w:eastAsia="宋体" w:cs="宋体"/>
          <w:color w:val="auto"/>
          <w:sz w:val="24"/>
          <w:szCs w:val="24"/>
        </w:rPr>
        <w:t>项细化为：</w:t>
      </w:r>
    </w:p>
    <w:p>
      <w:pPr>
        <w:spacing w:after="0" w:line="108" w:lineRule="exact"/>
        <w:rPr>
          <w:color w:val="auto"/>
          <w:sz w:val="20"/>
          <w:szCs w:val="20"/>
        </w:rPr>
      </w:pPr>
    </w:p>
    <w:p>
      <w:pPr>
        <w:spacing w:after="0" w:line="368" w:lineRule="exact"/>
        <w:ind w:left="200" w:right="144" w:firstLine="480"/>
        <w:jc w:val="both"/>
        <w:rPr>
          <w:color w:val="auto"/>
          <w:sz w:val="20"/>
          <w:szCs w:val="20"/>
        </w:rPr>
      </w:pPr>
      <w:r>
        <w:rPr>
          <w:rFonts w:ascii="宋体" w:hAnsi="宋体" w:eastAsia="宋体" w:cs="宋体"/>
          <w:color w:val="auto"/>
          <w:sz w:val="24"/>
          <w:szCs w:val="24"/>
        </w:rPr>
        <w:t>交工验收证书签发后</w:t>
      </w:r>
      <w:r>
        <w:rPr>
          <w:rFonts w:ascii="Times New Roman" w:hAnsi="Times New Roman" w:eastAsia="Times New Roman" w:cs="Times New Roman"/>
          <w:color w:val="auto"/>
          <w:sz w:val="24"/>
          <w:szCs w:val="24"/>
        </w:rPr>
        <w:t xml:space="preserve"> 14 </w:t>
      </w:r>
      <w:r>
        <w:rPr>
          <w:rFonts w:ascii="宋体" w:hAnsi="宋体" w:eastAsia="宋体" w:cs="宋体"/>
          <w:color w:val="auto"/>
          <w:sz w:val="24"/>
          <w:szCs w:val="24"/>
        </w:rPr>
        <w:t>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17.5 </w:t>
      </w:r>
      <w:r>
        <w:rPr>
          <w:rFonts w:ascii="黑体" w:hAnsi="黑体" w:eastAsia="黑体" w:cs="黑体"/>
          <w:color w:val="auto"/>
          <w:sz w:val="24"/>
          <w:szCs w:val="24"/>
        </w:rPr>
        <w:t>交工结算</w:t>
      </w:r>
    </w:p>
    <w:p>
      <w:pPr>
        <w:spacing w:after="0" w:line="34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17.5.1 </w:t>
      </w:r>
      <w:r>
        <w:rPr>
          <w:rFonts w:ascii="黑体" w:hAnsi="黑体" w:eastAsia="黑体" w:cs="黑体"/>
          <w:color w:val="auto"/>
          <w:sz w:val="24"/>
          <w:szCs w:val="24"/>
        </w:rPr>
        <w:t>交工付款申请单</w:t>
      </w:r>
    </w:p>
    <w:p>
      <w:pPr>
        <w:spacing w:after="0" w:line="109"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本项</w:t>
      </w:r>
      <w:r>
        <w:rPr>
          <w:rFonts w:ascii="Times New Roman" w:hAnsi="Times New Roman" w:eastAsia="Times New Roman" w:cs="Times New Roman"/>
          <w:color w:val="auto"/>
          <w:sz w:val="24"/>
          <w:szCs w:val="24"/>
        </w:rPr>
        <w:t>(1)</w:t>
      </w:r>
      <w:r>
        <w:rPr>
          <w:rFonts w:ascii="宋体" w:hAnsi="宋体" w:eastAsia="宋体" w:cs="宋体"/>
          <w:color w:val="auto"/>
          <w:sz w:val="24"/>
          <w:szCs w:val="24"/>
        </w:rPr>
        <w:t>目约定为：</w:t>
      </w:r>
    </w:p>
    <w:p>
      <w:pPr>
        <w:spacing w:after="0" w:line="108" w:lineRule="exact"/>
        <w:rPr>
          <w:color w:val="auto"/>
          <w:sz w:val="20"/>
          <w:szCs w:val="20"/>
        </w:rPr>
      </w:pPr>
    </w:p>
    <w:p>
      <w:pPr>
        <w:spacing w:after="0" w:line="356" w:lineRule="exact"/>
        <w:ind w:left="200" w:right="144" w:firstLine="480"/>
        <w:jc w:val="both"/>
        <w:rPr>
          <w:color w:val="auto"/>
          <w:sz w:val="20"/>
          <w:szCs w:val="20"/>
        </w:rPr>
      </w:pPr>
      <w:r>
        <w:rPr>
          <w:rFonts w:ascii="宋体" w:hAnsi="宋体" w:eastAsia="宋体" w:cs="宋体"/>
          <w:color w:val="auto"/>
          <w:sz w:val="24"/>
          <w:szCs w:val="24"/>
        </w:rPr>
        <w:t>承包人向监理人提交交工付款申请单</w:t>
      </w:r>
      <w:r>
        <w:rPr>
          <w:rFonts w:ascii="Times New Roman" w:hAnsi="Times New Roman" w:eastAsia="Times New Roman" w:cs="Times New Roman"/>
          <w:color w:val="auto"/>
          <w:sz w:val="24"/>
          <w:szCs w:val="24"/>
        </w:rPr>
        <w:t>(</w:t>
      </w:r>
      <w:r>
        <w:rPr>
          <w:rFonts w:ascii="宋体" w:hAnsi="宋体" w:eastAsia="宋体" w:cs="宋体"/>
          <w:color w:val="auto"/>
          <w:sz w:val="24"/>
          <w:szCs w:val="24"/>
        </w:rPr>
        <w:t>包括相关证明材料</w:t>
      </w:r>
      <w:r>
        <w:rPr>
          <w:rFonts w:ascii="Times New Roman" w:hAnsi="Times New Roman" w:eastAsia="Times New Roman" w:cs="Times New Roman"/>
          <w:color w:val="auto"/>
          <w:sz w:val="24"/>
          <w:szCs w:val="24"/>
        </w:rPr>
        <w:t>)</w:t>
      </w:r>
      <w:r>
        <w:rPr>
          <w:rFonts w:ascii="宋体" w:hAnsi="宋体" w:eastAsia="宋体" w:cs="宋体"/>
          <w:color w:val="auto"/>
          <w:sz w:val="24"/>
          <w:szCs w:val="24"/>
        </w:rPr>
        <w:t>的份数在项目专用合同条款数据表中约定；期限：交工验收证书签发后</w:t>
      </w:r>
      <w:r>
        <w:rPr>
          <w:rFonts w:ascii="Times New Roman" w:hAnsi="Times New Roman" w:eastAsia="Times New Roman" w:cs="Times New Roman"/>
          <w:color w:val="auto"/>
          <w:sz w:val="24"/>
          <w:szCs w:val="24"/>
        </w:rPr>
        <w:t xml:space="preserve"> 42 </w:t>
      </w:r>
      <w:r>
        <w:rPr>
          <w:rFonts w:ascii="宋体" w:hAnsi="宋体" w:eastAsia="宋体" w:cs="宋体"/>
          <w:color w:val="auto"/>
          <w:sz w:val="24"/>
          <w:szCs w:val="24"/>
        </w:rPr>
        <w:t>天内。</w:t>
      </w:r>
    </w:p>
    <w:p>
      <w:pPr>
        <w:spacing w:after="0" w:line="90"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17.5.2 </w:t>
      </w:r>
      <w:r>
        <w:rPr>
          <w:rFonts w:ascii="黑体" w:hAnsi="黑体" w:eastAsia="黑体" w:cs="黑体"/>
          <w:color w:val="auto"/>
          <w:sz w:val="24"/>
          <w:szCs w:val="24"/>
        </w:rPr>
        <w:t>交工付款证书及支付时间</w:t>
      </w:r>
    </w:p>
    <w:p>
      <w:pPr>
        <w:spacing w:after="0" w:line="108"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本项</w:t>
      </w:r>
      <w:r>
        <w:rPr>
          <w:rFonts w:ascii="Times New Roman" w:hAnsi="Times New Roman" w:eastAsia="Times New Roman" w:cs="Times New Roman"/>
          <w:color w:val="auto"/>
          <w:sz w:val="24"/>
          <w:szCs w:val="24"/>
        </w:rPr>
        <w:t>(2)</w:t>
      </w:r>
      <w:r>
        <w:rPr>
          <w:rFonts w:ascii="宋体" w:hAnsi="宋体" w:eastAsia="宋体" w:cs="宋体"/>
          <w:color w:val="auto"/>
          <w:sz w:val="24"/>
          <w:szCs w:val="24"/>
        </w:rPr>
        <w:t>目细化为：</w:t>
      </w:r>
    </w:p>
    <w:p>
      <w:pPr>
        <w:spacing w:after="0" w:line="10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发包人应在监理人出具交工付款证书且承包人提交了合格的增值税专用发票后</w:t>
      </w:r>
    </w:p>
    <w:p>
      <w:pPr>
        <w:spacing w:after="0" w:line="127" w:lineRule="exact"/>
        <w:rPr>
          <w:color w:val="auto"/>
          <w:sz w:val="20"/>
          <w:szCs w:val="20"/>
        </w:rPr>
      </w:pPr>
    </w:p>
    <w:p>
      <w:pPr>
        <w:numPr>
          <w:ilvl w:val="0"/>
          <w:numId w:val="49"/>
        </w:numPr>
        <w:tabs>
          <w:tab w:val="left" w:pos="500"/>
        </w:tabs>
        <w:spacing w:after="0" w:line="336" w:lineRule="exact"/>
        <w:ind w:left="200" w:right="144" w:firstLine="4"/>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14 </w:t>
      </w:r>
      <w:r>
        <w:rPr>
          <w:rFonts w:ascii="宋体" w:hAnsi="宋体" w:eastAsia="宋体" w:cs="宋体"/>
          <w:color w:val="auto"/>
          <w:sz w:val="24"/>
          <w:szCs w:val="24"/>
        </w:rPr>
        <w:t>天内，将应支付款支付给承包人。发包人不按期支付的，按第</w:t>
      </w:r>
      <w:r>
        <w:rPr>
          <w:rFonts w:ascii="Times New Roman" w:hAnsi="Times New Roman" w:eastAsia="Times New Roman" w:cs="Times New Roman"/>
          <w:color w:val="auto"/>
          <w:sz w:val="24"/>
          <w:szCs w:val="24"/>
        </w:rPr>
        <w:t xml:space="preserve"> 17.3.3(2)</w:t>
      </w:r>
      <w:r>
        <w:rPr>
          <w:rFonts w:ascii="宋体" w:hAnsi="宋体" w:eastAsia="宋体" w:cs="宋体"/>
          <w:color w:val="auto"/>
          <w:sz w:val="24"/>
          <w:szCs w:val="24"/>
        </w:rPr>
        <w:t>目的约定，将逾期付款违约金支付给承包人。</w:t>
      </w:r>
    </w:p>
    <w:p>
      <w:pPr>
        <w:spacing w:after="0" w:line="347"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17.6 </w:t>
      </w:r>
      <w:r>
        <w:rPr>
          <w:rFonts w:ascii="黑体" w:hAnsi="黑体" w:eastAsia="黑体" w:cs="黑体"/>
          <w:color w:val="auto"/>
          <w:sz w:val="24"/>
          <w:szCs w:val="24"/>
        </w:rPr>
        <w:t>最终结清</w:t>
      </w:r>
    </w:p>
    <w:p>
      <w:pPr>
        <w:spacing w:after="0" w:line="34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17.6.1 </w:t>
      </w:r>
      <w:r>
        <w:rPr>
          <w:rFonts w:ascii="黑体" w:hAnsi="黑体" w:eastAsia="黑体" w:cs="黑体"/>
          <w:color w:val="auto"/>
          <w:sz w:val="24"/>
          <w:szCs w:val="24"/>
        </w:rPr>
        <w:t>最终结清申请单</w:t>
      </w:r>
    </w:p>
    <w:p>
      <w:pPr>
        <w:spacing w:after="0" w:line="108"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本项</w:t>
      </w:r>
      <w:r>
        <w:rPr>
          <w:rFonts w:ascii="Times New Roman" w:hAnsi="Times New Roman" w:eastAsia="Times New Roman" w:cs="Times New Roman"/>
          <w:color w:val="auto"/>
          <w:sz w:val="24"/>
          <w:szCs w:val="24"/>
        </w:rPr>
        <w:t>(1)</w:t>
      </w:r>
      <w:r>
        <w:rPr>
          <w:rFonts w:ascii="宋体" w:hAnsi="宋体" w:eastAsia="宋体" w:cs="宋体"/>
          <w:color w:val="auto"/>
          <w:sz w:val="24"/>
          <w:szCs w:val="24"/>
        </w:rPr>
        <w:t>目约定为：</w:t>
      </w:r>
    </w:p>
    <w:p>
      <w:pPr>
        <w:spacing w:after="0" w:line="109" w:lineRule="exact"/>
        <w:rPr>
          <w:color w:val="auto"/>
          <w:sz w:val="20"/>
          <w:szCs w:val="20"/>
        </w:rPr>
      </w:pPr>
    </w:p>
    <w:p>
      <w:pPr>
        <w:spacing w:after="0" w:line="356" w:lineRule="exact"/>
        <w:ind w:left="200" w:right="144" w:firstLine="480"/>
        <w:rPr>
          <w:color w:val="auto"/>
          <w:sz w:val="20"/>
          <w:szCs w:val="20"/>
        </w:rPr>
      </w:pPr>
      <w:r>
        <w:rPr>
          <w:rFonts w:ascii="宋体" w:hAnsi="宋体" w:eastAsia="宋体" w:cs="宋体"/>
          <w:color w:val="auto"/>
          <w:sz w:val="24"/>
          <w:szCs w:val="24"/>
        </w:rPr>
        <w:t>承包人向监理人提交最终结清申请单</w:t>
      </w:r>
      <w:r>
        <w:rPr>
          <w:rFonts w:ascii="Times New Roman" w:hAnsi="Times New Roman" w:eastAsia="Times New Roman" w:cs="Times New Roman"/>
          <w:color w:val="auto"/>
          <w:sz w:val="24"/>
          <w:szCs w:val="24"/>
        </w:rPr>
        <w:t>(</w:t>
      </w:r>
      <w:r>
        <w:rPr>
          <w:rFonts w:ascii="宋体" w:hAnsi="宋体" w:eastAsia="宋体" w:cs="宋体"/>
          <w:color w:val="auto"/>
          <w:sz w:val="24"/>
          <w:szCs w:val="24"/>
        </w:rPr>
        <w:t>包括相关证明材料</w:t>
      </w:r>
      <w:r>
        <w:rPr>
          <w:rFonts w:ascii="Times New Roman" w:hAnsi="Times New Roman" w:eastAsia="Times New Roman" w:cs="Times New Roman"/>
          <w:color w:val="auto"/>
          <w:sz w:val="24"/>
          <w:szCs w:val="24"/>
        </w:rPr>
        <w:t>)</w:t>
      </w:r>
      <w:r>
        <w:rPr>
          <w:rFonts w:ascii="宋体" w:hAnsi="宋体" w:eastAsia="宋体" w:cs="宋体"/>
          <w:color w:val="auto"/>
          <w:sz w:val="24"/>
          <w:szCs w:val="24"/>
        </w:rPr>
        <w:t>的份数在项目专用合同条款数据表中约定；期限：缺陷责任期终止证书签发后</w:t>
      </w:r>
      <w:r>
        <w:rPr>
          <w:rFonts w:ascii="Times New Roman" w:hAnsi="Times New Roman" w:eastAsia="Times New Roman" w:cs="Times New Roman"/>
          <w:color w:val="auto"/>
          <w:sz w:val="24"/>
          <w:szCs w:val="24"/>
        </w:rPr>
        <w:t xml:space="preserve"> 28 </w:t>
      </w:r>
      <w:r>
        <w:rPr>
          <w:rFonts w:ascii="宋体" w:hAnsi="宋体" w:eastAsia="宋体" w:cs="宋体"/>
          <w:color w:val="auto"/>
          <w:sz w:val="24"/>
          <w:szCs w:val="24"/>
        </w:rPr>
        <w:t>天内。</w:t>
      </w:r>
    </w:p>
    <w:p>
      <w:pPr>
        <w:spacing w:after="0" w:line="123" w:lineRule="exact"/>
        <w:rPr>
          <w:color w:val="auto"/>
          <w:sz w:val="20"/>
          <w:szCs w:val="20"/>
        </w:rPr>
      </w:pPr>
    </w:p>
    <w:p>
      <w:pPr>
        <w:spacing w:after="0" w:line="320" w:lineRule="exact"/>
        <w:ind w:left="200" w:right="144" w:firstLine="480"/>
        <w:rPr>
          <w:color w:val="auto"/>
          <w:sz w:val="20"/>
          <w:szCs w:val="20"/>
        </w:rPr>
      </w:pPr>
      <w:r>
        <w:rPr>
          <w:rFonts w:ascii="宋体" w:hAnsi="宋体" w:eastAsia="宋体" w:cs="宋体"/>
          <w:color w:val="auto"/>
          <w:sz w:val="24"/>
          <w:szCs w:val="24"/>
        </w:rPr>
        <w:t>最终结清申请单中的总金额应认为是代表了根据合同规定应付给承包人的全部款项的最后结算。</w:t>
      </w:r>
    </w:p>
    <w:p>
      <w:pPr>
        <w:spacing w:after="0" w:line="292" w:lineRule="exact"/>
        <w:ind w:firstLine="720" w:firstLineChars="300"/>
        <w:rPr>
          <w:color w:val="auto"/>
          <w:sz w:val="20"/>
          <w:szCs w:val="20"/>
        </w:rPr>
      </w:pPr>
      <w:r>
        <w:rPr>
          <w:rFonts w:ascii="Times New Roman" w:hAnsi="Times New Roman" w:eastAsia="Times New Roman" w:cs="Times New Roman"/>
          <w:color w:val="auto"/>
          <w:sz w:val="24"/>
          <w:szCs w:val="24"/>
        </w:rPr>
        <w:t xml:space="preserve">17.6.2 </w:t>
      </w:r>
      <w:r>
        <w:rPr>
          <w:rFonts w:ascii="黑体" w:hAnsi="黑体" w:eastAsia="黑体" w:cs="黑体"/>
          <w:color w:val="auto"/>
          <w:sz w:val="24"/>
          <w:szCs w:val="24"/>
        </w:rPr>
        <w:t>最终结清证书和支付时间</w:t>
      </w:r>
    </w:p>
    <w:p>
      <w:pPr>
        <w:spacing w:after="0" w:line="109"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本项</w:t>
      </w:r>
      <w:r>
        <w:rPr>
          <w:rFonts w:ascii="Times New Roman" w:hAnsi="Times New Roman" w:eastAsia="Times New Roman" w:cs="Times New Roman"/>
          <w:color w:val="auto"/>
          <w:sz w:val="24"/>
          <w:szCs w:val="24"/>
        </w:rPr>
        <w:t>(2)</w:t>
      </w:r>
      <w:r>
        <w:rPr>
          <w:rFonts w:ascii="宋体" w:hAnsi="宋体" w:eastAsia="宋体" w:cs="宋体"/>
          <w:color w:val="auto"/>
          <w:sz w:val="24"/>
          <w:szCs w:val="24"/>
        </w:rPr>
        <w:t>目细化为：</w:t>
      </w:r>
    </w:p>
    <w:p>
      <w:pPr>
        <w:spacing w:after="0" w:line="108" w:lineRule="exact"/>
        <w:rPr>
          <w:color w:val="auto"/>
          <w:sz w:val="20"/>
          <w:szCs w:val="20"/>
        </w:rPr>
      </w:pPr>
    </w:p>
    <w:p>
      <w:pPr>
        <w:spacing w:after="0" w:line="358" w:lineRule="exact"/>
        <w:ind w:left="200" w:right="144" w:firstLine="480"/>
        <w:jc w:val="both"/>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发包人应在监理人出具最终结清证书且承包人提交了合格的增值税专用发票后的</w:t>
      </w:r>
      <w:r>
        <w:rPr>
          <w:rFonts w:ascii="Times New Roman" w:hAnsi="Times New Roman" w:eastAsia="Times New Roman" w:cs="Times New Roman"/>
          <w:color w:val="auto"/>
          <w:sz w:val="24"/>
          <w:szCs w:val="24"/>
        </w:rPr>
        <w:t xml:space="preserve"> 14 </w:t>
      </w:r>
      <w:r>
        <w:rPr>
          <w:rFonts w:ascii="宋体" w:hAnsi="宋体" w:eastAsia="宋体" w:cs="宋体"/>
          <w:color w:val="auto"/>
          <w:sz w:val="24"/>
          <w:szCs w:val="24"/>
        </w:rPr>
        <w:t>天内，将应支付款支付给承包人。发包人不按期支付的，按第</w:t>
      </w:r>
      <w:r>
        <w:rPr>
          <w:rFonts w:ascii="Times New Roman" w:hAnsi="Times New Roman" w:eastAsia="Times New Roman" w:cs="Times New Roman"/>
          <w:color w:val="auto"/>
          <w:sz w:val="24"/>
          <w:szCs w:val="24"/>
        </w:rPr>
        <w:t xml:space="preserve"> 17.3.3(2) </w:t>
      </w:r>
      <w:r>
        <w:rPr>
          <w:rFonts w:ascii="宋体" w:hAnsi="宋体" w:eastAsia="宋体" w:cs="宋体"/>
          <w:color w:val="auto"/>
          <w:sz w:val="24"/>
          <w:szCs w:val="24"/>
        </w:rPr>
        <w:t>目的约定，将逾期付款违约金支付给承包人。</w:t>
      </w:r>
    </w:p>
    <w:p>
      <w:pPr>
        <w:spacing w:after="0" w:line="200" w:lineRule="exact"/>
        <w:rPr>
          <w:color w:val="auto"/>
          <w:sz w:val="20"/>
          <w:szCs w:val="20"/>
        </w:rPr>
      </w:pPr>
    </w:p>
    <w:p>
      <w:pPr>
        <w:spacing w:after="0" w:line="316" w:lineRule="exact"/>
        <w:rPr>
          <w:color w:val="auto"/>
          <w:sz w:val="20"/>
          <w:szCs w:val="20"/>
        </w:rPr>
      </w:pPr>
    </w:p>
    <w:p>
      <w:pPr>
        <w:numPr>
          <w:ilvl w:val="0"/>
          <w:numId w:val="50"/>
        </w:numPr>
        <w:tabs>
          <w:tab w:val="left" w:pos="700"/>
        </w:tabs>
        <w:spacing w:after="0" w:line="341" w:lineRule="exact"/>
        <w:ind w:left="700" w:hanging="496"/>
        <w:rPr>
          <w:rFonts w:ascii="Times New Roman" w:hAnsi="Times New Roman" w:eastAsia="Times New Roman" w:cs="Times New Roman"/>
          <w:color w:val="auto"/>
          <w:sz w:val="28"/>
          <w:szCs w:val="28"/>
        </w:rPr>
      </w:pPr>
      <w:r>
        <w:rPr>
          <w:rFonts w:ascii="黑体" w:hAnsi="黑体" w:eastAsia="黑体" w:cs="黑体"/>
          <w:color w:val="auto"/>
          <w:sz w:val="28"/>
          <w:szCs w:val="28"/>
        </w:rPr>
        <w:t>交工验收</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18.2 </w:t>
      </w:r>
      <w:r>
        <w:rPr>
          <w:rFonts w:ascii="黑体" w:hAnsi="黑体" w:eastAsia="黑体" w:cs="黑体"/>
          <w:color w:val="auto"/>
          <w:sz w:val="24"/>
          <w:szCs w:val="24"/>
        </w:rPr>
        <w:t>交工验收申请报告</w:t>
      </w:r>
    </w:p>
    <w:p>
      <w:pPr>
        <w:spacing w:after="0" w:line="348"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本款第</w:t>
      </w:r>
      <w:r>
        <w:rPr>
          <w:rFonts w:ascii="Times New Roman" w:hAnsi="Times New Roman" w:eastAsia="Times New Roman" w:cs="Times New Roman"/>
          <w:color w:val="auto"/>
          <w:sz w:val="24"/>
          <w:szCs w:val="24"/>
        </w:rPr>
        <w:t>(2)</w:t>
      </w:r>
      <w:r>
        <w:rPr>
          <w:rFonts w:ascii="宋体" w:hAnsi="宋体" w:eastAsia="宋体" w:cs="宋体"/>
          <w:color w:val="auto"/>
          <w:sz w:val="24"/>
          <w:szCs w:val="24"/>
        </w:rPr>
        <w:t>项约定为：</w:t>
      </w:r>
    </w:p>
    <w:p>
      <w:pPr>
        <w:spacing w:after="0" w:line="109" w:lineRule="exact"/>
        <w:rPr>
          <w:color w:val="auto"/>
          <w:sz w:val="20"/>
          <w:szCs w:val="20"/>
        </w:rPr>
      </w:pPr>
    </w:p>
    <w:p>
      <w:pPr>
        <w:spacing w:after="0" w:line="336" w:lineRule="exact"/>
        <w:ind w:left="200" w:right="144" w:firstLine="480"/>
        <w:rPr>
          <w:color w:val="auto"/>
          <w:sz w:val="20"/>
          <w:szCs w:val="20"/>
        </w:rPr>
      </w:pPr>
      <w:r>
        <w:rPr>
          <w:rFonts w:ascii="宋体" w:hAnsi="宋体" w:eastAsia="宋体" w:cs="宋体"/>
          <w:color w:val="auto"/>
          <w:sz w:val="24"/>
          <w:szCs w:val="24"/>
        </w:rPr>
        <w:t>竣工资料的内容：承包人应按照《公路工程竣</w:t>
      </w:r>
      <w:r>
        <w:rPr>
          <w:rFonts w:ascii="Times New Roman" w:hAnsi="Times New Roman" w:eastAsia="Times New Roman" w:cs="Times New Roman"/>
          <w:color w:val="auto"/>
          <w:sz w:val="24"/>
          <w:szCs w:val="24"/>
        </w:rPr>
        <w:t>(</w:t>
      </w:r>
      <w:r>
        <w:rPr>
          <w:rFonts w:ascii="宋体" w:hAnsi="宋体" w:eastAsia="宋体" w:cs="宋体"/>
          <w:color w:val="auto"/>
          <w:sz w:val="24"/>
          <w:szCs w:val="24"/>
        </w:rPr>
        <w:t>交</w:t>
      </w:r>
      <w:r>
        <w:rPr>
          <w:rFonts w:ascii="Times New Roman" w:hAnsi="Times New Roman" w:eastAsia="Times New Roman" w:cs="Times New Roman"/>
          <w:color w:val="auto"/>
          <w:sz w:val="24"/>
          <w:szCs w:val="24"/>
        </w:rPr>
        <w:t>)</w:t>
      </w:r>
      <w:r>
        <w:rPr>
          <w:rFonts w:ascii="宋体" w:hAnsi="宋体" w:eastAsia="宋体" w:cs="宋体"/>
          <w:color w:val="auto"/>
          <w:sz w:val="24"/>
          <w:szCs w:val="24"/>
        </w:rPr>
        <w:t>工验收办法》和相关规定编制竣工资料。</w:t>
      </w:r>
    </w:p>
    <w:p>
      <w:pPr>
        <w:spacing w:after="0" w:line="12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竣工资料的份数在项目专用合同条款数据表中约定。</w:t>
      </w:r>
    </w:p>
    <w:p>
      <w:pPr>
        <w:spacing w:after="0" w:line="346"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18.3 </w:t>
      </w:r>
      <w:r>
        <w:rPr>
          <w:rFonts w:ascii="黑体" w:hAnsi="黑体" w:eastAsia="黑体" w:cs="黑体"/>
          <w:color w:val="auto"/>
          <w:sz w:val="24"/>
          <w:szCs w:val="24"/>
        </w:rPr>
        <w:t>验收</w:t>
      </w:r>
    </w:p>
    <w:p>
      <w:pPr>
        <w:spacing w:after="0" w:line="348" w:lineRule="exact"/>
        <w:rPr>
          <w:color w:val="auto"/>
          <w:sz w:val="20"/>
          <w:szCs w:val="20"/>
        </w:rPr>
      </w:pPr>
    </w:p>
    <w:p>
      <w:pPr>
        <w:numPr>
          <w:ilvl w:val="0"/>
          <w:numId w:val="51"/>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18.3.2 </w:t>
      </w:r>
      <w:r>
        <w:rPr>
          <w:rFonts w:ascii="宋体" w:hAnsi="宋体" w:eastAsia="宋体" w:cs="宋体"/>
          <w:color w:val="auto"/>
          <w:sz w:val="24"/>
          <w:szCs w:val="24"/>
        </w:rPr>
        <w:t>项补充：</w:t>
      </w:r>
    </w:p>
    <w:p>
      <w:pPr>
        <w:spacing w:after="0" w:line="109" w:lineRule="exact"/>
        <w:rPr>
          <w:rFonts w:ascii="宋体" w:hAnsi="宋体" w:eastAsia="宋体" w:cs="宋体"/>
          <w:color w:val="auto"/>
          <w:sz w:val="24"/>
          <w:szCs w:val="24"/>
        </w:rPr>
      </w:pPr>
    </w:p>
    <w:p>
      <w:pPr>
        <w:spacing w:after="0" w:line="274" w:lineRule="exact"/>
        <w:ind w:left="680"/>
        <w:rPr>
          <w:rFonts w:ascii="宋体" w:hAnsi="宋体" w:eastAsia="宋体" w:cs="宋体"/>
          <w:color w:val="auto"/>
          <w:sz w:val="24"/>
          <w:szCs w:val="24"/>
        </w:rPr>
      </w:pPr>
      <w:r>
        <w:rPr>
          <w:rFonts w:ascii="宋体" w:hAnsi="宋体" w:eastAsia="宋体" w:cs="宋体"/>
          <w:color w:val="auto"/>
          <w:sz w:val="24"/>
          <w:szCs w:val="24"/>
        </w:rPr>
        <w:t>交工验收由发包人主持，由发包人、监理人、质监、设计、施工、运营、管理</w:t>
      </w:r>
    </w:p>
    <w:p>
      <w:pPr>
        <w:spacing w:after="0" w:line="347" w:lineRule="exact"/>
        <w:ind w:left="200" w:right="144"/>
        <w:jc w:val="both"/>
        <w:rPr>
          <w:color w:val="auto"/>
          <w:sz w:val="20"/>
          <w:szCs w:val="20"/>
        </w:rPr>
      </w:pPr>
      <w:r>
        <w:rPr>
          <w:rFonts w:ascii="宋体" w:hAnsi="宋体" w:eastAsia="宋体" w:cs="宋体"/>
          <w:color w:val="auto"/>
          <w:sz w:val="24"/>
          <w:szCs w:val="24"/>
        </w:rPr>
        <w:t>养护等有关部门代表组成交工验收小组，对本项目的工程质量进行评定，并写出交工验收报告报交通运输主管部门备案。承包人应按发包人的要求提交竣工资料，完成交工验收准备工作。</w:t>
      </w:r>
    </w:p>
    <w:p>
      <w:pPr>
        <w:spacing w:after="0" w:line="126" w:lineRule="exact"/>
        <w:rPr>
          <w:color w:val="auto"/>
          <w:sz w:val="20"/>
          <w:szCs w:val="20"/>
        </w:rPr>
      </w:pPr>
    </w:p>
    <w:p>
      <w:pPr>
        <w:numPr>
          <w:ilvl w:val="0"/>
          <w:numId w:val="52"/>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18.3.5 </w:t>
      </w:r>
      <w:r>
        <w:rPr>
          <w:rFonts w:ascii="宋体" w:hAnsi="宋体" w:eastAsia="宋体" w:cs="宋体"/>
          <w:color w:val="auto"/>
          <w:sz w:val="24"/>
          <w:szCs w:val="24"/>
        </w:rPr>
        <w:t>项约定为：</w:t>
      </w:r>
    </w:p>
    <w:p>
      <w:pPr>
        <w:spacing w:after="0" w:line="107" w:lineRule="exact"/>
        <w:rPr>
          <w:rFonts w:ascii="宋体" w:hAnsi="宋体" w:eastAsia="宋体" w:cs="宋体"/>
          <w:color w:val="auto"/>
          <w:sz w:val="24"/>
          <w:szCs w:val="24"/>
        </w:rPr>
      </w:pPr>
    </w:p>
    <w:p>
      <w:pPr>
        <w:spacing w:after="0" w:line="274" w:lineRule="exact"/>
        <w:ind w:left="240" w:leftChars="109" w:firstLine="544" w:firstLineChars="227"/>
        <w:rPr>
          <w:color w:val="auto"/>
          <w:sz w:val="24"/>
          <w:szCs w:val="24"/>
        </w:rPr>
      </w:pPr>
      <w:r>
        <w:rPr>
          <w:rFonts w:ascii="宋体" w:hAnsi="宋体" w:eastAsia="宋体" w:cs="宋体"/>
          <w:color w:val="auto"/>
          <w:sz w:val="24"/>
          <w:szCs w:val="24"/>
        </w:rPr>
        <w:t>经验收合格工程的实际交工日期，以最终提交交工验收申请报告的日期为准，并在交工验收证书中写明。</w:t>
      </w:r>
    </w:p>
    <w:p>
      <w:pPr>
        <w:spacing w:after="0" w:line="126" w:lineRule="exact"/>
        <w:rPr>
          <w:color w:val="auto"/>
          <w:sz w:val="20"/>
          <w:szCs w:val="20"/>
        </w:rPr>
      </w:pPr>
    </w:p>
    <w:p>
      <w:pPr>
        <w:spacing w:after="0" w:line="292" w:lineRule="exact"/>
        <w:ind w:right="5944"/>
        <w:jc w:val="center"/>
        <w:rPr>
          <w:color w:val="auto"/>
          <w:sz w:val="20"/>
          <w:szCs w:val="20"/>
        </w:rPr>
      </w:pP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本款补充第</w:t>
      </w:r>
      <w:r>
        <w:rPr>
          <w:rFonts w:ascii="Times New Roman" w:hAnsi="Times New Roman" w:eastAsia="Times New Roman" w:cs="Times New Roman"/>
          <w:color w:val="auto"/>
          <w:sz w:val="24"/>
          <w:szCs w:val="24"/>
        </w:rPr>
        <w:t xml:space="preserve"> 18.3.7 </w:t>
      </w:r>
      <w:r>
        <w:rPr>
          <w:rFonts w:ascii="宋体" w:hAnsi="宋体" w:eastAsia="宋体" w:cs="宋体"/>
          <w:color w:val="auto"/>
          <w:sz w:val="24"/>
          <w:szCs w:val="24"/>
        </w:rPr>
        <w:t>项：</w:t>
      </w:r>
    </w:p>
    <w:p>
      <w:pPr>
        <w:spacing w:after="0" w:line="108" w:lineRule="exact"/>
        <w:rPr>
          <w:color w:val="auto"/>
          <w:sz w:val="20"/>
          <w:szCs w:val="20"/>
        </w:rPr>
      </w:pPr>
    </w:p>
    <w:p>
      <w:pPr>
        <w:spacing w:after="0" w:line="337" w:lineRule="exact"/>
        <w:ind w:left="200" w:right="144" w:firstLine="480"/>
        <w:rPr>
          <w:color w:val="auto"/>
          <w:sz w:val="20"/>
          <w:szCs w:val="20"/>
        </w:rPr>
      </w:pPr>
      <w:r>
        <w:rPr>
          <w:rFonts w:ascii="宋体" w:hAnsi="宋体" w:eastAsia="宋体" w:cs="宋体"/>
          <w:color w:val="auto"/>
          <w:sz w:val="24"/>
          <w:szCs w:val="24"/>
        </w:rPr>
        <w:t>组织办理交工验收和签发交工验收证书的费用由发包人承担。但按照第</w:t>
      </w:r>
      <w:r>
        <w:rPr>
          <w:rFonts w:ascii="Times New Roman" w:hAnsi="Times New Roman" w:eastAsia="Times New Roman" w:cs="Times New Roman"/>
          <w:color w:val="auto"/>
          <w:sz w:val="24"/>
          <w:szCs w:val="24"/>
        </w:rPr>
        <w:t xml:space="preserve"> 18.3.4 </w:t>
      </w:r>
      <w:r>
        <w:rPr>
          <w:rFonts w:ascii="宋体" w:hAnsi="宋体" w:eastAsia="宋体" w:cs="宋体"/>
          <w:color w:val="auto"/>
          <w:sz w:val="24"/>
          <w:szCs w:val="24"/>
        </w:rPr>
        <w:t>项规定达不到合格标准的交工验收费用由承包人承担。</w:t>
      </w:r>
    </w:p>
    <w:p>
      <w:pPr>
        <w:spacing w:after="0" w:line="367" w:lineRule="exact"/>
        <w:rPr>
          <w:color w:val="auto"/>
          <w:sz w:val="20"/>
          <w:szCs w:val="20"/>
        </w:rPr>
      </w:pPr>
    </w:p>
    <w:p>
      <w:pPr>
        <w:spacing w:after="0" w:line="292" w:lineRule="exact"/>
        <w:ind w:left="200"/>
        <w:rPr>
          <w:color w:val="auto"/>
          <w:sz w:val="20"/>
          <w:szCs w:val="20"/>
        </w:rPr>
      </w:pPr>
      <w:r>
        <w:rPr>
          <w:rFonts w:ascii="黑体" w:hAnsi="黑体" w:eastAsia="黑体" w:cs="黑体"/>
          <w:color w:val="auto"/>
          <w:sz w:val="24"/>
          <w:szCs w:val="24"/>
        </w:rPr>
        <w:t>本条补充第</w:t>
      </w:r>
      <w:r>
        <w:rPr>
          <w:rFonts w:ascii="Times New Roman" w:hAnsi="Times New Roman" w:eastAsia="Times New Roman" w:cs="Times New Roman"/>
          <w:color w:val="auto"/>
          <w:sz w:val="24"/>
          <w:szCs w:val="24"/>
        </w:rPr>
        <w:t xml:space="preserve"> 18.9 </w:t>
      </w:r>
      <w:r>
        <w:rPr>
          <w:rFonts w:ascii="黑体" w:hAnsi="黑体" w:eastAsia="黑体" w:cs="黑体"/>
          <w:color w:val="auto"/>
          <w:sz w:val="24"/>
          <w:szCs w:val="24"/>
        </w:rPr>
        <w:t>款：</w:t>
      </w:r>
    </w:p>
    <w:p>
      <w:pPr>
        <w:spacing w:after="0" w:line="327"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18.9 </w:t>
      </w:r>
      <w:r>
        <w:rPr>
          <w:rFonts w:ascii="黑体" w:hAnsi="黑体" w:eastAsia="黑体" w:cs="黑体"/>
          <w:color w:val="auto"/>
          <w:sz w:val="24"/>
          <w:szCs w:val="24"/>
        </w:rPr>
        <w:t>竣工文件</w:t>
      </w:r>
    </w:p>
    <w:p>
      <w:pPr>
        <w:spacing w:after="0" w:line="349" w:lineRule="exact"/>
        <w:rPr>
          <w:color w:val="auto"/>
          <w:sz w:val="20"/>
          <w:szCs w:val="20"/>
        </w:rPr>
      </w:pPr>
    </w:p>
    <w:p>
      <w:pPr>
        <w:spacing w:after="0" w:line="336" w:lineRule="exact"/>
        <w:ind w:left="200" w:right="144" w:firstLine="480"/>
        <w:rPr>
          <w:rFonts w:ascii="宋体" w:hAnsi="宋体" w:eastAsia="宋体" w:cs="宋体"/>
          <w:color w:val="auto"/>
          <w:sz w:val="24"/>
          <w:szCs w:val="24"/>
        </w:rPr>
      </w:pPr>
      <w:r>
        <w:rPr>
          <w:rFonts w:ascii="宋体" w:hAnsi="宋体" w:eastAsia="宋体" w:cs="宋体"/>
          <w:color w:val="auto"/>
          <w:sz w:val="24"/>
          <w:szCs w:val="24"/>
        </w:rPr>
        <w:t>承包人应按照《公路工程竣</w:t>
      </w:r>
      <w:r>
        <w:rPr>
          <w:rFonts w:ascii="Times New Roman" w:hAnsi="Times New Roman" w:eastAsia="Times New Roman" w:cs="Times New Roman"/>
          <w:color w:val="auto"/>
          <w:sz w:val="24"/>
          <w:szCs w:val="24"/>
        </w:rPr>
        <w:t>(</w:t>
      </w:r>
      <w:r>
        <w:rPr>
          <w:rFonts w:ascii="宋体" w:hAnsi="宋体" w:eastAsia="宋体" w:cs="宋体"/>
          <w:color w:val="auto"/>
          <w:sz w:val="24"/>
          <w:szCs w:val="24"/>
        </w:rPr>
        <w:t>交</w:t>
      </w:r>
      <w:r>
        <w:rPr>
          <w:rFonts w:ascii="Times New Roman" w:hAnsi="Times New Roman" w:eastAsia="Times New Roman" w:cs="Times New Roman"/>
          <w:color w:val="auto"/>
          <w:sz w:val="24"/>
          <w:szCs w:val="24"/>
        </w:rPr>
        <w:t>)</w:t>
      </w:r>
      <w:r>
        <w:rPr>
          <w:rFonts w:ascii="宋体" w:hAnsi="宋体" w:eastAsia="宋体" w:cs="宋体"/>
          <w:color w:val="auto"/>
          <w:sz w:val="24"/>
          <w:szCs w:val="24"/>
        </w:rPr>
        <w:t>工验收办法》的相关规定，在缺陷责任期内为竣工验收补充竣工资料，并在签发缺陷责任期终止证书之前提交。</w:t>
      </w:r>
    </w:p>
    <w:p>
      <w:pPr>
        <w:spacing w:after="0" w:line="336" w:lineRule="exact"/>
        <w:ind w:left="200" w:right="144" w:firstLine="480"/>
        <w:rPr>
          <w:rFonts w:ascii="宋体" w:hAnsi="宋体" w:eastAsia="宋体" w:cs="宋体"/>
          <w:color w:val="auto"/>
          <w:sz w:val="24"/>
          <w:szCs w:val="24"/>
        </w:rPr>
      </w:pPr>
    </w:p>
    <w:p>
      <w:pPr>
        <w:numPr>
          <w:ilvl w:val="0"/>
          <w:numId w:val="53"/>
        </w:numPr>
        <w:tabs>
          <w:tab w:val="left" w:pos="700"/>
        </w:tabs>
        <w:spacing w:after="0" w:line="341" w:lineRule="exact"/>
        <w:ind w:left="700" w:hanging="496"/>
        <w:rPr>
          <w:rFonts w:ascii="Times New Roman" w:hAnsi="Times New Roman" w:eastAsia="Times New Roman" w:cs="Times New Roman"/>
          <w:color w:val="auto"/>
          <w:sz w:val="28"/>
          <w:szCs w:val="28"/>
        </w:rPr>
      </w:pPr>
      <w:r>
        <w:rPr>
          <w:rFonts w:ascii="黑体" w:hAnsi="黑体" w:eastAsia="黑体" w:cs="黑体"/>
          <w:color w:val="auto"/>
          <w:sz w:val="28"/>
          <w:szCs w:val="28"/>
        </w:rPr>
        <w:t>缺陷责任与保修责任</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19.2 </w:t>
      </w:r>
      <w:r>
        <w:rPr>
          <w:rFonts w:ascii="黑体" w:hAnsi="黑体" w:eastAsia="黑体" w:cs="黑体"/>
          <w:color w:val="auto"/>
          <w:sz w:val="24"/>
          <w:szCs w:val="24"/>
        </w:rPr>
        <w:t>缺陷责任</w:t>
      </w:r>
    </w:p>
    <w:p>
      <w:pPr>
        <w:spacing w:after="0" w:line="349" w:lineRule="exact"/>
        <w:rPr>
          <w:color w:val="auto"/>
          <w:sz w:val="20"/>
          <w:szCs w:val="20"/>
        </w:rPr>
      </w:pPr>
    </w:p>
    <w:p>
      <w:pPr>
        <w:numPr>
          <w:ilvl w:val="0"/>
          <w:numId w:val="54"/>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19.2.2 </w:t>
      </w:r>
      <w:r>
        <w:rPr>
          <w:rFonts w:ascii="宋体" w:hAnsi="宋体" w:eastAsia="宋体" w:cs="宋体"/>
          <w:color w:val="auto"/>
          <w:sz w:val="24"/>
          <w:szCs w:val="24"/>
        </w:rPr>
        <w:t>项补充：</w:t>
      </w:r>
    </w:p>
    <w:p>
      <w:pPr>
        <w:spacing w:after="0" w:line="107" w:lineRule="exact"/>
        <w:rPr>
          <w:rFonts w:ascii="宋体" w:hAnsi="宋体" w:eastAsia="宋体" w:cs="宋体"/>
          <w:color w:val="auto"/>
          <w:sz w:val="24"/>
          <w:szCs w:val="24"/>
        </w:rPr>
      </w:pPr>
    </w:p>
    <w:p>
      <w:pPr>
        <w:spacing w:after="0" w:line="274" w:lineRule="exact"/>
        <w:ind w:left="680"/>
        <w:rPr>
          <w:rFonts w:ascii="宋体" w:hAnsi="宋体" w:eastAsia="宋体" w:cs="宋体"/>
          <w:color w:val="auto"/>
          <w:sz w:val="24"/>
          <w:szCs w:val="24"/>
        </w:rPr>
      </w:pPr>
      <w:r>
        <w:rPr>
          <w:rFonts w:ascii="宋体" w:hAnsi="宋体" w:eastAsia="宋体" w:cs="宋体"/>
          <w:color w:val="auto"/>
          <w:sz w:val="24"/>
          <w:szCs w:val="24"/>
        </w:rPr>
        <w:t>在缺陷责任期内，承包人应尽快完成在交工验收证书中写明的未完成工作，并</w:t>
      </w:r>
    </w:p>
    <w:p>
      <w:pPr>
        <w:spacing w:after="0" w:line="126" w:lineRule="exact"/>
        <w:rPr>
          <w:color w:val="auto"/>
          <w:sz w:val="20"/>
          <w:szCs w:val="20"/>
        </w:rPr>
      </w:pPr>
    </w:p>
    <w:p>
      <w:pPr>
        <w:spacing w:after="0" w:line="274" w:lineRule="exact"/>
        <w:ind w:left="200"/>
        <w:rPr>
          <w:color w:val="auto"/>
          <w:sz w:val="20"/>
          <w:szCs w:val="20"/>
        </w:rPr>
      </w:pPr>
      <w:r>
        <w:rPr>
          <w:rFonts w:ascii="宋体" w:hAnsi="宋体" w:eastAsia="宋体" w:cs="宋体"/>
          <w:color w:val="auto"/>
          <w:sz w:val="24"/>
          <w:szCs w:val="24"/>
        </w:rPr>
        <w:t>完成对本工程缺陷的修复或监理人指令的修补工作。</w:t>
      </w:r>
    </w:p>
    <w:p>
      <w:pPr>
        <w:spacing w:after="0" w:line="346"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19.5 </w:t>
      </w:r>
      <w:r>
        <w:rPr>
          <w:rFonts w:ascii="黑体" w:hAnsi="黑体" w:eastAsia="黑体" w:cs="黑体"/>
          <w:color w:val="auto"/>
          <w:sz w:val="24"/>
          <w:szCs w:val="24"/>
        </w:rPr>
        <w:t>承包人的进入权</w:t>
      </w:r>
    </w:p>
    <w:p>
      <w:pPr>
        <w:spacing w:after="0" w:line="34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本款补充：</w:t>
      </w:r>
    </w:p>
    <w:p>
      <w:pPr>
        <w:spacing w:after="0" w:line="161" w:lineRule="exact"/>
        <w:rPr>
          <w:color w:val="auto"/>
          <w:sz w:val="20"/>
          <w:szCs w:val="20"/>
        </w:rPr>
      </w:pPr>
    </w:p>
    <w:p>
      <w:pPr>
        <w:spacing w:after="0" w:line="320" w:lineRule="exact"/>
        <w:ind w:left="200" w:right="144" w:firstLine="480"/>
        <w:rPr>
          <w:color w:val="auto"/>
          <w:sz w:val="20"/>
          <w:szCs w:val="20"/>
        </w:rPr>
      </w:pPr>
      <w:r>
        <w:rPr>
          <w:rFonts w:ascii="宋体" w:hAnsi="宋体" w:eastAsia="宋体" w:cs="宋体"/>
          <w:color w:val="auto"/>
          <w:sz w:val="24"/>
          <w:szCs w:val="24"/>
        </w:rPr>
        <w:t>承包人在缺陷修复施工过程中，应服从管养单位的有关安全管理规定，由于承包人自身原因造成的人员伤亡、设备和材料的损毁及罚款等责任由承包人自负。</w:t>
      </w:r>
    </w:p>
    <w:p>
      <w:pPr>
        <w:spacing w:after="0" w:line="346"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19.7 </w:t>
      </w:r>
      <w:r>
        <w:rPr>
          <w:rFonts w:ascii="黑体" w:hAnsi="黑体" w:eastAsia="黑体" w:cs="黑体"/>
          <w:color w:val="auto"/>
          <w:sz w:val="24"/>
          <w:szCs w:val="24"/>
        </w:rPr>
        <w:t>保修责任</w:t>
      </w:r>
    </w:p>
    <w:p>
      <w:pPr>
        <w:spacing w:after="0" w:line="349"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本款细化为：</w:t>
      </w:r>
    </w:p>
    <w:p>
      <w:pPr>
        <w:spacing w:after="0" w:line="159" w:lineRule="exact"/>
        <w:rPr>
          <w:color w:val="auto"/>
          <w:sz w:val="20"/>
          <w:szCs w:val="20"/>
        </w:rPr>
      </w:pPr>
    </w:p>
    <w:p>
      <w:pPr>
        <w:numPr>
          <w:ilvl w:val="0"/>
          <w:numId w:val="0"/>
        </w:numPr>
        <w:tabs>
          <w:tab w:val="left" w:pos="1084"/>
        </w:tabs>
        <w:spacing w:after="0" w:line="368" w:lineRule="exact"/>
        <w:ind w:leftChars="0" w:right="144" w:rightChars="0" w:firstLine="480" w:firstLineChars="200"/>
        <w:jc w:val="both"/>
        <w:rPr>
          <w:rFonts w:ascii="Times New Roman" w:hAnsi="Times New Roman" w:eastAsia="Times New Roman" w:cs="Times New Roman"/>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ascii="宋体" w:hAnsi="宋体" w:eastAsia="宋体" w:cs="宋体"/>
          <w:color w:val="auto"/>
          <w:sz w:val="24"/>
          <w:szCs w:val="24"/>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spacing w:after="0" w:line="162" w:lineRule="exact"/>
        <w:rPr>
          <w:rFonts w:ascii="Times New Roman" w:hAnsi="Times New Roman" w:eastAsia="Times New Roman" w:cs="Times New Roman"/>
          <w:color w:val="auto"/>
          <w:sz w:val="24"/>
          <w:szCs w:val="24"/>
        </w:rPr>
      </w:pPr>
    </w:p>
    <w:p>
      <w:pPr>
        <w:numPr>
          <w:ilvl w:val="0"/>
          <w:numId w:val="0"/>
        </w:numPr>
        <w:tabs>
          <w:tab w:val="left" w:pos="961"/>
        </w:tabs>
        <w:spacing w:after="0" w:line="320" w:lineRule="exact"/>
        <w:ind w:leftChars="0" w:right="144" w:rightChars="0" w:firstLine="480" w:firstLineChars="200"/>
        <w:rPr>
          <w:rFonts w:ascii="Times New Roman" w:hAnsi="Times New Roman" w:eastAsia="Times New Roman" w:cs="Times New Roman"/>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ascii="宋体" w:hAnsi="宋体" w:eastAsia="宋体" w:cs="宋体"/>
          <w:color w:val="auto"/>
          <w:sz w:val="24"/>
          <w:szCs w:val="24"/>
        </w:rPr>
        <w:t>在全部工程交工验收前，已经发包人提前验收的单位工程，其保修期的起算日期相应提前。</w:t>
      </w:r>
    </w:p>
    <w:p>
      <w:pPr>
        <w:spacing w:after="0" w:line="127" w:lineRule="exact"/>
        <w:rPr>
          <w:rFonts w:ascii="Times New Roman" w:hAnsi="Times New Roman" w:eastAsia="Times New Roman" w:cs="Times New Roman"/>
          <w:color w:val="auto"/>
          <w:sz w:val="24"/>
          <w:szCs w:val="24"/>
        </w:rPr>
      </w:pPr>
    </w:p>
    <w:p>
      <w:pPr>
        <w:numPr>
          <w:ilvl w:val="0"/>
          <w:numId w:val="0"/>
        </w:numPr>
        <w:tabs>
          <w:tab w:val="left" w:pos="960"/>
        </w:tabs>
        <w:spacing w:after="0" w:line="280" w:lineRule="exact"/>
        <w:ind w:leftChars="0" w:firstLine="480" w:firstLineChars="200"/>
        <w:rPr>
          <w:rFonts w:ascii="Times New Roman" w:hAnsi="Times New Roman" w:eastAsia="Times New Roman" w:cs="Times New Roman"/>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ascii="宋体" w:hAnsi="宋体" w:eastAsia="宋体" w:cs="宋体"/>
          <w:color w:val="auto"/>
          <w:sz w:val="24"/>
          <w:szCs w:val="24"/>
        </w:rPr>
        <w:t>工程保修期终止后</w:t>
      </w:r>
      <w:r>
        <w:rPr>
          <w:rFonts w:ascii="Times New Roman" w:hAnsi="Times New Roman" w:eastAsia="Times New Roman" w:cs="Times New Roman"/>
          <w:color w:val="auto"/>
          <w:sz w:val="24"/>
          <w:szCs w:val="24"/>
        </w:rPr>
        <w:t xml:space="preserve"> 28 </w:t>
      </w:r>
      <w:r>
        <w:rPr>
          <w:rFonts w:ascii="宋体" w:hAnsi="宋体" w:eastAsia="宋体" w:cs="宋体"/>
          <w:color w:val="auto"/>
          <w:sz w:val="24"/>
          <w:szCs w:val="24"/>
        </w:rPr>
        <w:t>天内，监理人签发保修期终止证书。</w:t>
      </w:r>
    </w:p>
    <w:p>
      <w:pPr>
        <w:spacing w:after="0" w:line="153" w:lineRule="exact"/>
        <w:rPr>
          <w:rFonts w:ascii="Times New Roman" w:hAnsi="Times New Roman" w:eastAsia="Times New Roman" w:cs="Times New Roman"/>
          <w:color w:val="auto"/>
          <w:sz w:val="24"/>
          <w:szCs w:val="24"/>
        </w:rPr>
      </w:pPr>
    </w:p>
    <w:p>
      <w:pPr>
        <w:numPr>
          <w:ilvl w:val="0"/>
          <w:numId w:val="0"/>
        </w:numPr>
        <w:tabs>
          <w:tab w:val="left" w:pos="968"/>
        </w:tabs>
        <w:spacing w:after="0" w:line="347" w:lineRule="exact"/>
        <w:ind w:leftChars="0" w:right="144" w:rightChars="0" w:firstLine="480" w:firstLineChars="200"/>
        <w:jc w:val="both"/>
        <w:rPr>
          <w:rFonts w:ascii="Times New Roman" w:hAnsi="Times New Roman" w:eastAsia="Times New Roman" w:cs="Times New Roman"/>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ascii="宋体" w:hAnsi="宋体" w:eastAsia="宋体" w:cs="宋体"/>
          <w:color w:val="auto"/>
          <w:sz w:val="24"/>
          <w:szCs w:val="24"/>
        </w:rPr>
        <w:t>若承包人不履行保修义务和责任，则承包人应承担由于违约造成的法律后果，并由发包人将其违约行为上报省级交通运输主管部门，作为不良记录纳入公路建设市场信用信息管理系统。</w:t>
      </w:r>
    </w:p>
    <w:p>
      <w:pPr>
        <w:spacing w:after="0" w:line="200" w:lineRule="exact"/>
        <w:rPr>
          <w:rFonts w:ascii="Times New Roman" w:hAnsi="Times New Roman" w:eastAsia="Times New Roman" w:cs="Times New Roman"/>
          <w:color w:val="auto"/>
          <w:sz w:val="24"/>
          <w:szCs w:val="24"/>
        </w:rPr>
      </w:pPr>
    </w:p>
    <w:p>
      <w:pPr>
        <w:spacing w:after="0" w:line="316" w:lineRule="exact"/>
        <w:rPr>
          <w:rFonts w:ascii="Times New Roman" w:hAnsi="Times New Roman" w:eastAsia="Times New Roman" w:cs="Times New Roman"/>
          <w:color w:val="auto"/>
          <w:sz w:val="24"/>
          <w:szCs w:val="24"/>
        </w:rPr>
      </w:pPr>
    </w:p>
    <w:p>
      <w:pPr>
        <w:numPr>
          <w:ilvl w:val="0"/>
          <w:numId w:val="55"/>
        </w:numPr>
        <w:tabs>
          <w:tab w:val="left" w:pos="700"/>
        </w:tabs>
        <w:spacing w:after="0" w:line="341" w:lineRule="exact"/>
        <w:ind w:left="700" w:hanging="496"/>
        <w:rPr>
          <w:rFonts w:ascii="Times New Roman" w:hAnsi="Times New Roman" w:eastAsia="Times New Roman" w:cs="Times New Roman"/>
          <w:color w:val="auto"/>
          <w:sz w:val="28"/>
          <w:szCs w:val="28"/>
        </w:rPr>
      </w:pPr>
      <w:r>
        <w:rPr>
          <w:rFonts w:ascii="黑体" w:hAnsi="黑体" w:eastAsia="黑体" w:cs="黑体"/>
          <w:color w:val="auto"/>
          <w:sz w:val="28"/>
          <w:szCs w:val="28"/>
        </w:rPr>
        <w:t>保险</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20.1 </w:t>
      </w:r>
      <w:r>
        <w:rPr>
          <w:rFonts w:ascii="黑体" w:hAnsi="黑体" w:eastAsia="黑体" w:cs="黑体"/>
          <w:color w:val="auto"/>
          <w:sz w:val="24"/>
          <w:szCs w:val="24"/>
        </w:rPr>
        <w:t>工程保险</w:t>
      </w:r>
    </w:p>
    <w:p>
      <w:pPr>
        <w:spacing w:after="0" w:line="34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本款约定为：</w:t>
      </w:r>
    </w:p>
    <w:p>
      <w:pPr>
        <w:spacing w:after="0" w:line="161" w:lineRule="exact"/>
        <w:rPr>
          <w:color w:val="auto"/>
          <w:sz w:val="20"/>
          <w:szCs w:val="20"/>
        </w:rPr>
      </w:pPr>
    </w:p>
    <w:p>
      <w:pPr>
        <w:spacing w:after="0" w:line="320" w:lineRule="exact"/>
        <w:ind w:left="200" w:right="144" w:firstLine="480"/>
        <w:rPr>
          <w:color w:val="auto"/>
          <w:sz w:val="24"/>
          <w:szCs w:val="24"/>
        </w:rPr>
      </w:pPr>
      <w:r>
        <w:rPr>
          <w:rFonts w:ascii="宋体" w:hAnsi="宋体" w:eastAsia="宋体" w:cs="宋体"/>
          <w:color w:val="auto"/>
          <w:sz w:val="24"/>
          <w:szCs w:val="24"/>
        </w:rPr>
        <w:t>建筑工程一切险的投保内容：为本合同工程的永久工程、临时工程和设备及已运至施工工地用于永久工程的材料和设备所投的保险。</w:t>
      </w:r>
    </w:p>
    <w:p>
      <w:pPr>
        <w:spacing w:after="0" w:line="127" w:lineRule="exact"/>
        <w:rPr>
          <w:color w:val="auto"/>
          <w:sz w:val="24"/>
          <w:szCs w:val="24"/>
        </w:rPr>
      </w:pPr>
    </w:p>
    <w:p>
      <w:pPr>
        <w:spacing w:after="0" w:line="280" w:lineRule="exact"/>
        <w:ind w:firstLine="720" w:firstLineChars="0"/>
        <w:rPr>
          <w:rFonts w:ascii="宋体" w:hAnsi="宋体" w:eastAsia="宋体" w:cs="宋体"/>
          <w:color w:val="auto"/>
          <w:sz w:val="24"/>
          <w:szCs w:val="24"/>
        </w:rPr>
      </w:pPr>
      <w:r>
        <w:rPr>
          <w:rFonts w:ascii="宋体" w:hAnsi="宋体" w:eastAsia="宋体" w:cs="宋体"/>
          <w:color w:val="auto"/>
          <w:sz w:val="24"/>
          <w:szCs w:val="24"/>
        </w:rPr>
        <w:t>保险金额：工程量清单第</w:t>
      </w:r>
      <w:r>
        <w:rPr>
          <w:rFonts w:ascii="Times New Roman" w:hAnsi="Times New Roman" w:eastAsia="Times New Roman" w:cs="Times New Roman"/>
          <w:color w:val="auto"/>
          <w:sz w:val="24"/>
          <w:szCs w:val="24"/>
        </w:rPr>
        <w:t xml:space="preserve"> 100 </w:t>
      </w:r>
      <w:r>
        <w:rPr>
          <w:rFonts w:ascii="宋体" w:hAnsi="宋体" w:eastAsia="宋体" w:cs="宋体"/>
          <w:color w:val="auto"/>
          <w:sz w:val="24"/>
          <w:szCs w:val="24"/>
        </w:rPr>
        <w:t>章</w:t>
      </w:r>
      <w:r>
        <w:rPr>
          <w:rFonts w:ascii="Times New Roman" w:hAnsi="Times New Roman" w:eastAsia="Times New Roman" w:cs="Times New Roman"/>
          <w:color w:val="auto"/>
          <w:sz w:val="24"/>
          <w:szCs w:val="24"/>
        </w:rPr>
        <w:t>(</w:t>
      </w:r>
      <w:r>
        <w:rPr>
          <w:rFonts w:ascii="宋体" w:hAnsi="宋体" w:eastAsia="宋体" w:cs="宋体"/>
          <w:color w:val="auto"/>
          <w:sz w:val="24"/>
          <w:szCs w:val="24"/>
        </w:rPr>
        <w:t>不含建筑工程一切险及第三者责任险的保险费</w:t>
      </w:r>
      <w:r>
        <w:rPr>
          <w:rFonts w:ascii="Times New Roman" w:hAnsi="Times New Roman" w:eastAsia="Times New Roman" w:cs="Times New Roman"/>
          <w:color w:val="auto"/>
          <w:sz w:val="24"/>
          <w:szCs w:val="24"/>
        </w:rPr>
        <w:t>)</w:t>
      </w:r>
      <w:r>
        <w:rPr>
          <w:rFonts w:hint="eastAsia" w:ascii="Times New Roman" w:hAnsi="Times New Roman" w:eastAsia="宋体" w:cs="Times New Roman"/>
          <w:color w:val="auto"/>
          <w:sz w:val="24"/>
          <w:szCs w:val="24"/>
          <w:lang w:eastAsia="zh-CN"/>
        </w:rPr>
        <w:t>至</w:t>
      </w:r>
      <w:r>
        <w:rPr>
          <w:rFonts w:ascii="Times New Roman" w:hAnsi="Times New Roman" w:eastAsia="Times New Roman" w:cs="Times New Roman"/>
          <w:color w:val="auto"/>
          <w:sz w:val="24"/>
          <w:szCs w:val="24"/>
        </w:rPr>
        <w:t xml:space="preserve">700 </w:t>
      </w:r>
      <w:r>
        <w:rPr>
          <w:rFonts w:ascii="宋体" w:hAnsi="宋体" w:eastAsia="宋体" w:cs="宋体"/>
          <w:color w:val="auto"/>
          <w:sz w:val="24"/>
          <w:szCs w:val="24"/>
        </w:rPr>
        <w:t>章的合计金额。</w:t>
      </w:r>
    </w:p>
    <w:p>
      <w:pPr>
        <w:spacing w:after="0" w:line="109" w:lineRule="exact"/>
        <w:rPr>
          <w:rFonts w:ascii="宋体" w:hAnsi="宋体" w:eastAsia="宋体" w:cs="宋体"/>
          <w:color w:val="auto"/>
          <w:sz w:val="24"/>
          <w:szCs w:val="24"/>
        </w:rPr>
      </w:pPr>
    </w:p>
    <w:p>
      <w:pPr>
        <w:spacing w:after="0" w:line="274" w:lineRule="exact"/>
        <w:ind w:left="680"/>
        <w:rPr>
          <w:rFonts w:ascii="宋体" w:hAnsi="宋体" w:eastAsia="宋体" w:cs="宋体"/>
          <w:color w:val="auto"/>
          <w:sz w:val="24"/>
          <w:szCs w:val="24"/>
        </w:rPr>
      </w:pPr>
      <w:r>
        <w:rPr>
          <w:rFonts w:ascii="宋体" w:hAnsi="宋体" w:eastAsia="宋体" w:cs="宋体"/>
          <w:color w:val="auto"/>
          <w:sz w:val="24"/>
          <w:szCs w:val="24"/>
        </w:rPr>
        <w:t>保险费率：在项目专用合同条款数据表中约定。</w:t>
      </w:r>
    </w:p>
    <w:p>
      <w:pPr>
        <w:spacing w:after="0" w:line="126" w:lineRule="exact"/>
        <w:rPr>
          <w:color w:val="auto"/>
          <w:sz w:val="20"/>
          <w:szCs w:val="20"/>
        </w:rPr>
      </w:pPr>
    </w:p>
    <w:p>
      <w:pPr>
        <w:spacing w:after="0" w:line="356" w:lineRule="exact"/>
        <w:ind w:left="200" w:right="144" w:firstLine="480"/>
        <w:jc w:val="both"/>
        <w:rPr>
          <w:color w:val="auto"/>
          <w:sz w:val="20"/>
          <w:szCs w:val="20"/>
        </w:rPr>
      </w:pPr>
      <w:r>
        <w:rPr>
          <w:rFonts w:ascii="宋体" w:hAnsi="宋体" w:eastAsia="宋体" w:cs="宋体"/>
          <w:color w:val="auto"/>
          <w:sz w:val="24"/>
          <w:szCs w:val="24"/>
        </w:rPr>
        <w:t>保险期限：开工日起直至本合同工程签发缺陷责任期终止证书止</w:t>
      </w:r>
      <w:r>
        <w:rPr>
          <w:rFonts w:ascii="Times New Roman" w:hAnsi="Times New Roman" w:eastAsia="Times New Roman" w:cs="Times New Roman"/>
          <w:color w:val="auto"/>
          <w:sz w:val="24"/>
          <w:szCs w:val="24"/>
        </w:rPr>
        <w:t>(</w:t>
      </w:r>
      <w:r>
        <w:rPr>
          <w:rFonts w:ascii="宋体" w:hAnsi="宋体" w:eastAsia="宋体" w:cs="宋体"/>
          <w:color w:val="auto"/>
          <w:sz w:val="24"/>
          <w:szCs w:val="24"/>
        </w:rPr>
        <w:t>即合同工期＋缺陷责任期</w:t>
      </w:r>
      <w:r>
        <w:rPr>
          <w:rFonts w:ascii="Times New Roman" w:hAnsi="Times New Roman" w:eastAsia="Times New Roman" w:cs="Times New Roman"/>
          <w:color w:val="auto"/>
          <w:sz w:val="24"/>
          <w:szCs w:val="24"/>
        </w:rPr>
        <w:t>)</w:t>
      </w:r>
    </w:p>
    <w:p>
      <w:pPr>
        <w:spacing w:after="0" w:line="124" w:lineRule="exact"/>
        <w:rPr>
          <w:color w:val="auto"/>
          <w:sz w:val="20"/>
          <w:szCs w:val="20"/>
        </w:rPr>
      </w:pPr>
    </w:p>
    <w:p>
      <w:pPr>
        <w:spacing w:after="0" w:line="346" w:lineRule="exact"/>
        <w:ind w:left="200" w:right="144" w:firstLine="480"/>
        <w:jc w:val="both"/>
        <w:rPr>
          <w:color w:val="auto"/>
          <w:sz w:val="20"/>
          <w:szCs w:val="20"/>
        </w:rPr>
      </w:pPr>
      <w:r>
        <w:rPr>
          <w:rFonts w:ascii="宋体" w:hAnsi="宋体" w:eastAsia="宋体" w:cs="宋体"/>
          <w:color w:val="auto"/>
          <w:sz w:val="24"/>
          <w:szCs w:val="24"/>
        </w:rPr>
        <w:t>承包人应以发包人和承包人的共同名义投保建筑工程一切险。建筑工程一切险的保险费由承包人报价时列入工程量清单</w:t>
      </w:r>
      <w:r>
        <w:rPr>
          <w:rFonts w:ascii="Times New Roman" w:hAnsi="Times New Roman" w:eastAsia="Times New Roman" w:cs="Times New Roman"/>
          <w:color w:val="auto"/>
          <w:sz w:val="24"/>
          <w:szCs w:val="24"/>
        </w:rPr>
        <w:t xml:space="preserve"> 100 </w:t>
      </w:r>
      <w:r>
        <w:rPr>
          <w:rFonts w:ascii="宋体" w:hAnsi="宋体" w:eastAsia="宋体" w:cs="宋体"/>
          <w:color w:val="auto"/>
          <w:sz w:val="24"/>
          <w:szCs w:val="24"/>
        </w:rPr>
        <w:t>章内。发包人在接到保险单后，将按照保险单的费用直接向承包人支付。</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20.4 </w:t>
      </w:r>
      <w:r>
        <w:rPr>
          <w:rFonts w:ascii="黑体" w:hAnsi="黑体" w:eastAsia="黑体" w:cs="黑体"/>
          <w:color w:val="auto"/>
          <w:sz w:val="24"/>
          <w:szCs w:val="24"/>
        </w:rPr>
        <w:t>第三者责任险</w:t>
      </w:r>
    </w:p>
    <w:p>
      <w:pPr>
        <w:spacing w:after="0" w:line="348" w:lineRule="exact"/>
        <w:rPr>
          <w:color w:val="auto"/>
          <w:sz w:val="20"/>
          <w:szCs w:val="20"/>
        </w:rPr>
      </w:pPr>
    </w:p>
    <w:p>
      <w:pPr>
        <w:numPr>
          <w:ilvl w:val="0"/>
          <w:numId w:val="56"/>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20.4.2 </w:t>
      </w:r>
      <w:r>
        <w:rPr>
          <w:rFonts w:ascii="宋体" w:hAnsi="宋体" w:eastAsia="宋体" w:cs="宋体"/>
          <w:color w:val="auto"/>
          <w:sz w:val="24"/>
          <w:szCs w:val="24"/>
        </w:rPr>
        <w:t>项补充：</w:t>
      </w:r>
    </w:p>
    <w:p>
      <w:pPr>
        <w:spacing w:after="0" w:line="109" w:lineRule="exact"/>
        <w:rPr>
          <w:color w:val="auto"/>
          <w:sz w:val="20"/>
          <w:szCs w:val="20"/>
        </w:rPr>
      </w:pPr>
    </w:p>
    <w:p>
      <w:pPr>
        <w:spacing w:after="0" w:line="336" w:lineRule="exact"/>
        <w:ind w:left="200" w:right="144" w:firstLine="480"/>
        <w:jc w:val="both"/>
        <w:rPr>
          <w:color w:val="auto"/>
          <w:sz w:val="20"/>
          <w:szCs w:val="20"/>
        </w:rPr>
      </w:pPr>
      <w:r>
        <w:rPr>
          <w:rFonts w:ascii="宋体" w:hAnsi="宋体" w:eastAsia="宋体" w:cs="宋体"/>
          <w:color w:val="auto"/>
          <w:sz w:val="24"/>
          <w:szCs w:val="24"/>
        </w:rPr>
        <w:t>第三者责任险的保险费由承包人报价时列入工程量清单</w:t>
      </w:r>
      <w:r>
        <w:rPr>
          <w:rFonts w:ascii="Times New Roman" w:hAnsi="Times New Roman" w:eastAsia="Times New Roman" w:cs="Times New Roman"/>
          <w:color w:val="auto"/>
          <w:sz w:val="24"/>
          <w:szCs w:val="24"/>
        </w:rPr>
        <w:t xml:space="preserve"> 100 </w:t>
      </w:r>
      <w:r>
        <w:rPr>
          <w:rFonts w:ascii="宋体" w:hAnsi="宋体" w:eastAsia="宋体" w:cs="宋体"/>
          <w:color w:val="auto"/>
          <w:sz w:val="24"/>
          <w:szCs w:val="24"/>
        </w:rPr>
        <w:t>章内。发包人在接到保险单后，将按照保险单的费用直接向承包人支付。</w:t>
      </w:r>
    </w:p>
    <w:p>
      <w:pPr>
        <w:spacing w:after="0" w:line="347"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20.5 </w:t>
      </w:r>
      <w:r>
        <w:rPr>
          <w:rFonts w:ascii="黑体" w:hAnsi="黑体" w:eastAsia="黑体" w:cs="黑体"/>
          <w:color w:val="auto"/>
          <w:sz w:val="24"/>
          <w:szCs w:val="24"/>
        </w:rPr>
        <w:t>其他保险</w:t>
      </w:r>
    </w:p>
    <w:p>
      <w:pPr>
        <w:spacing w:after="0" w:line="349"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本款约定为：</w:t>
      </w:r>
    </w:p>
    <w:p>
      <w:pPr>
        <w:spacing w:after="0" w:line="159" w:lineRule="exact"/>
        <w:rPr>
          <w:color w:val="auto"/>
          <w:sz w:val="20"/>
          <w:szCs w:val="20"/>
        </w:rPr>
      </w:pPr>
    </w:p>
    <w:p>
      <w:pPr>
        <w:spacing w:after="0" w:line="347" w:lineRule="exact"/>
        <w:ind w:left="200" w:right="144" w:firstLine="420"/>
        <w:jc w:val="both"/>
        <w:rPr>
          <w:color w:val="auto"/>
          <w:sz w:val="20"/>
          <w:szCs w:val="20"/>
        </w:rPr>
      </w:pPr>
      <w:r>
        <w:rPr>
          <w:rFonts w:ascii="宋体" w:hAnsi="宋体" w:eastAsia="宋体" w:cs="宋体"/>
          <w:color w:val="auto"/>
          <w:sz w:val="24"/>
          <w:szCs w:val="24"/>
        </w:rPr>
        <w:t>承包人应为其施工设备等办理保险，其投保金额应足以现场重置。办理本款保险的一切费用均由承包人承担，并包括在工程量清单的单价及总额价中，发包人不单独支付。</w:t>
      </w:r>
    </w:p>
    <w:p>
      <w:pPr>
        <w:spacing w:after="0" w:line="346"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20.6 </w:t>
      </w:r>
      <w:r>
        <w:rPr>
          <w:rFonts w:ascii="黑体" w:hAnsi="黑体" w:eastAsia="黑体" w:cs="黑体"/>
          <w:color w:val="auto"/>
          <w:sz w:val="24"/>
          <w:szCs w:val="24"/>
        </w:rPr>
        <w:t>对各项保险的一般要求</w:t>
      </w:r>
    </w:p>
    <w:p>
      <w:pPr>
        <w:spacing w:after="0" w:line="349" w:lineRule="exact"/>
        <w:rPr>
          <w:color w:val="auto"/>
          <w:sz w:val="20"/>
          <w:szCs w:val="20"/>
        </w:rPr>
      </w:pPr>
    </w:p>
    <w:p>
      <w:pPr>
        <w:spacing w:after="0" w:line="292" w:lineRule="exact"/>
        <w:ind w:left="600"/>
        <w:rPr>
          <w:color w:val="auto"/>
          <w:sz w:val="20"/>
          <w:szCs w:val="20"/>
        </w:rPr>
      </w:pPr>
      <w:r>
        <w:rPr>
          <w:rFonts w:ascii="Times New Roman" w:hAnsi="Times New Roman" w:eastAsia="Times New Roman" w:cs="Times New Roman"/>
          <w:color w:val="auto"/>
          <w:sz w:val="24"/>
          <w:szCs w:val="24"/>
        </w:rPr>
        <w:t xml:space="preserve">20.6.1 </w:t>
      </w:r>
      <w:r>
        <w:rPr>
          <w:rFonts w:ascii="黑体" w:hAnsi="黑体" w:eastAsia="黑体" w:cs="黑体"/>
          <w:color w:val="auto"/>
          <w:sz w:val="24"/>
          <w:szCs w:val="24"/>
        </w:rPr>
        <w:t>保险凭证</w:t>
      </w:r>
    </w:p>
    <w:p>
      <w:pPr>
        <w:spacing w:after="0" w:line="108" w:lineRule="exact"/>
        <w:rPr>
          <w:color w:val="auto"/>
          <w:sz w:val="20"/>
          <w:szCs w:val="20"/>
        </w:rPr>
      </w:pPr>
    </w:p>
    <w:p>
      <w:pPr>
        <w:spacing w:after="0" w:line="274" w:lineRule="exact"/>
        <w:ind w:left="600"/>
        <w:rPr>
          <w:color w:val="auto"/>
          <w:sz w:val="20"/>
          <w:szCs w:val="20"/>
        </w:rPr>
      </w:pPr>
      <w:r>
        <w:rPr>
          <w:rFonts w:ascii="宋体" w:hAnsi="宋体" w:eastAsia="宋体" w:cs="宋体"/>
          <w:color w:val="auto"/>
          <w:sz w:val="24"/>
          <w:szCs w:val="24"/>
        </w:rPr>
        <w:t>本项约定为：</w:t>
      </w:r>
    </w:p>
    <w:p>
      <w:pPr>
        <w:spacing w:after="0" w:line="127" w:lineRule="exact"/>
        <w:rPr>
          <w:color w:val="auto"/>
          <w:sz w:val="20"/>
          <w:szCs w:val="20"/>
        </w:rPr>
      </w:pPr>
    </w:p>
    <w:p>
      <w:pPr>
        <w:spacing w:after="0" w:line="280" w:lineRule="exact"/>
        <w:ind w:left="600"/>
        <w:rPr>
          <w:color w:val="auto"/>
          <w:sz w:val="20"/>
          <w:szCs w:val="20"/>
        </w:rPr>
      </w:pPr>
      <w:r>
        <w:rPr>
          <w:rFonts w:ascii="宋体" w:hAnsi="宋体" w:eastAsia="宋体" w:cs="宋体"/>
          <w:color w:val="auto"/>
          <w:sz w:val="23"/>
          <w:szCs w:val="23"/>
        </w:rPr>
        <w:t>承包人向发包人提交各项保险生效的证据和保险单副本的期限：开工后</w:t>
      </w:r>
      <w:r>
        <w:rPr>
          <w:rFonts w:ascii="Times New Roman" w:hAnsi="Times New Roman" w:eastAsia="Times New Roman" w:cs="Times New Roman"/>
          <w:color w:val="auto"/>
          <w:sz w:val="23"/>
          <w:szCs w:val="23"/>
        </w:rPr>
        <w:t xml:space="preserve"> 56 </w:t>
      </w:r>
      <w:r>
        <w:rPr>
          <w:rFonts w:ascii="宋体" w:hAnsi="宋体" w:eastAsia="宋体" w:cs="宋体"/>
          <w:color w:val="auto"/>
          <w:sz w:val="23"/>
          <w:szCs w:val="23"/>
        </w:rPr>
        <w:t>天内。</w:t>
      </w:r>
    </w:p>
    <w:p>
      <w:pPr>
        <w:spacing w:after="0" w:line="120" w:lineRule="exact"/>
        <w:rPr>
          <w:color w:val="auto"/>
          <w:sz w:val="20"/>
          <w:szCs w:val="20"/>
        </w:rPr>
      </w:pPr>
    </w:p>
    <w:p>
      <w:pPr>
        <w:spacing w:after="0" w:line="292" w:lineRule="exact"/>
        <w:ind w:left="600"/>
        <w:rPr>
          <w:color w:val="auto"/>
          <w:sz w:val="20"/>
          <w:szCs w:val="20"/>
        </w:rPr>
      </w:pPr>
      <w:r>
        <w:rPr>
          <w:rFonts w:ascii="Times New Roman" w:hAnsi="Times New Roman" w:eastAsia="Times New Roman" w:cs="Times New Roman"/>
          <w:color w:val="auto"/>
          <w:sz w:val="24"/>
          <w:szCs w:val="24"/>
        </w:rPr>
        <w:t xml:space="preserve">20.6.3 </w:t>
      </w:r>
      <w:r>
        <w:rPr>
          <w:rFonts w:ascii="黑体" w:hAnsi="黑体" w:eastAsia="黑体" w:cs="黑体"/>
          <w:color w:val="auto"/>
          <w:sz w:val="24"/>
          <w:szCs w:val="24"/>
        </w:rPr>
        <w:t>持续保险</w:t>
      </w:r>
    </w:p>
    <w:p>
      <w:pPr>
        <w:spacing w:after="0" w:line="10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本项补充：</w:t>
      </w:r>
    </w:p>
    <w:p>
      <w:pPr>
        <w:spacing w:after="0" w:line="127"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在整个合同期内，承包人应按合同条款规定保证足够的保险额。</w:t>
      </w:r>
    </w:p>
    <w:p>
      <w:pPr>
        <w:spacing w:after="0" w:line="126" w:lineRule="exact"/>
        <w:rPr>
          <w:color w:val="auto"/>
          <w:sz w:val="20"/>
          <w:szCs w:val="20"/>
        </w:rPr>
      </w:pPr>
    </w:p>
    <w:p>
      <w:pPr>
        <w:spacing w:after="0" w:line="292" w:lineRule="exact"/>
        <w:ind w:left="600"/>
        <w:rPr>
          <w:color w:val="auto"/>
          <w:sz w:val="20"/>
          <w:szCs w:val="20"/>
        </w:rPr>
      </w:pPr>
      <w:r>
        <w:rPr>
          <w:rFonts w:ascii="Times New Roman" w:hAnsi="Times New Roman" w:eastAsia="Times New Roman" w:cs="Times New Roman"/>
          <w:color w:val="auto"/>
          <w:sz w:val="24"/>
          <w:szCs w:val="24"/>
        </w:rPr>
        <w:t xml:space="preserve">20.6.4 </w:t>
      </w:r>
      <w:r>
        <w:rPr>
          <w:rFonts w:ascii="黑体" w:hAnsi="黑体" w:eastAsia="黑体" w:cs="黑体"/>
          <w:color w:val="auto"/>
          <w:sz w:val="24"/>
          <w:szCs w:val="24"/>
        </w:rPr>
        <w:t>保险金不足的补偿</w:t>
      </w:r>
    </w:p>
    <w:p>
      <w:pPr>
        <w:spacing w:after="0" w:line="10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本项细化为：</w:t>
      </w:r>
    </w:p>
    <w:p>
      <w:pPr>
        <w:spacing w:after="0" w:line="127" w:lineRule="exact"/>
        <w:rPr>
          <w:color w:val="auto"/>
          <w:sz w:val="20"/>
          <w:szCs w:val="20"/>
        </w:rPr>
      </w:pPr>
    </w:p>
    <w:p>
      <w:pPr>
        <w:spacing w:after="0" w:line="356" w:lineRule="exact"/>
        <w:ind w:left="200" w:right="144" w:firstLine="480"/>
        <w:jc w:val="both"/>
        <w:rPr>
          <w:color w:val="auto"/>
          <w:sz w:val="20"/>
          <w:szCs w:val="20"/>
        </w:rPr>
      </w:pPr>
      <w:r>
        <w:rPr>
          <w:rFonts w:ascii="宋体" w:hAnsi="宋体" w:eastAsia="宋体" w:cs="宋体"/>
          <w:color w:val="auto"/>
          <w:sz w:val="24"/>
          <w:szCs w:val="24"/>
        </w:rPr>
        <w:t>保险金不足以补偿损失的</w:t>
      </w:r>
      <w:r>
        <w:rPr>
          <w:rFonts w:ascii="Times New Roman" w:hAnsi="Times New Roman" w:eastAsia="Times New Roman" w:cs="Times New Roman"/>
          <w:color w:val="auto"/>
          <w:sz w:val="24"/>
          <w:szCs w:val="24"/>
        </w:rPr>
        <w:t>(</w:t>
      </w:r>
      <w:r>
        <w:rPr>
          <w:rFonts w:ascii="宋体" w:hAnsi="宋体" w:eastAsia="宋体" w:cs="宋体"/>
          <w:color w:val="auto"/>
          <w:sz w:val="24"/>
          <w:szCs w:val="24"/>
        </w:rPr>
        <w:t>包括免赔额和超过赔偿限额的部分</w:t>
      </w:r>
      <w:r>
        <w:rPr>
          <w:rFonts w:ascii="Times New Roman" w:hAnsi="Times New Roman" w:eastAsia="Times New Roman" w:cs="Times New Roman"/>
          <w:color w:val="auto"/>
          <w:sz w:val="24"/>
          <w:szCs w:val="24"/>
        </w:rPr>
        <w:t>)</w:t>
      </w:r>
      <w:r>
        <w:rPr>
          <w:rFonts w:ascii="宋体" w:hAnsi="宋体" w:eastAsia="宋体" w:cs="宋体"/>
          <w:color w:val="auto"/>
          <w:sz w:val="24"/>
          <w:szCs w:val="24"/>
        </w:rPr>
        <w:t>，应由承包人和</w:t>
      </w:r>
      <w:r>
        <w:rPr>
          <w:rFonts w:ascii="Times New Roman" w:hAnsi="Times New Roman" w:eastAsia="Times New Roman" w:cs="Times New Roman"/>
          <w:color w:val="auto"/>
          <w:sz w:val="24"/>
          <w:szCs w:val="24"/>
        </w:rPr>
        <w:t>(</w:t>
      </w:r>
      <w:r>
        <w:rPr>
          <w:rFonts w:ascii="宋体" w:hAnsi="宋体" w:eastAsia="宋体" w:cs="宋体"/>
          <w:color w:val="auto"/>
          <w:sz w:val="24"/>
          <w:szCs w:val="24"/>
        </w:rPr>
        <w:t>或</w:t>
      </w:r>
      <w:r>
        <w:rPr>
          <w:rFonts w:ascii="Times New Roman" w:hAnsi="Times New Roman" w:eastAsia="Times New Roman" w:cs="Times New Roman"/>
          <w:color w:val="auto"/>
          <w:sz w:val="24"/>
          <w:szCs w:val="24"/>
        </w:rPr>
        <w:t>)</w:t>
      </w:r>
      <w:r>
        <w:rPr>
          <w:rFonts w:ascii="宋体" w:hAnsi="宋体" w:eastAsia="宋体" w:cs="宋体"/>
          <w:color w:val="auto"/>
          <w:sz w:val="24"/>
          <w:szCs w:val="24"/>
        </w:rPr>
        <w:t>发包人按合同约定负责补偿。</w:t>
      </w:r>
    </w:p>
    <w:p>
      <w:pPr>
        <w:spacing w:after="0" w:line="89" w:lineRule="exact"/>
        <w:rPr>
          <w:color w:val="auto"/>
          <w:sz w:val="20"/>
          <w:szCs w:val="20"/>
        </w:rPr>
      </w:pPr>
    </w:p>
    <w:p>
      <w:pPr>
        <w:spacing w:after="0" w:line="292" w:lineRule="exact"/>
        <w:ind w:left="600"/>
        <w:rPr>
          <w:color w:val="auto"/>
          <w:sz w:val="20"/>
          <w:szCs w:val="20"/>
        </w:rPr>
      </w:pPr>
      <w:r>
        <w:rPr>
          <w:rFonts w:ascii="Times New Roman" w:hAnsi="Times New Roman" w:eastAsia="Times New Roman" w:cs="Times New Roman"/>
          <w:color w:val="auto"/>
          <w:sz w:val="24"/>
          <w:szCs w:val="24"/>
        </w:rPr>
        <w:t xml:space="preserve">20.6.5 </w:t>
      </w:r>
      <w:r>
        <w:rPr>
          <w:rFonts w:ascii="黑体" w:hAnsi="黑体" w:eastAsia="黑体" w:cs="黑体"/>
          <w:color w:val="auto"/>
          <w:sz w:val="24"/>
          <w:szCs w:val="24"/>
        </w:rPr>
        <w:t>未按约定投保的补救</w:t>
      </w:r>
    </w:p>
    <w:p>
      <w:pPr>
        <w:spacing w:after="0" w:line="109" w:lineRule="exact"/>
        <w:rPr>
          <w:color w:val="auto"/>
          <w:sz w:val="20"/>
          <w:szCs w:val="20"/>
        </w:rPr>
      </w:pPr>
    </w:p>
    <w:p>
      <w:pPr>
        <w:spacing w:after="0" w:line="292" w:lineRule="exact"/>
        <w:ind w:left="600"/>
        <w:rPr>
          <w:color w:val="auto"/>
          <w:sz w:val="20"/>
          <w:szCs w:val="20"/>
        </w:rPr>
      </w:pPr>
      <w:r>
        <w:rPr>
          <w:rFonts w:ascii="宋体" w:hAnsi="宋体" w:eastAsia="宋体" w:cs="宋体"/>
          <w:color w:val="auto"/>
          <w:sz w:val="24"/>
          <w:szCs w:val="24"/>
        </w:rPr>
        <w:t>本项</w:t>
      </w:r>
      <w:r>
        <w:rPr>
          <w:rFonts w:ascii="Times New Roman" w:hAnsi="Times New Roman" w:eastAsia="Times New Roman" w:cs="Times New Roman"/>
          <w:color w:val="auto"/>
          <w:sz w:val="24"/>
          <w:szCs w:val="24"/>
        </w:rPr>
        <w:t>(2)</w:t>
      </w:r>
      <w:r>
        <w:rPr>
          <w:rFonts w:ascii="宋体" w:hAnsi="宋体" w:eastAsia="宋体" w:cs="宋体"/>
          <w:color w:val="auto"/>
          <w:sz w:val="24"/>
          <w:szCs w:val="24"/>
        </w:rPr>
        <w:t>目细化为：</w:t>
      </w:r>
    </w:p>
    <w:p>
      <w:pPr>
        <w:spacing w:after="0" w:line="108" w:lineRule="exact"/>
        <w:rPr>
          <w:color w:val="auto"/>
          <w:sz w:val="20"/>
          <w:szCs w:val="20"/>
        </w:rPr>
      </w:pPr>
    </w:p>
    <w:p>
      <w:pPr>
        <w:spacing w:after="0" w:line="292" w:lineRule="exact"/>
        <w:ind w:firstLine="720" w:firstLineChars="0"/>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spacing w:after="0" w:line="200" w:lineRule="exact"/>
        <w:rPr>
          <w:color w:val="auto"/>
          <w:sz w:val="20"/>
          <w:szCs w:val="20"/>
        </w:rPr>
      </w:pPr>
    </w:p>
    <w:p>
      <w:pPr>
        <w:spacing w:after="0" w:line="315" w:lineRule="exact"/>
        <w:rPr>
          <w:color w:val="auto"/>
          <w:sz w:val="20"/>
          <w:szCs w:val="20"/>
        </w:rPr>
      </w:pPr>
    </w:p>
    <w:p>
      <w:pPr>
        <w:numPr>
          <w:ilvl w:val="0"/>
          <w:numId w:val="57"/>
        </w:numPr>
        <w:tabs>
          <w:tab w:val="left" w:pos="700"/>
        </w:tabs>
        <w:spacing w:after="0" w:line="341" w:lineRule="exact"/>
        <w:ind w:left="700" w:hanging="496"/>
        <w:rPr>
          <w:rFonts w:ascii="Times New Roman" w:hAnsi="Times New Roman" w:eastAsia="Times New Roman" w:cs="Times New Roman"/>
          <w:color w:val="auto"/>
          <w:sz w:val="28"/>
          <w:szCs w:val="28"/>
        </w:rPr>
      </w:pPr>
      <w:r>
        <w:rPr>
          <w:rFonts w:ascii="黑体" w:hAnsi="黑体" w:eastAsia="黑体" w:cs="黑体"/>
          <w:color w:val="auto"/>
          <w:sz w:val="28"/>
          <w:szCs w:val="28"/>
        </w:rPr>
        <w:t>不可抗力</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21.1 </w:t>
      </w:r>
      <w:r>
        <w:rPr>
          <w:rFonts w:ascii="黑体" w:hAnsi="黑体" w:eastAsia="黑体" w:cs="黑体"/>
          <w:color w:val="auto"/>
          <w:sz w:val="24"/>
          <w:szCs w:val="24"/>
        </w:rPr>
        <w:t>不可抗力的确认</w:t>
      </w:r>
    </w:p>
    <w:p>
      <w:pPr>
        <w:spacing w:after="0" w:line="34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21.1.1 </w:t>
      </w:r>
      <w:r>
        <w:rPr>
          <w:rFonts w:ascii="宋体" w:hAnsi="宋体" w:eastAsia="宋体" w:cs="宋体"/>
          <w:color w:val="auto"/>
          <w:sz w:val="24"/>
          <w:szCs w:val="24"/>
        </w:rPr>
        <w:t>项细化为：</w:t>
      </w:r>
    </w:p>
    <w:p>
      <w:pPr>
        <w:spacing w:after="0" w:line="142" w:lineRule="exact"/>
        <w:rPr>
          <w:color w:val="auto"/>
          <w:sz w:val="20"/>
          <w:szCs w:val="20"/>
        </w:rPr>
      </w:pPr>
    </w:p>
    <w:p>
      <w:pPr>
        <w:spacing w:after="0" w:line="320" w:lineRule="exact"/>
        <w:ind w:left="200" w:right="144" w:firstLine="480"/>
        <w:rPr>
          <w:color w:val="auto"/>
          <w:sz w:val="20"/>
          <w:szCs w:val="20"/>
        </w:rPr>
      </w:pPr>
      <w:r>
        <w:rPr>
          <w:rFonts w:ascii="宋体" w:hAnsi="宋体" w:eastAsia="宋体" w:cs="宋体"/>
          <w:color w:val="auto"/>
          <w:sz w:val="24"/>
          <w:szCs w:val="24"/>
        </w:rPr>
        <w:t>不可抗力是指承包人和发包人在订立合同时不可预见，在工程施工过程中不可避免发生并不能克服的自然灾害和社会性突发事件。包括但不限于：</w:t>
      </w:r>
    </w:p>
    <w:p>
      <w:pPr>
        <w:spacing w:after="0" w:line="12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地震、海啸、火山爆发、泥石流、暴雨</w:t>
      </w:r>
      <w:r>
        <w:rPr>
          <w:rFonts w:ascii="Times New Roman" w:hAnsi="Times New Roman" w:eastAsia="Times New Roman" w:cs="Times New Roman"/>
          <w:color w:val="auto"/>
          <w:sz w:val="24"/>
          <w:szCs w:val="24"/>
        </w:rPr>
        <w:t>(</w:t>
      </w:r>
      <w:r>
        <w:rPr>
          <w:rFonts w:ascii="宋体" w:hAnsi="宋体" w:eastAsia="宋体" w:cs="宋体"/>
          <w:color w:val="auto"/>
          <w:sz w:val="24"/>
          <w:szCs w:val="24"/>
        </w:rPr>
        <w:t>雪</w:t>
      </w:r>
      <w:r>
        <w:rPr>
          <w:rFonts w:ascii="Times New Roman" w:hAnsi="Times New Roman" w:eastAsia="Times New Roman" w:cs="Times New Roman"/>
          <w:color w:val="auto"/>
          <w:sz w:val="24"/>
          <w:szCs w:val="24"/>
        </w:rPr>
        <w:t>)</w:t>
      </w:r>
      <w:r>
        <w:rPr>
          <w:rFonts w:ascii="宋体" w:hAnsi="宋体" w:eastAsia="宋体" w:cs="宋体"/>
          <w:color w:val="auto"/>
          <w:sz w:val="24"/>
          <w:szCs w:val="24"/>
        </w:rPr>
        <w:t>、台风、龙卷风、水灾等自然灾</w:t>
      </w:r>
    </w:p>
    <w:p>
      <w:pPr>
        <w:spacing w:after="0" w:line="108" w:lineRule="exact"/>
        <w:rPr>
          <w:color w:val="auto"/>
          <w:sz w:val="20"/>
          <w:szCs w:val="20"/>
        </w:rPr>
      </w:pPr>
    </w:p>
    <w:p>
      <w:pPr>
        <w:spacing w:after="0" w:line="274" w:lineRule="exact"/>
        <w:ind w:left="200"/>
        <w:rPr>
          <w:color w:val="auto"/>
          <w:sz w:val="20"/>
          <w:szCs w:val="20"/>
        </w:rPr>
      </w:pPr>
      <w:r>
        <w:rPr>
          <w:rFonts w:ascii="宋体" w:hAnsi="宋体" w:eastAsia="宋体" w:cs="宋体"/>
          <w:color w:val="auto"/>
          <w:sz w:val="24"/>
          <w:szCs w:val="24"/>
        </w:rPr>
        <w:t>害；</w:t>
      </w:r>
    </w:p>
    <w:p>
      <w:pPr>
        <w:spacing w:after="0" w:line="126" w:lineRule="exact"/>
        <w:rPr>
          <w:color w:val="auto"/>
          <w:sz w:val="20"/>
          <w:szCs w:val="20"/>
        </w:rPr>
      </w:pPr>
    </w:p>
    <w:p>
      <w:pPr>
        <w:spacing w:after="0" w:line="337" w:lineRule="exact"/>
        <w:ind w:left="200" w:right="144" w:firstLine="480"/>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战争、骚乱、暴动，但纯属承包人或其分包人派遣与雇用的人员由于本合同工程施工原因引起者除外；</w:t>
      </w:r>
    </w:p>
    <w:p>
      <w:pPr>
        <w:spacing w:after="0" w:line="127"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(3)</w:t>
      </w:r>
      <w:r>
        <w:rPr>
          <w:rFonts w:ascii="宋体" w:hAnsi="宋体" w:eastAsia="宋体" w:cs="宋体"/>
          <w:color w:val="auto"/>
          <w:sz w:val="24"/>
          <w:szCs w:val="24"/>
        </w:rPr>
        <w:t>核反应、辐射或放射性污染；</w:t>
      </w:r>
    </w:p>
    <w:p>
      <w:pPr>
        <w:spacing w:after="0" w:line="10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(4)</w:t>
      </w:r>
      <w:r>
        <w:rPr>
          <w:rFonts w:ascii="宋体" w:hAnsi="宋体" w:eastAsia="宋体" w:cs="宋体"/>
          <w:color w:val="auto"/>
          <w:sz w:val="24"/>
          <w:szCs w:val="24"/>
        </w:rPr>
        <w:t>空中飞行物体坠落或非发包人或承包人责任造成的爆炸、火灾；</w:t>
      </w:r>
    </w:p>
    <w:p>
      <w:pPr>
        <w:spacing w:after="0" w:line="10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(5)</w:t>
      </w:r>
      <w:r>
        <w:rPr>
          <w:rFonts w:ascii="宋体" w:hAnsi="宋体" w:eastAsia="宋体" w:cs="宋体"/>
          <w:color w:val="auto"/>
          <w:sz w:val="24"/>
          <w:szCs w:val="24"/>
        </w:rPr>
        <w:t>瘟疫；</w:t>
      </w:r>
    </w:p>
    <w:p>
      <w:pPr>
        <w:spacing w:after="0" w:line="10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(6)</w:t>
      </w:r>
      <w:r>
        <w:rPr>
          <w:rFonts w:ascii="宋体" w:hAnsi="宋体" w:eastAsia="宋体" w:cs="宋体"/>
          <w:color w:val="auto"/>
          <w:sz w:val="24"/>
          <w:szCs w:val="24"/>
        </w:rPr>
        <w:t>项目专用合同条款约定的其他情形。</w:t>
      </w:r>
    </w:p>
    <w:p>
      <w:pPr>
        <w:spacing w:after="0" w:line="327"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21.3 </w:t>
      </w:r>
      <w:r>
        <w:rPr>
          <w:rFonts w:ascii="黑体" w:hAnsi="黑体" w:eastAsia="黑体" w:cs="黑体"/>
          <w:color w:val="auto"/>
          <w:sz w:val="24"/>
          <w:szCs w:val="24"/>
        </w:rPr>
        <w:t>不可抗力后果及其处理</w:t>
      </w:r>
    </w:p>
    <w:p>
      <w:pPr>
        <w:spacing w:after="0" w:line="34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21.3.4 </w:t>
      </w:r>
      <w:r>
        <w:rPr>
          <w:rFonts w:ascii="黑体" w:hAnsi="黑体" w:eastAsia="黑体" w:cs="黑体"/>
          <w:color w:val="auto"/>
          <w:sz w:val="24"/>
          <w:szCs w:val="24"/>
        </w:rPr>
        <w:t>因不可抗力解除合同</w:t>
      </w:r>
    </w:p>
    <w:p>
      <w:pPr>
        <w:spacing w:after="0" w:line="10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本项细化为：</w:t>
      </w:r>
    </w:p>
    <w:p>
      <w:pPr>
        <w:spacing w:after="0" w:line="161" w:lineRule="exact"/>
        <w:rPr>
          <w:color w:val="auto"/>
          <w:sz w:val="20"/>
          <w:szCs w:val="20"/>
        </w:rPr>
      </w:pPr>
    </w:p>
    <w:p>
      <w:pPr>
        <w:spacing w:after="0" w:line="373" w:lineRule="exact"/>
        <w:ind w:left="200" w:right="24" w:firstLine="480"/>
        <w:jc w:val="both"/>
        <w:rPr>
          <w:color w:val="auto"/>
          <w:sz w:val="20"/>
          <w:szCs w:val="20"/>
        </w:rPr>
      </w:pPr>
      <w:r>
        <w:rPr>
          <w:rFonts w:ascii="宋体" w:hAnsi="宋体" w:eastAsia="宋体" w:cs="宋体"/>
          <w:color w:val="auto"/>
          <w:sz w:val="24"/>
          <w:szCs w:val="24"/>
        </w:rPr>
        <w:t>合同一方当事人因不可抗力不能履行合同的，应当及时通知对方解除合同。合同解除后，承包人应按照第</w:t>
      </w:r>
      <w:r>
        <w:rPr>
          <w:rFonts w:ascii="Times New Roman" w:hAnsi="Times New Roman" w:eastAsia="Times New Roman" w:cs="Times New Roman"/>
          <w:color w:val="auto"/>
          <w:sz w:val="24"/>
          <w:szCs w:val="24"/>
        </w:rPr>
        <w:t xml:space="preserve"> 22.2.5 </w:t>
      </w:r>
      <w:r>
        <w:rPr>
          <w:rFonts w:ascii="宋体" w:hAnsi="宋体" w:eastAsia="宋体" w:cs="宋体"/>
          <w:color w:val="auto"/>
          <w:sz w:val="24"/>
          <w:szCs w:val="24"/>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Times New Roman" w:hAnsi="Times New Roman" w:eastAsia="Times New Roman" w:cs="Times New Roman"/>
          <w:color w:val="auto"/>
          <w:sz w:val="24"/>
          <w:szCs w:val="24"/>
        </w:rPr>
        <w:t xml:space="preserve"> 22.2.4 </w:t>
      </w:r>
      <w:r>
        <w:rPr>
          <w:rFonts w:ascii="宋体" w:hAnsi="宋体" w:eastAsia="宋体" w:cs="宋体"/>
          <w:color w:val="auto"/>
          <w:sz w:val="24"/>
          <w:szCs w:val="24"/>
        </w:rPr>
        <w:t>项约定，由监理人按第</w:t>
      </w:r>
      <w:r>
        <w:rPr>
          <w:rFonts w:ascii="Times New Roman" w:hAnsi="Times New Roman" w:eastAsia="Times New Roman" w:cs="Times New Roman"/>
          <w:color w:val="auto"/>
          <w:sz w:val="24"/>
          <w:szCs w:val="24"/>
        </w:rPr>
        <w:t xml:space="preserve"> 3.5 </w:t>
      </w:r>
      <w:r>
        <w:rPr>
          <w:rFonts w:ascii="宋体" w:hAnsi="宋体" w:eastAsia="宋体" w:cs="宋体"/>
          <w:color w:val="auto"/>
          <w:sz w:val="24"/>
          <w:szCs w:val="24"/>
        </w:rPr>
        <w:t>款商定或确定，但由于解除合同应赔偿的承包人损失不予考虑。</w:t>
      </w:r>
    </w:p>
    <w:p>
      <w:pPr>
        <w:spacing w:after="0" w:line="200" w:lineRule="exact"/>
        <w:rPr>
          <w:color w:val="auto"/>
          <w:sz w:val="20"/>
          <w:szCs w:val="20"/>
        </w:rPr>
      </w:pPr>
    </w:p>
    <w:p>
      <w:pPr>
        <w:spacing w:after="0" w:line="318" w:lineRule="exact"/>
        <w:rPr>
          <w:color w:val="auto"/>
          <w:sz w:val="20"/>
          <w:szCs w:val="20"/>
        </w:rPr>
      </w:pPr>
    </w:p>
    <w:p>
      <w:pPr>
        <w:numPr>
          <w:ilvl w:val="0"/>
          <w:numId w:val="58"/>
        </w:numPr>
        <w:tabs>
          <w:tab w:val="left" w:pos="700"/>
        </w:tabs>
        <w:spacing w:after="0" w:line="341" w:lineRule="exact"/>
        <w:ind w:left="700" w:hanging="496"/>
        <w:rPr>
          <w:rFonts w:ascii="Times New Roman" w:hAnsi="Times New Roman" w:eastAsia="Times New Roman" w:cs="Times New Roman"/>
          <w:color w:val="auto"/>
          <w:sz w:val="28"/>
          <w:szCs w:val="28"/>
        </w:rPr>
      </w:pPr>
      <w:r>
        <w:rPr>
          <w:rFonts w:ascii="黑体" w:hAnsi="黑体" w:eastAsia="黑体" w:cs="黑体"/>
          <w:color w:val="auto"/>
          <w:sz w:val="28"/>
          <w:szCs w:val="28"/>
        </w:rPr>
        <w:t>违约</w:t>
      </w:r>
    </w:p>
    <w:p>
      <w:pPr>
        <w:spacing w:after="0" w:line="349"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22.1 </w:t>
      </w:r>
      <w:r>
        <w:rPr>
          <w:rFonts w:ascii="黑体" w:hAnsi="黑体" w:eastAsia="黑体" w:cs="黑体"/>
          <w:color w:val="auto"/>
          <w:sz w:val="24"/>
          <w:szCs w:val="24"/>
        </w:rPr>
        <w:t>承包人违约</w:t>
      </w:r>
    </w:p>
    <w:p>
      <w:pPr>
        <w:spacing w:after="0" w:line="349" w:lineRule="exact"/>
        <w:rPr>
          <w:color w:val="auto"/>
          <w:sz w:val="20"/>
          <w:szCs w:val="20"/>
        </w:rPr>
      </w:pPr>
    </w:p>
    <w:p>
      <w:pPr>
        <w:spacing w:after="0" w:line="360" w:lineRule="auto"/>
        <w:ind w:left="680"/>
        <w:rPr>
          <w:color w:val="auto"/>
          <w:sz w:val="20"/>
          <w:szCs w:val="20"/>
        </w:rPr>
      </w:pPr>
      <w:r>
        <w:rPr>
          <w:rFonts w:ascii="Times New Roman" w:hAnsi="Times New Roman" w:eastAsia="Times New Roman" w:cs="Times New Roman"/>
          <w:color w:val="auto"/>
          <w:sz w:val="24"/>
          <w:szCs w:val="24"/>
        </w:rPr>
        <w:t xml:space="preserve">22.1.1 </w:t>
      </w:r>
      <w:r>
        <w:rPr>
          <w:rFonts w:ascii="黑体" w:hAnsi="黑体" w:eastAsia="黑体" w:cs="黑体"/>
          <w:color w:val="auto"/>
          <w:sz w:val="24"/>
          <w:szCs w:val="24"/>
        </w:rPr>
        <w:t>承包人违约的情形</w:t>
      </w:r>
    </w:p>
    <w:p>
      <w:pPr>
        <w:spacing w:after="0" w:line="360" w:lineRule="auto"/>
        <w:ind w:firstLine="720" w:firstLineChars="0"/>
        <w:rPr>
          <w:color w:val="auto"/>
          <w:sz w:val="20"/>
          <w:szCs w:val="20"/>
        </w:rPr>
      </w:pPr>
      <w:r>
        <w:rPr>
          <w:rFonts w:ascii="宋体" w:hAnsi="宋体" w:eastAsia="宋体" w:cs="宋体"/>
          <w:color w:val="auto"/>
          <w:sz w:val="24"/>
          <w:szCs w:val="24"/>
        </w:rPr>
        <w:t>本项</w:t>
      </w:r>
      <w:r>
        <w:rPr>
          <w:rFonts w:ascii="Times New Roman" w:hAnsi="Times New Roman" w:eastAsia="Times New Roman" w:cs="Times New Roman"/>
          <w:color w:val="auto"/>
          <w:sz w:val="24"/>
          <w:szCs w:val="24"/>
        </w:rPr>
        <w:t>(2)</w:t>
      </w:r>
      <w:r>
        <w:rPr>
          <w:rFonts w:ascii="宋体" w:hAnsi="宋体" w:eastAsia="宋体" w:cs="宋体"/>
          <w:color w:val="auto"/>
          <w:sz w:val="24"/>
          <w:szCs w:val="24"/>
        </w:rPr>
        <w:t>目细化为：</w:t>
      </w:r>
    </w:p>
    <w:p>
      <w:pPr>
        <w:spacing w:after="0" w:line="109" w:lineRule="exact"/>
        <w:rPr>
          <w:color w:val="auto"/>
          <w:sz w:val="20"/>
          <w:szCs w:val="20"/>
        </w:rPr>
      </w:pPr>
    </w:p>
    <w:p>
      <w:pPr>
        <w:spacing w:after="0" w:line="336" w:lineRule="exact"/>
        <w:ind w:left="200" w:right="144" w:firstLine="480"/>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承包人违反第</w:t>
      </w:r>
      <w:r>
        <w:rPr>
          <w:rFonts w:ascii="Times New Roman" w:hAnsi="Times New Roman" w:eastAsia="Times New Roman" w:cs="Times New Roman"/>
          <w:color w:val="auto"/>
          <w:sz w:val="24"/>
          <w:szCs w:val="24"/>
        </w:rPr>
        <w:t xml:space="preserve"> 5.3 </w:t>
      </w:r>
      <w:r>
        <w:rPr>
          <w:rFonts w:ascii="宋体" w:hAnsi="宋体" w:eastAsia="宋体" w:cs="宋体"/>
          <w:color w:val="auto"/>
          <w:sz w:val="24"/>
          <w:szCs w:val="24"/>
        </w:rPr>
        <w:t>款或第</w:t>
      </w:r>
      <w:r>
        <w:rPr>
          <w:rFonts w:ascii="Times New Roman" w:hAnsi="Times New Roman" w:eastAsia="Times New Roman" w:cs="Times New Roman"/>
          <w:color w:val="auto"/>
          <w:sz w:val="24"/>
          <w:szCs w:val="24"/>
        </w:rPr>
        <w:t xml:space="preserve"> 6.4 </w:t>
      </w:r>
      <w:r>
        <w:rPr>
          <w:rFonts w:ascii="宋体" w:hAnsi="宋体" w:eastAsia="宋体" w:cs="宋体"/>
          <w:color w:val="auto"/>
          <w:sz w:val="24"/>
          <w:szCs w:val="24"/>
        </w:rPr>
        <w:t>款的约定，未经监理人批准，私自将已按合同约定进入施工场地的施工设备、临时设施、材料或工程设备撤离施工场地；</w:t>
      </w:r>
    </w:p>
    <w:p>
      <w:pPr>
        <w:spacing w:after="0" w:line="127"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本项</w:t>
      </w:r>
      <w:r>
        <w:rPr>
          <w:rFonts w:ascii="Times New Roman" w:hAnsi="Times New Roman" w:eastAsia="Times New Roman" w:cs="Times New Roman"/>
          <w:color w:val="auto"/>
          <w:sz w:val="24"/>
          <w:szCs w:val="24"/>
        </w:rPr>
        <w:t>(7)</w:t>
      </w:r>
      <w:r>
        <w:rPr>
          <w:rFonts w:ascii="宋体" w:hAnsi="宋体" w:eastAsia="宋体" w:cs="宋体"/>
          <w:color w:val="auto"/>
          <w:sz w:val="24"/>
          <w:szCs w:val="24"/>
        </w:rPr>
        <w:t>目细化为：</w:t>
      </w:r>
    </w:p>
    <w:p>
      <w:pPr>
        <w:spacing w:after="0" w:line="10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(7)</w:t>
      </w:r>
      <w:r>
        <w:rPr>
          <w:rFonts w:ascii="宋体" w:hAnsi="宋体" w:eastAsia="宋体" w:cs="宋体"/>
          <w:color w:val="auto"/>
          <w:sz w:val="24"/>
          <w:szCs w:val="24"/>
        </w:rPr>
        <w:t>承包人未能按期开工；</w:t>
      </w:r>
    </w:p>
    <w:p>
      <w:pPr>
        <w:spacing w:after="0" w:line="108" w:lineRule="exact"/>
        <w:rPr>
          <w:color w:val="auto"/>
          <w:sz w:val="20"/>
          <w:szCs w:val="20"/>
        </w:rPr>
      </w:pPr>
    </w:p>
    <w:p>
      <w:pPr>
        <w:spacing w:after="0" w:line="336" w:lineRule="exact"/>
        <w:ind w:left="200" w:right="144" w:firstLine="480"/>
        <w:rPr>
          <w:color w:val="auto"/>
          <w:sz w:val="20"/>
          <w:szCs w:val="20"/>
        </w:rPr>
      </w:pPr>
      <w:r>
        <w:rPr>
          <w:rFonts w:ascii="Times New Roman" w:hAnsi="Times New Roman" w:eastAsia="Times New Roman" w:cs="Times New Roman"/>
          <w:color w:val="auto"/>
          <w:sz w:val="24"/>
          <w:szCs w:val="24"/>
        </w:rPr>
        <w:t>(8)</w:t>
      </w:r>
      <w:r>
        <w:rPr>
          <w:rFonts w:ascii="宋体" w:hAnsi="宋体" w:eastAsia="宋体" w:cs="宋体"/>
          <w:color w:val="auto"/>
          <w:sz w:val="24"/>
          <w:szCs w:val="24"/>
        </w:rPr>
        <w:t>承包人违反第</w:t>
      </w:r>
      <w:r>
        <w:rPr>
          <w:rFonts w:ascii="Times New Roman" w:hAnsi="Times New Roman" w:eastAsia="Times New Roman" w:cs="Times New Roman"/>
          <w:color w:val="auto"/>
          <w:sz w:val="24"/>
          <w:szCs w:val="24"/>
        </w:rPr>
        <w:t xml:space="preserve"> 4.6 </w:t>
      </w:r>
      <w:r>
        <w:rPr>
          <w:rFonts w:ascii="宋体" w:hAnsi="宋体" w:eastAsia="宋体" w:cs="宋体"/>
          <w:color w:val="auto"/>
          <w:sz w:val="24"/>
          <w:szCs w:val="24"/>
        </w:rPr>
        <w:t>款或</w:t>
      </w:r>
      <w:r>
        <w:rPr>
          <w:rFonts w:ascii="Times New Roman" w:hAnsi="Times New Roman" w:eastAsia="Times New Roman" w:cs="Times New Roman"/>
          <w:color w:val="auto"/>
          <w:sz w:val="24"/>
          <w:szCs w:val="24"/>
        </w:rPr>
        <w:t xml:space="preserve"> 6.3 </w:t>
      </w:r>
      <w:r>
        <w:rPr>
          <w:rFonts w:ascii="宋体" w:hAnsi="宋体" w:eastAsia="宋体" w:cs="宋体"/>
          <w:color w:val="auto"/>
          <w:sz w:val="24"/>
          <w:szCs w:val="24"/>
        </w:rPr>
        <w:t>款的规定，未按承诺或未按监理人的要求及时配备称职的主要管理人员、技术骨干或关键施工设备；</w:t>
      </w:r>
    </w:p>
    <w:p>
      <w:pPr>
        <w:spacing w:after="0" w:line="129" w:lineRule="exact"/>
        <w:rPr>
          <w:color w:val="auto"/>
          <w:sz w:val="20"/>
          <w:szCs w:val="20"/>
        </w:rPr>
      </w:pPr>
    </w:p>
    <w:p>
      <w:pPr>
        <w:spacing w:after="0" w:line="336" w:lineRule="exact"/>
        <w:ind w:left="200" w:right="144" w:firstLine="480"/>
        <w:rPr>
          <w:color w:val="auto"/>
          <w:sz w:val="20"/>
          <w:szCs w:val="20"/>
        </w:rPr>
      </w:pPr>
      <w:r>
        <w:rPr>
          <w:rFonts w:ascii="Times New Roman" w:hAnsi="Times New Roman" w:eastAsia="Times New Roman" w:cs="Times New Roman"/>
          <w:color w:val="auto"/>
          <w:sz w:val="24"/>
          <w:szCs w:val="24"/>
        </w:rPr>
        <w:t>(9)</w:t>
      </w:r>
      <w:r>
        <w:rPr>
          <w:rFonts w:ascii="宋体" w:hAnsi="宋体" w:eastAsia="宋体" w:cs="宋体"/>
          <w:color w:val="auto"/>
          <w:sz w:val="24"/>
          <w:szCs w:val="24"/>
        </w:rPr>
        <w:t>经监理人和发包人检查，发现承包人有安全问题或有违反安全管理规章制度的情况；</w:t>
      </w:r>
    </w:p>
    <w:p>
      <w:pPr>
        <w:spacing w:after="0" w:line="128" w:lineRule="exact"/>
        <w:rPr>
          <w:color w:val="auto"/>
          <w:sz w:val="20"/>
          <w:szCs w:val="20"/>
        </w:rPr>
      </w:pPr>
    </w:p>
    <w:p>
      <w:pPr>
        <w:spacing w:after="0" w:line="424" w:lineRule="exact"/>
        <w:ind w:left="680" w:right="3384" w:firstLine="10"/>
        <w:rPr>
          <w:color w:val="auto"/>
          <w:sz w:val="20"/>
          <w:szCs w:val="20"/>
        </w:rPr>
      </w:pPr>
      <w:r>
        <w:rPr>
          <w:rFonts w:ascii="Times New Roman" w:hAnsi="Times New Roman" w:eastAsia="Times New Roman" w:cs="Times New Roman"/>
          <w:color w:val="auto"/>
          <w:sz w:val="24"/>
          <w:szCs w:val="24"/>
        </w:rPr>
        <w:t>(10)</w:t>
      </w:r>
      <w:r>
        <w:rPr>
          <w:rFonts w:ascii="宋体" w:hAnsi="宋体" w:eastAsia="宋体" w:cs="宋体"/>
          <w:color w:val="auto"/>
          <w:sz w:val="24"/>
          <w:szCs w:val="24"/>
        </w:rPr>
        <w:t>承包人不按合同约定履行义务的其他情况。</w:t>
      </w:r>
      <w:r>
        <w:rPr>
          <w:rFonts w:ascii="Times New Roman" w:hAnsi="Times New Roman" w:eastAsia="Times New Roman" w:cs="Times New Roman"/>
          <w:color w:val="auto"/>
          <w:sz w:val="24"/>
          <w:szCs w:val="24"/>
        </w:rPr>
        <w:t xml:space="preserve"> 22.1.2 </w:t>
      </w:r>
      <w:r>
        <w:rPr>
          <w:rFonts w:ascii="黑体" w:hAnsi="黑体" w:eastAsia="黑体" w:cs="黑体"/>
          <w:color w:val="auto"/>
          <w:sz w:val="24"/>
          <w:szCs w:val="24"/>
        </w:rPr>
        <w:t>对承包人违约的处理</w:t>
      </w:r>
      <w:r>
        <w:rPr>
          <w:rFonts w:ascii="宋体" w:hAnsi="宋体" w:eastAsia="宋体" w:cs="宋体"/>
          <w:color w:val="auto"/>
          <w:sz w:val="24"/>
          <w:szCs w:val="24"/>
        </w:rPr>
        <w:t>本项补充：</w:t>
      </w:r>
    </w:p>
    <w:p>
      <w:pPr>
        <w:spacing w:after="0" w:line="358" w:lineRule="exact"/>
        <w:ind w:left="200" w:right="24" w:firstLine="480"/>
        <w:rPr>
          <w:color w:val="auto"/>
          <w:sz w:val="20"/>
          <w:szCs w:val="20"/>
        </w:rPr>
      </w:pPr>
      <w:r>
        <w:rPr>
          <w:rFonts w:ascii="Times New Roman" w:hAnsi="Times New Roman" w:eastAsia="Times New Roman" w:cs="Times New Roman"/>
          <w:color w:val="auto"/>
          <w:sz w:val="23"/>
          <w:szCs w:val="23"/>
        </w:rPr>
        <w:t>(4)</w:t>
      </w:r>
      <w:r>
        <w:rPr>
          <w:rFonts w:ascii="宋体" w:hAnsi="宋体" w:eastAsia="宋体" w:cs="宋体"/>
          <w:color w:val="auto"/>
          <w:sz w:val="23"/>
          <w:szCs w:val="23"/>
        </w:rPr>
        <w:t>承包人发生第</w:t>
      </w:r>
      <w:r>
        <w:rPr>
          <w:rFonts w:ascii="Times New Roman" w:hAnsi="Times New Roman" w:eastAsia="Times New Roman" w:cs="Times New Roman"/>
          <w:color w:val="auto"/>
          <w:sz w:val="23"/>
          <w:szCs w:val="23"/>
        </w:rPr>
        <w:t xml:space="preserve"> 22.1.1 </w:t>
      </w:r>
      <w:r>
        <w:rPr>
          <w:rFonts w:ascii="宋体" w:hAnsi="宋体" w:eastAsia="宋体" w:cs="宋体"/>
          <w:color w:val="auto"/>
          <w:sz w:val="23"/>
          <w:szCs w:val="23"/>
        </w:rPr>
        <w:t>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pPr>
        <w:spacing w:after="0" w:line="347"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22.2 </w:t>
      </w:r>
      <w:r>
        <w:rPr>
          <w:rFonts w:ascii="黑体" w:hAnsi="黑体" w:eastAsia="黑体" w:cs="黑体"/>
          <w:color w:val="auto"/>
          <w:sz w:val="24"/>
          <w:szCs w:val="24"/>
        </w:rPr>
        <w:t>发包人违约</w:t>
      </w:r>
    </w:p>
    <w:p>
      <w:pPr>
        <w:spacing w:after="0" w:line="34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22.2.1 </w:t>
      </w:r>
      <w:r>
        <w:rPr>
          <w:rFonts w:ascii="黑体" w:hAnsi="黑体" w:eastAsia="黑体" w:cs="黑体"/>
          <w:color w:val="auto"/>
          <w:sz w:val="24"/>
          <w:szCs w:val="24"/>
        </w:rPr>
        <w:t>发包人违约的情形</w:t>
      </w:r>
    </w:p>
    <w:p>
      <w:pPr>
        <w:spacing w:after="0" w:line="108"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本项</w:t>
      </w:r>
      <w:r>
        <w:rPr>
          <w:rFonts w:ascii="Times New Roman" w:hAnsi="Times New Roman" w:eastAsia="Times New Roman" w:cs="Times New Roman"/>
          <w:color w:val="auto"/>
          <w:sz w:val="24"/>
          <w:szCs w:val="24"/>
        </w:rPr>
        <w:t>(5)</w:t>
      </w:r>
      <w:r>
        <w:rPr>
          <w:rFonts w:ascii="宋体" w:hAnsi="宋体" w:eastAsia="宋体" w:cs="宋体"/>
          <w:color w:val="auto"/>
          <w:sz w:val="24"/>
          <w:szCs w:val="24"/>
        </w:rPr>
        <w:t>目细化为：</w:t>
      </w:r>
    </w:p>
    <w:p>
      <w:pPr>
        <w:spacing w:after="0" w:line="10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(5)</w:t>
      </w:r>
      <w:r>
        <w:rPr>
          <w:rFonts w:ascii="宋体" w:hAnsi="宋体" w:eastAsia="宋体" w:cs="宋体"/>
          <w:color w:val="auto"/>
          <w:sz w:val="24"/>
          <w:szCs w:val="24"/>
        </w:rPr>
        <w:t>发包人无正当理由不按时返还履约保证金、质量保证金或农民工工资保证金</w:t>
      </w:r>
    </w:p>
    <w:p>
      <w:pPr>
        <w:spacing w:after="0" w:line="108" w:lineRule="exact"/>
        <w:rPr>
          <w:color w:val="auto"/>
          <w:sz w:val="20"/>
          <w:szCs w:val="20"/>
        </w:rPr>
      </w:pPr>
    </w:p>
    <w:p>
      <w:pPr>
        <w:spacing w:after="0" w:line="274" w:lineRule="exact"/>
        <w:ind w:left="200"/>
        <w:rPr>
          <w:color w:val="auto"/>
          <w:sz w:val="20"/>
          <w:szCs w:val="20"/>
        </w:rPr>
      </w:pPr>
      <w:r>
        <w:rPr>
          <w:rFonts w:ascii="宋体" w:hAnsi="宋体" w:eastAsia="宋体" w:cs="宋体"/>
          <w:color w:val="auto"/>
          <w:sz w:val="24"/>
          <w:szCs w:val="24"/>
        </w:rPr>
        <w:t>的；</w:t>
      </w:r>
    </w:p>
    <w:p>
      <w:pPr>
        <w:spacing w:after="0" w:line="126"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(6)</w:t>
      </w:r>
      <w:r>
        <w:rPr>
          <w:rFonts w:ascii="宋体" w:hAnsi="宋体" w:eastAsia="宋体" w:cs="宋体"/>
          <w:color w:val="auto"/>
          <w:sz w:val="24"/>
          <w:szCs w:val="24"/>
        </w:rPr>
        <w:t>发包人不履行合同约定其他义务的。</w:t>
      </w:r>
    </w:p>
    <w:p>
      <w:pPr>
        <w:spacing w:after="0" w:line="10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22.2.2 </w:t>
      </w:r>
      <w:r>
        <w:rPr>
          <w:rFonts w:ascii="黑体" w:hAnsi="黑体" w:eastAsia="黑体" w:cs="黑体"/>
          <w:color w:val="auto"/>
          <w:sz w:val="24"/>
          <w:szCs w:val="24"/>
        </w:rPr>
        <w:t>承包人有权暂停施工</w:t>
      </w:r>
    </w:p>
    <w:p>
      <w:pPr>
        <w:spacing w:after="0" w:line="10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本项细化为：</w:t>
      </w:r>
    </w:p>
    <w:p>
      <w:pPr>
        <w:spacing w:after="0" w:line="126" w:lineRule="exact"/>
        <w:rPr>
          <w:color w:val="auto"/>
          <w:sz w:val="20"/>
          <w:szCs w:val="20"/>
        </w:rPr>
      </w:pPr>
    </w:p>
    <w:p>
      <w:pPr>
        <w:spacing w:after="0" w:line="378" w:lineRule="exact"/>
        <w:ind w:left="200" w:right="144" w:firstLine="470"/>
        <w:jc w:val="both"/>
        <w:rPr>
          <w:color w:val="auto"/>
          <w:sz w:val="20"/>
          <w:szCs w:val="20"/>
        </w:rPr>
      </w:pPr>
      <w:r>
        <w:rPr>
          <w:rFonts w:ascii="宋体" w:hAnsi="宋体" w:eastAsia="宋体" w:cs="宋体"/>
          <w:color w:val="auto"/>
          <w:sz w:val="24"/>
          <w:szCs w:val="24"/>
        </w:rPr>
        <w:t>发包人发生除第</w:t>
      </w:r>
      <w:r>
        <w:rPr>
          <w:rFonts w:ascii="Times New Roman" w:hAnsi="Times New Roman" w:eastAsia="Times New Roman" w:cs="Times New Roman"/>
          <w:color w:val="auto"/>
          <w:sz w:val="24"/>
          <w:szCs w:val="24"/>
        </w:rPr>
        <w:t xml:space="preserve"> 22.2.1(4)</w:t>
      </w:r>
      <w:r>
        <w:rPr>
          <w:rFonts w:ascii="宋体" w:hAnsi="宋体" w:eastAsia="宋体" w:cs="宋体"/>
          <w:color w:val="auto"/>
          <w:sz w:val="24"/>
          <w:szCs w:val="24"/>
        </w:rPr>
        <w:t>、</w:t>
      </w:r>
      <w:r>
        <w:rPr>
          <w:rFonts w:ascii="Times New Roman" w:hAnsi="Times New Roman" w:eastAsia="Times New Roman" w:cs="Times New Roman"/>
          <w:color w:val="auto"/>
          <w:sz w:val="24"/>
          <w:szCs w:val="24"/>
        </w:rPr>
        <w:t>(5)</w:t>
      </w:r>
      <w:r>
        <w:rPr>
          <w:rFonts w:ascii="宋体" w:hAnsi="宋体" w:eastAsia="宋体" w:cs="宋体"/>
          <w:color w:val="auto"/>
          <w:sz w:val="24"/>
          <w:szCs w:val="24"/>
        </w:rPr>
        <w:t>目以外的违约情况时，承包人可向发包人发出通知，要求发包人采取有效措施纠正违约行为。发包人收到承包人通知后的</w:t>
      </w:r>
      <w:r>
        <w:rPr>
          <w:rFonts w:ascii="Times New Roman" w:hAnsi="Times New Roman" w:eastAsia="Times New Roman" w:cs="Times New Roman"/>
          <w:color w:val="auto"/>
          <w:sz w:val="24"/>
          <w:szCs w:val="24"/>
        </w:rPr>
        <w:t xml:space="preserve"> 28 </w:t>
      </w:r>
      <w:r>
        <w:rPr>
          <w:rFonts w:ascii="宋体" w:hAnsi="宋体" w:eastAsia="宋体" w:cs="宋体"/>
          <w:color w:val="auto"/>
          <w:sz w:val="24"/>
          <w:szCs w:val="24"/>
        </w:rPr>
        <w:t>天内仍不履行合同义务，承包人有权暂停施工，并通知监理人，发包人应承担由此增加的费用和</w:t>
      </w:r>
      <w:r>
        <w:rPr>
          <w:rFonts w:ascii="Times New Roman" w:hAnsi="Times New Roman" w:eastAsia="Times New Roman" w:cs="Times New Roman"/>
          <w:color w:val="auto"/>
          <w:sz w:val="24"/>
          <w:szCs w:val="24"/>
        </w:rPr>
        <w:t>(</w:t>
      </w:r>
      <w:r>
        <w:rPr>
          <w:rFonts w:ascii="宋体" w:hAnsi="宋体" w:eastAsia="宋体" w:cs="宋体"/>
          <w:color w:val="auto"/>
          <w:sz w:val="24"/>
          <w:szCs w:val="24"/>
        </w:rPr>
        <w:t>或</w:t>
      </w:r>
      <w:r>
        <w:rPr>
          <w:rFonts w:ascii="Times New Roman" w:hAnsi="Times New Roman" w:eastAsia="Times New Roman" w:cs="Times New Roman"/>
          <w:color w:val="auto"/>
          <w:sz w:val="24"/>
          <w:szCs w:val="24"/>
        </w:rPr>
        <w:t>)</w:t>
      </w:r>
      <w:r>
        <w:rPr>
          <w:rFonts w:ascii="宋体" w:hAnsi="宋体" w:eastAsia="宋体" w:cs="宋体"/>
          <w:color w:val="auto"/>
          <w:sz w:val="24"/>
          <w:szCs w:val="24"/>
        </w:rPr>
        <w:t>工期延误，并支付承包人合理利润。</w:t>
      </w:r>
    </w:p>
    <w:p>
      <w:pPr>
        <w:spacing w:after="0" w:line="93" w:lineRule="exact"/>
        <w:rPr>
          <w:color w:val="auto"/>
          <w:sz w:val="20"/>
          <w:szCs w:val="20"/>
        </w:rPr>
      </w:pPr>
    </w:p>
    <w:p>
      <w:pPr>
        <w:spacing w:after="0" w:line="368" w:lineRule="exact"/>
        <w:ind w:left="200" w:right="144" w:firstLine="470"/>
        <w:jc w:val="both"/>
        <w:rPr>
          <w:color w:val="auto"/>
          <w:sz w:val="20"/>
          <w:szCs w:val="20"/>
        </w:rPr>
      </w:pPr>
      <w:r>
        <w:rPr>
          <w:rFonts w:ascii="宋体" w:hAnsi="宋体" w:eastAsia="宋体" w:cs="宋体"/>
          <w:color w:val="auto"/>
          <w:sz w:val="24"/>
          <w:szCs w:val="24"/>
        </w:rPr>
        <w:t>发包人发生第</w:t>
      </w:r>
      <w:r>
        <w:rPr>
          <w:rFonts w:ascii="Times New Roman" w:hAnsi="Times New Roman" w:eastAsia="Times New Roman" w:cs="Times New Roman"/>
          <w:color w:val="auto"/>
          <w:sz w:val="24"/>
          <w:szCs w:val="24"/>
        </w:rPr>
        <w:t xml:space="preserve"> 22.2.1 (5)</w:t>
      </w:r>
      <w:r>
        <w:rPr>
          <w:rFonts w:ascii="宋体" w:hAnsi="宋体" w:eastAsia="宋体" w:cs="宋体"/>
          <w:color w:val="auto"/>
          <w:sz w:val="24"/>
          <w:szCs w:val="24"/>
        </w:rPr>
        <w:t>目的违约情况时，承包人可向发包人发出通知，要求发包人采取有效措施纠正违约行为。发包人收到承包人通知后的</w:t>
      </w:r>
      <w:r>
        <w:rPr>
          <w:rFonts w:ascii="Times New Roman" w:hAnsi="Times New Roman" w:eastAsia="Times New Roman" w:cs="Times New Roman"/>
          <w:color w:val="auto"/>
          <w:sz w:val="24"/>
          <w:szCs w:val="24"/>
        </w:rPr>
        <w:t xml:space="preserve"> 28 </w:t>
      </w:r>
      <w:r>
        <w:rPr>
          <w:rFonts w:ascii="宋体" w:hAnsi="宋体" w:eastAsia="宋体" w:cs="宋体"/>
          <w:color w:val="auto"/>
          <w:sz w:val="24"/>
          <w:szCs w:val="24"/>
        </w:rPr>
        <w:t>天内仍不返还履约保证金、质量保证金或农民工工资保证金的，发包人应按项目专用合同条款的约定向承包人支付逾期返还保证金的违约金。</w:t>
      </w:r>
    </w:p>
    <w:p>
      <w:pPr>
        <w:spacing w:after="0" w:line="12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22.2.4 </w:t>
      </w:r>
      <w:r>
        <w:rPr>
          <w:rFonts w:ascii="黑体" w:hAnsi="黑体" w:eastAsia="黑体" w:cs="黑体"/>
          <w:color w:val="auto"/>
          <w:sz w:val="24"/>
          <w:szCs w:val="24"/>
        </w:rPr>
        <w:t>解除合同后的付款</w:t>
      </w:r>
    </w:p>
    <w:p>
      <w:pPr>
        <w:spacing w:after="0" w:line="108"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本项</w:t>
      </w:r>
      <w:r>
        <w:rPr>
          <w:rFonts w:ascii="Times New Roman" w:hAnsi="Times New Roman" w:eastAsia="Times New Roman" w:cs="Times New Roman"/>
          <w:color w:val="auto"/>
          <w:sz w:val="24"/>
          <w:szCs w:val="24"/>
        </w:rPr>
        <w:t>(2)</w:t>
      </w:r>
      <w:r>
        <w:rPr>
          <w:rFonts w:ascii="宋体" w:hAnsi="宋体" w:eastAsia="宋体" w:cs="宋体"/>
          <w:color w:val="auto"/>
          <w:sz w:val="24"/>
          <w:szCs w:val="24"/>
        </w:rPr>
        <w:t>目细化为：</w:t>
      </w:r>
    </w:p>
    <w:p>
      <w:pPr>
        <w:spacing w:after="0" w:line="339" w:lineRule="exact"/>
        <w:ind w:right="144" w:firstLine="720" w:firstLineChars="0"/>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承包人为该工程施工订购并已付款的材料、工程设备和其他物品的金额。发包人付</w:t>
      </w:r>
      <w:r>
        <w:rPr>
          <w:rFonts w:ascii="黑体" w:hAnsi="黑体" w:eastAsia="黑体" w:cs="黑体"/>
          <w:color w:val="auto"/>
          <w:sz w:val="24"/>
          <w:szCs w:val="24"/>
        </w:rPr>
        <w:t>款</w:t>
      </w:r>
      <w:r>
        <w:rPr>
          <w:rFonts w:ascii="宋体" w:hAnsi="宋体" w:eastAsia="宋体" w:cs="宋体"/>
          <w:color w:val="auto"/>
          <w:sz w:val="24"/>
          <w:szCs w:val="24"/>
        </w:rPr>
        <w:t>后，该材料、工程设备和其他物品归发包人所有；</w:t>
      </w:r>
    </w:p>
    <w:p>
      <w:pPr>
        <w:spacing w:after="0" w:line="200" w:lineRule="exact"/>
        <w:rPr>
          <w:color w:val="auto"/>
          <w:sz w:val="20"/>
          <w:szCs w:val="20"/>
        </w:rPr>
      </w:pPr>
    </w:p>
    <w:p>
      <w:pPr>
        <w:spacing w:after="0" w:line="313" w:lineRule="exact"/>
        <w:rPr>
          <w:color w:val="auto"/>
          <w:sz w:val="20"/>
          <w:szCs w:val="20"/>
        </w:rPr>
      </w:pPr>
    </w:p>
    <w:p>
      <w:pPr>
        <w:numPr>
          <w:ilvl w:val="0"/>
          <w:numId w:val="59"/>
        </w:numPr>
        <w:tabs>
          <w:tab w:val="left" w:pos="700"/>
        </w:tabs>
        <w:spacing w:after="0" w:line="341" w:lineRule="exact"/>
        <w:ind w:left="700" w:hanging="496"/>
        <w:rPr>
          <w:rFonts w:ascii="Times New Roman" w:hAnsi="Times New Roman" w:eastAsia="Times New Roman" w:cs="Times New Roman"/>
          <w:color w:val="auto"/>
          <w:sz w:val="28"/>
          <w:szCs w:val="28"/>
        </w:rPr>
      </w:pPr>
      <w:r>
        <w:rPr>
          <w:rFonts w:ascii="黑体" w:hAnsi="黑体" w:eastAsia="黑体" w:cs="黑体"/>
          <w:color w:val="auto"/>
          <w:sz w:val="28"/>
          <w:szCs w:val="28"/>
        </w:rPr>
        <w:t>索赔</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23.1 </w:t>
      </w:r>
      <w:r>
        <w:rPr>
          <w:rFonts w:ascii="黑体" w:hAnsi="黑体" w:eastAsia="黑体" w:cs="黑体"/>
          <w:color w:val="auto"/>
          <w:sz w:val="24"/>
          <w:szCs w:val="24"/>
        </w:rPr>
        <w:t>承包人索赔的提出</w:t>
      </w:r>
    </w:p>
    <w:p>
      <w:pPr>
        <w:spacing w:after="0" w:line="348"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本款第</w:t>
      </w:r>
      <w:r>
        <w:rPr>
          <w:rFonts w:ascii="Times New Roman" w:hAnsi="Times New Roman" w:eastAsia="Times New Roman" w:cs="Times New Roman"/>
          <w:color w:val="auto"/>
          <w:sz w:val="24"/>
          <w:szCs w:val="24"/>
        </w:rPr>
        <w:t>(4)</w:t>
      </w:r>
      <w:r>
        <w:rPr>
          <w:rFonts w:ascii="宋体" w:hAnsi="宋体" w:eastAsia="宋体" w:cs="宋体"/>
          <w:color w:val="auto"/>
          <w:sz w:val="24"/>
          <w:szCs w:val="24"/>
        </w:rPr>
        <w:t>项细化为：</w:t>
      </w:r>
    </w:p>
    <w:p>
      <w:pPr>
        <w:spacing w:after="0" w:line="109" w:lineRule="exact"/>
        <w:rPr>
          <w:color w:val="auto"/>
          <w:sz w:val="20"/>
          <w:szCs w:val="20"/>
        </w:rPr>
      </w:pPr>
    </w:p>
    <w:p>
      <w:pPr>
        <w:spacing w:after="0" w:line="356" w:lineRule="exact"/>
        <w:ind w:left="200" w:right="24" w:firstLine="480"/>
        <w:rPr>
          <w:color w:val="auto"/>
          <w:sz w:val="20"/>
          <w:szCs w:val="20"/>
        </w:rPr>
      </w:pPr>
      <w:r>
        <w:rPr>
          <w:rFonts w:ascii="Times New Roman" w:hAnsi="Times New Roman" w:eastAsia="Times New Roman" w:cs="Times New Roman"/>
          <w:color w:val="auto"/>
          <w:sz w:val="23"/>
          <w:szCs w:val="23"/>
        </w:rPr>
        <w:t>(4)</w:t>
      </w:r>
      <w:r>
        <w:rPr>
          <w:rFonts w:ascii="宋体" w:hAnsi="宋体" w:eastAsia="宋体" w:cs="宋体"/>
          <w:color w:val="auto"/>
          <w:sz w:val="23"/>
          <w:szCs w:val="23"/>
        </w:rPr>
        <w:t>在索赔事件影响结束后的</w:t>
      </w:r>
      <w:r>
        <w:rPr>
          <w:rFonts w:ascii="Times New Roman" w:hAnsi="Times New Roman" w:eastAsia="Times New Roman" w:cs="Times New Roman"/>
          <w:color w:val="auto"/>
          <w:sz w:val="23"/>
          <w:szCs w:val="23"/>
        </w:rPr>
        <w:t xml:space="preserve"> 28 </w:t>
      </w:r>
      <w:r>
        <w:rPr>
          <w:rFonts w:ascii="宋体" w:hAnsi="宋体" w:eastAsia="宋体" w:cs="宋体"/>
          <w:color w:val="auto"/>
          <w:sz w:val="23"/>
          <w:szCs w:val="23"/>
        </w:rPr>
        <w:t>天内，承包人应向监理人递交最终索赔通知书，说明最终要求索赔的追加付款金额和</w:t>
      </w:r>
      <w:r>
        <w:rPr>
          <w:rFonts w:ascii="Times New Roman" w:hAnsi="Times New Roman" w:eastAsia="Times New Roman" w:cs="Times New Roman"/>
          <w:color w:val="auto"/>
          <w:sz w:val="23"/>
          <w:szCs w:val="23"/>
        </w:rPr>
        <w:t>(</w:t>
      </w:r>
      <w:r>
        <w:rPr>
          <w:rFonts w:ascii="宋体" w:hAnsi="宋体" w:eastAsia="宋体" w:cs="宋体"/>
          <w:color w:val="auto"/>
          <w:sz w:val="23"/>
          <w:szCs w:val="23"/>
        </w:rPr>
        <w:t>或</w:t>
      </w:r>
      <w:r>
        <w:rPr>
          <w:rFonts w:ascii="Times New Roman" w:hAnsi="Times New Roman" w:eastAsia="Times New Roman" w:cs="Times New Roman"/>
          <w:color w:val="auto"/>
          <w:sz w:val="23"/>
          <w:szCs w:val="23"/>
        </w:rPr>
        <w:t>)</w:t>
      </w:r>
      <w:r>
        <w:rPr>
          <w:rFonts w:ascii="宋体" w:hAnsi="宋体" w:eastAsia="宋体" w:cs="宋体"/>
          <w:color w:val="auto"/>
          <w:sz w:val="23"/>
          <w:szCs w:val="23"/>
        </w:rPr>
        <w:t>延长的工期，并附必要的记录和证明材料。</w:t>
      </w:r>
    </w:p>
    <w:p>
      <w:pPr>
        <w:spacing w:after="0" w:line="308"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23.2 </w:t>
      </w:r>
      <w:r>
        <w:rPr>
          <w:rFonts w:ascii="黑体" w:hAnsi="黑体" w:eastAsia="黑体" w:cs="黑体"/>
          <w:color w:val="auto"/>
          <w:sz w:val="24"/>
          <w:szCs w:val="24"/>
        </w:rPr>
        <w:t>承包人索赔处理程序</w:t>
      </w:r>
    </w:p>
    <w:p>
      <w:pPr>
        <w:spacing w:after="0" w:line="349" w:lineRule="exact"/>
        <w:rPr>
          <w:color w:val="auto"/>
          <w:sz w:val="20"/>
          <w:szCs w:val="20"/>
        </w:rPr>
      </w:pPr>
    </w:p>
    <w:p>
      <w:pPr>
        <w:spacing w:after="0" w:line="292" w:lineRule="exact"/>
        <w:ind w:left="680"/>
        <w:rPr>
          <w:color w:val="auto"/>
          <w:sz w:val="20"/>
          <w:szCs w:val="20"/>
        </w:rPr>
      </w:pPr>
      <w:r>
        <w:rPr>
          <w:rFonts w:ascii="宋体" w:hAnsi="宋体" w:eastAsia="宋体" w:cs="宋体"/>
          <w:color w:val="auto"/>
          <w:sz w:val="24"/>
          <w:szCs w:val="24"/>
        </w:rPr>
        <w:t>本款第</w:t>
      </w:r>
      <w:r>
        <w:rPr>
          <w:rFonts w:ascii="Times New Roman" w:hAnsi="Times New Roman" w:eastAsia="Times New Roman" w:cs="Times New Roman"/>
          <w:color w:val="auto"/>
          <w:sz w:val="24"/>
          <w:szCs w:val="24"/>
        </w:rPr>
        <w:t>(2)</w:t>
      </w:r>
      <w:r>
        <w:rPr>
          <w:rFonts w:ascii="宋体" w:hAnsi="宋体" w:eastAsia="宋体" w:cs="宋体"/>
          <w:color w:val="auto"/>
          <w:sz w:val="24"/>
          <w:szCs w:val="24"/>
        </w:rPr>
        <w:t>项细化为：</w:t>
      </w:r>
    </w:p>
    <w:p>
      <w:pPr>
        <w:spacing w:after="0" w:line="108" w:lineRule="exact"/>
        <w:rPr>
          <w:color w:val="auto"/>
          <w:sz w:val="20"/>
          <w:szCs w:val="20"/>
        </w:rPr>
      </w:pPr>
    </w:p>
    <w:p>
      <w:pPr>
        <w:spacing w:after="0" w:line="375" w:lineRule="exact"/>
        <w:ind w:left="200" w:right="144" w:firstLine="480"/>
        <w:jc w:val="both"/>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监理人应按第</w:t>
      </w:r>
      <w:r>
        <w:rPr>
          <w:rFonts w:ascii="Times New Roman" w:hAnsi="Times New Roman" w:eastAsia="Times New Roman" w:cs="Times New Roman"/>
          <w:color w:val="auto"/>
          <w:sz w:val="24"/>
          <w:szCs w:val="24"/>
        </w:rPr>
        <w:t xml:space="preserve"> 3.5 </w:t>
      </w:r>
      <w:r>
        <w:rPr>
          <w:rFonts w:ascii="宋体" w:hAnsi="宋体" w:eastAsia="宋体" w:cs="宋体"/>
          <w:color w:val="auto"/>
          <w:sz w:val="24"/>
          <w:szCs w:val="24"/>
        </w:rPr>
        <w:t>款商定或确定追加的付款和</w:t>
      </w:r>
      <w:r>
        <w:rPr>
          <w:rFonts w:ascii="Times New Roman" w:hAnsi="Times New Roman" w:eastAsia="Times New Roman" w:cs="Times New Roman"/>
          <w:color w:val="auto"/>
          <w:sz w:val="24"/>
          <w:szCs w:val="24"/>
        </w:rPr>
        <w:t>(</w:t>
      </w:r>
      <w:r>
        <w:rPr>
          <w:rFonts w:ascii="宋体" w:hAnsi="宋体" w:eastAsia="宋体" w:cs="宋体"/>
          <w:color w:val="auto"/>
          <w:sz w:val="24"/>
          <w:szCs w:val="24"/>
        </w:rPr>
        <w:t>或</w:t>
      </w:r>
      <w:r>
        <w:rPr>
          <w:rFonts w:ascii="Times New Roman" w:hAnsi="Times New Roman" w:eastAsia="Times New Roman" w:cs="Times New Roman"/>
          <w:color w:val="auto"/>
          <w:sz w:val="24"/>
          <w:szCs w:val="24"/>
        </w:rPr>
        <w:t>)</w:t>
      </w:r>
      <w:r>
        <w:rPr>
          <w:rFonts w:ascii="宋体" w:hAnsi="宋体" w:eastAsia="宋体" w:cs="宋体"/>
          <w:color w:val="auto"/>
          <w:sz w:val="24"/>
          <w:szCs w:val="24"/>
        </w:rPr>
        <w:t>延长的工期，并在收到上述索赔通知书或有关索赔的进一步证明材料后的</w:t>
      </w:r>
      <w:r>
        <w:rPr>
          <w:rFonts w:ascii="Times New Roman" w:hAnsi="Times New Roman" w:eastAsia="Times New Roman" w:cs="Times New Roman"/>
          <w:color w:val="auto"/>
          <w:sz w:val="24"/>
          <w:szCs w:val="24"/>
        </w:rPr>
        <w:t xml:space="preserve"> 42 </w:t>
      </w:r>
      <w:r>
        <w:rPr>
          <w:rFonts w:ascii="宋体" w:hAnsi="宋体" w:eastAsia="宋体" w:cs="宋体"/>
          <w:color w:val="auto"/>
          <w:sz w:val="24"/>
          <w:szCs w:val="24"/>
        </w:rPr>
        <w:t>天内，将索赔处理结果报发包人批准后答复承包人。如果承包人提出的索赔要求未能遵守第</w:t>
      </w:r>
      <w:r>
        <w:rPr>
          <w:rFonts w:ascii="Times New Roman" w:hAnsi="Times New Roman" w:eastAsia="Times New Roman" w:cs="Times New Roman"/>
          <w:color w:val="auto"/>
          <w:sz w:val="24"/>
          <w:szCs w:val="24"/>
        </w:rPr>
        <w:t xml:space="preserve"> 23.1(2)~(4)</w:t>
      </w:r>
      <w:r>
        <w:rPr>
          <w:rFonts w:ascii="宋体" w:hAnsi="宋体" w:eastAsia="宋体" w:cs="宋体"/>
          <w:color w:val="auto"/>
          <w:sz w:val="24"/>
          <w:szCs w:val="24"/>
        </w:rPr>
        <w:t>项的规定，则承包人只限于索赔由监理人按当时记录予以核实的那部分款额和</w:t>
      </w:r>
      <w:r>
        <w:rPr>
          <w:rFonts w:ascii="Times New Roman" w:hAnsi="Times New Roman" w:eastAsia="Times New Roman" w:cs="Times New Roman"/>
          <w:color w:val="auto"/>
          <w:sz w:val="24"/>
          <w:szCs w:val="24"/>
        </w:rPr>
        <w:t>(</w:t>
      </w:r>
      <w:r>
        <w:rPr>
          <w:rFonts w:ascii="宋体" w:hAnsi="宋体" w:eastAsia="宋体" w:cs="宋体"/>
          <w:color w:val="auto"/>
          <w:sz w:val="24"/>
          <w:szCs w:val="24"/>
        </w:rPr>
        <w:t>或</w:t>
      </w:r>
      <w:r>
        <w:rPr>
          <w:rFonts w:ascii="Times New Roman" w:hAnsi="Times New Roman" w:eastAsia="Times New Roman" w:cs="Times New Roman"/>
          <w:color w:val="auto"/>
          <w:sz w:val="24"/>
          <w:szCs w:val="24"/>
        </w:rPr>
        <w:t>)</w:t>
      </w:r>
      <w:r>
        <w:rPr>
          <w:rFonts w:ascii="宋体" w:hAnsi="宋体" w:eastAsia="宋体" w:cs="宋体"/>
          <w:color w:val="auto"/>
          <w:sz w:val="24"/>
          <w:szCs w:val="24"/>
        </w:rPr>
        <w:t>工期延长天数。</w:t>
      </w:r>
    </w:p>
    <w:p>
      <w:pPr>
        <w:spacing w:after="0" w:line="200" w:lineRule="exact"/>
        <w:rPr>
          <w:color w:val="auto"/>
          <w:sz w:val="20"/>
          <w:szCs w:val="20"/>
        </w:rPr>
      </w:pPr>
    </w:p>
    <w:p>
      <w:pPr>
        <w:spacing w:after="0" w:line="316" w:lineRule="exact"/>
        <w:rPr>
          <w:color w:val="auto"/>
          <w:sz w:val="20"/>
          <w:szCs w:val="20"/>
        </w:rPr>
      </w:pPr>
    </w:p>
    <w:p>
      <w:pPr>
        <w:numPr>
          <w:ilvl w:val="0"/>
          <w:numId w:val="60"/>
        </w:numPr>
        <w:tabs>
          <w:tab w:val="left" w:pos="700"/>
        </w:tabs>
        <w:spacing w:after="0" w:line="341" w:lineRule="exact"/>
        <w:ind w:left="700" w:hanging="496"/>
        <w:rPr>
          <w:rFonts w:ascii="Times New Roman" w:hAnsi="Times New Roman" w:eastAsia="Times New Roman" w:cs="Times New Roman"/>
          <w:color w:val="auto"/>
          <w:sz w:val="28"/>
          <w:szCs w:val="28"/>
        </w:rPr>
      </w:pPr>
      <w:r>
        <w:rPr>
          <w:rFonts w:ascii="黑体" w:hAnsi="黑体" w:eastAsia="黑体" w:cs="黑体"/>
          <w:color w:val="auto"/>
          <w:sz w:val="28"/>
          <w:szCs w:val="28"/>
        </w:rPr>
        <w:t>争议的解决</w:t>
      </w:r>
    </w:p>
    <w:p>
      <w:pPr>
        <w:spacing w:after="0" w:line="35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24.3 </w:t>
      </w:r>
      <w:r>
        <w:rPr>
          <w:rFonts w:ascii="黑体" w:hAnsi="黑体" w:eastAsia="黑体" w:cs="黑体"/>
          <w:color w:val="auto"/>
          <w:sz w:val="24"/>
          <w:szCs w:val="24"/>
        </w:rPr>
        <w:t>争议评审</w:t>
      </w:r>
    </w:p>
    <w:p>
      <w:pPr>
        <w:spacing w:after="0" w:line="348" w:lineRule="exact"/>
        <w:rPr>
          <w:color w:val="auto"/>
          <w:sz w:val="20"/>
          <w:szCs w:val="20"/>
        </w:rPr>
      </w:pPr>
    </w:p>
    <w:p>
      <w:pPr>
        <w:numPr>
          <w:ilvl w:val="0"/>
          <w:numId w:val="61"/>
        </w:numPr>
        <w:tabs>
          <w:tab w:val="left" w:pos="980"/>
        </w:tabs>
        <w:spacing w:after="0" w:line="292" w:lineRule="exact"/>
        <w:ind w:left="980" w:hanging="296"/>
        <w:rPr>
          <w:rFonts w:ascii="宋体" w:hAnsi="宋体" w:eastAsia="宋体" w:cs="宋体"/>
          <w:color w:val="auto"/>
          <w:sz w:val="24"/>
          <w:szCs w:val="24"/>
        </w:rPr>
      </w:pPr>
      <w:r>
        <w:rPr>
          <w:rFonts w:ascii="Times New Roman" w:hAnsi="Times New Roman" w:eastAsia="Times New Roman" w:cs="Times New Roman"/>
          <w:color w:val="auto"/>
          <w:sz w:val="24"/>
          <w:szCs w:val="24"/>
        </w:rPr>
        <w:t xml:space="preserve">24.3.1 </w:t>
      </w:r>
      <w:r>
        <w:rPr>
          <w:rFonts w:ascii="宋体" w:hAnsi="宋体" w:eastAsia="宋体" w:cs="宋体"/>
          <w:color w:val="auto"/>
          <w:sz w:val="24"/>
          <w:szCs w:val="24"/>
        </w:rPr>
        <w:t>项补充：</w:t>
      </w:r>
    </w:p>
    <w:p>
      <w:pPr>
        <w:spacing w:after="0" w:line="109" w:lineRule="exact"/>
        <w:rPr>
          <w:color w:val="auto"/>
          <w:sz w:val="20"/>
          <w:szCs w:val="20"/>
        </w:rPr>
      </w:pPr>
    </w:p>
    <w:p>
      <w:pPr>
        <w:spacing w:after="0" w:line="368" w:lineRule="exact"/>
        <w:ind w:left="200" w:right="144" w:firstLine="480"/>
        <w:jc w:val="both"/>
        <w:rPr>
          <w:color w:val="auto"/>
          <w:sz w:val="20"/>
          <w:szCs w:val="20"/>
        </w:rPr>
      </w:pPr>
      <w:r>
        <w:rPr>
          <w:rFonts w:ascii="宋体" w:hAnsi="宋体" w:eastAsia="宋体" w:cs="宋体"/>
          <w:color w:val="auto"/>
          <w:sz w:val="24"/>
          <w:szCs w:val="24"/>
        </w:rPr>
        <w:t>争议评审组由</w:t>
      </w:r>
      <w:r>
        <w:rPr>
          <w:rFonts w:ascii="Times New Roman" w:hAnsi="Times New Roman" w:eastAsia="Times New Roman" w:cs="Times New Roman"/>
          <w:color w:val="auto"/>
          <w:sz w:val="24"/>
          <w:szCs w:val="24"/>
        </w:rPr>
        <w:t xml:space="preserve"> 3 </w:t>
      </w:r>
      <w:r>
        <w:rPr>
          <w:rFonts w:ascii="宋体" w:hAnsi="宋体" w:eastAsia="宋体" w:cs="宋体"/>
          <w:color w:val="auto"/>
          <w:sz w:val="24"/>
          <w:szCs w:val="24"/>
        </w:rPr>
        <w:t>人或</w:t>
      </w:r>
      <w:r>
        <w:rPr>
          <w:rFonts w:ascii="Times New Roman" w:hAnsi="Times New Roman" w:eastAsia="Times New Roman" w:cs="Times New Roman"/>
          <w:color w:val="auto"/>
          <w:sz w:val="24"/>
          <w:szCs w:val="24"/>
        </w:rPr>
        <w:t xml:space="preserve"> 5 </w:t>
      </w:r>
      <w:r>
        <w:rPr>
          <w:rFonts w:ascii="宋体" w:hAnsi="宋体" w:eastAsia="宋体" w:cs="宋体"/>
          <w:color w:val="auto"/>
          <w:sz w:val="24"/>
          <w:szCs w:val="24"/>
        </w:rPr>
        <w:t>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spacing w:after="0" w:line="369" w:lineRule="exact"/>
        <w:rPr>
          <w:color w:val="auto"/>
          <w:sz w:val="20"/>
          <w:szCs w:val="20"/>
        </w:rPr>
      </w:pPr>
    </w:p>
    <w:p>
      <w:pPr>
        <w:spacing w:after="0" w:line="292" w:lineRule="exact"/>
        <w:ind w:left="200"/>
        <w:rPr>
          <w:color w:val="auto"/>
          <w:sz w:val="20"/>
          <w:szCs w:val="20"/>
        </w:rPr>
      </w:pPr>
      <w:r>
        <w:rPr>
          <w:rFonts w:ascii="黑体" w:hAnsi="黑体" w:eastAsia="黑体" w:cs="黑体"/>
          <w:color w:val="auto"/>
          <w:sz w:val="24"/>
          <w:szCs w:val="24"/>
        </w:rPr>
        <w:t>本条补充第</w:t>
      </w:r>
      <w:r>
        <w:rPr>
          <w:rFonts w:ascii="Times New Roman" w:hAnsi="Times New Roman" w:eastAsia="Times New Roman" w:cs="Times New Roman"/>
          <w:color w:val="auto"/>
          <w:sz w:val="24"/>
          <w:szCs w:val="24"/>
        </w:rPr>
        <w:t xml:space="preserve"> 24.4</w:t>
      </w:r>
      <w:r>
        <w:rPr>
          <w:rFonts w:ascii="黑体" w:hAnsi="黑体" w:eastAsia="黑体" w:cs="黑体"/>
          <w:color w:val="auto"/>
          <w:sz w:val="24"/>
          <w:szCs w:val="24"/>
        </w:rPr>
        <w:t>、第</w:t>
      </w:r>
      <w:r>
        <w:rPr>
          <w:rFonts w:ascii="Times New Roman" w:hAnsi="Times New Roman" w:eastAsia="Times New Roman" w:cs="Times New Roman"/>
          <w:color w:val="auto"/>
          <w:sz w:val="24"/>
          <w:szCs w:val="24"/>
        </w:rPr>
        <w:t xml:space="preserve"> 24.5 </w:t>
      </w:r>
      <w:r>
        <w:rPr>
          <w:rFonts w:ascii="黑体" w:hAnsi="黑体" w:eastAsia="黑体" w:cs="黑体"/>
          <w:color w:val="auto"/>
          <w:sz w:val="24"/>
          <w:szCs w:val="24"/>
        </w:rPr>
        <w:t>款</w:t>
      </w:r>
      <w:r>
        <w:rPr>
          <w:rFonts w:ascii="Times New Roman" w:hAnsi="Times New Roman" w:eastAsia="Times New Roman" w:cs="Times New Roman"/>
          <w:color w:val="auto"/>
          <w:sz w:val="24"/>
          <w:szCs w:val="24"/>
        </w:rPr>
        <w:t>(</w:t>
      </w:r>
      <w:r>
        <w:rPr>
          <w:rFonts w:ascii="黑体" w:hAnsi="黑体" w:eastAsia="黑体" w:cs="黑体"/>
          <w:color w:val="auto"/>
          <w:sz w:val="24"/>
          <w:szCs w:val="24"/>
        </w:rPr>
        <w:t>适用于采用仲裁方式最终解决争议的项目</w:t>
      </w:r>
      <w:r>
        <w:rPr>
          <w:rFonts w:ascii="Times New Roman" w:hAnsi="Times New Roman" w:eastAsia="Times New Roman" w:cs="Times New Roman"/>
          <w:color w:val="auto"/>
          <w:sz w:val="24"/>
          <w:szCs w:val="24"/>
        </w:rPr>
        <w:t>)</w:t>
      </w:r>
      <w:r>
        <w:rPr>
          <w:rFonts w:ascii="黑体" w:hAnsi="黑体" w:eastAsia="黑体" w:cs="黑体"/>
          <w:color w:val="auto"/>
          <w:sz w:val="24"/>
          <w:szCs w:val="24"/>
        </w:rPr>
        <w:t>：</w:t>
      </w:r>
    </w:p>
    <w:p>
      <w:pPr>
        <w:spacing w:after="0" w:line="327"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24.4 </w:t>
      </w:r>
      <w:r>
        <w:rPr>
          <w:rFonts w:ascii="黑体" w:hAnsi="黑体" w:eastAsia="黑体" w:cs="黑体"/>
          <w:color w:val="auto"/>
          <w:sz w:val="24"/>
          <w:szCs w:val="24"/>
        </w:rPr>
        <w:t>仲裁</w:t>
      </w:r>
    </w:p>
    <w:p>
      <w:pPr>
        <w:spacing w:after="0" w:line="349" w:lineRule="exact"/>
        <w:rPr>
          <w:color w:val="auto"/>
          <w:sz w:val="20"/>
          <w:szCs w:val="20"/>
        </w:rPr>
      </w:pPr>
    </w:p>
    <w:p>
      <w:pPr>
        <w:spacing w:after="0" w:line="356" w:lineRule="exact"/>
        <w:ind w:left="200" w:right="144" w:firstLine="480"/>
        <w:jc w:val="both"/>
        <w:rPr>
          <w:color w:val="auto"/>
          <w:sz w:val="20"/>
          <w:szCs w:val="20"/>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对于未能友好解决或未能通过争议评审解决的争议，发包人或承包人任一方均有权提交给第</w:t>
      </w:r>
      <w:r>
        <w:rPr>
          <w:rFonts w:ascii="Times New Roman" w:hAnsi="Times New Roman" w:eastAsia="Times New Roman" w:cs="Times New Roman"/>
          <w:color w:val="auto"/>
          <w:sz w:val="24"/>
          <w:szCs w:val="24"/>
        </w:rPr>
        <w:t xml:space="preserve"> 24.1 </w:t>
      </w:r>
      <w:r>
        <w:rPr>
          <w:rFonts w:ascii="宋体" w:hAnsi="宋体" w:eastAsia="宋体" w:cs="宋体"/>
          <w:color w:val="auto"/>
          <w:sz w:val="24"/>
          <w:szCs w:val="24"/>
        </w:rPr>
        <w:t>款约定的仲裁委员会仲裁。</w:t>
      </w:r>
    </w:p>
    <w:p>
      <w:pPr>
        <w:spacing w:after="0" w:line="90" w:lineRule="exact"/>
        <w:rPr>
          <w:color w:val="auto"/>
          <w:sz w:val="20"/>
          <w:szCs w:val="20"/>
        </w:rPr>
      </w:pPr>
    </w:p>
    <w:p>
      <w:pPr>
        <w:spacing w:after="0" w:line="292" w:lineRule="exact"/>
        <w:ind w:firstLine="720" w:firstLineChars="0"/>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仲裁可在交工之前或之后进行，但发包人、监理人和承包人各自的义务不得因在工程实施期间进行仲裁而有所改变。如果仲裁是在终止合同的情况下进行，则对合同工程应采取保护措施，措施费由败诉方承担。</w:t>
      </w:r>
    </w:p>
    <w:p>
      <w:pPr>
        <w:spacing w:after="0" w:line="12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(3)</w:t>
      </w:r>
      <w:r>
        <w:rPr>
          <w:rFonts w:ascii="宋体" w:hAnsi="宋体" w:eastAsia="宋体" w:cs="宋体"/>
          <w:color w:val="auto"/>
          <w:sz w:val="24"/>
          <w:szCs w:val="24"/>
        </w:rPr>
        <w:t>仲裁裁决是终局性的并对发包人和承包人双方具有约束力。</w:t>
      </w:r>
    </w:p>
    <w:p>
      <w:pPr>
        <w:spacing w:after="0" w:line="108"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(4)</w:t>
      </w:r>
      <w:r>
        <w:rPr>
          <w:rFonts w:ascii="宋体" w:hAnsi="宋体" w:eastAsia="宋体" w:cs="宋体"/>
          <w:color w:val="auto"/>
          <w:sz w:val="24"/>
          <w:szCs w:val="24"/>
        </w:rPr>
        <w:t>全部仲裁费用应由败诉方承担；或按仲裁委员会裁决的比例分担。</w:t>
      </w:r>
    </w:p>
    <w:p>
      <w:pPr>
        <w:spacing w:after="0" w:line="328"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24.5 </w:t>
      </w:r>
      <w:r>
        <w:rPr>
          <w:rFonts w:ascii="黑体" w:hAnsi="黑体" w:eastAsia="黑体" w:cs="黑体"/>
          <w:color w:val="auto"/>
          <w:sz w:val="24"/>
          <w:szCs w:val="24"/>
        </w:rPr>
        <w:t>仲裁的执行</w:t>
      </w:r>
    </w:p>
    <w:p>
      <w:pPr>
        <w:spacing w:after="0" w:line="280" w:lineRule="exact"/>
        <w:ind w:left="680"/>
        <w:rPr>
          <w:color w:val="auto"/>
          <w:sz w:val="24"/>
          <w:szCs w:val="24"/>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任何一方不履行仲裁机构的裁决的，对方可以向有管辖权的人民法院申请执</w:t>
      </w:r>
    </w:p>
    <w:p>
      <w:pPr>
        <w:spacing w:after="0" w:line="121" w:lineRule="exact"/>
        <w:rPr>
          <w:color w:val="auto"/>
          <w:sz w:val="24"/>
          <w:szCs w:val="24"/>
        </w:rPr>
      </w:pPr>
    </w:p>
    <w:p>
      <w:pPr>
        <w:spacing w:after="0" w:line="274" w:lineRule="exact"/>
        <w:ind w:left="200"/>
        <w:rPr>
          <w:color w:val="auto"/>
          <w:sz w:val="24"/>
          <w:szCs w:val="24"/>
        </w:rPr>
      </w:pPr>
      <w:r>
        <w:rPr>
          <w:rFonts w:ascii="宋体" w:hAnsi="宋体" w:eastAsia="宋体" w:cs="宋体"/>
          <w:color w:val="auto"/>
          <w:sz w:val="24"/>
          <w:szCs w:val="24"/>
        </w:rPr>
        <w:t>行。</w:t>
      </w:r>
    </w:p>
    <w:p>
      <w:pPr>
        <w:spacing w:after="0" w:line="126" w:lineRule="exact"/>
        <w:rPr>
          <w:color w:val="auto"/>
          <w:sz w:val="24"/>
          <w:szCs w:val="24"/>
        </w:rPr>
      </w:pPr>
    </w:p>
    <w:p>
      <w:pPr>
        <w:spacing w:after="0" w:line="375" w:lineRule="exact"/>
        <w:ind w:left="200" w:right="144" w:firstLine="480"/>
        <w:jc w:val="both"/>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spacing w:after="0" w:line="200" w:lineRule="exact"/>
        <w:rPr>
          <w:color w:val="auto"/>
          <w:sz w:val="20"/>
          <w:szCs w:val="20"/>
        </w:rPr>
      </w:pPr>
    </w:p>
    <w:p>
      <w:pPr>
        <w:spacing w:after="0" w:line="266" w:lineRule="exact"/>
        <w:rPr>
          <w:color w:val="auto"/>
          <w:sz w:val="20"/>
          <w:szCs w:val="20"/>
        </w:rPr>
      </w:pPr>
      <w:r>
        <w:rPr>
          <w:color w:val="auto"/>
          <w:sz w:val="20"/>
          <w:szCs w:val="20"/>
        </w:rPr>
        <w:br w:type="page"/>
      </w:r>
    </w:p>
    <w:p>
      <w:pPr>
        <w:numPr>
          <w:ilvl w:val="0"/>
          <w:numId w:val="62"/>
        </w:numPr>
        <w:tabs>
          <w:tab w:val="left" w:pos="3480"/>
        </w:tabs>
        <w:spacing w:after="0" w:line="390" w:lineRule="exact"/>
        <w:ind w:left="3480" w:hanging="445"/>
        <w:rPr>
          <w:rFonts w:ascii="Times New Roman" w:hAnsi="Times New Roman" w:eastAsia="Times New Roman" w:cs="Times New Roman"/>
          <w:color w:val="auto"/>
          <w:sz w:val="32"/>
          <w:szCs w:val="32"/>
        </w:rPr>
      </w:pPr>
      <w:r>
        <w:rPr>
          <w:rFonts w:ascii="黑体" w:hAnsi="黑体" w:eastAsia="黑体" w:cs="黑体"/>
          <w:color w:val="auto"/>
          <w:sz w:val="32"/>
          <w:szCs w:val="32"/>
        </w:rPr>
        <w:t>项目专用合同条款</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tabs>
          <w:tab w:val="left" w:pos="660"/>
        </w:tabs>
        <w:spacing w:after="0" w:line="274" w:lineRule="exact"/>
        <w:ind w:left="200"/>
        <w:rPr>
          <w:color w:val="auto"/>
          <w:sz w:val="20"/>
          <w:szCs w:val="20"/>
        </w:rPr>
      </w:pPr>
      <w:r>
        <w:rPr>
          <w:rFonts w:ascii="黑体" w:hAnsi="黑体" w:eastAsia="黑体" w:cs="黑体"/>
          <w:color w:val="auto"/>
          <w:sz w:val="24"/>
          <w:szCs w:val="24"/>
        </w:rPr>
        <w:t>说</w:t>
      </w:r>
      <w:r>
        <w:rPr>
          <w:color w:val="auto"/>
          <w:sz w:val="20"/>
          <w:szCs w:val="20"/>
        </w:rPr>
        <w:tab/>
      </w:r>
      <w:r>
        <w:rPr>
          <w:rFonts w:ascii="新宋体" w:hAnsi="新宋体" w:eastAsia="新宋体" w:cs="新宋体"/>
          <w:color w:val="auto"/>
          <w:sz w:val="24"/>
          <w:szCs w:val="24"/>
        </w:rPr>
        <w:t>明：</w:t>
      </w:r>
    </w:p>
    <w:p>
      <w:pPr>
        <w:spacing w:after="0" w:line="281" w:lineRule="exact"/>
        <w:rPr>
          <w:color w:val="auto"/>
          <w:sz w:val="20"/>
          <w:szCs w:val="20"/>
        </w:rPr>
      </w:pPr>
    </w:p>
    <w:p>
      <w:pPr>
        <w:spacing w:after="0" w:line="377" w:lineRule="exact"/>
        <w:ind w:left="200" w:right="24" w:firstLine="720"/>
        <w:rPr>
          <w:color w:val="auto"/>
          <w:sz w:val="20"/>
          <w:szCs w:val="20"/>
        </w:rPr>
      </w:pPr>
      <w:r>
        <w:rPr>
          <w:rFonts w:ascii="Courier New" w:hAnsi="Courier New" w:eastAsia="Courier New" w:cs="Courier New"/>
          <w:color w:val="auto"/>
          <w:sz w:val="24"/>
          <w:szCs w:val="24"/>
        </w:rPr>
        <w:t>1.</w:t>
      </w:r>
      <w:r>
        <w:rPr>
          <w:rFonts w:ascii="新宋体" w:hAnsi="新宋体" w:eastAsia="新宋体" w:cs="新宋体"/>
          <w:color w:val="auto"/>
          <w:sz w:val="24"/>
          <w:szCs w:val="24"/>
        </w:rPr>
        <w:t>招标人在根据《公路工程标准施工招标文件》编制项目招标文件中的</w:t>
      </w:r>
      <w:r>
        <w:rPr>
          <w:rFonts w:ascii="Courier New" w:hAnsi="Courier New" w:eastAsia="Courier New" w:cs="Courier New"/>
          <w:color w:val="auto"/>
          <w:sz w:val="24"/>
          <w:szCs w:val="24"/>
        </w:rPr>
        <w:t>“</w:t>
      </w:r>
      <w:r>
        <w:rPr>
          <w:rFonts w:ascii="新宋体" w:hAnsi="新宋体" w:eastAsia="新宋体" w:cs="新宋体"/>
          <w:color w:val="auto"/>
          <w:sz w:val="24"/>
          <w:szCs w:val="24"/>
        </w:rPr>
        <w:t>项目专用合同条款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时，可根据招标项目的具体特点和实际需要，对</w:t>
      </w:r>
      <w:r>
        <w:rPr>
          <w:rFonts w:ascii="Courier New" w:hAnsi="Courier New" w:eastAsia="Courier New" w:cs="Courier New"/>
          <w:color w:val="auto"/>
          <w:sz w:val="24"/>
          <w:szCs w:val="24"/>
        </w:rPr>
        <w:t>“</w:t>
      </w:r>
      <w:r>
        <w:rPr>
          <w:rFonts w:ascii="新宋体" w:hAnsi="新宋体" w:eastAsia="新宋体" w:cs="新宋体"/>
          <w:color w:val="auto"/>
          <w:sz w:val="24"/>
          <w:szCs w:val="24"/>
        </w:rPr>
        <w:t>通用合同条款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及</w:t>
      </w:r>
      <w:r>
        <w:rPr>
          <w:rFonts w:ascii="Courier New" w:hAnsi="Courier New" w:eastAsia="Courier New" w:cs="Courier New"/>
          <w:color w:val="auto"/>
          <w:sz w:val="24"/>
          <w:szCs w:val="24"/>
        </w:rPr>
        <w:t>“</w:t>
      </w:r>
      <w:r>
        <w:rPr>
          <w:rFonts w:ascii="新宋体" w:hAnsi="新宋体" w:eastAsia="新宋体" w:cs="新宋体"/>
          <w:color w:val="auto"/>
          <w:sz w:val="24"/>
          <w:szCs w:val="24"/>
        </w:rPr>
        <w:t>公路工程专用合同条款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进行补充和细化，除</w:t>
      </w:r>
      <w:r>
        <w:rPr>
          <w:rFonts w:ascii="Courier New" w:hAnsi="Courier New" w:eastAsia="Courier New" w:cs="Courier New"/>
          <w:color w:val="auto"/>
          <w:sz w:val="24"/>
          <w:szCs w:val="24"/>
        </w:rPr>
        <w:t>“</w:t>
      </w:r>
      <w:r>
        <w:rPr>
          <w:rFonts w:ascii="新宋体" w:hAnsi="新宋体" w:eastAsia="新宋体" w:cs="新宋体"/>
          <w:color w:val="auto"/>
          <w:sz w:val="24"/>
          <w:szCs w:val="24"/>
        </w:rPr>
        <w:t>通用合同条款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明确</w:t>
      </w:r>
      <w:r>
        <w:rPr>
          <w:rFonts w:ascii="Courier New" w:hAnsi="Courier New" w:eastAsia="Courier New" w:cs="Courier New"/>
          <w:color w:val="auto"/>
          <w:sz w:val="24"/>
          <w:szCs w:val="24"/>
        </w:rPr>
        <w:t>“</w:t>
      </w:r>
      <w:r>
        <w:rPr>
          <w:rFonts w:ascii="新宋体" w:hAnsi="新宋体" w:eastAsia="新宋体" w:cs="新宋体"/>
          <w:color w:val="auto"/>
          <w:sz w:val="24"/>
          <w:szCs w:val="24"/>
        </w:rPr>
        <w:t>专用合同条款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可做出不同约定以及</w:t>
      </w:r>
      <w:r>
        <w:rPr>
          <w:rFonts w:ascii="Courier New" w:hAnsi="Courier New" w:eastAsia="Courier New" w:cs="Courier New"/>
          <w:color w:val="auto"/>
          <w:sz w:val="24"/>
          <w:szCs w:val="24"/>
        </w:rPr>
        <w:t>“</w:t>
      </w:r>
      <w:r>
        <w:rPr>
          <w:rFonts w:ascii="新宋体" w:hAnsi="新宋体" w:eastAsia="新宋体" w:cs="新宋体"/>
          <w:color w:val="auto"/>
          <w:sz w:val="24"/>
          <w:szCs w:val="24"/>
        </w:rPr>
        <w:t>公路工程专用合同条款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明确</w:t>
      </w:r>
      <w:r>
        <w:rPr>
          <w:rFonts w:ascii="Courier New" w:hAnsi="Courier New" w:eastAsia="Courier New" w:cs="Courier New"/>
          <w:color w:val="auto"/>
          <w:sz w:val="24"/>
          <w:szCs w:val="24"/>
        </w:rPr>
        <w:t>“</w:t>
      </w:r>
      <w:r>
        <w:rPr>
          <w:rFonts w:ascii="新宋体" w:hAnsi="新宋体" w:eastAsia="新宋体" w:cs="新宋体"/>
          <w:color w:val="auto"/>
          <w:sz w:val="24"/>
          <w:szCs w:val="24"/>
        </w:rPr>
        <w:t>项目专用合同条款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可做出不同约定外，补充和细化的内容不得与</w:t>
      </w:r>
      <w:r>
        <w:rPr>
          <w:rFonts w:ascii="Courier New" w:hAnsi="Courier New" w:eastAsia="Courier New" w:cs="Courier New"/>
          <w:color w:val="auto"/>
          <w:sz w:val="24"/>
          <w:szCs w:val="24"/>
        </w:rPr>
        <w:t>“</w:t>
      </w:r>
      <w:r>
        <w:rPr>
          <w:rFonts w:ascii="新宋体" w:hAnsi="新宋体" w:eastAsia="新宋体" w:cs="新宋体"/>
          <w:color w:val="auto"/>
          <w:sz w:val="24"/>
          <w:szCs w:val="24"/>
        </w:rPr>
        <w:t>通用合同条款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及</w:t>
      </w:r>
      <w:r>
        <w:rPr>
          <w:rFonts w:ascii="Courier New" w:hAnsi="Courier New" w:eastAsia="Courier New" w:cs="Courier New"/>
          <w:color w:val="auto"/>
          <w:sz w:val="24"/>
          <w:szCs w:val="24"/>
        </w:rPr>
        <w:t>“</w:t>
      </w:r>
      <w:r>
        <w:rPr>
          <w:rFonts w:ascii="新宋体" w:hAnsi="新宋体" w:eastAsia="新宋体" w:cs="新宋体"/>
          <w:color w:val="auto"/>
          <w:sz w:val="24"/>
          <w:szCs w:val="24"/>
        </w:rPr>
        <w:t>公路工程专用合同条款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强制性规定相抵触。同时，补充、细化或约定的不同内容，不得违反法律、行政法规的强制性规定和平等、自愿、公平和诚实信用原则。</w:t>
      </w:r>
    </w:p>
    <w:p>
      <w:pPr>
        <w:spacing w:after="0" w:line="208" w:lineRule="exact"/>
        <w:rPr>
          <w:color w:val="auto"/>
          <w:sz w:val="20"/>
          <w:szCs w:val="20"/>
        </w:rPr>
      </w:pPr>
    </w:p>
    <w:p>
      <w:pPr>
        <w:spacing w:after="0" w:line="313" w:lineRule="exact"/>
        <w:ind w:left="920"/>
        <w:rPr>
          <w:color w:val="auto"/>
          <w:sz w:val="20"/>
          <w:szCs w:val="20"/>
        </w:rPr>
      </w:pPr>
      <w:r>
        <w:rPr>
          <w:rFonts w:ascii="Courier New" w:hAnsi="Courier New" w:eastAsia="Courier New" w:cs="Courier New"/>
          <w:color w:val="auto"/>
          <w:sz w:val="24"/>
          <w:szCs w:val="24"/>
        </w:rPr>
        <w:t>2.</w:t>
      </w:r>
      <w:r>
        <w:rPr>
          <w:rFonts w:ascii="新宋体" w:hAnsi="新宋体" w:eastAsia="新宋体" w:cs="新宋体"/>
          <w:color w:val="auto"/>
          <w:sz w:val="24"/>
          <w:szCs w:val="24"/>
        </w:rPr>
        <w:t>项目专用合同条款的编号应与通用合同条款和公路工程专用合同条款一</w:t>
      </w:r>
    </w:p>
    <w:p>
      <w:pPr>
        <w:spacing w:after="0" w:line="127" w:lineRule="exact"/>
        <w:rPr>
          <w:color w:val="auto"/>
          <w:sz w:val="20"/>
          <w:szCs w:val="20"/>
        </w:rPr>
      </w:pPr>
    </w:p>
    <w:p>
      <w:pPr>
        <w:spacing w:after="0" w:line="274" w:lineRule="exact"/>
        <w:ind w:left="200"/>
        <w:rPr>
          <w:color w:val="auto"/>
          <w:sz w:val="20"/>
          <w:szCs w:val="20"/>
        </w:rPr>
      </w:pPr>
      <w:r>
        <w:rPr>
          <w:rFonts w:ascii="新宋体" w:hAnsi="新宋体" w:eastAsia="新宋体" w:cs="新宋体"/>
          <w:color w:val="auto"/>
          <w:sz w:val="24"/>
          <w:szCs w:val="24"/>
        </w:rPr>
        <w:t>致。</w:t>
      </w:r>
    </w:p>
    <w:p>
      <w:pPr>
        <w:spacing w:after="0" w:line="208" w:lineRule="exact"/>
        <w:rPr>
          <w:color w:val="auto"/>
          <w:sz w:val="20"/>
          <w:szCs w:val="20"/>
        </w:rPr>
      </w:pPr>
    </w:p>
    <w:p>
      <w:pPr>
        <w:spacing w:after="0" w:line="313" w:lineRule="exact"/>
        <w:ind w:left="920"/>
        <w:rPr>
          <w:color w:val="auto"/>
          <w:sz w:val="20"/>
          <w:szCs w:val="20"/>
        </w:rPr>
      </w:pPr>
      <w:r>
        <w:rPr>
          <w:rFonts w:ascii="Courier New" w:hAnsi="Courier New" w:eastAsia="Courier New" w:cs="Courier New"/>
          <w:color w:val="auto"/>
          <w:sz w:val="24"/>
          <w:szCs w:val="24"/>
        </w:rPr>
        <w:t>3.</w:t>
      </w:r>
      <w:r>
        <w:rPr>
          <w:rFonts w:ascii="新宋体" w:hAnsi="新宋体" w:eastAsia="新宋体" w:cs="新宋体"/>
          <w:color w:val="auto"/>
          <w:sz w:val="24"/>
          <w:szCs w:val="24"/>
        </w:rPr>
        <w:t>项目专用合同条款可对下列内容进行补充和细化：</w:t>
      </w:r>
    </w:p>
    <w:p>
      <w:pPr>
        <w:spacing w:after="0" w:line="281" w:lineRule="exact"/>
        <w:rPr>
          <w:color w:val="auto"/>
          <w:sz w:val="20"/>
          <w:szCs w:val="20"/>
        </w:rPr>
      </w:pPr>
    </w:p>
    <w:p>
      <w:pPr>
        <w:spacing w:after="0" w:line="359" w:lineRule="exact"/>
        <w:ind w:left="200" w:right="24" w:firstLine="720"/>
        <w:rPr>
          <w:color w:val="auto"/>
          <w:sz w:val="20"/>
          <w:szCs w:val="20"/>
        </w:rPr>
      </w:pPr>
      <w:r>
        <w:rPr>
          <w:rFonts w:ascii="Courier New" w:hAnsi="Courier New" w:eastAsia="Courier New" w:cs="Courier New"/>
          <w:color w:val="auto"/>
          <w:sz w:val="24"/>
          <w:szCs w:val="24"/>
        </w:rPr>
        <w:t>(1)“</w:t>
      </w:r>
      <w:r>
        <w:rPr>
          <w:rFonts w:ascii="新宋体" w:hAnsi="新宋体" w:eastAsia="新宋体" w:cs="新宋体"/>
          <w:color w:val="auto"/>
          <w:sz w:val="24"/>
          <w:szCs w:val="24"/>
        </w:rPr>
        <w:t>通用合同条款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中明确指出</w:t>
      </w:r>
      <w:r>
        <w:rPr>
          <w:rFonts w:ascii="Courier New" w:hAnsi="Courier New" w:eastAsia="Courier New" w:cs="Courier New"/>
          <w:color w:val="auto"/>
          <w:sz w:val="24"/>
          <w:szCs w:val="24"/>
        </w:rPr>
        <w:t>“</w:t>
      </w:r>
      <w:r>
        <w:rPr>
          <w:rFonts w:ascii="新宋体" w:hAnsi="新宋体" w:eastAsia="新宋体" w:cs="新宋体"/>
          <w:color w:val="auto"/>
          <w:sz w:val="24"/>
          <w:szCs w:val="24"/>
        </w:rPr>
        <w:t>专用合同条款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可对</w:t>
      </w:r>
      <w:r>
        <w:rPr>
          <w:rFonts w:ascii="Courier New" w:hAnsi="Courier New" w:eastAsia="Courier New" w:cs="Courier New"/>
          <w:color w:val="auto"/>
          <w:sz w:val="24"/>
          <w:szCs w:val="24"/>
        </w:rPr>
        <w:t>“</w:t>
      </w:r>
      <w:r>
        <w:rPr>
          <w:rFonts w:ascii="新宋体" w:hAnsi="新宋体" w:eastAsia="新宋体" w:cs="新宋体"/>
          <w:color w:val="auto"/>
          <w:sz w:val="24"/>
          <w:szCs w:val="24"/>
        </w:rPr>
        <w:t>通用合同条款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进行修改的内容</w:t>
      </w:r>
      <w:r>
        <w:rPr>
          <w:rFonts w:ascii="Courier New" w:hAnsi="Courier New" w:eastAsia="Courier New" w:cs="Courier New"/>
          <w:color w:val="auto"/>
          <w:sz w:val="24"/>
          <w:szCs w:val="24"/>
        </w:rPr>
        <w:t>(</w:t>
      </w:r>
      <w:r>
        <w:rPr>
          <w:rFonts w:ascii="新宋体" w:hAnsi="新宋体" w:eastAsia="新宋体" w:cs="新宋体"/>
          <w:color w:val="auto"/>
          <w:sz w:val="24"/>
          <w:szCs w:val="24"/>
        </w:rPr>
        <w:t>在</w:t>
      </w:r>
      <w:r>
        <w:rPr>
          <w:rFonts w:ascii="Courier New" w:hAnsi="Courier New" w:eastAsia="Courier New" w:cs="Courier New"/>
          <w:color w:val="auto"/>
          <w:sz w:val="24"/>
          <w:szCs w:val="24"/>
        </w:rPr>
        <w:t>“</w:t>
      </w:r>
      <w:r>
        <w:rPr>
          <w:rFonts w:ascii="新宋体" w:hAnsi="新宋体" w:eastAsia="新宋体" w:cs="新宋体"/>
          <w:color w:val="auto"/>
          <w:sz w:val="24"/>
          <w:szCs w:val="24"/>
        </w:rPr>
        <w:t>通用合同条款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中用</w:t>
      </w:r>
      <w:r>
        <w:rPr>
          <w:rFonts w:ascii="Courier New" w:hAnsi="Courier New" w:eastAsia="Courier New" w:cs="Courier New"/>
          <w:color w:val="auto"/>
          <w:sz w:val="24"/>
          <w:szCs w:val="24"/>
        </w:rPr>
        <w:t>“</w:t>
      </w:r>
      <w:r>
        <w:rPr>
          <w:rFonts w:ascii="新宋体" w:hAnsi="新宋体" w:eastAsia="新宋体" w:cs="新宋体"/>
          <w:color w:val="auto"/>
          <w:sz w:val="24"/>
          <w:szCs w:val="24"/>
        </w:rPr>
        <w:t>应按合同约定</w:t>
      </w:r>
      <w:r>
        <w:rPr>
          <w:rFonts w:ascii="Courier New" w:hAnsi="Courier New" w:eastAsia="Courier New" w:cs="Courier New"/>
          <w:color w:val="auto"/>
          <w:sz w:val="24"/>
          <w:szCs w:val="24"/>
        </w:rPr>
        <w:t>”</w:t>
      </w:r>
      <w:r>
        <w:rPr>
          <w:rFonts w:ascii="新宋体" w:hAnsi="新宋体" w:eastAsia="新宋体" w:cs="新宋体"/>
          <w:color w:val="auto"/>
          <w:sz w:val="24"/>
          <w:szCs w:val="24"/>
        </w:rPr>
        <w:t>、</w:t>
      </w:r>
      <w:r>
        <w:rPr>
          <w:rFonts w:ascii="Courier New" w:hAnsi="Courier New" w:eastAsia="Courier New" w:cs="Courier New"/>
          <w:color w:val="auto"/>
          <w:sz w:val="24"/>
          <w:szCs w:val="24"/>
        </w:rPr>
        <w:t>“</w:t>
      </w:r>
      <w:r>
        <w:rPr>
          <w:rFonts w:ascii="新宋体" w:hAnsi="新宋体" w:eastAsia="新宋体" w:cs="新宋体"/>
          <w:color w:val="auto"/>
          <w:sz w:val="24"/>
          <w:szCs w:val="24"/>
        </w:rPr>
        <w:t>应按专用合同条款约定</w:t>
      </w:r>
      <w:r>
        <w:rPr>
          <w:rFonts w:ascii="Courier New" w:hAnsi="Courier New" w:eastAsia="Courier New" w:cs="Courier New"/>
          <w:color w:val="auto"/>
          <w:sz w:val="24"/>
          <w:szCs w:val="24"/>
        </w:rPr>
        <w:t>” “</w:t>
      </w:r>
      <w:r>
        <w:rPr>
          <w:rFonts w:ascii="新宋体" w:hAnsi="新宋体" w:eastAsia="新宋体" w:cs="新宋体"/>
          <w:color w:val="auto"/>
          <w:sz w:val="24"/>
          <w:szCs w:val="24"/>
        </w:rPr>
        <w:t>除合同另有约定外</w:t>
      </w:r>
      <w:r>
        <w:rPr>
          <w:rFonts w:ascii="Courier New" w:hAnsi="Courier New" w:eastAsia="Courier New" w:cs="Courier New"/>
          <w:color w:val="auto"/>
          <w:sz w:val="24"/>
          <w:szCs w:val="24"/>
        </w:rPr>
        <w:t>”</w:t>
      </w:r>
      <w:r>
        <w:rPr>
          <w:rFonts w:ascii="新宋体" w:hAnsi="新宋体" w:eastAsia="新宋体" w:cs="新宋体"/>
          <w:color w:val="auto"/>
          <w:sz w:val="24"/>
          <w:szCs w:val="24"/>
        </w:rPr>
        <w:t>、</w:t>
      </w:r>
      <w:r>
        <w:rPr>
          <w:rFonts w:ascii="Courier New" w:hAnsi="Courier New" w:eastAsia="Courier New" w:cs="Courier New"/>
          <w:color w:val="auto"/>
          <w:sz w:val="24"/>
          <w:szCs w:val="24"/>
        </w:rPr>
        <w:t>“</w:t>
      </w:r>
      <w:r>
        <w:rPr>
          <w:rFonts w:ascii="新宋体" w:hAnsi="新宋体" w:eastAsia="新宋体" w:cs="新宋体"/>
          <w:color w:val="auto"/>
          <w:sz w:val="24"/>
          <w:szCs w:val="24"/>
        </w:rPr>
        <w:t>除专用合同条款另有约定外</w:t>
      </w:r>
      <w:r>
        <w:rPr>
          <w:rFonts w:ascii="Courier New" w:hAnsi="Courier New" w:eastAsia="Courier New" w:cs="Courier New"/>
          <w:color w:val="auto"/>
          <w:sz w:val="24"/>
          <w:szCs w:val="24"/>
        </w:rPr>
        <w:t>”</w:t>
      </w:r>
      <w:r>
        <w:rPr>
          <w:rFonts w:ascii="新宋体" w:hAnsi="新宋体" w:eastAsia="新宋体" w:cs="新宋体"/>
          <w:color w:val="auto"/>
          <w:sz w:val="24"/>
          <w:szCs w:val="24"/>
        </w:rPr>
        <w:t>、</w:t>
      </w:r>
      <w:r>
        <w:rPr>
          <w:rFonts w:ascii="Courier New" w:hAnsi="Courier New" w:eastAsia="Courier New" w:cs="Courier New"/>
          <w:color w:val="auto"/>
          <w:sz w:val="24"/>
          <w:szCs w:val="24"/>
        </w:rPr>
        <w:t>“</w:t>
      </w:r>
      <w:r>
        <w:rPr>
          <w:rFonts w:ascii="新宋体" w:hAnsi="新宋体" w:eastAsia="新宋体" w:cs="新宋体"/>
          <w:color w:val="auto"/>
          <w:sz w:val="24"/>
          <w:szCs w:val="24"/>
        </w:rPr>
        <w:t>在专用合同条款中约定</w:t>
      </w:r>
      <w:r>
        <w:rPr>
          <w:rFonts w:ascii="Courier New" w:hAnsi="Courier New" w:eastAsia="Courier New" w:cs="Courier New"/>
          <w:color w:val="auto"/>
          <w:sz w:val="24"/>
          <w:szCs w:val="24"/>
        </w:rPr>
        <w:t>”</w:t>
      </w:r>
      <w:r>
        <w:rPr>
          <w:rFonts w:ascii="新宋体" w:hAnsi="新宋体" w:eastAsia="新宋体" w:cs="新宋体"/>
          <w:color w:val="auto"/>
          <w:sz w:val="24"/>
          <w:szCs w:val="24"/>
        </w:rPr>
        <w:t>等多种文字形式表达</w:t>
      </w:r>
      <w:r>
        <w:rPr>
          <w:rFonts w:ascii="Courier New" w:hAnsi="Courier New" w:eastAsia="Courier New" w:cs="Courier New"/>
          <w:color w:val="auto"/>
          <w:sz w:val="24"/>
          <w:szCs w:val="24"/>
        </w:rPr>
        <w:t>)</w:t>
      </w:r>
      <w:r>
        <w:rPr>
          <w:rFonts w:ascii="新宋体" w:hAnsi="新宋体" w:eastAsia="新宋体" w:cs="新宋体"/>
          <w:color w:val="auto"/>
          <w:sz w:val="24"/>
          <w:szCs w:val="24"/>
        </w:rPr>
        <w:t>；</w:t>
      </w:r>
    </w:p>
    <w:p>
      <w:pPr>
        <w:spacing w:after="0" w:line="285" w:lineRule="exact"/>
        <w:rPr>
          <w:color w:val="auto"/>
          <w:sz w:val="20"/>
          <w:szCs w:val="20"/>
        </w:rPr>
      </w:pPr>
    </w:p>
    <w:p>
      <w:pPr>
        <w:spacing w:after="0" w:line="359" w:lineRule="exact"/>
        <w:ind w:left="200" w:right="144" w:firstLine="720"/>
        <w:jc w:val="both"/>
        <w:rPr>
          <w:color w:val="auto"/>
          <w:sz w:val="20"/>
          <w:szCs w:val="20"/>
        </w:rPr>
      </w:pPr>
      <w:r>
        <w:rPr>
          <w:rFonts w:ascii="Courier New" w:hAnsi="Courier New" w:eastAsia="Courier New" w:cs="Courier New"/>
          <w:color w:val="auto"/>
          <w:sz w:val="24"/>
          <w:szCs w:val="24"/>
        </w:rPr>
        <w:t>(2)“</w:t>
      </w:r>
      <w:r>
        <w:rPr>
          <w:rFonts w:ascii="新宋体" w:hAnsi="新宋体" w:eastAsia="新宋体" w:cs="新宋体"/>
          <w:color w:val="auto"/>
          <w:sz w:val="24"/>
          <w:szCs w:val="24"/>
        </w:rPr>
        <w:t>公路工程专用合同条款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中明确指出</w:t>
      </w:r>
      <w:r>
        <w:rPr>
          <w:rFonts w:ascii="Courier New" w:hAnsi="Courier New" w:eastAsia="Courier New" w:cs="Courier New"/>
          <w:color w:val="auto"/>
          <w:sz w:val="24"/>
          <w:szCs w:val="24"/>
        </w:rPr>
        <w:t>“</w:t>
      </w:r>
      <w:r>
        <w:rPr>
          <w:rFonts w:ascii="新宋体" w:hAnsi="新宋体" w:eastAsia="新宋体" w:cs="新宋体"/>
          <w:color w:val="auto"/>
          <w:sz w:val="24"/>
          <w:szCs w:val="24"/>
        </w:rPr>
        <w:t>项目专用合同条款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可对</w:t>
      </w:r>
      <w:r>
        <w:rPr>
          <w:rFonts w:ascii="Courier New" w:hAnsi="Courier New" w:eastAsia="Courier New" w:cs="Courier New"/>
          <w:color w:val="auto"/>
          <w:sz w:val="24"/>
          <w:szCs w:val="24"/>
        </w:rPr>
        <w:t>“</w:t>
      </w:r>
      <w:r>
        <w:rPr>
          <w:rFonts w:ascii="新宋体" w:hAnsi="新宋体" w:eastAsia="新宋体" w:cs="新宋体"/>
          <w:color w:val="auto"/>
          <w:sz w:val="24"/>
          <w:szCs w:val="24"/>
        </w:rPr>
        <w:t>公路工程专用合同条款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进行修改的内容</w:t>
      </w:r>
      <w:r>
        <w:rPr>
          <w:rFonts w:ascii="Courier New" w:hAnsi="Courier New" w:eastAsia="Courier New" w:cs="Courier New"/>
          <w:color w:val="auto"/>
          <w:sz w:val="24"/>
          <w:szCs w:val="24"/>
        </w:rPr>
        <w:t>(</w:t>
      </w:r>
      <w:r>
        <w:rPr>
          <w:rFonts w:ascii="新宋体" w:hAnsi="新宋体" w:eastAsia="新宋体" w:cs="新宋体"/>
          <w:color w:val="auto"/>
          <w:sz w:val="24"/>
          <w:szCs w:val="24"/>
        </w:rPr>
        <w:t>在</w:t>
      </w:r>
      <w:r>
        <w:rPr>
          <w:rFonts w:ascii="Courier New" w:hAnsi="Courier New" w:eastAsia="Courier New" w:cs="Courier New"/>
          <w:color w:val="auto"/>
          <w:sz w:val="24"/>
          <w:szCs w:val="24"/>
        </w:rPr>
        <w:t>“</w:t>
      </w:r>
      <w:r>
        <w:rPr>
          <w:rFonts w:ascii="新宋体" w:hAnsi="新宋体" w:eastAsia="新宋体" w:cs="新宋体"/>
          <w:color w:val="auto"/>
          <w:sz w:val="24"/>
          <w:szCs w:val="24"/>
        </w:rPr>
        <w:t>公路工程专用合同条款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中用</w:t>
      </w:r>
      <w:r>
        <w:rPr>
          <w:rFonts w:ascii="Courier New" w:hAnsi="Courier New" w:eastAsia="Courier New" w:cs="Courier New"/>
          <w:color w:val="auto"/>
          <w:sz w:val="24"/>
          <w:szCs w:val="24"/>
        </w:rPr>
        <w:t>“</w:t>
      </w:r>
      <w:r>
        <w:rPr>
          <w:rFonts w:ascii="新宋体" w:hAnsi="新宋体" w:eastAsia="新宋体" w:cs="新宋体"/>
          <w:color w:val="auto"/>
          <w:sz w:val="24"/>
          <w:szCs w:val="24"/>
        </w:rPr>
        <w:t>除项目专用合同条款另有约定外</w:t>
      </w:r>
      <w:r>
        <w:rPr>
          <w:rFonts w:ascii="Courier New" w:hAnsi="Courier New" w:eastAsia="Courier New" w:cs="Courier New"/>
          <w:color w:val="auto"/>
          <w:sz w:val="24"/>
          <w:szCs w:val="24"/>
        </w:rPr>
        <w:t>”</w:t>
      </w:r>
      <w:r>
        <w:rPr>
          <w:rFonts w:ascii="新宋体" w:hAnsi="新宋体" w:eastAsia="新宋体" w:cs="新宋体"/>
          <w:color w:val="auto"/>
          <w:sz w:val="24"/>
          <w:szCs w:val="24"/>
        </w:rPr>
        <w:t>，</w:t>
      </w:r>
      <w:r>
        <w:rPr>
          <w:rFonts w:ascii="Courier New" w:hAnsi="Courier New" w:eastAsia="Courier New" w:cs="Courier New"/>
          <w:color w:val="auto"/>
          <w:sz w:val="24"/>
          <w:szCs w:val="24"/>
        </w:rPr>
        <w:t>“</w:t>
      </w:r>
      <w:r>
        <w:rPr>
          <w:rFonts w:ascii="新宋体" w:hAnsi="新宋体" w:eastAsia="新宋体" w:cs="新宋体"/>
          <w:color w:val="auto"/>
          <w:sz w:val="24"/>
          <w:szCs w:val="24"/>
        </w:rPr>
        <w:t>项目专用合同条款可能约定的</w:t>
      </w:r>
      <w:r>
        <w:rPr>
          <w:rFonts w:ascii="Courier New" w:hAnsi="Courier New" w:eastAsia="Courier New" w:cs="Courier New"/>
          <w:color w:val="auto"/>
          <w:sz w:val="24"/>
          <w:szCs w:val="24"/>
        </w:rPr>
        <w:t>”</w:t>
      </w:r>
      <w:r>
        <w:rPr>
          <w:rFonts w:ascii="新宋体" w:hAnsi="新宋体" w:eastAsia="新宋体" w:cs="新宋体"/>
          <w:color w:val="auto"/>
          <w:sz w:val="24"/>
          <w:szCs w:val="24"/>
        </w:rPr>
        <w:t>，</w:t>
      </w:r>
      <w:r>
        <w:rPr>
          <w:rFonts w:ascii="Courier New" w:hAnsi="Courier New" w:eastAsia="Courier New" w:cs="Courier New"/>
          <w:color w:val="auto"/>
          <w:sz w:val="24"/>
          <w:szCs w:val="24"/>
        </w:rPr>
        <w:t>“</w:t>
      </w:r>
      <w:r>
        <w:rPr>
          <w:rFonts w:ascii="新宋体" w:hAnsi="新宋体" w:eastAsia="新宋体" w:cs="新宋体"/>
          <w:color w:val="auto"/>
          <w:sz w:val="24"/>
          <w:szCs w:val="24"/>
        </w:rPr>
        <w:t>项目专用合同条款约定的其他情形</w:t>
      </w:r>
      <w:r>
        <w:rPr>
          <w:rFonts w:ascii="Courier New" w:hAnsi="Courier New" w:eastAsia="Courier New" w:cs="Courier New"/>
          <w:color w:val="auto"/>
          <w:sz w:val="24"/>
          <w:szCs w:val="24"/>
        </w:rPr>
        <w:t>”</w:t>
      </w:r>
      <w:r>
        <w:rPr>
          <w:rFonts w:ascii="新宋体" w:hAnsi="新宋体" w:eastAsia="新宋体" w:cs="新宋体"/>
          <w:color w:val="auto"/>
          <w:sz w:val="24"/>
          <w:szCs w:val="24"/>
        </w:rPr>
        <w:t>等多种文字形式表达</w:t>
      </w:r>
      <w:r>
        <w:rPr>
          <w:rFonts w:ascii="Courier New" w:hAnsi="Courier New" w:eastAsia="Courier New" w:cs="Courier New"/>
          <w:color w:val="auto"/>
          <w:sz w:val="24"/>
          <w:szCs w:val="24"/>
        </w:rPr>
        <w:t>)</w:t>
      </w:r>
      <w:r>
        <w:rPr>
          <w:rFonts w:ascii="新宋体" w:hAnsi="新宋体" w:eastAsia="新宋体" w:cs="新宋体"/>
          <w:color w:val="auto"/>
          <w:sz w:val="24"/>
          <w:szCs w:val="24"/>
        </w:rPr>
        <w:t>。</w:t>
      </w:r>
    </w:p>
    <w:p>
      <w:pPr>
        <w:spacing w:after="0" w:line="210" w:lineRule="exact"/>
        <w:rPr>
          <w:color w:val="auto"/>
          <w:sz w:val="20"/>
          <w:szCs w:val="20"/>
        </w:rPr>
      </w:pPr>
    </w:p>
    <w:p>
      <w:pPr>
        <w:spacing w:after="0" w:line="313" w:lineRule="exact"/>
        <w:ind w:left="920"/>
        <w:rPr>
          <w:color w:val="auto"/>
          <w:sz w:val="20"/>
          <w:szCs w:val="20"/>
        </w:rPr>
      </w:pPr>
      <w:r>
        <w:rPr>
          <w:rFonts w:ascii="Courier New" w:hAnsi="Courier New" w:eastAsia="Courier New" w:cs="Courier New"/>
          <w:color w:val="auto"/>
          <w:sz w:val="24"/>
          <w:szCs w:val="24"/>
        </w:rPr>
        <w:t>(3)</w:t>
      </w:r>
      <w:r>
        <w:rPr>
          <w:rFonts w:ascii="新宋体" w:hAnsi="新宋体" w:eastAsia="新宋体" w:cs="新宋体"/>
          <w:color w:val="auto"/>
          <w:sz w:val="24"/>
          <w:szCs w:val="24"/>
        </w:rPr>
        <w:t>其他需要补充、细化的内容。</w:t>
      </w:r>
    </w:p>
    <w:p>
      <w:pPr>
        <w:sectPr>
          <w:pgSz w:w="11900" w:h="16840"/>
          <w:pgMar w:top="1247" w:right="1247" w:bottom="1247" w:left="1361" w:header="0" w:footer="0" w:gutter="0"/>
          <w:pgBorders>
            <w:top w:val="none" w:sz="0" w:space="0"/>
            <w:left w:val="none" w:sz="0" w:space="0"/>
            <w:bottom w:val="none" w:sz="0" w:space="0"/>
            <w:right w:val="none" w:sz="0" w:space="0"/>
          </w:pgBorders>
          <w:cols w:equalWidth="0" w:num="1">
            <w:col w:w="9024"/>
          </w:cols>
          <w:rtlGutter w:val="0"/>
          <w:docGrid w:linePitch="0" w:charSpace="0"/>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2" w:lineRule="exact"/>
        <w:rPr>
          <w:color w:val="auto"/>
          <w:sz w:val="20"/>
          <w:szCs w:val="20"/>
        </w:rPr>
      </w:pPr>
    </w:p>
    <w:p>
      <w:pPr>
        <w:spacing w:after="0"/>
        <w:ind w:left="200"/>
        <w:sectPr>
          <w:type w:val="continuous"/>
          <w:pgSz w:w="11900" w:h="16840"/>
          <w:pgMar w:top="1247" w:right="1247" w:bottom="1247" w:left="1361" w:header="0" w:footer="0" w:gutter="0"/>
          <w:pgBorders>
            <w:top w:val="none" w:sz="0" w:space="0"/>
            <w:left w:val="none" w:sz="0" w:space="0"/>
            <w:bottom w:val="none" w:sz="0" w:space="0"/>
            <w:right w:val="none" w:sz="0" w:space="0"/>
          </w:pgBorders>
          <w:cols w:equalWidth="0" w:num="1">
            <w:col w:w="9024"/>
          </w:cols>
          <w:rtlGutter w:val="0"/>
          <w:docGrid w:linePitch="0" w:charSpace="0"/>
        </w:sectPr>
      </w:pPr>
    </w:p>
    <w:p>
      <w:pPr>
        <w:spacing w:after="0" w:line="384" w:lineRule="exact"/>
        <w:rPr>
          <w:color w:val="auto"/>
          <w:sz w:val="20"/>
          <w:szCs w:val="20"/>
        </w:rPr>
      </w:pPr>
      <w:bookmarkStart w:id="55" w:name="page197"/>
      <w:bookmarkEnd w:id="55"/>
    </w:p>
    <w:p>
      <w:pPr>
        <w:spacing w:after="0" w:line="366" w:lineRule="exact"/>
        <w:ind w:right="60"/>
        <w:jc w:val="center"/>
        <w:rPr>
          <w:color w:val="auto"/>
          <w:sz w:val="20"/>
          <w:szCs w:val="20"/>
        </w:rPr>
      </w:pPr>
      <w:r>
        <w:rPr>
          <w:rFonts w:ascii="黑体" w:hAnsi="黑体" w:eastAsia="黑体" w:cs="黑体"/>
          <w:color w:val="auto"/>
          <w:sz w:val="32"/>
          <w:szCs w:val="32"/>
        </w:rPr>
        <w:t>项目专用合同条款数据表</w:t>
      </w:r>
    </w:p>
    <w:p>
      <w:pPr>
        <w:spacing w:after="0" w:line="200" w:lineRule="exact"/>
        <w:rPr>
          <w:color w:val="auto"/>
          <w:sz w:val="20"/>
          <w:szCs w:val="20"/>
        </w:rPr>
      </w:pPr>
    </w:p>
    <w:p>
      <w:pPr>
        <w:spacing w:after="0" w:line="211" w:lineRule="exact"/>
        <w:rPr>
          <w:color w:val="auto"/>
          <w:sz w:val="20"/>
          <w:szCs w:val="20"/>
        </w:rPr>
      </w:pPr>
    </w:p>
    <w:p>
      <w:pPr>
        <w:spacing w:after="0" w:line="360" w:lineRule="exact"/>
        <w:ind w:left="860" w:right="140" w:hanging="659"/>
        <w:rPr>
          <w:color w:val="auto"/>
          <w:sz w:val="20"/>
          <w:szCs w:val="20"/>
        </w:rPr>
      </w:pPr>
      <w:r>
        <w:rPr>
          <w:rFonts w:ascii="黑体" w:hAnsi="黑体" w:eastAsia="黑体" w:cs="黑体"/>
          <w:color w:val="auto"/>
          <w:sz w:val="24"/>
          <w:szCs w:val="24"/>
        </w:rPr>
        <w:t>说明：</w:t>
      </w:r>
      <w:r>
        <w:rPr>
          <w:rFonts w:ascii="新宋体" w:hAnsi="新宋体" w:eastAsia="新宋体" w:cs="新宋体"/>
          <w:color w:val="auto"/>
          <w:sz w:val="24"/>
          <w:szCs w:val="24"/>
        </w:rPr>
        <w:t>本数据表是项目专用合同条款中适用于本项目的信息和数据的归纳与提示，是项目专用合同条款的组成部分。第九章</w:t>
      </w:r>
      <w:r>
        <w:rPr>
          <w:rFonts w:ascii="Courier New" w:hAnsi="Courier New" w:eastAsia="Courier New" w:cs="Courier New"/>
          <w:color w:val="auto"/>
          <w:sz w:val="24"/>
          <w:szCs w:val="24"/>
        </w:rPr>
        <w:t>“</w:t>
      </w:r>
      <w:r>
        <w:rPr>
          <w:rFonts w:ascii="新宋体" w:hAnsi="新宋体" w:eastAsia="新宋体" w:cs="新宋体"/>
          <w:color w:val="auto"/>
          <w:sz w:val="24"/>
          <w:szCs w:val="24"/>
        </w:rPr>
        <w:t>投标文件格式</w:t>
      </w:r>
      <w:r>
        <w:rPr>
          <w:rFonts w:ascii="Courier New" w:hAnsi="Courier New" w:eastAsia="Courier New" w:cs="Courier New"/>
          <w:color w:val="auto"/>
          <w:sz w:val="24"/>
          <w:szCs w:val="24"/>
        </w:rPr>
        <w:t>”</w:t>
      </w:r>
      <w:r>
        <w:rPr>
          <w:rFonts w:ascii="新宋体" w:hAnsi="新宋体" w:eastAsia="新宋体" w:cs="新宋体"/>
          <w:color w:val="auto"/>
          <w:sz w:val="24"/>
          <w:szCs w:val="24"/>
        </w:rPr>
        <w:t>的投标函附录中的数据</w:t>
      </w:r>
      <w:r>
        <w:rPr>
          <w:rFonts w:ascii="Courier New" w:hAnsi="Courier New" w:eastAsia="Courier New" w:cs="Courier New"/>
          <w:color w:val="auto"/>
          <w:sz w:val="24"/>
          <w:szCs w:val="24"/>
        </w:rPr>
        <w:t>(</w:t>
      </w:r>
      <w:r>
        <w:rPr>
          <w:rFonts w:ascii="新宋体" w:hAnsi="新宋体" w:eastAsia="新宋体" w:cs="新宋体"/>
          <w:color w:val="auto"/>
          <w:sz w:val="24"/>
          <w:szCs w:val="24"/>
        </w:rPr>
        <w:t>供投标人确认</w:t>
      </w:r>
      <w:r>
        <w:rPr>
          <w:rFonts w:ascii="Courier New" w:hAnsi="Courier New" w:eastAsia="Courier New" w:cs="Courier New"/>
          <w:color w:val="auto"/>
          <w:sz w:val="24"/>
          <w:szCs w:val="24"/>
        </w:rPr>
        <w:t>)</w:t>
      </w:r>
      <w:r>
        <w:rPr>
          <w:rFonts w:ascii="新宋体" w:hAnsi="新宋体" w:eastAsia="新宋体" w:cs="新宋体"/>
          <w:color w:val="auto"/>
          <w:sz w:val="24"/>
          <w:szCs w:val="24"/>
        </w:rPr>
        <w:t>与本表所列有重复。编写招标文件的单位应仔细校核，不使数据出现差错或不一致。</w:t>
      </w:r>
    </w:p>
    <w:p>
      <w:pPr>
        <w:spacing w:after="0" w:line="200" w:lineRule="exact"/>
        <w:rPr>
          <w:color w:val="auto"/>
          <w:sz w:val="20"/>
          <w:szCs w:val="20"/>
        </w:rPr>
      </w:pPr>
    </w:p>
    <w:tbl>
      <w:tblPr>
        <w:tblStyle w:val="10"/>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23"/>
        <w:gridCol w:w="1237"/>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序号</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条目号</w:t>
            </w:r>
          </w:p>
        </w:tc>
        <w:tc>
          <w:tcPr>
            <w:tcW w:w="70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01"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1.1.2.2</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Chars="100" w:right="0" w:rightChars="0" w:firstLine="0" w:firstLineChars="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发包人：</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地  址：                   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1"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1.1.2.6</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Chars="100" w:right="0" w:rightChars="0" w:firstLine="0" w:firstLineChars="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监理人：</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地  址：                   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1.1.4.5</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Chars="100" w:right="0" w:rightChars="0" w:firstLine="0" w:firstLineChars="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缺陷责任期：自实际交工日期起计算</w:t>
            </w:r>
            <w:r>
              <w:rPr>
                <w:rStyle w:val="14"/>
                <w:rFonts w:hint="eastAsia" w:asciiTheme="minorEastAsia" w:hAnsiTheme="minorEastAsia" w:eastAsiaTheme="minorEastAsia" w:cstheme="minorEastAsia"/>
                <w:sz w:val="18"/>
                <w:szCs w:val="18"/>
                <w:lang w:val="en-US" w:eastAsia="zh-CN" w:bidi="ar"/>
              </w:rPr>
              <w:t xml:space="preserve">    </w:t>
            </w:r>
            <w:r>
              <w:rPr>
                <w:rStyle w:val="15"/>
                <w:rFonts w:hint="eastAsia" w:asciiTheme="minorEastAsia" w:hAnsiTheme="minorEastAsia" w:eastAsiaTheme="minorEastAsia" w:cstheme="minorEastAsia"/>
                <w:sz w:val="18"/>
                <w:szCs w:val="18"/>
                <w:lang w:val="en-US" w:eastAsia="zh-CN" w:bidi="ar"/>
              </w:rPr>
              <w:t>年</w:t>
            </w:r>
            <w:r>
              <w:rPr>
                <w:rStyle w:val="15"/>
                <w:rFonts w:hint="eastAsia" w:asciiTheme="minorEastAsia" w:hAnsiTheme="minorEastAsia" w:eastAsiaTheme="minorEastAsia" w:cstheme="minorEastAsia"/>
                <w:sz w:val="18"/>
                <w:szCs w:val="18"/>
                <w:vertAlign w:val="superscript"/>
                <w:lang w:val="en-US" w:eastAsia="zh-CN" w:bidi="ar"/>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2"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Chars="100" w:right="0" w:rightChars="0" w:firstLine="0" w:firstLineChars="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图纸需要修改和补充的，应由监理人取得发包人同意后，在该工程或工程相应部位施工前</w:t>
            </w:r>
            <w:r>
              <w:rPr>
                <w:rStyle w:val="14"/>
                <w:rFonts w:hint="eastAsia" w:asciiTheme="minorEastAsia" w:hAnsiTheme="minorEastAsia" w:eastAsiaTheme="minorEastAsia" w:cstheme="minorEastAsia"/>
                <w:sz w:val="18"/>
                <w:szCs w:val="18"/>
                <w:lang w:val="en-US" w:eastAsia="zh-CN" w:bidi="ar"/>
              </w:rPr>
              <w:t xml:space="preserve">    </w:t>
            </w:r>
            <w:r>
              <w:rPr>
                <w:rStyle w:val="15"/>
                <w:rFonts w:hint="eastAsia" w:asciiTheme="minorEastAsia" w:hAnsiTheme="minorEastAsia" w:eastAsiaTheme="minorEastAsia" w:cstheme="minorEastAsia"/>
                <w:sz w:val="18"/>
                <w:szCs w:val="18"/>
                <w:lang w:val="en-US" w:eastAsia="zh-CN" w:bidi="ar"/>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1"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3.1.1</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229" w:leftChars="104" w:right="0" w:rightChars="0" w:firstLine="0" w:firstLineChars="0"/>
              <w:jc w:val="left"/>
              <w:textAlignment w:val="center"/>
              <w:outlineLvl w:val="9"/>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监理人在行使下列权力前需要经发包人事先批准：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(6)根据第 15.3 款发出的变更指示，其单项工程变更涉及的金额超过了该单项工程签</w:t>
            </w:r>
          </w:p>
          <w:p>
            <w:pPr>
              <w:keepNext w:val="0"/>
              <w:keepLines w:val="0"/>
              <w:pageBreakBefore w:val="0"/>
              <w:widowControl/>
              <w:suppressLineNumbers w:val="0"/>
              <w:kinsoku/>
              <w:wordWrap/>
              <w:overflowPunct/>
              <w:topLinePunct w:val="0"/>
              <w:autoSpaceDE/>
              <w:autoSpaceDN/>
              <w:bidi w:val="0"/>
              <w:adjustRightInd/>
              <w:snapToGrid/>
              <w:spacing w:line="320" w:lineRule="exact"/>
              <w:ind w:right="0" w:rightChars="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约时合同价的</w:t>
            </w:r>
            <w:r>
              <w:rPr>
                <w:rStyle w:val="16"/>
                <w:rFonts w:hint="eastAsia" w:asciiTheme="minorEastAsia" w:hAnsiTheme="minorEastAsia" w:eastAsiaTheme="minorEastAsia" w:cstheme="minorEastAsia"/>
                <w:sz w:val="18"/>
                <w:szCs w:val="18"/>
                <w:lang w:val="en-US" w:eastAsia="zh-CN" w:bidi="ar"/>
              </w:rPr>
              <w:t xml:space="preserve">  </w:t>
            </w:r>
            <w:r>
              <w:rPr>
                <w:rStyle w:val="17"/>
                <w:rFonts w:hint="eastAsia" w:asciiTheme="minorEastAsia" w:hAnsiTheme="minorEastAsia" w:eastAsiaTheme="minorEastAsia" w:cstheme="minorEastAsia"/>
                <w:sz w:val="18"/>
                <w:szCs w:val="18"/>
                <w:lang w:val="en-US" w:eastAsia="zh-CN" w:bidi="ar"/>
              </w:rPr>
              <w:t>%或累计变更超过了签约合同价的</w:t>
            </w:r>
            <w:r>
              <w:rPr>
                <w:rStyle w:val="16"/>
                <w:rFonts w:hint="eastAsia" w:asciiTheme="minorEastAsia" w:hAnsiTheme="minorEastAsia" w:eastAsiaTheme="minorEastAsia" w:cstheme="minorEastAsia"/>
                <w:sz w:val="18"/>
                <w:szCs w:val="18"/>
                <w:lang w:val="en-US" w:eastAsia="zh-CN" w:bidi="ar"/>
              </w:rPr>
              <w:t xml:space="preserve">  </w:t>
            </w:r>
            <w:r>
              <w:rPr>
                <w:rStyle w:val="17"/>
                <w:rFonts w:hint="eastAsia" w:asciiTheme="minorEastAsia" w:hAnsiTheme="minorEastAsia" w:eastAsiaTheme="minorEastAsia" w:cstheme="minorEastAsia"/>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6"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5.2.1</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Chars="100" w:right="0" w:rightChars="0" w:firstLine="0" w:firstLineChars="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发包人是否提供材料或工程设备： </w:t>
            </w:r>
            <w:r>
              <w:rPr>
                <w:rFonts w:hint="eastAsia" w:asciiTheme="minorEastAsia" w:hAnsiTheme="minorEastAsia" w:eastAsiaTheme="minorEastAsia" w:cstheme="minorEastAsia"/>
                <w:i w:val="0"/>
                <w:color w:val="000000"/>
                <w:kern w:val="0"/>
                <w:sz w:val="18"/>
                <w:szCs w:val="18"/>
                <w:u w:val="single"/>
                <w:lang w:val="en-US" w:eastAsia="zh-CN" w:bidi="ar"/>
              </w:rPr>
              <w:t>是或否</w:t>
            </w:r>
            <w:r>
              <w:rPr>
                <w:rFonts w:hint="eastAsia" w:asciiTheme="minorEastAsia" w:hAnsiTheme="minorEastAsia" w:eastAsiaTheme="minorEastAsia" w:cstheme="minorEastAsia"/>
                <w:i w:val="0"/>
                <w:color w:val="000000"/>
                <w:kern w:val="0"/>
                <w:sz w:val="18"/>
                <w:szCs w:val="18"/>
                <w:u w:val="singl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如发包人负责提供部分材料或工程设备，相关规定如下：</w:t>
            </w:r>
            <w:r>
              <w:rPr>
                <w:rStyle w:val="16"/>
                <w:rFonts w:hint="eastAsia" w:asciiTheme="minorEastAsia" w:hAnsiTheme="minorEastAsia" w:eastAsiaTheme="minorEastAsia" w:cstheme="minorEastAsia"/>
                <w:sz w:val="18"/>
                <w:szCs w:val="18"/>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Chars="100" w:right="0" w:rightChars="0" w:firstLine="0" w:firstLineChars="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发包人是否提供施工设备和临时设施： </w:t>
            </w:r>
            <w:r>
              <w:rPr>
                <w:rFonts w:hint="eastAsia" w:asciiTheme="minorEastAsia" w:hAnsiTheme="minorEastAsia" w:eastAsiaTheme="minorEastAsia" w:cstheme="minorEastAsia"/>
                <w:i w:val="0"/>
                <w:color w:val="000000"/>
                <w:kern w:val="0"/>
                <w:sz w:val="18"/>
                <w:szCs w:val="18"/>
                <w:u w:val="single"/>
                <w:lang w:val="en-US" w:eastAsia="zh-CN" w:bidi="ar"/>
              </w:rPr>
              <w:t>是或否</w:t>
            </w:r>
            <w:r>
              <w:rPr>
                <w:rFonts w:hint="eastAsia" w:asciiTheme="minorEastAsia" w:hAnsiTheme="minorEastAsia" w:eastAsiaTheme="minorEastAsia" w:cstheme="minorEastAsia"/>
                <w:i w:val="0"/>
                <w:color w:val="000000"/>
                <w:kern w:val="0"/>
                <w:sz w:val="18"/>
                <w:szCs w:val="18"/>
                <w:u w:val="singl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如发包人负责提供部分施工设备和临时设施，相关规定如下：</w:t>
            </w:r>
            <w:r>
              <w:rPr>
                <w:rStyle w:val="14"/>
                <w:rFonts w:hint="eastAsia" w:asciiTheme="minorEastAsia" w:hAnsiTheme="minorEastAsia" w:eastAsiaTheme="minorEastAsia" w:cstheme="minorEastAsia"/>
                <w:sz w:val="18"/>
                <w:szCs w:val="18"/>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6"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8.1.1</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Chars="100" w:right="0" w:rightChars="0" w:firstLine="0" w:firstLineChars="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发包人提供测量基准点、基准线和水准点及其书面资料的期限：</w:t>
            </w:r>
            <w:r>
              <w:rPr>
                <w:rStyle w:val="14"/>
                <w:rFonts w:hint="eastAsia" w:asciiTheme="minorEastAsia" w:hAnsiTheme="minorEastAsia" w:eastAsiaTheme="minorEastAsia" w:cstheme="minorEastAsia"/>
                <w:sz w:val="18"/>
                <w:szCs w:val="18"/>
                <w:lang w:val="en-US" w:eastAsia="zh-CN" w:bidi="ar"/>
              </w:rPr>
              <w:t xml:space="preserve">         </w:t>
            </w:r>
            <w:r>
              <w:rPr>
                <w:rStyle w:val="14"/>
                <w:rFonts w:hint="eastAsia" w:asciiTheme="minorEastAsia" w:hAnsiTheme="minorEastAsia" w:eastAsiaTheme="minorEastAsia" w:cstheme="minorEastAsia"/>
                <w:sz w:val="18"/>
                <w:szCs w:val="18"/>
                <w:lang w:val="en-US" w:eastAsia="zh-CN" w:bidi="ar"/>
              </w:rPr>
              <w:br w:type="textWrapping"/>
            </w:r>
            <w:r>
              <w:rPr>
                <w:rStyle w:val="15"/>
                <w:rFonts w:hint="eastAsia" w:asciiTheme="minorEastAsia" w:hAnsiTheme="minorEastAsia" w:eastAsiaTheme="minorEastAsia" w:cstheme="minorEastAsia"/>
                <w:sz w:val="18"/>
                <w:szCs w:val="18"/>
                <w:lang w:val="en-US" w:eastAsia="zh-CN" w:bidi="ar"/>
              </w:rPr>
              <w:t>承包人将施工控制网资料报送监理人审批的期限：</w:t>
            </w:r>
            <w:r>
              <w:rPr>
                <w:rStyle w:val="14"/>
                <w:rFonts w:hint="eastAsia" w:asciiTheme="minorEastAsia" w:hAnsiTheme="minorEastAsia" w:eastAsiaTheme="minorEastAsia" w:cstheme="minorEastAsia"/>
                <w:sz w:val="18"/>
                <w:szCs w:val="18"/>
                <w:lang w:val="en-US" w:eastAsia="zh-CN" w:bidi="ar"/>
              </w:rPr>
              <w:t xml:space="preserve">      </w:t>
            </w:r>
            <w:r>
              <w:rPr>
                <w:rStyle w:val="14"/>
                <w:rFonts w:hint="eastAsia" w:asciiTheme="minorEastAsia" w:hAnsiTheme="minorEastAsia" w:cstheme="minorEastAsia"/>
                <w:sz w:val="18"/>
                <w:szCs w:val="18"/>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6"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11.5</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Chars="100" w:right="0" w:rightChars="0" w:firstLine="0" w:firstLineChars="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逾期交工违约金：</w:t>
            </w:r>
            <w:r>
              <w:rPr>
                <w:rStyle w:val="14"/>
                <w:rFonts w:hint="eastAsia" w:asciiTheme="minorEastAsia" w:hAnsiTheme="minorEastAsia" w:eastAsiaTheme="minorEastAsia" w:cstheme="minorEastAsia"/>
                <w:sz w:val="18"/>
                <w:szCs w:val="18"/>
                <w:lang w:val="en-US" w:eastAsia="zh-CN" w:bidi="ar"/>
              </w:rPr>
              <w:t xml:space="preserve">       </w:t>
            </w:r>
            <w:r>
              <w:rPr>
                <w:rStyle w:val="15"/>
                <w:rFonts w:hint="eastAsia" w:asciiTheme="minorEastAsia" w:hAnsiTheme="minorEastAsia" w:eastAsiaTheme="minorEastAsia" w:cstheme="minorEastAsia"/>
                <w:sz w:val="18"/>
                <w:szCs w:val="18"/>
                <w:lang w:val="en-US" w:eastAsia="zh-CN" w:bidi="ar"/>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11.5</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Chars="100" w:right="0" w:rightChars="0" w:firstLine="0" w:firstLineChars="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逾期交工违约金限额：</w:t>
            </w:r>
            <w:r>
              <w:rPr>
                <w:rStyle w:val="14"/>
                <w:rFonts w:hint="eastAsia" w:asciiTheme="minorEastAsia" w:hAnsiTheme="minorEastAsia" w:eastAsiaTheme="minorEastAsia" w:cstheme="minorEastAsia"/>
                <w:sz w:val="18"/>
                <w:szCs w:val="18"/>
                <w:lang w:val="en-US" w:eastAsia="zh-CN" w:bidi="ar"/>
              </w:rPr>
              <w:t xml:space="preserve">     </w:t>
            </w:r>
            <w:r>
              <w:rPr>
                <w:rStyle w:val="15"/>
                <w:rFonts w:hint="eastAsia" w:asciiTheme="minorEastAsia" w:hAnsiTheme="minorEastAsia" w:eastAsiaTheme="minorEastAsia" w:cstheme="minorEastAsia"/>
                <w:sz w:val="18"/>
                <w:szCs w:val="18"/>
                <w:lang w:val="en-US" w:eastAsia="zh-CN" w:bidi="ar"/>
              </w:rPr>
              <w:t>%签约合同价</w:t>
            </w:r>
            <w:r>
              <w:rPr>
                <w:rStyle w:val="15"/>
                <w:rFonts w:hint="eastAsia" w:asciiTheme="minorEastAsia" w:hAnsiTheme="minorEastAsia" w:eastAsiaTheme="minorEastAsia" w:cstheme="minorEastAsia"/>
                <w:sz w:val="18"/>
                <w:szCs w:val="18"/>
                <w:vertAlign w:val="superscript"/>
                <w:lang w:val="en-US" w:eastAsia="zh-CN" w:bidi="ar"/>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11.6</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Chars="100" w:right="0" w:rightChars="0" w:firstLine="0" w:firstLineChars="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提前交工的奖金：</w:t>
            </w:r>
            <w:r>
              <w:rPr>
                <w:rStyle w:val="14"/>
                <w:rFonts w:hint="eastAsia" w:asciiTheme="minorEastAsia" w:hAnsiTheme="minorEastAsia" w:eastAsiaTheme="minorEastAsia" w:cstheme="minorEastAsia"/>
                <w:sz w:val="18"/>
                <w:szCs w:val="18"/>
                <w:lang w:val="en-US" w:eastAsia="zh-CN" w:bidi="ar"/>
              </w:rPr>
              <w:t xml:space="preserve">       </w:t>
            </w:r>
            <w:r>
              <w:rPr>
                <w:rStyle w:val="15"/>
                <w:rFonts w:hint="eastAsia" w:asciiTheme="minorEastAsia" w:hAnsiTheme="minorEastAsia" w:eastAsiaTheme="minorEastAsia" w:cstheme="minorEastAsia"/>
                <w:sz w:val="18"/>
                <w:szCs w:val="18"/>
                <w:lang w:val="en-US" w:eastAsia="zh-CN" w:bidi="ar"/>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9"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11.6</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Chars="100" w:right="0" w:rightChars="0" w:firstLine="0" w:firstLineChars="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提前交工的奖金限额：</w:t>
            </w:r>
            <w:r>
              <w:rPr>
                <w:rStyle w:val="16"/>
                <w:rFonts w:hint="eastAsia" w:asciiTheme="minorEastAsia" w:hAnsiTheme="minorEastAsia" w:eastAsiaTheme="minorEastAsia" w:cstheme="minorEastAsia"/>
                <w:sz w:val="18"/>
                <w:szCs w:val="18"/>
                <w:lang w:val="en-US" w:eastAsia="zh-CN" w:bidi="ar"/>
              </w:rPr>
              <w:t xml:space="preserve">    </w:t>
            </w:r>
            <w:r>
              <w:rPr>
                <w:rStyle w:val="17"/>
                <w:rFonts w:hint="eastAsia" w:asciiTheme="minorEastAsia" w:hAnsiTheme="minorEastAsia" w:eastAsiaTheme="minorEastAsia" w:cstheme="minorEastAsia"/>
                <w:sz w:val="18"/>
                <w:szCs w:val="18"/>
                <w:lang w:val="en-US" w:eastAsia="zh-CN" w:bidi="ar"/>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4"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15.5.2</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Chars="100" w:right="0" w:rightChars="0" w:firstLine="0" w:firstLineChars="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承包人提出的合理化建议降低了合同价格或者提高了工程经济效益的，发包人按所节约成本的</w:t>
            </w:r>
            <w:r>
              <w:rPr>
                <w:rStyle w:val="14"/>
                <w:rFonts w:hint="eastAsia" w:asciiTheme="minorEastAsia" w:hAnsiTheme="minorEastAsia" w:eastAsiaTheme="minorEastAsia" w:cstheme="minorEastAsia"/>
                <w:sz w:val="18"/>
                <w:szCs w:val="18"/>
                <w:lang w:val="en-US" w:eastAsia="zh-CN" w:bidi="ar"/>
              </w:rPr>
              <w:t xml:space="preserve">  </w:t>
            </w:r>
            <w:r>
              <w:rPr>
                <w:rStyle w:val="15"/>
                <w:rFonts w:hint="eastAsia" w:asciiTheme="minorEastAsia" w:hAnsiTheme="minorEastAsia" w:eastAsiaTheme="minorEastAsia" w:cstheme="minorEastAsia"/>
                <w:sz w:val="18"/>
                <w:szCs w:val="18"/>
                <w:lang w:val="en-US" w:eastAsia="zh-CN" w:bidi="ar"/>
              </w:rPr>
              <w:t>%或增加收益的</w:t>
            </w:r>
            <w:r>
              <w:rPr>
                <w:rStyle w:val="14"/>
                <w:rFonts w:hint="eastAsia" w:asciiTheme="minorEastAsia" w:hAnsiTheme="minorEastAsia" w:eastAsiaTheme="minorEastAsia" w:cstheme="minorEastAsia"/>
                <w:sz w:val="18"/>
                <w:szCs w:val="18"/>
                <w:lang w:val="en-US" w:eastAsia="zh-CN" w:bidi="ar"/>
              </w:rPr>
              <w:t xml:space="preserve">  </w:t>
            </w:r>
            <w:r>
              <w:rPr>
                <w:rStyle w:val="15"/>
                <w:rFonts w:hint="eastAsia" w:asciiTheme="minorEastAsia" w:hAnsiTheme="minorEastAsia" w:eastAsiaTheme="minorEastAsia" w:cstheme="minorEastAsia"/>
                <w:sz w:val="18"/>
                <w:szCs w:val="18"/>
                <w:lang w:val="en-US" w:eastAsia="zh-CN" w:bidi="ar"/>
              </w:rPr>
              <w:t>%给予奖励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16.1</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Chars="100" w:right="0" w:rightChars="0" w:firstLine="0" w:firstLineChars="0"/>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□因物价波动引起的价格调整按照 第 16.1.1 或第 16.1.2 项 约定的原则处理</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若按第 16.1.1 项的约定采用价格调整公式进行调价，每半年或一年按价格调整公式进行一次调整</w:t>
            </w:r>
            <w:r>
              <w:rPr>
                <w:rFonts w:hint="eastAsia" w:asciiTheme="minorEastAsia" w:hAnsiTheme="minorEastAsia" w:cstheme="minorEastAsia"/>
                <w:i w:val="0"/>
                <w:color w:val="000000"/>
                <w:kern w:val="0"/>
                <w:sz w:val="18"/>
                <w:szCs w:val="18"/>
                <w:u w:val="none"/>
                <w:lang w:val="en-US" w:eastAsia="zh-CN" w:bidi="ar"/>
              </w:rPr>
              <w:t>;</w:t>
            </w:r>
          </w:p>
        </w:tc>
      </w:tr>
    </w:tbl>
    <w:p>
      <w:pPr>
        <w:spacing w:after="0" w:line="220" w:lineRule="exact"/>
        <w:rPr>
          <w:color w:val="auto"/>
          <w:sz w:val="20"/>
          <w:szCs w:val="20"/>
        </w:rPr>
      </w:pP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128905</wp:posOffset>
                </wp:positionH>
                <wp:positionV relativeFrom="paragraph">
                  <wp:posOffset>272415</wp:posOffset>
                </wp:positionV>
                <wp:extent cx="1828800" cy="0"/>
                <wp:effectExtent l="0" t="0" r="0" b="0"/>
                <wp:wrapNone/>
                <wp:docPr id="481" name="Shape 481"/>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6095">
                          <a:solidFill>
                            <a:srgbClr val="000000"/>
                          </a:solidFill>
                          <a:miter lim="800000"/>
                        </a:ln>
                      </wps:spPr>
                      <wps:bodyPr/>
                    </wps:wsp>
                  </a:graphicData>
                </a:graphic>
              </wp:anchor>
            </w:drawing>
          </mc:Choice>
          <mc:Fallback>
            <w:pict>
              <v:line id="Shape 481" o:spid="_x0000_s1026" o:spt="20" style="position:absolute;left:0pt;margin-left:10.15pt;margin-top:21.45pt;height:0pt;width:144pt;z-index:-251658240;mso-width-relative:page;mso-height-relative:page;" fillcolor="#FFFFFF" filled="t" stroked="t" coordsize="21600,21600" o:allowincell="f" o:gfxdata="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6dYyktYA&#10;AAAIAQAADwAAAAAAAAABACAAAAA4AAAAZHJzL2Rvd25yZXYueG1sUEsBAhQAFAAAAAgAh07iQOkV&#10;SEmZAQAATwMAAA4AAAAAAAAAAQAgAAAAOwEAAGRycy9lMm9Eb2MueG1sUEsFBgAAAAAGAAYAWQEA&#10;AEYFA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370" w:lineRule="exact"/>
        <w:rPr>
          <w:color w:val="auto"/>
          <w:sz w:val="20"/>
          <w:szCs w:val="20"/>
        </w:rPr>
      </w:pPr>
    </w:p>
    <w:p>
      <w:pPr>
        <w:keepNext w:val="0"/>
        <w:keepLines w:val="0"/>
        <w:pageBreakBefore w:val="0"/>
        <w:widowControl/>
        <w:numPr>
          <w:ilvl w:val="0"/>
          <w:numId w:val="63"/>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18"/>
          <w:szCs w:val="18"/>
        </w:rPr>
      </w:pPr>
      <w:r>
        <w:rPr>
          <w:rFonts w:hint="eastAsia"/>
          <w:sz w:val="18"/>
          <w:szCs w:val="18"/>
        </w:rPr>
        <w:t>缺陷责任期一般应为自实际交工日期起计算 2 年。</w:t>
      </w:r>
    </w:p>
    <w:p>
      <w:pPr>
        <w:keepNext w:val="0"/>
        <w:keepLines w:val="0"/>
        <w:pageBreakBefore w:val="0"/>
        <w:widowControl/>
        <w:numPr>
          <w:ilvl w:val="0"/>
          <w:numId w:val="63"/>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sz w:val="18"/>
          <w:szCs w:val="18"/>
        </w:rPr>
      </w:pPr>
      <w:r>
        <w:rPr>
          <w:rFonts w:hint="eastAsia"/>
          <w:sz w:val="18"/>
          <w:szCs w:val="18"/>
        </w:rPr>
        <w:t>逾期交工违约金限额一般应为 10%签约合同价。</w:t>
      </w:r>
    </w:p>
    <w:tbl>
      <w:tblPr>
        <w:tblStyle w:val="10"/>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23"/>
        <w:gridCol w:w="1237"/>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5"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序号</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条目号</w:t>
            </w:r>
          </w:p>
        </w:tc>
        <w:tc>
          <w:tcPr>
            <w:tcW w:w="705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7"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22"/>
                <w:szCs w:val="22"/>
                <w:u w:val="none"/>
                <w:lang w:val="en-US" w:eastAsia="zh-CN" w:bidi="ar"/>
              </w:rPr>
            </w:pP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color w:val="auto"/>
                <w:sz w:val="21"/>
                <w:szCs w:val="21"/>
              </w:rPr>
              <w:t>□合同期内不调价</w:t>
            </w:r>
            <w:r>
              <w:rPr>
                <w:rFonts w:hint="eastAsia" w:asciiTheme="minorEastAsia" w:hAnsiTheme="minorEastAsia" w:eastAsiaTheme="minorEastAsia" w:cstheme="minorEastAsia"/>
                <w:color w:val="auto"/>
                <w:sz w:val="21"/>
                <w:szCs w:val="21"/>
                <w:vertAlign w:val="superscript"/>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5"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15</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17.2.1</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color w:val="auto"/>
                <w:sz w:val="21"/>
                <w:szCs w:val="21"/>
              </w:rPr>
              <w:t>开工预付款金额：</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%签约合同价</w:t>
            </w:r>
            <w:r>
              <w:rPr>
                <w:rFonts w:hint="eastAsia" w:asciiTheme="minorEastAsia" w:hAnsiTheme="minorEastAsia" w:eastAsiaTheme="minorEastAsia" w:cstheme="minorEastAsia"/>
                <w:color w:val="auto"/>
                <w:sz w:val="21"/>
                <w:szCs w:val="21"/>
                <w:vertAlign w:val="superscript"/>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17.2.1</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left"/>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材料、设备预付款比例：</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等主要材料、设备单据所列费用的</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vertAlign w:val="superscript"/>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2"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17.3.2</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left"/>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承包人在每个付款周期末向监理人提交进度付款申请单的份数：</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17.3.3（1）</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left"/>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进度付款证书最低限额：</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%签约合同价</w:t>
            </w:r>
            <w:r>
              <w:rPr>
                <w:rFonts w:hint="eastAsia" w:asciiTheme="minorEastAsia" w:hAnsiTheme="minorEastAsia" w:eastAsiaTheme="minorEastAsia" w:cstheme="minorEastAsia"/>
                <w:color w:val="auto"/>
                <w:sz w:val="21"/>
                <w:szCs w:val="21"/>
                <w:vertAlign w:val="superscript"/>
              </w:rPr>
              <w:t>④</w:t>
            </w:r>
            <w:r>
              <w:rPr>
                <w:rFonts w:hint="eastAsia" w:asciiTheme="minorEastAsia" w:hAnsiTheme="minorEastAsia" w:eastAsiaTheme="minorEastAsia" w:cstheme="minorEastAsia"/>
                <w:color w:val="auto"/>
                <w:sz w:val="21"/>
                <w:szCs w:val="21"/>
              </w:rPr>
              <w:t>或</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17.3.3（2）</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left"/>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逾期付款违约金的利率：</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‰/天</w:t>
            </w:r>
            <w:r>
              <w:rPr>
                <w:rFonts w:hint="eastAsia" w:asciiTheme="minorEastAsia" w:hAnsiTheme="minorEastAsia" w:eastAsiaTheme="minorEastAsia" w:cstheme="minorEastAsia"/>
                <w:color w:val="auto"/>
                <w:sz w:val="21"/>
                <w:szCs w:val="21"/>
                <w:vertAlign w:val="superscript"/>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6"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17.4.1</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left"/>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质量保证金金额：</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%合同价格</w:t>
            </w:r>
            <w:r>
              <w:rPr>
                <w:rFonts w:hint="eastAsia" w:asciiTheme="minorEastAsia" w:hAnsiTheme="minorEastAsia" w:eastAsiaTheme="minorEastAsia" w:cstheme="minorEastAsia"/>
                <w:color w:val="auto"/>
                <w:sz w:val="21"/>
                <w:szCs w:val="21"/>
                <w:vertAlign w:val="superscript"/>
              </w:rPr>
              <w:t>⑥</w:t>
            </w:r>
            <w:r>
              <w:rPr>
                <w:rFonts w:hint="eastAsia" w:asciiTheme="minorEastAsia" w:hAnsiTheme="minorEastAsia" w:eastAsiaTheme="minorEastAsia" w:cstheme="minorEastAsia"/>
                <w:color w:val="auto"/>
                <w:sz w:val="21"/>
                <w:szCs w:val="21"/>
              </w:rPr>
              <w:t>，若交工验收时承包人具备被招标项目所在地省级交通运输主管部门评定的最高信用等级，发包人给予</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%合同价格质量保证金的优惠。</w:t>
            </w:r>
            <w:r>
              <w:rPr>
                <w:rFonts w:hint="eastAsia" w:asciiTheme="minorEastAsia" w:hAnsiTheme="minorEastAsia" w:eastAsiaTheme="minorEastAsia" w:cstheme="minorEastAsia"/>
                <w:color w:val="auto"/>
                <w:sz w:val="21"/>
                <w:szCs w:val="21"/>
                <w:vertAlign w:val="superscript"/>
              </w:rPr>
              <w:t>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17.5.1</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left"/>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承包人向监理人提交交工付款申请单(包括相关证明材料)的份数：</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17.6.1</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left"/>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承包人向监理人提交最终结清申请单(包括相关证明材料)的份数：</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color w:val="000000"/>
                <w:kern w:val="0"/>
                <w:sz w:val="21"/>
                <w:szCs w:val="21"/>
                <w:u w:val="none"/>
                <w:lang w:val="en-US" w:eastAsia="zh-CN" w:bidi="ar"/>
              </w:rPr>
              <w:t>23</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18.2</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left"/>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竣工资料的份数：</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1"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18.5.1</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left"/>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单位工程或工程设备是否需投入施工期运行： </w:t>
            </w:r>
            <w:r>
              <w:rPr>
                <w:rFonts w:hint="eastAsia" w:asciiTheme="minorEastAsia" w:hAnsiTheme="minorEastAsia" w:eastAsiaTheme="minorEastAsia" w:cstheme="minorEastAsia"/>
                <w:color w:val="auto"/>
                <w:sz w:val="21"/>
                <w:szCs w:val="21"/>
                <w:u w:val="single"/>
              </w:rPr>
              <w:t>是或否</w:t>
            </w:r>
          </w:p>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left"/>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如单位工程或工程设备需要进行施工期运行，需要施工期运行的单位工程或工程设备规定如下：</w:t>
            </w:r>
            <w:r>
              <w:rPr>
                <w:rFonts w:hint="eastAsia" w:asciiTheme="minorEastAsia" w:hAnsiTheme="minorEastAsia" w:eastAsiaTheme="minorEastAsia" w:cstheme="minorEastAsia"/>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4"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18.6.1</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left"/>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本工程及工程设备是否进行试运行： </w:t>
            </w:r>
            <w:r>
              <w:rPr>
                <w:rFonts w:hint="eastAsia" w:asciiTheme="minorEastAsia" w:hAnsiTheme="minorEastAsia" w:eastAsiaTheme="minorEastAsia" w:cstheme="minorEastAsia"/>
                <w:color w:val="auto"/>
                <w:sz w:val="21"/>
                <w:szCs w:val="21"/>
                <w:u w:val="single"/>
              </w:rPr>
              <w:t>是或否</w:t>
            </w:r>
          </w:p>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left"/>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如本工程及工程设备需要进行试运行，试运行的具体规定如下：</w:t>
            </w:r>
            <w:r>
              <w:rPr>
                <w:rFonts w:hint="eastAsia" w:asciiTheme="minorEastAsia" w:hAnsiTheme="minorEastAsia" w:eastAsiaTheme="minorEastAsia" w:cstheme="minorEastAsia"/>
                <w:color w:val="auto"/>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lang w:val="en-US" w:eastAsia="zh-CN"/>
              </w:rPr>
              <w:t>19.7</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left"/>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保修期：自实际交工日期起计算</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vertAlign w:val="superscript"/>
              </w:rPr>
              <w:t>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20.1</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left"/>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建筑工程一切险的保险费率：</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5" w:hRule="atLeast"/>
        </w:trPr>
        <w:tc>
          <w:tcPr>
            <w:tcW w:w="92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237"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20.4.2</w:t>
            </w:r>
          </w:p>
        </w:tc>
        <w:tc>
          <w:tcPr>
            <w:tcW w:w="7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left"/>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第三者责任险的最低投保金额：</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万元，事故次数不限(不计免赔额)</w:t>
            </w:r>
          </w:p>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left"/>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保险费率：</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8" w:hRule="atLeast"/>
        </w:trPr>
        <w:tc>
          <w:tcPr>
            <w:tcW w:w="9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2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24.1</w:t>
            </w:r>
          </w:p>
        </w:tc>
        <w:tc>
          <w:tcPr>
            <w:tcW w:w="705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both"/>
              <w:textAlignment w:val="center"/>
              <w:outlineLvl w:val="9"/>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争议的最终解决方式：</w:t>
            </w:r>
            <w:r>
              <w:rPr>
                <w:rFonts w:hint="eastAsia" w:asciiTheme="minorEastAsia" w:hAnsiTheme="minorEastAsia" w:eastAsiaTheme="minorEastAsia" w:cstheme="minorEastAsia"/>
                <w:color w:val="auto"/>
                <w:sz w:val="21"/>
                <w:szCs w:val="21"/>
                <w:u w:val="single"/>
              </w:rPr>
              <w:t>仲裁或诉讼</w:t>
            </w:r>
          </w:p>
          <w:p>
            <w:pPr>
              <w:keepNext w:val="0"/>
              <w:keepLines w:val="0"/>
              <w:pageBreakBefore w:val="0"/>
              <w:widowControl/>
              <w:suppressLineNumbers w:val="0"/>
              <w:kinsoku/>
              <w:wordWrap/>
              <w:overflowPunct/>
              <w:topLinePunct w:val="0"/>
              <w:autoSpaceDE/>
              <w:autoSpaceDN/>
              <w:bidi w:val="0"/>
              <w:adjustRightInd/>
              <w:snapToGrid/>
              <w:spacing w:line="240" w:lineRule="auto"/>
              <w:ind w:left="220" w:leftChars="100" w:right="0" w:rightChars="0" w:firstLine="0" w:firstLineChars="0"/>
              <w:jc w:val="both"/>
              <w:textAlignment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如采用仲裁，仲裁委员会名称：</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cstheme="minorEastAsia"/>
                <w:color w:val="auto"/>
                <w:sz w:val="21"/>
                <w:szCs w:val="21"/>
                <w:u w:val="single"/>
                <w:lang w:val="en-US" w:eastAsia="zh-CN"/>
              </w:rPr>
              <w:t>　</w:t>
            </w:r>
          </w:p>
        </w:tc>
      </w:tr>
    </w:tbl>
    <w:p>
      <w:pPr>
        <w:spacing w:after="0" w:line="286" w:lineRule="exact"/>
        <w:rPr>
          <w:color w:val="auto"/>
          <w:sz w:val="20"/>
          <w:szCs w:val="20"/>
        </w:rPr>
      </w:pPr>
    </w:p>
    <w:p>
      <w:pPr>
        <w:spacing w:after="0" w:line="286" w:lineRule="exact"/>
        <w:rPr>
          <w:color w:val="auto"/>
          <w:sz w:val="20"/>
          <w:szCs w:val="20"/>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sz w:val="18"/>
          <w:szCs w:val="18"/>
          <w:lang w:eastAsia="zh-CN"/>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134620</wp:posOffset>
                </wp:positionH>
                <wp:positionV relativeFrom="paragraph">
                  <wp:posOffset>82550</wp:posOffset>
                </wp:positionV>
                <wp:extent cx="1828800" cy="0"/>
                <wp:effectExtent l="0" t="0" r="0" b="0"/>
                <wp:wrapNone/>
                <wp:docPr id="869" name="Shape 481"/>
                <wp:cNvGraphicFramePr/>
                <a:graphic xmlns:a="http://schemas.openxmlformats.org/drawingml/2006/main">
                  <a:graphicData uri="http://schemas.microsoft.com/office/word/2010/wordprocessingShape">
                    <wps:wsp>
                      <wps:cNvCnPr/>
                      <wps:spPr>
                        <a:xfrm>
                          <a:off x="0" y="0"/>
                          <a:ext cx="1828800" cy="0"/>
                        </a:xfrm>
                        <a:prstGeom prst="line">
                          <a:avLst/>
                        </a:prstGeom>
                        <a:solidFill>
                          <a:srgbClr val="FFFFFF"/>
                        </a:solidFill>
                        <a:ln w="6095">
                          <a:solidFill>
                            <a:srgbClr val="000000"/>
                          </a:solidFill>
                          <a:miter lim="800000"/>
                        </a:ln>
                      </wps:spPr>
                      <wps:bodyPr/>
                    </wps:wsp>
                  </a:graphicData>
                </a:graphic>
              </wp:anchor>
            </w:drawing>
          </mc:Choice>
          <mc:Fallback>
            <w:pict>
              <v:line id="Shape 481" o:spid="_x0000_s1026" o:spt="20" style="position:absolute;left:0pt;margin-left:10.6pt;margin-top:6.5pt;height:0pt;width:144pt;z-index:-251657216;mso-width-relative:page;mso-height-relative:page;" fillcolor="#FFFFFF" filled="t" stroked="t" coordsize="21600,21600" o:allowincell="f" o:gfxdata="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ChzqvHUAAAACAEA&#10;AA8AAAAAAAAAAQAgAAAAOAAAAGRycy9kb3ducmV2LnhtbFBLAQIUABQAAAAIAIdO4kBukjy2lgEA&#10;AEwDAAAOAAAAAAAAAAEAIAAAADkBAABkcnMvZTJvRG9jLnhtbFBLBQYAAAAABgAGAFkBAABBBQAA&#10;AAA=&#10;">
                <v:fill on="t" focussize="0,0"/>
                <v:stroke weight="0.47992125984252pt" color="#0000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sz w:val="18"/>
          <w:szCs w:val="18"/>
        </w:rPr>
      </w:pPr>
      <w:r>
        <w:rPr>
          <w:rFonts w:hint="eastAsia"/>
          <w:sz w:val="18"/>
          <w:szCs w:val="18"/>
          <w:lang w:eastAsia="zh-CN"/>
        </w:rPr>
        <w:t>①</w:t>
      </w:r>
      <w:r>
        <w:rPr>
          <w:rFonts w:hint="eastAsia"/>
          <w:sz w:val="18"/>
          <w:szCs w:val="18"/>
        </w:rPr>
        <w:t>对于工程规模不大、工期较短的工程（例如工期不超过 12 个月的），可以不进行调价。</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sz w:val="18"/>
          <w:szCs w:val="18"/>
        </w:rPr>
      </w:pPr>
      <w:r>
        <w:rPr>
          <w:rFonts w:hint="eastAsia"/>
          <w:sz w:val="18"/>
          <w:szCs w:val="18"/>
          <w:lang w:eastAsia="zh-CN"/>
        </w:rPr>
        <w:t>②</w:t>
      </w:r>
      <w:r>
        <w:rPr>
          <w:rFonts w:hint="eastAsia"/>
          <w:sz w:val="18"/>
          <w:szCs w:val="18"/>
        </w:rPr>
        <w:t>开工预付款金额一般应为 10％签约合同价。</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sz w:val="18"/>
          <w:szCs w:val="18"/>
        </w:rPr>
      </w:pPr>
      <w:r>
        <w:rPr>
          <w:rFonts w:hint="eastAsia"/>
          <w:sz w:val="18"/>
          <w:szCs w:val="18"/>
          <w:lang w:eastAsia="zh-CN"/>
        </w:rPr>
        <w:t>③</w:t>
      </w:r>
      <w:r>
        <w:rPr>
          <w:rFonts w:hint="eastAsia"/>
          <w:sz w:val="18"/>
          <w:szCs w:val="18"/>
        </w:rPr>
        <w:t>指主要材料，一般应为 70%～75%，最低不少于 60%。</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sz w:val="18"/>
          <w:szCs w:val="18"/>
        </w:rPr>
      </w:pPr>
      <w:r>
        <w:rPr>
          <w:rFonts w:hint="eastAsia"/>
          <w:sz w:val="18"/>
          <w:szCs w:val="18"/>
          <w:lang w:eastAsia="zh-CN"/>
        </w:rPr>
        <w:t>④</w:t>
      </w:r>
      <w:r>
        <w:rPr>
          <w:rFonts w:hint="eastAsia"/>
          <w:sz w:val="18"/>
          <w:szCs w:val="18"/>
        </w:rPr>
        <w:t>国际上一般按月平均支付额的 0.30.5 计算，我国可按 0.20.3 计, 以利承包人资金周转。</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sz w:val="18"/>
          <w:szCs w:val="18"/>
        </w:rPr>
      </w:pPr>
      <w:r>
        <w:rPr>
          <w:rFonts w:hint="eastAsia"/>
          <w:sz w:val="18"/>
          <w:szCs w:val="18"/>
          <w:lang w:eastAsia="zh-CN"/>
        </w:rPr>
        <w:t>⑤</w:t>
      </w:r>
      <w:r>
        <w:rPr>
          <w:rFonts w:hint="eastAsia"/>
          <w:sz w:val="18"/>
          <w:szCs w:val="18"/>
        </w:rPr>
        <w:t>相当于中国人民银行短期贷款利率加手续费。招标人不能自行取消本项内容或降低利率。</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sz w:val="18"/>
          <w:szCs w:val="18"/>
        </w:rPr>
      </w:pPr>
      <w:r>
        <w:rPr>
          <w:rFonts w:hint="eastAsia"/>
          <w:sz w:val="18"/>
          <w:szCs w:val="18"/>
          <w:lang w:eastAsia="zh-CN"/>
        </w:rPr>
        <w:t>⑥</w:t>
      </w:r>
      <w:r>
        <w:rPr>
          <w:rFonts w:hint="eastAsia"/>
          <w:sz w:val="18"/>
          <w:szCs w:val="18"/>
        </w:rPr>
        <w:t>质量保证金最高不超过合同价格的 5％。</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sz w:val="18"/>
          <w:szCs w:val="18"/>
        </w:rPr>
      </w:pPr>
      <w:r>
        <w:rPr>
          <w:rFonts w:hint="eastAsia"/>
          <w:sz w:val="18"/>
          <w:szCs w:val="18"/>
          <w:lang w:eastAsia="zh-CN"/>
        </w:rPr>
        <w:t>⑦</w:t>
      </w:r>
      <w:r>
        <w:rPr>
          <w:rFonts w:hint="eastAsia"/>
          <w:sz w:val="18"/>
          <w:szCs w:val="18"/>
        </w:rPr>
        <w:t>若交工验收时承包人具备被招标项目所在地省级交通运输主管部门评定的最高信用等级，发包人可在质量保证金方面给予一定的优惠奖励，例如发包人可给予承包人 2%合同价格质量保证金的优惠，具体优惠幅度由发包人自行确定。</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sz w:val="18"/>
          <w:szCs w:val="18"/>
        </w:rPr>
      </w:pPr>
      <w:r>
        <w:rPr>
          <w:rFonts w:hint="eastAsia"/>
          <w:sz w:val="18"/>
          <w:szCs w:val="18"/>
          <w:lang w:eastAsia="zh-CN"/>
        </w:rPr>
        <w:t>⑧</w:t>
      </w:r>
      <w:r>
        <w:rPr>
          <w:rFonts w:hint="eastAsia"/>
          <w:sz w:val="18"/>
          <w:szCs w:val="18"/>
        </w:rPr>
        <w:t>保修期一般应为自实际交工日期起计算 5 年。</w:t>
      </w:r>
    </w:p>
    <w:p>
      <w:pPr>
        <w:spacing w:after="0" w:line="366" w:lineRule="exact"/>
        <w:ind w:right="-55"/>
        <w:jc w:val="center"/>
        <w:rPr>
          <w:rFonts w:ascii="黑体" w:hAnsi="黑体" w:eastAsia="黑体" w:cs="黑体"/>
          <w:color w:val="auto"/>
          <w:sz w:val="32"/>
          <w:szCs w:val="32"/>
        </w:rPr>
      </w:pPr>
      <w:r>
        <w:rPr>
          <w:rFonts w:ascii="黑体" w:hAnsi="黑体" w:eastAsia="黑体" w:cs="黑体"/>
          <w:color w:val="auto"/>
          <w:sz w:val="32"/>
          <w:szCs w:val="32"/>
        </w:rPr>
        <w:br w:type="page"/>
      </w:r>
    </w:p>
    <w:p>
      <w:pPr>
        <w:spacing w:after="0" w:line="366" w:lineRule="exact"/>
        <w:ind w:right="-55"/>
        <w:jc w:val="center"/>
        <w:rPr>
          <w:color w:val="auto"/>
          <w:sz w:val="20"/>
          <w:szCs w:val="20"/>
        </w:rPr>
      </w:pPr>
      <w:r>
        <w:rPr>
          <w:rFonts w:ascii="黑体" w:hAnsi="黑体" w:eastAsia="黑体" w:cs="黑体"/>
          <w:color w:val="auto"/>
          <w:sz w:val="32"/>
          <w:szCs w:val="32"/>
        </w:rPr>
        <w:t>项目专用合同条款</w:t>
      </w: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line="346" w:lineRule="exact"/>
        <w:ind w:left="860" w:right="144" w:hanging="659"/>
        <w:jc w:val="both"/>
        <w:rPr>
          <w:color w:val="auto"/>
          <w:sz w:val="20"/>
          <w:szCs w:val="20"/>
        </w:rPr>
      </w:pPr>
      <w:r>
        <w:rPr>
          <w:rFonts w:ascii="黑体" w:hAnsi="黑体" w:eastAsia="黑体" w:cs="黑体"/>
          <w:color w:val="auto"/>
          <w:sz w:val="24"/>
          <w:szCs w:val="24"/>
        </w:rPr>
        <w:t>说明：</w:t>
      </w:r>
      <w:r>
        <w:rPr>
          <w:rFonts w:ascii="新宋体" w:hAnsi="新宋体" w:eastAsia="新宋体" w:cs="新宋体"/>
          <w:color w:val="auto"/>
          <w:sz w:val="24"/>
          <w:szCs w:val="24"/>
        </w:rPr>
        <w:t>本部分所列的项目专用合同条款是对</w:t>
      </w:r>
      <w:r>
        <w:rPr>
          <w:rFonts w:ascii="Courier New" w:hAnsi="Courier New" w:eastAsia="Courier New" w:cs="Courier New"/>
          <w:color w:val="auto"/>
          <w:sz w:val="24"/>
          <w:szCs w:val="24"/>
        </w:rPr>
        <w:t>“</w:t>
      </w:r>
      <w:r>
        <w:rPr>
          <w:rFonts w:ascii="新宋体" w:hAnsi="新宋体" w:eastAsia="新宋体" w:cs="新宋体"/>
          <w:color w:val="auto"/>
          <w:sz w:val="24"/>
          <w:szCs w:val="24"/>
        </w:rPr>
        <w:t>公路工程专用合同条款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中规定必须在项目专用合同条款中明确的内容的集中，招标人编制的</w:t>
      </w:r>
      <w:r>
        <w:rPr>
          <w:rFonts w:ascii="Courier New" w:hAnsi="Courier New" w:eastAsia="Courier New" w:cs="Courier New"/>
          <w:color w:val="auto"/>
          <w:sz w:val="24"/>
          <w:szCs w:val="24"/>
        </w:rPr>
        <w:t>“</w:t>
      </w:r>
      <w:r>
        <w:rPr>
          <w:rFonts w:ascii="新宋体" w:hAnsi="新宋体" w:eastAsia="新宋体" w:cs="新宋体"/>
          <w:color w:val="auto"/>
          <w:sz w:val="24"/>
          <w:szCs w:val="24"/>
        </w:rPr>
        <w:t>项目专用合同条款</w:t>
      </w:r>
      <w:r>
        <w:rPr>
          <w:rFonts w:ascii="Courier New" w:hAnsi="Courier New" w:eastAsia="Courier New" w:cs="Courier New"/>
          <w:color w:val="auto"/>
          <w:sz w:val="24"/>
          <w:szCs w:val="24"/>
        </w:rPr>
        <w:t>”</w:t>
      </w:r>
      <w:r>
        <w:rPr>
          <w:rFonts w:ascii="新宋体" w:hAnsi="新宋体" w:eastAsia="新宋体" w:cs="新宋体"/>
          <w:color w:val="auto"/>
          <w:sz w:val="24"/>
          <w:szCs w:val="24"/>
        </w:rPr>
        <w:t>不限于本部分所列内容。</w:t>
      </w:r>
    </w:p>
    <w:p>
      <w:pPr>
        <w:spacing w:after="0" w:line="348"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4.1 </w:t>
      </w:r>
      <w:r>
        <w:rPr>
          <w:rFonts w:ascii="黑体" w:hAnsi="黑体" w:eastAsia="黑体" w:cs="黑体"/>
          <w:color w:val="auto"/>
          <w:sz w:val="24"/>
          <w:szCs w:val="24"/>
        </w:rPr>
        <w:t>承包人的一般义务</w:t>
      </w:r>
    </w:p>
    <w:p>
      <w:pPr>
        <w:spacing w:after="0" w:line="34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4.1.10 </w:t>
      </w:r>
      <w:r>
        <w:rPr>
          <w:rFonts w:ascii="黑体" w:hAnsi="黑体" w:eastAsia="黑体" w:cs="黑体"/>
          <w:color w:val="auto"/>
          <w:sz w:val="24"/>
          <w:szCs w:val="24"/>
        </w:rPr>
        <w:t>其他义务</w:t>
      </w:r>
    </w:p>
    <w:p>
      <w:pPr>
        <w:spacing w:after="0" w:line="108" w:lineRule="exact"/>
        <w:rPr>
          <w:color w:val="auto"/>
          <w:sz w:val="20"/>
          <w:szCs w:val="20"/>
        </w:rPr>
      </w:pPr>
    </w:p>
    <w:p>
      <w:pPr>
        <w:spacing w:after="0" w:line="292" w:lineRule="exact"/>
        <w:ind w:left="600"/>
        <w:rPr>
          <w:color w:val="auto"/>
          <w:sz w:val="20"/>
          <w:szCs w:val="20"/>
        </w:rPr>
      </w:pPr>
      <w:r>
        <w:rPr>
          <w:rFonts w:ascii="Times New Roman" w:hAnsi="Times New Roman" w:eastAsia="Times New Roman" w:cs="Times New Roman"/>
          <w:color w:val="auto"/>
          <w:sz w:val="24"/>
          <w:szCs w:val="24"/>
        </w:rPr>
        <w:t>(4)</w:t>
      </w:r>
      <w:r>
        <w:rPr>
          <w:rFonts w:ascii="宋体" w:hAnsi="宋体" w:eastAsia="宋体" w:cs="宋体"/>
          <w:color w:val="auto"/>
          <w:sz w:val="24"/>
          <w:szCs w:val="24"/>
        </w:rPr>
        <w:t>承包人应履行的其他义务：</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2383155</wp:posOffset>
                </wp:positionH>
                <wp:positionV relativeFrom="paragraph">
                  <wp:posOffset>-12065</wp:posOffset>
                </wp:positionV>
                <wp:extent cx="1752600" cy="0"/>
                <wp:effectExtent l="0" t="0" r="0" b="0"/>
                <wp:wrapNone/>
                <wp:docPr id="489" name="Shape 489"/>
                <wp:cNvGraphicFramePr/>
                <a:graphic xmlns:a="http://schemas.openxmlformats.org/drawingml/2006/main">
                  <a:graphicData uri="http://schemas.microsoft.com/office/word/2010/wordprocessingShape">
                    <wps:wsp>
                      <wps:cNvCnPr/>
                      <wps:spPr>
                        <a:xfrm>
                          <a:off x="0" y="0"/>
                          <a:ext cx="1752600" cy="4763"/>
                        </a:xfrm>
                        <a:prstGeom prst="line">
                          <a:avLst/>
                        </a:prstGeom>
                        <a:solidFill>
                          <a:srgbClr val="FFFFFF"/>
                        </a:solidFill>
                        <a:ln w="7620">
                          <a:solidFill>
                            <a:srgbClr val="000000"/>
                          </a:solidFill>
                          <a:miter lim="800000"/>
                        </a:ln>
                      </wps:spPr>
                      <wps:bodyPr/>
                    </wps:wsp>
                  </a:graphicData>
                </a:graphic>
              </wp:anchor>
            </w:drawing>
          </mc:Choice>
          <mc:Fallback>
            <w:pict>
              <v:line id="Shape 489" o:spid="_x0000_s1026" o:spt="20" style="position:absolute;left:0pt;margin-left:187.65pt;margin-top:-0.95pt;height:0pt;width:138pt;z-index:-251658240;mso-width-relative:page;mso-height-relative:page;" fillcolor="#FFFFFF" filled="t" stroked="t" coordsize="21600,21600" o:allowincell="f" o:gfxdata="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XbMER1gAA&#10;AAkBAAAPAAAAAAAAAAEAIAAAADgAAABkcnMvZG93bnJldi54bWxQSwECFAAUAAAACACHTuJAAQJX&#10;pJgBAABPAwAADgAAAAAAAAABACAAAAA7AQAAZHJzL2Uyb0RvYy54bWxQSwUGAAAAAAYABgBZAQAA&#10;RQUAAAAA&#10;">
                <v:fill on="t" focussize="0,0"/>
                <v:stroke weight="0.6pt" color="#000000" miterlimit="8" joinstyle="miter"/>
                <v:imagedata o:title=""/>
                <o:lock v:ext="edit" aspectratio="f"/>
              </v:line>
            </w:pict>
          </mc:Fallback>
        </mc:AlternateContent>
      </w:r>
    </w:p>
    <w:p>
      <w:pPr>
        <w:spacing w:after="0" w:line="308"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4.11 </w:t>
      </w:r>
      <w:r>
        <w:rPr>
          <w:rFonts w:ascii="黑体" w:hAnsi="黑体" w:eastAsia="黑体" w:cs="黑体"/>
          <w:color w:val="auto"/>
          <w:sz w:val="24"/>
          <w:szCs w:val="24"/>
        </w:rPr>
        <w:t>不利物质条件</w:t>
      </w:r>
    </w:p>
    <w:p>
      <w:pPr>
        <w:spacing w:after="0" w:line="327"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4.11.1 </w:t>
      </w:r>
      <w:r>
        <w:rPr>
          <w:rFonts w:ascii="宋体" w:hAnsi="宋体" w:eastAsia="宋体" w:cs="宋体"/>
          <w:color w:val="auto"/>
          <w:sz w:val="24"/>
          <w:szCs w:val="24"/>
        </w:rPr>
        <w:t>不利物质条件的范围：</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2409825</wp:posOffset>
                </wp:positionH>
                <wp:positionV relativeFrom="paragraph">
                  <wp:posOffset>-12065</wp:posOffset>
                </wp:positionV>
                <wp:extent cx="1752600" cy="0"/>
                <wp:effectExtent l="0" t="0" r="0" b="0"/>
                <wp:wrapNone/>
                <wp:docPr id="490" name="Shape 490"/>
                <wp:cNvGraphicFramePr/>
                <a:graphic xmlns:a="http://schemas.openxmlformats.org/drawingml/2006/main">
                  <a:graphicData uri="http://schemas.microsoft.com/office/word/2010/wordprocessingShape">
                    <wps:wsp>
                      <wps:cNvCnPr/>
                      <wps:spPr>
                        <a:xfrm>
                          <a:off x="0" y="0"/>
                          <a:ext cx="1752600" cy="4763"/>
                        </a:xfrm>
                        <a:prstGeom prst="line">
                          <a:avLst/>
                        </a:prstGeom>
                        <a:solidFill>
                          <a:srgbClr val="FFFFFF"/>
                        </a:solidFill>
                        <a:ln w="7620">
                          <a:solidFill>
                            <a:srgbClr val="000000"/>
                          </a:solidFill>
                          <a:miter lim="800000"/>
                        </a:ln>
                      </wps:spPr>
                      <wps:bodyPr/>
                    </wps:wsp>
                  </a:graphicData>
                </a:graphic>
              </wp:anchor>
            </w:drawing>
          </mc:Choice>
          <mc:Fallback>
            <w:pict>
              <v:line id="Shape 490" o:spid="_x0000_s1026" o:spt="20" style="position:absolute;left:0pt;margin-left:189.75pt;margin-top:-0.95pt;height:0pt;width:138pt;z-index:-251658240;mso-width-relative:page;mso-height-relative:page;" fillcolor="#FFFFFF" filled="t" stroked="t" coordsize="21600,21600" o:allowincell="f" o:gfxdata="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K6SqNUAAAAJ&#10;AQAADwAAAAAAAAABACAAAAA4AAAAZHJzL2Rvd25yZXYueG1sUEsBAhQAFAAAAAgAh07iQCPsNkWX&#10;AQAATwMAAA4AAAAAAAAAAQAgAAAAOgEAAGRycy9lMm9Eb2MueG1sUEsFBgAAAAAGAAYAWQEAAEMF&#10;AAAAAA==&#10;">
                <v:fill on="t" focussize="0,0"/>
                <v:stroke weight="0.6pt" color="#000000" miterlimit="8" joinstyle="miter"/>
                <v:imagedata o:title=""/>
                <o:lock v:ext="edit" aspectratio="f"/>
              </v:line>
            </w:pict>
          </mc:Fallback>
        </mc:AlternateContent>
      </w:r>
    </w:p>
    <w:p>
      <w:pPr>
        <w:spacing w:after="0" w:line="308"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10.1 </w:t>
      </w:r>
      <w:r>
        <w:rPr>
          <w:rFonts w:ascii="黑体" w:hAnsi="黑体" w:eastAsia="黑体" w:cs="黑体"/>
          <w:color w:val="auto"/>
          <w:sz w:val="24"/>
          <w:szCs w:val="24"/>
        </w:rPr>
        <w:t>合同进度计划</w:t>
      </w:r>
    </w:p>
    <w:p>
      <w:pPr>
        <w:spacing w:after="0" w:line="329"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承包人编制施工方案的内容：</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2415540</wp:posOffset>
                </wp:positionH>
                <wp:positionV relativeFrom="paragraph">
                  <wp:posOffset>-635</wp:posOffset>
                </wp:positionV>
                <wp:extent cx="1066800" cy="0"/>
                <wp:effectExtent l="0" t="0" r="0" b="0"/>
                <wp:wrapNone/>
                <wp:docPr id="491" name="Shape 491"/>
                <wp:cNvGraphicFramePr/>
                <a:graphic xmlns:a="http://schemas.openxmlformats.org/drawingml/2006/main">
                  <a:graphicData uri="http://schemas.microsoft.com/office/word/2010/wordprocessingShape">
                    <wps:wsp>
                      <wps:cNvCnPr/>
                      <wps:spPr>
                        <a:xfrm>
                          <a:off x="0" y="0"/>
                          <a:ext cx="1066800" cy="4763"/>
                        </a:xfrm>
                        <a:prstGeom prst="line">
                          <a:avLst/>
                        </a:prstGeom>
                        <a:solidFill>
                          <a:srgbClr val="FFFFFF"/>
                        </a:solidFill>
                        <a:ln w="7620">
                          <a:solidFill>
                            <a:srgbClr val="000000"/>
                          </a:solidFill>
                          <a:miter lim="800000"/>
                        </a:ln>
                      </wps:spPr>
                      <wps:bodyPr/>
                    </wps:wsp>
                  </a:graphicData>
                </a:graphic>
              </wp:anchor>
            </w:drawing>
          </mc:Choice>
          <mc:Fallback>
            <w:pict>
              <v:line id="Shape 491" o:spid="_x0000_s1026" o:spt="20" style="position:absolute;left:0pt;margin-left:190.2pt;margin-top:-0.05pt;height:0pt;width:84pt;z-index:-251658240;mso-width-relative:page;mso-height-relative:page;" fillcolor="#FFFFFF" filled="t" stroked="t" coordsize="21600,21600" o:allowincell="f" o:gfxdata="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C5ncUQ0gAAAAcB&#10;AAAPAAAAAAAAAAEAIAAAADgAAABkcnMvZG93bnJldi54bWxQSwECFAAUAAAACACHTuJAzpZSrZkB&#10;AABPAwAADgAAAAAAAAABACAAAAA3AQAAZHJzL2Uyb0RvYy54bWxQSwUGAAAAAAYABgBZAQAAQgUA&#10;AAAA&#10;">
                <v:fill on="t" focussize="0,0"/>
                <v:stroke weight="0.6pt" color="#000000" miterlimit="8" joinstyle="miter"/>
                <v:imagedata o:title=""/>
                <o:lock v:ext="edit" aspectratio="f"/>
              </v:line>
            </w:pict>
          </mc:Fallback>
        </mc:AlternateContent>
      </w:r>
    </w:p>
    <w:p>
      <w:pPr>
        <w:spacing w:after="0" w:line="325"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11.4 </w:t>
      </w:r>
      <w:r>
        <w:rPr>
          <w:rFonts w:ascii="黑体" w:hAnsi="黑体" w:eastAsia="黑体" w:cs="黑体"/>
          <w:color w:val="auto"/>
          <w:sz w:val="24"/>
          <w:szCs w:val="24"/>
        </w:rPr>
        <w:t>异常恶劣的气候条件</w:t>
      </w:r>
    </w:p>
    <w:p>
      <w:pPr>
        <w:spacing w:after="0" w:line="349"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异常恶劣的气候条件的范围：</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2415540</wp:posOffset>
                </wp:positionH>
                <wp:positionV relativeFrom="paragraph">
                  <wp:posOffset>-635</wp:posOffset>
                </wp:positionV>
                <wp:extent cx="1066800" cy="0"/>
                <wp:effectExtent l="0" t="0" r="0" b="0"/>
                <wp:wrapNone/>
                <wp:docPr id="492" name="Shape 492"/>
                <wp:cNvGraphicFramePr/>
                <a:graphic xmlns:a="http://schemas.openxmlformats.org/drawingml/2006/main">
                  <a:graphicData uri="http://schemas.microsoft.com/office/word/2010/wordprocessingShape">
                    <wps:wsp>
                      <wps:cNvCnPr/>
                      <wps:spPr>
                        <a:xfrm>
                          <a:off x="0" y="0"/>
                          <a:ext cx="1066800" cy="4763"/>
                        </a:xfrm>
                        <a:prstGeom prst="line">
                          <a:avLst/>
                        </a:prstGeom>
                        <a:solidFill>
                          <a:srgbClr val="FFFFFF"/>
                        </a:solidFill>
                        <a:ln w="7620">
                          <a:solidFill>
                            <a:srgbClr val="000000"/>
                          </a:solidFill>
                          <a:miter lim="800000"/>
                        </a:ln>
                      </wps:spPr>
                      <wps:bodyPr/>
                    </wps:wsp>
                  </a:graphicData>
                </a:graphic>
              </wp:anchor>
            </w:drawing>
          </mc:Choice>
          <mc:Fallback>
            <w:pict>
              <v:line id="Shape 492" o:spid="_x0000_s1026" o:spt="20" style="position:absolute;left:0pt;margin-left:190.2pt;margin-top:-0.05pt;height:0pt;width:84pt;z-index:-251658240;mso-width-relative:page;mso-height-relative:page;" fillcolor="#FFFFFF" filled="t" stroked="t" coordsize="21600,21600" o:allowincell="f" o:gfxdata="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C5ncUQ0gAAAAcB&#10;AAAPAAAAAAAAAAEAIAAAADgAAABkcnMvZG93bnJldi54bWxQSwECFAAUAAAACACHTuJALzAwIpkB&#10;AABPAwAADgAAAAAAAAABACAAAAA3AQAAZHJzL2Uyb0RvYy54bWxQSwUGAAAAAAYABgBZAQAAQgUA&#10;AAAA&#10;">
                <v:fill on="t" focussize="0,0"/>
                <v:stroke weight="0.6pt" color="#000000" miterlimit="8" joinstyle="miter"/>
                <v:imagedata o:title=""/>
                <o:lock v:ext="edit" aspectratio="f"/>
              </v:line>
            </w:pict>
          </mc:Fallback>
        </mc:AlternateContent>
      </w:r>
    </w:p>
    <w:p>
      <w:pPr>
        <w:spacing w:after="0" w:line="325"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12.1 </w:t>
      </w:r>
      <w:r>
        <w:rPr>
          <w:rFonts w:ascii="黑体" w:hAnsi="黑体" w:eastAsia="黑体" w:cs="黑体"/>
          <w:color w:val="auto"/>
          <w:sz w:val="24"/>
          <w:szCs w:val="24"/>
        </w:rPr>
        <w:t>承包人暂停施工的责任</w:t>
      </w:r>
    </w:p>
    <w:p>
      <w:pPr>
        <w:spacing w:after="0" w:line="34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12.1 (6)</w:t>
      </w:r>
      <w:r>
        <w:rPr>
          <w:rFonts w:ascii="宋体" w:hAnsi="宋体" w:eastAsia="宋体" w:cs="宋体"/>
          <w:color w:val="auto"/>
          <w:sz w:val="24"/>
          <w:szCs w:val="24"/>
        </w:rPr>
        <w:t>由承包人承担的其他暂停施工：</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3049905</wp:posOffset>
                </wp:positionH>
                <wp:positionV relativeFrom="paragraph">
                  <wp:posOffset>-12065</wp:posOffset>
                </wp:positionV>
                <wp:extent cx="1752600" cy="0"/>
                <wp:effectExtent l="0" t="0" r="0" b="0"/>
                <wp:wrapNone/>
                <wp:docPr id="493" name="Shape 493"/>
                <wp:cNvGraphicFramePr/>
                <a:graphic xmlns:a="http://schemas.openxmlformats.org/drawingml/2006/main">
                  <a:graphicData uri="http://schemas.microsoft.com/office/word/2010/wordprocessingShape">
                    <wps:wsp>
                      <wps:cNvCnPr/>
                      <wps:spPr>
                        <a:xfrm>
                          <a:off x="0" y="0"/>
                          <a:ext cx="1752600" cy="4763"/>
                        </a:xfrm>
                        <a:prstGeom prst="line">
                          <a:avLst/>
                        </a:prstGeom>
                        <a:solidFill>
                          <a:srgbClr val="FFFFFF"/>
                        </a:solidFill>
                        <a:ln w="7620">
                          <a:solidFill>
                            <a:srgbClr val="000000"/>
                          </a:solidFill>
                          <a:miter lim="800000"/>
                        </a:ln>
                      </wps:spPr>
                      <wps:bodyPr/>
                    </wps:wsp>
                  </a:graphicData>
                </a:graphic>
              </wp:anchor>
            </w:drawing>
          </mc:Choice>
          <mc:Fallback>
            <w:pict>
              <v:line id="Shape 493" o:spid="_x0000_s1026" o:spt="20" style="position:absolute;left:0pt;margin-left:240.15pt;margin-top:-0.95pt;height:0pt;width:138pt;z-index:-251658240;mso-width-relative:page;mso-height-relative:page;" fillcolor="#FFFFFF" filled="t" stroked="t" coordsize="21600,21600" o:allowincell="f" o:gfxdata="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GvdSEDW&#10;AAAACQEAAA8AAAAAAAAAAQAgAAAAOAAAAGRycy9kb3ducmV2LnhtbFBLAQIUABQAAAAIAIdO4kDC&#10;SlTKmgEAAE8DAAAOAAAAAAAAAAEAIAAAADsBAABkcnMvZTJvRG9jLnhtbFBLBQYAAAAABgAGAFkB&#10;AABHBQAAAAA=&#10;">
                <v:fill on="t" focussize="0,0"/>
                <v:stroke weight="0.6pt" color="#000000" miterlimit="8" joinstyle="miter"/>
                <v:imagedata o:title=""/>
                <o:lock v:ext="edit" aspectratio="f"/>
              </v:line>
            </w:pict>
          </mc:Fallback>
        </mc:AlternateContent>
      </w:r>
    </w:p>
    <w:p>
      <w:pPr>
        <w:spacing w:after="0" w:line="307"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17.3 </w:t>
      </w:r>
      <w:r>
        <w:rPr>
          <w:rFonts w:ascii="黑体" w:hAnsi="黑体" w:eastAsia="黑体" w:cs="黑体"/>
          <w:color w:val="auto"/>
          <w:sz w:val="24"/>
          <w:szCs w:val="24"/>
        </w:rPr>
        <w:t>工程进度付款</w:t>
      </w:r>
    </w:p>
    <w:p>
      <w:pPr>
        <w:spacing w:after="0" w:line="36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 xml:space="preserve">17.3.5 </w:t>
      </w:r>
      <w:r>
        <w:rPr>
          <w:rFonts w:ascii="宋体" w:hAnsi="宋体" w:eastAsia="宋体" w:cs="宋体"/>
          <w:color w:val="auto"/>
          <w:sz w:val="24"/>
          <w:szCs w:val="24"/>
        </w:rPr>
        <w:t>农民工工资保证金的缴存时间：</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3018790</wp:posOffset>
                </wp:positionH>
                <wp:positionV relativeFrom="paragraph">
                  <wp:posOffset>-12065</wp:posOffset>
                </wp:positionV>
                <wp:extent cx="1752600" cy="0"/>
                <wp:effectExtent l="0" t="0" r="0" b="0"/>
                <wp:wrapNone/>
                <wp:docPr id="494" name="Shape 494"/>
                <wp:cNvGraphicFramePr/>
                <a:graphic xmlns:a="http://schemas.openxmlformats.org/drawingml/2006/main">
                  <a:graphicData uri="http://schemas.microsoft.com/office/word/2010/wordprocessingShape">
                    <wps:wsp>
                      <wps:cNvCnPr/>
                      <wps:spPr>
                        <a:xfrm>
                          <a:off x="0" y="0"/>
                          <a:ext cx="1752600" cy="4763"/>
                        </a:xfrm>
                        <a:prstGeom prst="line">
                          <a:avLst/>
                        </a:prstGeom>
                        <a:solidFill>
                          <a:srgbClr val="FFFFFF"/>
                        </a:solidFill>
                        <a:ln w="7619">
                          <a:solidFill>
                            <a:srgbClr val="000000"/>
                          </a:solidFill>
                          <a:miter lim="800000"/>
                        </a:ln>
                      </wps:spPr>
                      <wps:bodyPr/>
                    </wps:wsp>
                  </a:graphicData>
                </a:graphic>
              </wp:anchor>
            </w:drawing>
          </mc:Choice>
          <mc:Fallback>
            <w:pict>
              <v:line id="Shape 494" o:spid="_x0000_s1026" o:spt="20" style="position:absolute;left:0pt;margin-left:237.7pt;margin-top:-0.95pt;height:0pt;width:138pt;z-index:-251658240;mso-width-relative:page;mso-height-relative:page;" fillcolor="#FFFFFF" filled="t" stroked="t" coordsize="21600,21600" o:allowincell="f" o:gfxdata="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bOCWN9cA&#10;AAAJAQAADwAAAAAAAAABACAAAAA4AAAAZHJzL2Rvd25yZXYueG1sUEsBAhQAFAAAAAgAh07iQJ22&#10;qlyYAQAATwMAAA4AAAAAAAAAAQAgAAAAPAEAAGRycy9lMm9Eb2MueG1sUEsFBgAAAAAGAAYAWQEA&#10;AEYFAAAAAA==&#10;">
                <v:fill on="t" focussize="0,0"/>
                <v:stroke weight="0.59992125984252pt" color="#000000" miterlimit="8" joinstyle="miter"/>
                <v:imagedata o:title=""/>
                <o:lock v:ext="edit" aspectratio="f"/>
              </v:line>
            </w:pict>
          </mc:Fallback>
        </mc:AlternateContent>
      </w:r>
    </w:p>
    <w:p>
      <w:pPr>
        <w:spacing w:after="0" w:line="108"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农民工工资保证金的缴存金额：</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2561590</wp:posOffset>
                </wp:positionH>
                <wp:positionV relativeFrom="paragraph">
                  <wp:posOffset>-635</wp:posOffset>
                </wp:positionV>
                <wp:extent cx="1752600" cy="0"/>
                <wp:effectExtent l="0" t="0" r="0" b="0"/>
                <wp:wrapNone/>
                <wp:docPr id="495" name="Shape 495"/>
                <wp:cNvGraphicFramePr/>
                <a:graphic xmlns:a="http://schemas.openxmlformats.org/drawingml/2006/main">
                  <a:graphicData uri="http://schemas.microsoft.com/office/word/2010/wordprocessingShape">
                    <wps:wsp>
                      <wps:cNvCnPr/>
                      <wps:spPr>
                        <a:xfrm>
                          <a:off x="0" y="0"/>
                          <a:ext cx="1752600" cy="4763"/>
                        </a:xfrm>
                        <a:prstGeom prst="line">
                          <a:avLst/>
                        </a:prstGeom>
                        <a:solidFill>
                          <a:srgbClr val="FFFFFF"/>
                        </a:solidFill>
                        <a:ln w="7619">
                          <a:solidFill>
                            <a:srgbClr val="000000"/>
                          </a:solidFill>
                          <a:miter lim="800000"/>
                        </a:ln>
                      </wps:spPr>
                      <wps:bodyPr/>
                    </wps:wsp>
                  </a:graphicData>
                </a:graphic>
              </wp:anchor>
            </w:drawing>
          </mc:Choice>
          <mc:Fallback>
            <w:pict>
              <v:line id="Shape 495" o:spid="_x0000_s1026" o:spt="20" style="position:absolute;left:0pt;margin-left:201.7pt;margin-top:-0.05pt;height:0pt;width:138pt;z-index:-251658240;mso-width-relative:page;mso-height-relative:page;" fillcolor="#FFFFFF" filled="t" stroked="t" coordsize="21600,21600" o:allowincell="f" o:gfxdata="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PbkiG0wAAAAcB&#10;AAAPAAAAAAAAAAEAIAAAADgAAABkcnMvZG93bnJldi54bWxQSwECFAAUAAAACACHTuJAwtR0JpgB&#10;AABPAwAADgAAAAAAAAABACAAAAA4AQAAZHJzL2Uyb0RvYy54bWxQSwUGAAAAAAYABgBZAQAAQgUA&#10;AAAA&#10;">
                <v:fill on="t" focussize="0,0"/>
                <v:stroke weight="0.59992125984252pt" color="#000000" miterlimit="8" joinstyle="miter"/>
                <v:imagedata o:title=""/>
                <o:lock v:ext="edit" aspectratio="f"/>
              </v:line>
            </w:pict>
          </mc:Fallback>
        </mc:AlternateContent>
      </w:r>
    </w:p>
    <w:p>
      <w:pPr>
        <w:spacing w:after="0" w:line="126"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农民工工资保证金的扣留条件：</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2561590</wp:posOffset>
                </wp:positionH>
                <wp:positionV relativeFrom="paragraph">
                  <wp:posOffset>-635</wp:posOffset>
                </wp:positionV>
                <wp:extent cx="1752600" cy="0"/>
                <wp:effectExtent l="0" t="0" r="0" b="0"/>
                <wp:wrapNone/>
                <wp:docPr id="496" name="Shape 496"/>
                <wp:cNvGraphicFramePr/>
                <a:graphic xmlns:a="http://schemas.openxmlformats.org/drawingml/2006/main">
                  <a:graphicData uri="http://schemas.microsoft.com/office/word/2010/wordprocessingShape">
                    <wps:wsp>
                      <wps:cNvCnPr/>
                      <wps:spPr>
                        <a:xfrm>
                          <a:off x="0" y="0"/>
                          <a:ext cx="1752600" cy="4763"/>
                        </a:xfrm>
                        <a:prstGeom prst="line">
                          <a:avLst/>
                        </a:prstGeom>
                        <a:solidFill>
                          <a:srgbClr val="FFFFFF"/>
                        </a:solidFill>
                        <a:ln w="7619">
                          <a:solidFill>
                            <a:srgbClr val="000000"/>
                          </a:solidFill>
                          <a:miter lim="800000"/>
                        </a:ln>
                      </wps:spPr>
                      <wps:bodyPr/>
                    </wps:wsp>
                  </a:graphicData>
                </a:graphic>
              </wp:anchor>
            </w:drawing>
          </mc:Choice>
          <mc:Fallback>
            <w:pict>
              <v:line id="Shape 496" o:spid="_x0000_s1026" o:spt="20" style="position:absolute;left:0pt;margin-left:201.7pt;margin-top:-0.05pt;height:0pt;width:138pt;z-index:-251658240;mso-width-relative:page;mso-height-relative:page;" fillcolor="#FFFFFF" filled="t" stroked="t" coordsize="21600,21600" o:allowincell="f" o:gfxdata="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PbkiG0wAAAAcB&#10;AAAPAAAAAAAAAAEAIAAAADgAAABkcnMvZG93bnJldi54bWxQSwECFAAUAAAACACHTuJAI3IWqZgB&#10;AABPAwAADgAAAAAAAAABACAAAAA4AQAAZHJzL2Uyb0RvYy54bWxQSwUGAAAAAAYABgBZAQAAQgUA&#10;AAAA&#10;">
                <v:fill on="t" focussize="0,0"/>
                <v:stroke weight="0.59992125984252pt" color="#000000" miterlimit="8" joinstyle="miter"/>
                <v:imagedata o:title=""/>
                <o:lock v:ext="edit" aspectratio="f"/>
              </v:line>
            </w:pict>
          </mc:Fallback>
        </mc:AlternateContent>
      </w:r>
    </w:p>
    <w:p>
      <w:pPr>
        <w:spacing w:after="0" w:line="126" w:lineRule="exact"/>
        <w:rPr>
          <w:color w:val="auto"/>
          <w:sz w:val="20"/>
          <w:szCs w:val="20"/>
        </w:rPr>
      </w:pPr>
    </w:p>
    <w:p>
      <w:pPr>
        <w:spacing w:after="0" w:line="274" w:lineRule="exact"/>
        <w:ind w:left="680"/>
        <w:rPr>
          <w:color w:val="auto"/>
          <w:sz w:val="20"/>
          <w:szCs w:val="20"/>
        </w:rPr>
      </w:pPr>
      <w:r>
        <w:rPr>
          <w:rFonts w:ascii="宋体" w:hAnsi="宋体" w:eastAsia="宋体" w:cs="宋体"/>
          <w:color w:val="auto"/>
          <w:sz w:val="24"/>
          <w:szCs w:val="24"/>
        </w:rPr>
        <w:t>农民工工资保证金的返还时间：</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2567940</wp:posOffset>
                </wp:positionH>
                <wp:positionV relativeFrom="paragraph">
                  <wp:posOffset>-635</wp:posOffset>
                </wp:positionV>
                <wp:extent cx="1752600" cy="0"/>
                <wp:effectExtent l="0" t="0" r="0" b="0"/>
                <wp:wrapNone/>
                <wp:docPr id="497" name="Shape 497"/>
                <wp:cNvGraphicFramePr/>
                <a:graphic xmlns:a="http://schemas.openxmlformats.org/drawingml/2006/main">
                  <a:graphicData uri="http://schemas.microsoft.com/office/word/2010/wordprocessingShape">
                    <wps:wsp>
                      <wps:cNvCnPr/>
                      <wps:spPr>
                        <a:xfrm>
                          <a:off x="0" y="0"/>
                          <a:ext cx="1752600" cy="4763"/>
                        </a:xfrm>
                        <a:prstGeom prst="line">
                          <a:avLst/>
                        </a:prstGeom>
                        <a:solidFill>
                          <a:srgbClr val="FFFFFF"/>
                        </a:solidFill>
                        <a:ln w="7619">
                          <a:solidFill>
                            <a:srgbClr val="000000"/>
                          </a:solidFill>
                          <a:miter lim="800000"/>
                        </a:ln>
                      </wps:spPr>
                      <wps:bodyPr/>
                    </wps:wsp>
                  </a:graphicData>
                </a:graphic>
              </wp:anchor>
            </w:drawing>
          </mc:Choice>
          <mc:Fallback>
            <w:pict>
              <v:line id="Shape 497" o:spid="_x0000_s1026" o:spt="20" style="position:absolute;left:0pt;margin-left:202.2pt;margin-top:-0.05pt;height:0pt;width:138pt;z-index:-251658240;mso-width-relative:page;mso-height-relative:page;" fillcolor="#FFFFFF" filled="t" stroked="t" coordsize="21600,21600" o:allowincell="f" o:gfxdata="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Affuot0wAAAAcB&#10;AAAPAAAAAAAAAAEAIAAAADgAAABkcnMvZG93bnJldi54bWxQSwECFAAUAAAACACHTuJAfBDI05gB&#10;AABPAwAADgAAAAAAAAABACAAAAA4AQAAZHJzL2Uyb0RvYy54bWxQSwUGAAAAAAYABgBZAQAAQgUA&#10;AAAA&#10;">
                <v:fill on="t" focussize="0,0"/>
                <v:stroke weight="0.59992125984252pt" color="#000000" miterlimit="8" joinstyle="miter"/>
                <v:imagedata o:title=""/>
                <o:lock v:ext="edit" aspectratio="f"/>
              </v:line>
            </w:pict>
          </mc:Fallback>
        </mc:AlternateContent>
      </w:r>
    </w:p>
    <w:p>
      <w:pPr>
        <w:spacing w:after="0" w:line="325"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21.1 </w:t>
      </w:r>
      <w:r>
        <w:rPr>
          <w:rFonts w:ascii="黑体" w:hAnsi="黑体" w:eastAsia="黑体" w:cs="黑体"/>
          <w:color w:val="auto"/>
          <w:sz w:val="24"/>
          <w:szCs w:val="24"/>
        </w:rPr>
        <w:t>不可抗力的确认</w:t>
      </w:r>
    </w:p>
    <w:p>
      <w:pPr>
        <w:spacing w:after="0" w:line="349" w:lineRule="exact"/>
        <w:rPr>
          <w:color w:val="auto"/>
          <w:sz w:val="20"/>
          <w:szCs w:val="20"/>
        </w:rPr>
      </w:pPr>
    </w:p>
    <w:p>
      <w:pPr>
        <w:spacing w:after="0" w:line="292" w:lineRule="exact"/>
        <w:ind w:left="680"/>
        <w:rPr>
          <w:color w:val="auto"/>
          <w:sz w:val="20"/>
          <w:szCs w:val="20"/>
        </w:rPr>
      </w:pPr>
      <w:r>
        <w:rPr>
          <w:rFonts w:ascii="Times New Roman" w:hAnsi="Times New Roman" w:eastAsia="Times New Roman" w:cs="Times New Roman"/>
          <w:color w:val="auto"/>
          <w:sz w:val="24"/>
          <w:szCs w:val="24"/>
        </w:rPr>
        <w:t>21.1.1 (6)</w:t>
      </w:r>
      <w:r>
        <w:rPr>
          <w:rFonts w:ascii="宋体" w:hAnsi="宋体" w:eastAsia="宋体" w:cs="宋体"/>
          <w:color w:val="auto"/>
          <w:sz w:val="24"/>
          <w:szCs w:val="24"/>
        </w:rPr>
        <w:t>不可抗力的其他情形：</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2554605</wp:posOffset>
                </wp:positionH>
                <wp:positionV relativeFrom="paragraph">
                  <wp:posOffset>-12065</wp:posOffset>
                </wp:positionV>
                <wp:extent cx="2133600" cy="0"/>
                <wp:effectExtent l="0" t="0" r="0" b="0"/>
                <wp:wrapNone/>
                <wp:docPr id="498" name="Shape 498"/>
                <wp:cNvGraphicFramePr/>
                <a:graphic xmlns:a="http://schemas.openxmlformats.org/drawingml/2006/main">
                  <a:graphicData uri="http://schemas.microsoft.com/office/word/2010/wordprocessingShape">
                    <wps:wsp>
                      <wps:cNvCnPr/>
                      <wps:spPr>
                        <a:xfrm>
                          <a:off x="0" y="0"/>
                          <a:ext cx="2133600" cy="4763"/>
                        </a:xfrm>
                        <a:prstGeom prst="line">
                          <a:avLst/>
                        </a:prstGeom>
                        <a:solidFill>
                          <a:srgbClr val="FFFFFF"/>
                        </a:solidFill>
                        <a:ln w="7620">
                          <a:solidFill>
                            <a:srgbClr val="000000"/>
                          </a:solidFill>
                          <a:miter lim="800000"/>
                        </a:ln>
                      </wps:spPr>
                      <wps:bodyPr/>
                    </wps:wsp>
                  </a:graphicData>
                </a:graphic>
              </wp:anchor>
            </w:drawing>
          </mc:Choice>
          <mc:Fallback>
            <w:pict>
              <v:line id="Shape 498" o:spid="_x0000_s1026" o:spt="20" style="position:absolute;left:0pt;margin-left:201.15pt;margin-top:-0.95pt;height:0pt;width:168pt;z-index:-251658240;mso-width-relative:page;mso-height-relative:page;" fillcolor="#FFFFFF" filled="t" stroked="t" coordsize="21600,21600" o:allowincell="f" o:gfxdata="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JdtyQ3WAAAA&#10;CQEAAA8AAAAAAAAAAQAgAAAAOAAAAGRycy9kb3ducmV2LnhtbFBLAQIUABQAAAAIAIdO4kCvP28J&#10;lwEAAE8DAAAOAAAAAAAAAAEAIAAAADsBAABkcnMvZTJvRG9jLnhtbFBLBQYAAAAABgAGAFkBAABE&#10;BQAAAAA=&#10;">
                <v:fill on="t" focussize="0,0"/>
                <v:stroke weight="0.6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22.1 </w:t>
      </w:r>
      <w:r>
        <w:rPr>
          <w:rFonts w:ascii="黑体" w:hAnsi="黑体" w:eastAsia="黑体" w:cs="黑体"/>
          <w:color w:val="auto"/>
          <w:sz w:val="24"/>
          <w:szCs w:val="24"/>
        </w:rPr>
        <w:t>承包人违约</w:t>
      </w:r>
    </w:p>
    <w:p>
      <w:pPr>
        <w:spacing w:after="0" w:line="349" w:lineRule="exact"/>
        <w:rPr>
          <w:color w:val="auto"/>
          <w:sz w:val="20"/>
          <w:szCs w:val="20"/>
        </w:rPr>
      </w:pPr>
    </w:p>
    <w:p>
      <w:pPr>
        <w:spacing w:after="0" w:line="336" w:lineRule="exact"/>
        <w:ind w:left="200" w:right="144" w:firstLine="480"/>
        <w:rPr>
          <w:color w:val="auto"/>
          <w:sz w:val="20"/>
          <w:szCs w:val="20"/>
          <w:u w:val="single"/>
        </w:rPr>
      </w:pPr>
      <w:r>
        <w:rPr>
          <w:rFonts w:ascii="Times New Roman" w:hAnsi="Times New Roman" w:eastAsia="Times New Roman" w:cs="Times New Roman"/>
          <w:color w:val="auto"/>
          <w:sz w:val="24"/>
          <w:szCs w:val="24"/>
        </w:rPr>
        <w:t xml:space="preserve">22.1.2 </w:t>
      </w:r>
      <w:r>
        <w:rPr>
          <w:rFonts w:ascii="宋体" w:hAnsi="宋体" w:eastAsia="宋体" w:cs="宋体"/>
          <w:color w:val="auto"/>
          <w:sz w:val="24"/>
          <w:szCs w:val="24"/>
        </w:rPr>
        <w:t>当承包人发生第</w:t>
      </w:r>
      <w:r>
        <w:rPr>
          <w:rFonts w:ascii="Times New Roman" w:hAnsi="Times New Roman" w:eastAsia="Times New Roman" w:cs="Times New Roman"/>
          <w:color w:val="auto"/>
          <w:sz w:val="24"/>
          <w:szCs w:val="24"/>
        </w:rPr>
        <w:t xml:space="preserve"> 22.1.1 </w:t>
      </w:r>
      <w:r>
        <w:rPr>
          <w:rFonts w:ascii="宋体" w:hAnsi="宋体" w:eastAsia="宋体" w:cs="宋体"/>
          <w:color w:val="auto"/>
          <w:sz w:val="24"/>
          <w:szCs w:val="24"/>
        </w:rPr>
        <w:t>项约定的违约情况时，发包人有权向承包人课以违约金，具体约定如下：</w:t>
      </w:r>
      <w:r>
        <w:rPr>
          <w:rFonts w:hint="eastAsia" w:ascii="宋体" w:hAnsi="宋体" w:eastAsia="宋体" w:cs="宋体"/>
          <w:color w:val="auto"/>
          <w:sz w:val="24"/>
          <w:szCs w:val="24"/>
          <w:u w:val="single"/>
          <w:lang w:val="en-US" w:eastAsia="zh-CN"/>
        </w:rPr>
        <w:t xml:space="preserve">           　 </w:t>
      </w:r>
    </w:p>
    <w:p>
      <w:pPr>
        <w:spacing w:after="0" w:line="20" w:lineRule="exact"/>
        <w:rPr>
          <w:color w:val="auto"/>
          <w:sz w:val="20"/>
          <w:szCs w:val="20"/>
        </w:rPr>
      </w:pPr>
    </w:p>
    <w:p>
      <w:pPr>
        <w:spacing w:after="0" w:line="328" w:lineRule="exact"/>
        <w:rPr>
          <w:color w:val="auto"/>
          <w:sz w:val="20"/>
          <w:szCs w:val="20"/>
        </w:rPr>
      </w:pPr>
    </w:p>
    <w:p>
      <w:pPr>
        <w:spacing w:after="0" w:line="292" w:lineRule="exact"/>
        <w:ind w:left="200"/>
        <w:rPr>
          <w:color w:val="auto"/>
          <w:sz w:val="20"/>
          <w:szCs w:val="20"/>
        </w:rPr>
      </w:pPr>
      <w:r>
        <w:rPr>
          <w:rFonts w:ascii="Times New Roman" w:hAnsi="Times New Roman" w:eastAsia="Times New Roman" w:cs="Times New Roman"/>
          <w:color w:val="auto"/>
          <w:sz w:val="24"/>
          <w:szCs w:val="24"/>
        </w:rPr>
        <w:t xml:space="preserve">22.2 </w:t>
      </w:r>
      <w:r>
        <w:rPr>
          <w:rFonts w:ascii="黑体" w:hAnsi="黑体" w:eastAsia="黑体" w:cs="黑体"/>
          <w:color w:val="auto"/>
          <w:sz w:val="24"/>
          <w:szCs w:val="24"/>
        </w:rPr>
        <w:t>发包人违约</w:t>
      </w:r>
    </w:p>
    <w:p>
      <w:pPr>
        <w:spacing w:after="0" w:line="348" w:lineRule="exact"/>
        <w:rPr>
          <w:color w:val="auto"/>
          <w:sz w:val="20"/>
          <w:szCs w:val="20"/>
        </w:rPr>
      </w:pPr>
    </w:p>
    <w:p>
      <w:pPr>
        <w:spacing w:after="0" w:line="338" w:lineRule="exact"/>
        <w:ind w:left="200" w:right="144" w:firstLine="480"/>
        <w:rPr>
          <w:color w:val="auto"/>
          <w:sz w:val="20"/>
          <w:szCs w:val="20"/>
        </w:rPr>
      </w:pPr>
      <w:r>
        <w:rPr>
          <w:rFonts w:ascii="Times New Roman" w:hAnsi="Times New Roman" w:eastAsia="Times New Roman" w:cs="Times New Roman"/>
          <w:color w:val="auto"/>
          <w:sz w:val="24"/>
          <w:szCs w:val="24"/>
        </w:rPr>
        <w:t xml:space="preserve">22.2.2 </w:t>
      </w:r>
      <w:r>
        <w:rPr>
          <w:rFonts w:ascii="宋体" w:hAnsi="宋体" w:eastAsia="宋体" w:cs="宋体"/>
          <w:color w:val="auto"/>
          <w:sz w:val="24"/>
          <w:szCs w:val="24"/>
        </w:rPr>
        <w:t>发包人无正当理由不按时返还履约保证金、质量保证金或农民工工资保证金的，发包人应向承包人支付的违约金如下：</w:t>
      </w:r>
      <w:r>
        <w:rPr>
          <w:rFonts w:hint="eastAsia" w:ascii="宋体" w:hAnsi="宋体" w:eastAsia="宋体" w:cs="宋体"/>
          <w:color w:val="auto"/>
          <w:sz w:val="24"/>
          <w:szCs w:val="24"/>
          <w:u w:val="single"/>
          <w:lang w:val="en-US" w:eastAsia="zh-CN"/>
        </w:rPr>
        <w:t xml:space="preserve">           　 </w:t>
      </w:r>
    </w:p>
    <w:p>
      <w:pPr>
        <w:spacing w:after="0" w:line="20" w:lineRule="exact"/>
        <w:rPr>
          <w:color w:val="auto"/>
          <w:sz w:val="20"/>
          <w:szCs w:val="20"/>
        </w:rPr>
      </w:pPr>
    </w:p>
    <w:p>
      <w:pPr>
        <w:spacing w:after="0" w:line="102" w:lineRule="exact"/>
        <w:rPr>
          <w:color w:val="auto"/>
          <w:sz w:val="20"/>
          <w:szCs w:val="20"/>
        </w:rPr>
      </w:pPr>
    </w:p>
    <w:p>
      <w:pPr>
        <w:spacing w:after="0"/>
        <w:ind w:left="200"/>
        <w:rPr>
          <w:color w:val="auto"/>
          <w:sz w:val="20"/>
          <w:szCs w:val="20"/>
        </w:rPr>
      </w:pPr>
      <w:r>
        <w:rPr>
          <w:rFonts w:ascii="Times New Roman" w:hAnsi="Times New Roman" w:eastAsia="Times New Roman" w:cs="Times New Roman"/>
          <w:color w:val="auto"/>
          <w:sz w:val="24"/>
          <w:szCs w:val="24"/>
        </w:rPr>
        <w:t>………</w:t>
      </w:r>
    </w:p>
    <w:p>
      <w:pPr>
        <w:sectPr>
          <w:pgSz w:w="11900" w:h="16840"/>
          <w:pgMar w:top="1247" w:right="1247" w:bottom="1247" w:left="1361" w:header="0" w:footer="0" w:gutter="0"/>
          <w:pgBorders>
            <w:top w:val="none" w:sz="0" w:space="0"/>
            <w:left w:val="none" w:sz="0" w:space="0"/>
            <w:bottom w:val="none" w:sz="0" w:space="0"/>
            <w:right w:val="none" w:sz="0" w:space="0"/>
          </w:pgBorders>
          <w:cols w:equalWidth="0" w:num="1">
            <w:col w:w="9024"/>
          </w:cols>
          <w:rtlGutter w:val="0"/>
          <w:docGrid w:linePitch="0" w:charSpace="0"/>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bookmarkStart w:id="56" w:name="page201"/>
      <w:bookmarkEnd w:id="56"/>
    </w:p>
    <w:p>
      <w:pPr>
        <w:tabs>
          <w:tab w:val="left" w:pos="400"/>
        </w:tabs>
        <w:spacing w:after="0" w:line="480" w:lineRule="exact"/>
        <w:ind w:right="-55"/>
        <w:jc w:val="center"/>
        <w:rPr>
          <w:rFonts w:ascii="黑体" w:hAnsi="黑体" w:eastAsia="黑体" w:cs="黑体"/>
          <w:color w:val="auto"/>
          <w:sz w:val="42"/>
          <w:szCs w:val="42"/>
        </w:rPr>
      </w:pPr>
    </w:p>
    <w:p>
      <w:pPr>
        <w:tabs>
          <w:tab w:val="left" w:pos="400"/>
        </w:tabs>
        <w:spacing w:after="0" w:line="480" w:lineRule="exact"/>
        <w:ind w:right="-55"/>
        <w:jc w:val="center"/>
        <w:rPr>
          <w:rFonts w:ascii="黑体" w:hAnsi="黑体" w:eastAsia="黑体" w:cs="黑体"/>
          <w:color w:val="auto"/>
          <w:sz w:val="42"/>
          <w:szCs w:val="42"/>
        </w:rPr>
      </w:pPr>
    </w:p>
    <w:p>
      <w:pPr>
        <w:tabs>
          <w:tab w:val="left" w:pos="400"/>
        </w:tabs>
        <w:spacing w:after="0" w:line="480" w:lineRule="exact"/>
        <w:ind w:right="-55"/>
        <w:jc w:val="center"/>
        <w:rPr>
          <w:rFonts w:ascii="黑体" w:hAnsi="黑体" w:eastAsia="黑体" w:cs="黑体"/>
          <w:color w:val="auto"/>
          <w:sz w:val="42"/>
          <w:szCs w:val="42"/>
        </w:rPr>
      </w:pPr>
    </w:p>
    <w:p>
      <w:pPr>
        <w:tabs>
          <w:tab w:val="left" w:pos="400"/>
        </w:tabs>
        <w:spacing w:after="0" w:line="480" w:lineRule="exact"/>
        <w:ind w:right="-55"/>
        <w:jc w:val="center"/>
        <w:rPr>
          <w:rFonts w:ascii="黑体" w:hAnsi="黑体" w:eastAsia="黑体" w:cs="黑体"/>
          <w:color w:val="auto"/>
          <w:sz w:val="42"/>
          <w:szCs w:val="42"/>
        </w:rPr>
      </w:pPr>
    </w:p>
    <w:p>
      <w:pPr>
        <w:tabs>
          <w:tab w:val="left" w:pos="400"/>
        </w:tabs>
        <w:spacing w:after="0" w:line="480" w:lineRule="exact"/>
        <w:ind w:right="-55"/>
        <w:jc w:val="center"/>
        <w:rPr>
          <w:rFonts w:ascii="黑体" w:hAnsi="黑体" w:eastAsia="黑体" w:cs="黑体"/>
          <w:color w:val="auto"/>
          <w:sz w:val="42"/>
          <w:szCs w:val="42"/>
        </w:rPr>
      </w:pPr>
    </w:p>
    <w:p>
      <w:pPr>
        <w:tabs>
          <w:tab w:val="left" w:pos="400"/>
        </w:tabs>
        <w:spacing w:after="0" w:line="480" w:lineRule="exact"/>
        <w:ind w:right="-55"/>
        <w:jc w:val="center"/>
        <w:rPr>
          <w:rFonts w:ascii="黑体" w:hAnsi="黑体" w:eastAsia="黑体" w:cs="黑体"/>
          <w:color w:val="auto"/>
          <w:sz w:val="42"/>
          <w:szCs w:val="42"/>
        </w:rPr>
      </w:pPr>
    </w:p>
    <w:p>
      <w:pPr>
        <w:tabs>
          <w:tab w:val="left" w:pos="400"/>
        </w:tabs>
        <w:spacing w:after="0" w:line="480" w:lineRule="exact"/>
        <w:ind w:right="-55"/>
        <w:jc w:val="center"/>
        <w:rPr>
          <w:rFonts w:ascii="黑体" w:hAnsi="黑体" w:eastAsia="黑体" w:cs="黑体"/>
          <w:color w:val="auto"/>
          <w:sz w:val="42"/>
          <w:szCs w:val="42"/>
        </w:rPr>
      </w:pPr>
    </w:p>
    <w:p>
      <w:pPr>
        <w:tabs>
          <w:tab w:val="left" w:pos="400"/>
        </w:tabs>
        <w:spacing w:after="0" w:line="480" w:lineRule="exact"/>
        <w:ind w:right="-55"/>
        <w:jc w:val="center"/>
        <w:rPr>
          <w:rFonts w:ascii="黑体" w:hAnsi="黑体" w:eastAsia="黑体" w:cs="黑体"/>
          <w:color w:val="auto"/>
          <w:sz w:val="42"/>
          <w:szCs w:val="42"/>
        </w:rPr>
      </w:pPr>
    </w:p>
    <w:p>
      <w:pPr>
        <w:tabs>
          <w:tab w:val="left" w:pos="400"/>
        </w:tabs>
        <w:spacing w:after="0" w:line="480" w:lineRule="exact"/>
        <w:ind w:right="-55"/>
        <w:jc w:val="center"/>
        <w:rPr>
          <w:rFonts w:ascii="黑体" w:hAnsi="黑体" w:eastAsia="黑体" w:cs="黑体"/>
          <w:color w:val="auto"/>
          <w:sz w:val="42"/>
          <w:szCs w:val="42"/>
        </w:rPr>
      </w:pPr>
    </w:p>
    <w:p>
      <w:pPr>
        <w:tabs>
          <w:tab w:val="left" w:pos="400"/>
        </w:tabs>
        <w:spacing w:after="0" w:line="480" w:lineRule="exact"/>
        <w:ind w:right="-55"/>
        <w:jc w:val="center"/>
        <w:rPr>
          <w:color w:val="auto"/>
          <w:sz w:val="20"/>
          <w:szCs w:val="20"/>
        </w:rPr>
      </w:pPr>
      <w:r>
        <w:rPr>
          <w:rFonts w:ascii="黑体" w:hAnsi="黑体" w:eastAsia="黑体" w:cs="黑体"/>
          <w:color w:val="auto"/>
          <w:sz w:val="42"/>
          <w:szCs w:val="42"/>
        </w:rPr>
        <w:t>第三节</w:t>
      </w:r>
      <w:r>
        <w:rPr>
          <w:rFonts w:ascii="黑体" w:hAnsi="黑体" w:eastAsia="黑体" w:cs="黑体"/>
          <w:color w:val="auto"/>
          <w:sz w:val="42"/>
          <w:szCs w:val="42"/>
        </w:rPr>
        <w:tab/>
      </w:r>
      <w:r>
        <w:rPr>
          <w:rFonts w:ascii="黑体" w:hAnsi="黑体" w:eastAsia="黑体" w:cs="黑体"/>
          <w:color w:val="auto"/>
          <w:sz w:val="42"/>
          <w:szCs w:val="42"/>
        </w:rPr>
        <w:t>合同附件格式</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4" w:lineRule="exact"/>
        <w:rPr>
          <w:color w:val="auto"/>
          <w:sz w:val="20"/>
          <w:szCs w:val="20"/>
        </w:rPr>
      </w:pPr>
      <w:r>
        <w:rPr>
          <w:rFonts w:ascii="黑体" w:hAnsi="黑体" w:eastAsia="黑体" w:cs="黑体"/>
          <w:color w:val="auto"/>
          <w:sz w:val="24"/>
          <w:szCs w:val="24"/>
        </w:rPr>
        <w:t>附件一：合同协议书</w:t>
      </w:r>
    </w:p>
    <w:p>
      <w:pPr>
        <w:spacing w:after="0" w:line="109" w:lineRule="exact"/>
        <w:rPr>
          <w:color w:val="auto"/>
          <w:sz w:val="20"/>
          <w:szCs w:val="20"/>
        </w:rPr>
      </w:pPr>
    </w:p>
    <w:p>
      <w:pPr>
        <w:spacing w:after="0" w:line="320" w:lineRule="exact"/>
        <w:ind w:right="-55"/>
        <w:jc w:val="center"/>
        <w:rPr>
          <w:color w:val="auto"/>
          <w:sz w:val="20"/>
          <w:szCs w:val="20"/>
        </w:rPr>
      </w:pPr>
      <w:r>
        <w:rPr>
          <w:rFonts w:ascii="黑体" w:hAnsi="黑体" w:eastAsia="黑体" w:cs="黑体"/>
          <w:color w:val="auto"/>
          <w:sz w:val="28"/>
          <w:szCs w:val="28"/>
        </w:rPr>
        <w:t>合 同 协 议 书</w:t>
      </w:r>
    </w:p>
    <w:p>
      <w:pPr>
        <w:spacing w:after="0" w:line="200" w:lineRule="exact"/>
        <w:rPr>
          <w:color w:val="auto"/>
          <w:sz w:val="20"/>
          <w:szCs w:val="20"/>
        </w:rPr>
      </w:pPr>
    </w:p>
    <w:p>
      <w:pPr>
        <w:spacing w:after="0" w:line="372"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720" w:firstLineChars="0"/>
        <w:jc w:val="left"/>
        <w:textAlignment w:val="auto"/>
        <w:outlineLvl w:val="9"/>
        <w:rPr>
          <w:rFonts w:hint="eastAsia" w:ascii="宋体" w:hAnsi="宋体" w:eastAsia="宋体"/>
          <w:sz w:val="24"/>
          <w:szCs w:val="24"/>
        </w:rPr>
      </w:pPr>
      <w:r>
        <w:rPr>
          <w:rFonts w:hint="eastAsia" w:ascii="宋体" w:hAnsi="宋体" w:eastAsia="宋体"/>
          <w:sz w:val="24"/>
          <w:szCs w:val="24"/>
          <w:u w:val="single"/>
          <w:lang w:val="en-US" w:eastAsia="zh-CN"/>
        </w:rPr>
        <w:t xml:space="preserve">           </w:t>
      </w:r>
      <w:r>
        <w:rPr>
          <w:rFonts w:hint="default" w:ascii="TimesNewRomanPSMT" w:hAnsi="TimesNewRomanPSMT" w:eastAsia="TimesNewRomanPSMT"/>
          <w:sz w:val="24"/>
          <w:szCs w:val="24"/>
        </w:rPr>
        <w:t>(</w:t>
      </w:r>
      <w:r>
        <w:rPr>
          <w:rFonts w:hint="eastAsia" w:ascii="宋体" w:hAnsi="宋体" w:eastAsia="宋体"/>
          <w:sz w:val="24"/>
          <w:szCs w:val="24"/>
        </w:rPr>
        <w:t>发包人名称，以下简称</w:t>
      </w:r>
      <w:r>
        <w:rPr>
          <w:rFonts w:hint="default" w:ascii="TimesNewRomanPSMT" w:hAnsi="TimesNewRomanPSMT" w:eastAsia="TimesNewRomanPSMT"/>
          <w:sz w:val="24"/>
          <w:szCs w:val="24"/>
        </w:rPr>
        <w:t>“</w:t>
      </w:r>
      <w:r>
        <w:rPr>
          <w:rFonts w:hint="eastAsia" w:ascii="宋体" w:hAnsi="宋体" w:eastAsia="宋体"/>
          <w:sz w:val="24"/>
          <w:szCs w:val="24"/>
        </w:rPr>
        <w:t>发包人</w:t>
      </w:r>
      <w:r>
        <w:rPr>
          <w:rFonts w:hint="default" w:ascii="TimesNewRomanPSMT" w:hAnsi="TimesNewRomanPSMT" w:eastAsia="TimesNewRomanPSMT"/>
          <w:sz w:val="24"/>
          <w:szCs w:val="24"/>
        </w:rPr>
        <w:t>”)</w:t>
      </w:r>
      <w:r>
        <w:rPr>
          <w:rFonts w:hint="eastAsia" w:ascii="宋体" w:hAnsi="宋体" w:eastAsia="宋体"/>
          <w:sz w:val="24"/>
          <w:szCs w:val="24"/>
        </w:rPr>
        <w:t>为实施</w:t>
      </w:r>
      <w:r>
        <w:rPr>
          <w:rFonts w:hint="eastAsia" w:ascii="宋体" w:hAnsi="宋体" w:eastAsia="宋体"/>
          <w:sz w:val="24"/>
          <w:szCs w:val="24"/>
          <w:u w:val="single"/>
          <w:lang w:val="en-US" w:eastAsia="zh-CN"/>
        </w:rPr>
        <w:t xml:space="preserve">           </w:t>
      </w:r>
      <w:r>
        <w:rPr>
          <w:rFonts w:hint="eastAsia" w:ascii="宋体" w:hAnsi="宋体" w:eastAsia="宋体"/>
          <w:sz w:val="24"/>
          <w:szCs w:val="24"/>
        </w:rPr>
        <w:t xml:space="preserve"> </w:t>
      </w:r>
      <w:r>
        <w:rPr>
          <w:rFonts w:hint="default" w:ascii="TimesNewRomanPSMT" w:hAnsi="TimesNewRomanPSMT" w:eastAsia="TimesNewRomanPSMT"/>
          <w:sz w:val="24"/>
          <w:szCs w:val="24"/>
        </w:rPr>
        <w:t>(</w:t>
      </w:r>
      <w:r>
        <w:rPr>
          <w:rFonts w:hint="eastAsia" w:ascii="宋体" w:hAnsi="宋体" w:eastAsia="宋体"/>
          <w:sz w:val="24"/>
          <w:szCs w:val="24"/>
        </w:rPr>
        <w:t>项目名称</w:t>
      </w:r>
      <w:r>
        <w:rPr>
          <w:rFonts w:hint="default" w:ascii="TimesNewRomanPSMT" w:hAnsi="TimesNewRomanPSMT" w:eastAsia="TimesNewRomanPSMT"/>
          <w:sz w:val="24"/>
          <w:szCs w:val="24"/>
        </w:rPr>
        <w:t>)</w:t>
      </w:r>
      <w:r>
        <w:rPr>
          <w:rFonts w:hint="eastAsia" w:ascii="宋体" w:hAnsi="宋体" w:eastAsia="宋体"/>
          <w:sz w:val="24"/>
          <w:szCs w:val="24"/>
        </w:rPr>
        <w:t>，已接受</w:t>
      </w:r>
      <w:r>
        <w:rPr>
          <w:rFonts w:hint="eastAsia" w:ascii="宋体" w:hAnsi="宋体" w:eastAsia="宋体"/>
          <w:sz w:val="24"/>
          <w:szCs w:val="24"/>
          <w:u w:val="single"/>
          <w:lang w:val="en-US" w:eastAsia="zh-CN"/>
        </w:rPr>
        <w:t xml:space="preserve">           </w:t>
      </w:r>
      <w:r>
        <w:rPr>
          <w:rFonts w:hint="eastAsia" w:ascii="宋体" w:hAnsi="宋体" w:eastAsia="宋体"/>
          <w:sz w:val="24"/>
          <w:szCs w:val="24"/>
        </w:rPr>
        <w:t xml:space="preserve"> </w:t>
      </w:r>
      <w:r>
        <w:rPr>
          <w:rFonts w:hint="default" w:ascii="TimesNewRomanPSMT" w:hAnsi="TimesNewRomanPSMT" w:eastAsia="TimesNewRomanPSMT"/>
          <w:sz w:val="24"/>
          <w:szCs w:val="24"/>
        </w:rPr>
        <w:t>(</w:t>
      </w:r>
      <w:r>
        <w:rPr>
          <w:rFonts w:hint="eastAsia" w:ascii="宋体" w:hAnsi="宋体" w:eastAsia="宋体"/>
          <w:sz w:val="24"/>
          <w:szCs w:val="24"/>
        </w:rPr>
        <w:t>承包人名称，以下简称</w:t>
      </w:r>
      <w:r>
        <w:rPr>
          <w:rFonts w:hint="default" w:ascii="TimesNewRomanPSMT" w:hAnsi="TimesNewRomanPSMT" w:eastAsia="TimesNewRomanPSMT"/>
          <w:sz w:val="24"/>
          <w:szCs w:val="24"/>
        </w:rPr>
        <w:t>“</w:t>
      </w:r>
      <w:r>
        <w:rPr>
          <w:rFonts w:hint="eastAsia" w:ascii="宋体" w:hAnsi="宋体" w:eastAsia="宋体"/>
          <w:sz w:val="24"/>
          <w:szCs w:val="24"/>
        </w:rPr>
        <w:t>承包人</w:t>
      </w:r>
      <w:r>
        <w:rPr>
          <w:rFonts w:hint="default" w:ascii="TimesNewRomanPSMT" w:hAnsi="TimesNewRomanPSMT" w:eastAsia="TimesNewRomanPSMT"/>
          <w:sz w:val="24"/>
          <w:szCs w:val="24"/>
        </w:rPr>
        <w:t>”)</w:t>
      </w:r>
      <w:r>
        <w:rPr>
          <w:rFonts w:hint="eastAsia" w:ascii="宋体" w:hAnsi="宋体" w:eastAsia="宋体"/>
          <w:sz w:val="24"/>
          <w:szCs w:val="24"/>
        </w:rPr>
        <w:t>对该项目</w:t>
      </w:r>
      <w:r>
        <w:rPr>
          <w:rFonts w:hint="eastAsia" w:ascii="宋体" w:hAnsi="宋体" w:eastAsia="宋体"/>
          <w:sz w:val="24"/>
          <w:szCs w:val="24"/>
          <w:u w:val="single"/>
          <w:lang w:val="en-US" w:eastAsia="zh-CN"/>
        </w:rPr>
        <w:t xml:space="preserve">           </w:t>
      </w:r>
      <w:r>
        <w:rPr>
          <w:rFonts w:hint="eastAsia" w:ascii="宋体" w:hAnsi="宋体" w:eastAsia="宋体"/>
          <w:sz w:val="24"/>
          <w:szCs w:val="24"/>
        </w:rPr>
        <w:t>标段施工的投标。发包人和承包人共同达成如下协议。</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720" w:firstLineChars="0"/>
        <w:jc w:val="left"/>
        <w:textAlignment w:val="auto"/>
        <w:outlineLvl w:val="9"/>
        <w:rPr>
          <w:rFonts w:hint="eastAsia"/>
          <w:sz w:val="24"/>
          <w:szCs w:val="24"/>
        </w:rPr>
      </w:pPr>
      <w:r>
        <w:rPr>
          <w:rFonts w:hint="default" w:ascii="TimesNewRomanPSMT" w:hAnsi="TimesNewRomanPSMT" w:eastAsia="TimesNewRomanPSMT"/>
          <w:sz w:val="24"/>
          <w:szCs w:val="24"/>
        </w:rPr>
        <w:t xml:space="preserve">1. </w:t>
      </w:r>
      <w:r>
        <w:rPr>
          <w:rFonts w:hint="eastAsia" w:ascii="宋体" w:hAnsi="宋体" w:eastAsia="宋体"/>
          <w:sz w:val="24"/>
          <w:szCs w:val="24"/>
        </w:rPr>
        <w:t>第</w:t>
      </w:r>
      <w:r>
        <w:rPr>
          <w:rFonts w:hint="eastAsia" w:ascii="宋体" w:hAnsi="宋体" w:eastAsia="宋体"/>
          <w:sz w:val="24"/>
          <w:szCs w:val="24"/>
          <w:u w:val="single"/>
          <w:lang w:val="en-US" w:eastAsia="zh-CN"/>
        </w:rPr>
        <w:t xml:space="preserve">    </w:t>
      </w:r>
      <w:r>
        <w:rPr>
          <w:rFonts w:hint="eastAsia" w:ascii="宋体" w:hAnsi="宋体" w:eastAsia="宋体"/>
          <w:sz w:val="24"/>
          <w:szCs w:val="24"/>
        </w:rPr>
        <w:t>标段由</w:t>
      </w:r>
      <w:r>
        <w:rPr>
          <w:rFonts w:hint="default" w:ascii="TimesNewRomanPSMT" w:hAnsi="TimesNewRomanPSMT" w:eastAsia="TimesNewRomanPSMT"/>
          <w:sz w:val="24"/>
          <w:szCs w:val="24"/>
        </w:rPr>
        <w:t xml:space="preserve">K </w:t>
      </w:r>
      <w:r>
        <w:rPr>
          <w:rFonts w:hint="eastAsia" w:ascii="宋体" w:hAnsi="宋体" w:eastAsia="宋体"/>
          <w:sz w:val="24"/>
          <w:szCs w:val="24"/>
          <w:u w:val="single"/>
          <w:lang w:val="en-US" w:eastAsia="zh-CN"/>
        </w:rPr>
        <w:t xml:space="preserve">    </w:t>
      </w:r>
      <w:r>
        <w:rPr>
          <w:rFonts w:hint="eastAsia" w:ascii="宋体" w:hAnsi="宋体" w:eastAsia="宋体"/>
          <w:sz w:val="24"/>
          <w:szCs w:val="24"/>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rPr>
        <w:t xml:space="preserve"> 至</w:t>
      </w:r>
      <w:r>
        <w:rPr>
          <w:rFonts w:hint="default" w:ascii="TimesNewRomanPSMT" w:hAnsi="TimesNewRomanPSMT" w:eastAsia="TimesNewRomanPSMT"/>
          <w:sz w:val="24"/>
          <w:szCs w:val="24"/>
        </w:rPr>
        <w:t xml:space="preserve">K </w:t>
      </w:r>
      <w:r>
        <w:rPr>
          <w:rFonts w:hint="eastAsia" w:ascii="宋体" w:hAnsi="宋体" w:eastAsia="宋体"/>
          <w:sz w:val="24"/>
          <w:szCs w:val="24"/>
          <w:u w:val="single"/>
          <w:lang w:val="en-US" w:eastAsia="zh-CN"/>
        </w:rPr>
        <w:t xml:space="preserve">    </w:t>
      </w:r>
      <w:r>
        <w:rPr>
          <w:rFonts w:hint="eastAsia" w:ascii="宋体" w:hAnsi="宋体" w:eastAsia="宋体"/>
          <w:sz w:val="24"/>
          <w:szCs w:val="24"/>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rPr>
        <w:t>，长约</w:t>
      </w:r>
      <w:r>
        <w:rPr>
          <w:rFonts w:hint="eastAsia" w:ascii="宋体" w:hAnsi="宋体" w:eastAsia="宋体"/>
          <w:sz w:val="24"/>
          <w:szCs w:val="24"/>
          <w:u w:val="single"/>
          <w:lang w:val="en-US" w:eastAsia="zh-CN"/>
        </w:rPr>
        <w:t xml:space="preserve">    </w:t>
      </w:r>
      <w:r>
        <w:rPr>
          <w:rFonts w:hint="eastAsia" w:ascii="宋体" w:hAnsi="宋体" w:eastAsia="宋体"/>
          <w:sz w:val="24"/>
          <w:szCs w:val="24"/>
        </w:rPr>
        <w:t xml:space="preserve"> </w:t>
      </w:r>
      <w:r>
        <w:rPr>
          <w:rFonts w:hint="default" w:ascii="TimesNewRomanPSMT" w:hAnsi="TimesNewRomanPSMT" w:eastAsia="TimesNewRomanPSMT"/>
          <w:sz w:val="24"/>
          <w:szCs w:val="24"/>
        </w:rPr>
        <w:t>km</w:t>
      </w:r>
      <w:r>
        <w:rPr>
          <w:rFonts w:hint="eastAsia" w:ascii="宋体" w:hAnsi="宋体" w:eastAsia="宋体"/>
          <w:sz w:val="24"/>
          <w:szCs w:val="24"/>
        </w:rPr>
        <w:t>，公路等级为</w:t>
      </w:r>
      <w:r>
        <w:rPr>
          <w:rFonts w:hint="eastAsia" w:ascii="宋体" w:hAnsi="宋体" w:eastAsia="宋体"/>
          <w:sz w:val="24"/>
          <w:szCs w:val="24"/>
          <w:u w:val="single"/>
          <w:lang w:val="en-US" w:eastAsia="zh-CN"/>
        </w:rPr>
        <w:t xml:space="preserve">    </w:t>
      </w:r>
      <w:r>
        <w:rPr>
          <w:rFonts w:hint="eastAsia" w:ascii="宋体" w:hAnsi="宋体" w:eastAsia="宋体"/>
          <w:sz w:val="24"/>
          <w:szCs w:val="24"/>
        </w:rPr>
        <w:t xml:space="preserve"> ，设计时速为</w:t>
      </w:r>
      <w:r>
        <w:rPr>
          <w:rFonts w:hint="eastAsia" w:ascii="宋体" w:hAnsi="宋体" w:eastAsia="宋体"/>
          <w:sz w:val="24"/>
          <w:szCs w:val="24"/>
          <w:u w:val="single"/>
          <w:lang w:val="en-US" w:eastAsia="zh-CN"/>
        </w:rPr>
        <w:t xml:space="preserve">    </w:t>
      </w:r>
      <w:r>
        <w:rPr>
          <w:rFonts w:hint="eastAsia" w:ascii="宋体" w:hAnsi="宋体" w:eastAsia="宋体"/>
          <w:sz w:val="24"/>
          <w:szCs w:val="24"/>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rPr>
        <w:t>路面，有</w:t>
      </w:r>
      <w:r>
        <w:rPr>
          <w:rFonts w:hint="eastAsia" w:ascii="宋体" w:hAnsi="宋体" w:eastAsia="宋体"/>
          <w:sz w:val="24"/>
          <w:szCs w:val="24"/>
          <w:u w:val="single"/>
          <w:lang w:val="en-US" w:eastAsia="zh-CN"/>
        </w:rPr>
        <w:t xml:space="preserve">    </w:t>
      </w:r>
      <w:r>
        <w:rPr>
          <w:rFonts w:hint="eastAsia" w:ascii="宋体" w:hAnsi="宋体" w:eastAsia="宋体"/>
          <w:sz w:val="24"/>
          <w:szCs w:val="24"/>
        </w:rPr>
        <w:t xml:space="preserve"> 立交</w:t>
      </w:r>
      <w:r>
        <w:rPr>
          <w:rFonts w:hint="eastAsia" w:ascii="宋体" w:hAnsi="宋体" w:eastAsia="宋体"/>
          <w:sz w:val="24"/>
          <w:szCs w:val="24"/>
          <w:u w:val="single"/>
          <w:lang w:val="en-US" w:eastAsia="zh-CN"/>
        </w:rPr>
        <w:t xml:space="preserve">    </w:t>
      </w:r>
      <w:r>
        <w:rPr>
          <w:rFonts w:hint="eastAsia" w:ascii="宋体" w:hAnsi="宋体" w:eastAsia="宋体"/>
          <w:sz w:val="24"/>
          <w:szCs w:val="24"/>
        </w:rPr>
        <w:t xml:space="preserve"> 处；特大桥</w:t>
      </w:r>
      <w:r>
        <w:rPr>
          <w:rFonts w:hint="eastAsia" w:ascii="宋体" w:hAnsi="宋体" w:eastAsia="宋体"/>
          <w:sz w:val="24"/>
          <w:szCs w:val="24"/>
          <w:u w:val="single"/>
          <w:lang w:val="en-US" w:eastAsia="zh-CN"/>
        </w:rPr>
        <w:t xml:space="preserve">    </w:t>
      </w:r>
      <w:r>
        <w:rPr>
          <w:rFonts w:hint="eastAsia" w:ascii="宋体" w:hAnsi="宋体" w:eastAsia="宋体"/>
          <w:sz w:val="24"/>
          <w:szCs w:val="24"/>
        </w:rPr>
        <w:t xml:space="preserve"> 座，计长</w:t>
      </w:r>
      <w:r>
        <w:rPr>
          <w:rFonts w:hint="eastAsia" w:ascii="宋体" w:hAnsi="宋体" w:eastAsia="宋体"/>
          <w:sz w:val="24"/>
          <w:szCs w:val="24"/>
          <w:u w:val="single"/>
          <w:lang w:val="en-US" w:eastAsia="zh-CN"/>
        </w:rPr>
        <w:t xml:space="preserve">    </w:t>
      </w:r>
      <w:r>
        <w:rPr>
          <w:rFonts w:hint="eastAsia" w:ascii="宋体" w:hAnsi="宋体" w:eastAsia="宋体"/>
          <w:sz w:val="24"/>
          <w:szCs w:val="24"/>
        </w:rPr>
        <w:t xml:space="preserve"> </w:t>
      </w:r>
      <w:r>
        <w:rPr>
          <w:rFonts w:hint="default" w:ascii="TimesNewRomanPSMT" w:hAnsi="TimesNewRomanPSMT" w:eastAsia="TimesNewRomanPSMT"/>
          <w:sz w:val="24"/>
          <w:szCs w:val="24"/>
        </w:rPr>
        <w:t>m</w:t>
      </w:r>
      <w:r>
        <w:rPr>
          <w:rFonts w:hint="eastAsia" w:ascii="宋体" w:hAnsi="宋体" w:eastAsia="宋体"/>
          <w:sz w:val="24"/>
          <w:szCs w:val="24"/>
        </w:rPr>
        <w:t>；大中桥</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座，计长</w:t>
      </w:r>
      <w:r>
        <w:rPr>
          <w:rFonts w:hint="eastAsia" w:ascii="宋体" w:hAnsi="宋体" w:eastAsia="宋体"/>
          <w:sz w:val="24"/>
          <w:szCs w:val="24"/>
          <w:u w:val="single"/>
          <w:lang w:val="en-US" w:eastAsia="zh-CN"/>
        </w:rPr>
        <w:t xml:space="preserve">    </w:t>
      </w:r>
      <w:r>
        <w:rPr>
          <w:rFonts w:hint="eastAsia" w:ascii="宋体" w:hAnsi="宋体" w:eastAsia="宋体"/>
          <w:sz w:val="24"/>
          <w:szCs w:val="24"/>
        </w:rPr>
        <w:t xml:space="preserve"> </w:t>
      </w:r>
      <w:r>
        <w:rPr>
          <w:rFonts w:hint="default" w:ascii="TimesNewRomanPSMT" w:hAnsi="TimesNewRomanPSMT" w:eastAsia="TimesNewRomanPSMT"/>
          <w:sz w:val="24"/>
          <w:szCs w:val="24"/>
        </w:rPr>
        <w:t>m</w:t>
      </w:r>
      <w:r>
        <w:rPr>
          <w:rFonts w:hint="eastAsia" w:ascii="宋体" w:hAnsi="宋体" w:eastAsia="宋体"/>
          <w:sz w:val="24"/>
          <w:szCs w:val="24"/>
        </w:rPr>
        <w:t xml:space="preserve">；隧道 </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座，计长</w:t>
      </w:r>
      <w:r>
        <w:rPr>
          <w:rFonts w:hint="eastAsia" w:ascii="宋体" w:hAnsi="宋体" w:eastAsia="宋体"/>
          <w:sz w:val="24"/>
          <w:szCs w:val="24"/>
          <w:u w:val="single"/>
          <w:lang w:val="en-US" w:eastAsia="zh-CN"/>
        </w:rPr>
        <w:t xml:space="preserve">    </w:t>
      </w:r>
      <w:r>
        <w:rPr>
          <w:rFonts w:hint="eastAsia" w:ascii="宋体" w:hAnsi="宋体" w:eastAsia="宋体"/>
          <w:sz w:val="24"/>
          <w:szCs w:val="24"/>
        </w:rPr>
        <w:t xml:space="preserve"> </w:t>
      </w:r>
      <w:r>
        <w:rPr>
          <w:rFonts w:hint="default" w:ascii="TimesNewRomanPSMT" w:hAnsi="TimesNewRomanPSMT" w:eastAsia="TimesNewRomanPSMT"/>
          <w:sz w:val="24"/>
          <w:szCs w:val="24"/>
        </w:rPr>
        <w:t xml:space="preserve">m </w:t>
      </w:r>
      <w:r>
        <w:rPr>
          <w:rFonts w:hint="eastAsia" w:ascii="宋体" w:hAnsi="宋体" w:eastAsia="宋体"/>
          <w:sz w:val="24"/>
          <w:szCs w:val="24"/>
        </w:rPr>
        <w:t>以及其他构造物工程等。</w:t>
      </w:r>
    </w:p>
    <w:p>
      <w:pPr>
        <w:spacing w:after="0" w:line="143" w:lineRule="exact"/>
        <w:rPr>
          <w:color w:val="auto"/>
          <w:sz w:val="20"/>
          <w:szCs w:val="20"/>
        </w:rPr>
      </w:pPr>
    </w:p>
    <w:p>
      <w:pPr>
        <w:numPr>
          <w:ilvl w:val="0"/>
          <w:numId w:val="64"/>
        </w:numPr>
        <w:tabs>
          <w:tab w:val="left" w:pos="1120"/>
        </w:tabs>
        <w:spacing w:after="0" w:line="292" w:lineRule="exact"/>
        <w:ind w:left="1120" w:hanging="299"/>
        <w:rPr>
          <w:rFonts w:ascii="Times New Roman" w:hAnsi="Times New Roman" w:eastAsia="Times New Roman" w:cs="Times New Roman"/>
          <w:color w:val="auto"/>
          <w:sz w:val="24"/>
          <w:szCs w:val="24"/>
        </w:rPr>
      </w:pPr>
      <w:r>
        <w:rPr>
          <w:rFonts w:ascii="宋体" w:hAnsi="宋体" w:eastAsia="宋体" w:cs="宋体"/>
          <w:color w:val="auto"/>
          <w:sz w:val="24"/>
          <w:szCs w:val="24"/>
        </w:rPr>
        <w:t>下列文件应视为构成合同文件的组成部分：</w:t>
      </w:r>
    </w:p>
    <w:p>
      <w:pPr>
        <w:spacing w:after="0" w:line="166" w:lineRule="exact"/>
        <w:rPr>
          <w:color w:val="auto"/>
          <w:sz w:val="20"/>
          <w:szCs w:val="20"/>
        </w:rPr>
      </w:pPr>
    </w:p>
    <w:p>
      <w:pPr>
        <w:spacing w:after="0" w:line="376" w:lineRule="exact"/>
        <w:ind w:left="200" w:right="184" w:firstLine="617"/>
        <w:rPr>
          <w:color w:val="auto"/>
          <w:sz w:val="20"/>
          <w:szCs w:val="20"/>
        </w:rPr>
      </w:pPr>
      <w:r>
        <w:rPr>
          <w:rFonts w:ascii="Times New Roman" w:hAnsi="Times New Roman" w:eastAsia="Times New Roman" w:cs="Times New Roman"/>
          <w:color w:val="auto"/>
          <w:sz w:val="24"/>
          <w:szCs w:val="24"/>
        </w:rPr>
        <w:t>(1)</w:t>
      </w:r>
      <w:r>
        <w:rPr>
          <w:rFonts w:ascii="宋体" w:hAnsi="宋体" w:eastAsia="宋体" w:cs="宋体"/>
          <w:color w:val="auto"/>
          <w:sz w:val="24"/>
          <w:szCs w:val="24"/>
        </w:rPr>
        <w:t>本协议书及各种合同附件</w:t>
      </w:r>
      <w:r>
        <w:rPr>
          <w:rFonts w:ascii="Times New Roman" w:hAnsi="Times New Roman" w:eastAsia="Times New Roman" w:cs="Times New Roman"/>
          <w:color w:val="auto"/>
          <w:sz w:val="24"/>
          <w:szCs w:val="24"/>
        </w:rPr>
        <w:t>(</w:t>
      </w:r>
      <w:r>
        <w:rPr>
          <w:rFonts w:ascii="宋体" w:hAnsi="宋体" w:eastAsia="宋体" w:cs="宋体"/>
          <w:color w:val="auto"/>
          <w:sz w:val="24"/>
          <w:szCs w:val="24"/>
        </w:rPr>
        <w:t>含评标期间和合同谈判过程中的澄清文件和补充资料</w:t>
      </w:r>
      <w:r>
        <w:rPr>
          <w:rFonts w:ascii="Times New Roman" w:hAnsi="Times New Roman" w:eastAsia="Times New Roman" w:cs="Times New Roman"/>
          <w:color w:val="auto"/>
          <w:sz w:val="24"/>
          <w:szCs w:val="24"/>
        </w:rPr>
        <w:t>)</w:t>
      </w:r>
      <w:r>
        <w:rPr>
          <w:rFonts w:ascii="宋体" w:hAnsi="宋体" w:eastAsia="宋体" w:cs="宋体"/>
          <w:color w:val="auto"/>
          <w:sz w:val="24"/>
          <w:szCs w:val="24"/>
        </w:rPr>
        <w:t>；</w:t>
      </w:r>
    </w:p>
    <w:p>
      <w:pPr>
        <w:spacing w:after="0" w:line="128" w:lineRule="exact"/>
        <w:rPr>
          <w:color w:val="auto"/>
          <w:sz w:val="20"/>
          <w:szCs w:val="20"/>
        </w:rPr>
      </w:pPr>
    </w:p>
    <w:p>
      <w:pPr>
        <w:spacing w:after="0" w:line="292" w:lineRule="exact"/>
        <w:ind w:left="820"/>
        <w:rPr>
          <w:color w:val="auto"/>
          <w:sz w:val="20"/>
          <w:szCs w:val="20"/>
        </w:rPr>
      </w:pPr>
      <w:r>
        <w:rPr>
          <w:rFonts w:ascii="Times New Roman" w:hAnsi="Times New Roman" w:eastAsia="Times New Roman" w:cs="Times New Roman"/>
          <w:color w:val="auto"/>
          <w:sz w:val="24"/>
          <w:szCs w:val="24"/>
        </w:rPr>
        <w:t>(2)</w:t>
      </w:r>
      <w:r>
        <w:rPr>
          <w:rFonts w:ascii="宋体" w:hAnsi="宋体" w:eastAsia="宋体" w:cs="宋体"/>
          <w:color w:val="auto"/>
          <w:sz w:val="24"/>
          <w:szCs w:val="24"/>
        </w:rPr>
        <w:t>中标通知书；</w:t>
      </w:r>
    </w:p>
    <w:p>
      <w:pPr>
        <w:spacing w:after="0" w:line="148" w:lineRule="exact"/>
        <w:rPr>
          <w:color w:val="auto"/>
          <w:sz w:val="20"/>
          <w:szCs w:val="20"/>
        </w:rPr>
      </w:pPr>
    </w:p>
    <w:p>
      <w:pPr>
        <w:spacing w:after="0" w:line="292" w:lineRule="exact"/>
        <w:ind w:left="820"/>
        <w:rPr>
          <w:color w:val="auto"/>
          <w:sz w:val="20"/>
          <w:szCs w:val="20"/>
        </w:rPr>
      </w:pPr>
      <w:r>
        <w:rPr>
          <w:rFonts w:ascii="Times New Roman" w:hAnsi="Times New Roman" w:eastAsia="Times New Roman" w:cs="Times New Roman"/>
          <w:color w:val="auto"/>
          <w:sz w:val="24"/>
          <w:szCs w:val="24"/>
        </w:rPr>
        <w:t>(3)</w:t>
      </w:r>
      <w:r>
        <w:rPr>
          <w:rFonts w:ascii="宋体" w:hAnsi="宋体" w:eastAsia="宋体" w:cs="宋体"/>
          <w:color w:val="auto"/>
          <w:sz w:val="24"/>
          <w:szCs w:val="24"/>
        </w:rPr>
        <w:t>投标函及投标函附录；</w:t>
      </w:r>
    </w:p>
    <w:p>
      <w:pPr>
        <w:spacing w:after="0" w:line="148" w:lineRule="exact"/>
        <w:rPr>
          <w:color w:val="auto"/>
          <w:sz w:val="20"/>
          <w:szCs w:val="20"/>
        </w:rPr>
      </w:pPr>
    </w:p>
    <w:p>
      <w:pPr>
        <w:spacing w:after="0" w:line="292" w:lineRule="exact"/>
        <w:ind w:left="820"/>
        <w:rPr>
          <w:color w:val="auto"/>
          <w:sz w:val="20"/>
          <w:szCs w:val="20"/>
        </w:rPr>
      </w:pPr>
      <w:r>
        <w:rPr>
          <w:rFonts w:ascii="Times New Roman" w:hAnsi="Times New Roman" w:eastAsia="Times New Roman" w:cs="Times New Roman"/>
          <w:color w:val="auto"/>
          <w:sz w:val="24"/>
          <w:szCs w:val="24"/>
        </w:rPr>
        <w:t>(4)</w:t>
      </w:r>
      <w:r>
        <w:rPr>
          <w:rFonts w:ascii="宋体" w:hAnsi="宋体" w:eastAsia="宋体" w:cs="宋体"/>
          <w:color w:val="auto"/>
          <w:sz w:val="24"/>
          <w:szCs w:val="24"/>
        </w:rPr>
        <w:t>项目专用合同条款；</w:t>
      </w:r>
    </w:p>
    <w:p>
      <w:pPr>
        <w:spacing w:after="0" w:line="147" w:lineRule="exact"/>
        <w:rPr>
          <w:color w:val="auto"/>
          <w:sz w:val="20"/>
          <w:szCs w:val="20"/>
        </w:rPr>
      </w:pPr>
    </w:p>
    <w:p>
      <w:pPr>
        <w:spacing w:after="0" w:line="292" w:lineRule="exact"/>
        <w:ind w:left="820"/>
        <w:rPr>
          <w:color w:val="auto"/>
          <w:sz w:val="20"/>
          <w:szCs w:val="20"/>
        </w:rPr>
      </w:pPr>
      <w:r>
        <w:rPr>
          <w:rFonts w:ascii="Times New Roman" w:hAnsi="Times New Roman" w:eastAsia="Times New Roman" w:cs="Times New Roman"/>
          <w:color w:val="auto"/>
          <w:sz w:val="24"/>
          <w:szCs w:val="24"/>
        </w:rPr>
        <w:t>(5)</w:t>
      </w:r>
      <w:r>
        <w:rPr>
          <w:rFonts w:ascii="宋体" w:hAnsi="宋体" w:eastAsia="宋体" w:cs="宋体"/>
          <w:color w:val="auto"/>
          <w:sz w:val="24"/>
          <w:szCs w:val="24"/>
        </w:rPr>
        <w:t>公路工程专用合同条款；</w:t>
      </w:r>
    </w:p>
    <w:p>
      <w:pPr>
        <w:spacing w:after="0" w:line="148" w:lineRule="exact"/>
        <w:rPr>
          <w:color w:val="auto"/>
          <w:sz w:val="20"/>
          <w:szCs w:val="20"/>
        </w:rPr>
      </w:pPr>
    </w:p>
    <w:p>
      <w:pPr>
        <w:spacing w:after="0" w:line="292" w:lineRule="exact"/>
        <w:ind w:left="820"/>
        <w:rPr>
          <w:color w:val="auto"/>
          <w:sz w:val="20"/>
          <w:szCs w:val="20"/>
        </w:rPr>
      </w:pPr>
      <w:r>
        <w:rPr>
          <w:rFonts w:ascii="Times New Roman" w:hAnsi="Times New Roman" w:eastAsia="Times New Roman" w:cs="Times New Roman"/>
          <w:color w:val="auto"/>
          <w:sz w:val="24"/>
          <w:szCs w:val="24"/>
        </w:rPr>
        <w:t>(6)</w:t>
      </w:r>
      <w:r>
        <w:rPr>
          <w:rFonts w:ascii="宋体" w:hAnsi="宋体" w:eastAsia="宋体" w:cs="宋体"/>
          <w:color w:val="auto"/>
          <w:sz w:val="24"/>
          <w:szCs w:val="24"/>
        </w:rPr>
        <w:t>通用合同条款；</w:t>
      </w:r>
    </w:p>
    <w:p>
      <w:pPr>
        <w:spacing w:after="0" w:line="148" w:lineRule="exact"/>
        <w:rPr>
          <w:color w:val="auto"/>
          <w:sz w:val="20"/>
          <w:szCs w:val="20"/>
        </w:rPr>
      </w:pPr>
    </w:p>
    <w:p>
      <w:pPr>
        <w:spacing w:after="0" w:line="292" w:lineRule="exact"/>
        <w:ind w:left="820"/>
        <w:rPr>
          <w:color w:val="auto"/>
          <w:sz w:val="20"/>
          <w:szCs w:val="20"/>
        </w:rPr>
      </w:pPr>
      <w:r>
        <w:rPr>
          <w:rFonts w:ascii="Times New Roman" w:hAnsi="Times New Roman" w:eastAsia="Times New Roman" w:cs="Times New Roman"/>
          <w:color w:val="auto"/>
          <w:sz w:val="24"/>
          <w:szCs w:val="24"/>
        </w:rPr>
        <w:t>(7)</w:t>
      </w:r>
      <w:r>
        <w:rPr>
          <w:rFonts w:ascii="宋体" w:hAnsi="宋体" w:eastAsia="宋体" w:cs="宋体"/>
          <w:color w:val="auto"/>
          <w:sz w:val="24"/>
          <w:szCs w:val="24"/>
        </w:rPr>
        <w:t>工程量清单计量规范；</w:t>
      </w:r>
    </w:p>
    <w:p>
      <w:pPr>
        <w:spacing w:after="0" w:line="147" w:lineRule="exact"/>
        <w:rPr>
          <w:color w:val="auto"/>
          <w:sz w:val="20"/>
          <w:szCs w:val="20"/>
        </w:rPr>
      </w:pPr>
    </w:p>
    <w:p>
      <w:pPr>
        <w:spacing w:after="0" w:line="292" w:lineRule="exact"/>
        <w:ind w:left="820"/>
        <w:rPr>
          <w:color w:val="auto"/>
          <w:sz w:val="20"/>
          <w:szCs w:val="20"/>
        </w:rPr>
      </w:pPr>
      <w:r>
        <w:rPr>
          <w:rFonts w:ascii="Times New Roman" w:hAnsi="Times New Roman" w:eastAsia="Times New Roman" w:cs="Times New Roman"/>
          <w:color w:val="auto"/>
          <w:sz w:val="24"/>
          <w:szCs w:val="24"/>
        </w:rPr>
        <w:t>(8)</w:t>
      </w:r>
      <w:r>
        <w:rPr>
          <w:rFonts w:ascii="宋体" w:hAnsi="宋体" w:eastAsia="宋体" w:cs="宋体"/>
          <w:color w:val="auto"/>
          <w:sz w:val="24"/>
          <w:szCs w:val="24"/>
        </w:rPr>
        <w:t>技术规范；</w:t>
      </w:r>
    </w:p>
    <w:p>
      <w:pPr>
        <w:spacing w:after="0" w:line="148" w:lineRule="exact"/>
        <w:rPr>
          <w:color w:val="auto"/>
          <w:sz w:val="20"/>
          <w:szCs w:val="20"/>
        </w:rPr>
      </w:pPr>
    </w:p>
    <w:p>
      <w:pPr>
        <w:spacing w:after="0" w:line="292" w:lineRule="exact"/>
        <w:ind w:left="820"/>
        <w:rPr>
          <w:color w:val="auto"/>
          <w:sz w:val="20"/>
          <w:szCs w:val="20"/>
        </w:rPr>
      </w:pPr>
      <w:r>
        <w:rPr>
          <w:rFonts w:ascii="Times New Roman" w:hAnsi="Times New Roman" w:eastAsia="Times New Roman" w:cs="Times New Roman"/>
          <w:color w:val="auto"/>
          <w:sz w:val="24"/>
          <w:szCs w:val="24"/>
        </w:rPr>
        <w:t>(9)</w:t>
      </w:r>
      <w:r>
        <w:rPr>
          <w:rFonts w:ascii="宋体" w:hAnsi="宋体" w:eastAsia="宋体" w:cs="宋体"/>
          <w:color w:val="auto"/>
          <w:sz w:val="24"/>
          <w:szCs w:val="24"/>
        </w:rPr>
        <w:t>图纸；</w:t>
      </w:r>
    </w:p>
    <w:p>
      <w:pPr>
        <w:spacing w:after="0" w:line="148" w:lineRule="exact"/>
        <w:rPr>
          <w:color w:val="auto"/>
          <w:sz w:val="20"/>
          <w:szCs w:val="20"/>
        </w:rPr>
      </w:pPr>
    </w:p>
    <w:p>
      <w:pPr>
        <w:spacing w:after="0" w:line="292" w:lineRule="exact"/>
        <w:ind w:left="820"/>
        <w:rPr>
          <w:color w:val="auto"/>
          <w:sz w:val="20"/>
          <w:szCs w:val="20"/>
        </w:rPr>
      </w:pPr>
      <w:r>
        <w:rPr>
          <w:rFonts w:ascii="Times New Roman" w:hAnsi="Times New Roman" w:eastAsia="Times New Roman" w:cs="Times New Roman"/>
          <w:color w:val="auto"/>
          <w:sz w:val="24"/>
          <w:szCs w:val="24"/>
        </w:rPr>
        <w:t>(10)</w:t>
      </w:r>
      <w:r>
        <w:rPr>
          <w:rFonts w:ascii="宋体" w:hAnsi="宋体" w:eastAsia="宋体" w:cs="宋体"/>
          <w:color w:val="auto"/>
          <w:sz w:val="24"/>
          <w:szCs w:val="24"/>
        </w:rPr>
        <w:t>已标价工程量清单；</w:t>
      </w:r>
    </w:p>
    <w:p>
      <w:pPr>
        <w:spacing w:after="0" w:line="147" w:lineRule="exact"/>
        <w:rPr>
          <w:color w:val="auto"/>
          <w:sz w:val="20"/>
          <w:szCs w:val="20"/>
        </w:rPr>
      </w:pPr>
    </w:p>
    <w:p>
      <w:pPr>
        <w:spacing w:after="0" w:line="292" w:lineRule="exact"/>
        <w:ind w:left="820"/>
        <w:rPr>
          <w:color w:val="auto"/>
          <w:sz w:val="20"/>
          <w:szCs w:val="20"/>
        </w:rPr>
      </w:pPr>
      <w:r>
        <w:rPr>
          <w:rFonts w:ascii="Times New Roman" w:hAnsi="Times New Roman" w:eastAsia="Times New Roman" w:cs="Times New Roman"/>
          <w:color w:val="auto"/>
          <w:sz w:val="24"/>
          <w:szCs w:val="24"/>
        </w:rPr>
        <w:t>(11)</w:t>
      </w:r>
      <w:r>
        <w:rPr>
          <w:rFonts w:ascii="宋体" w:hAnsi="宋体" w:eastAsia="宋体" w:cs="宋体"/>
          <w:color w:val="auto"/>
          <w:sz w:val="24"/>
          <w:szCs w:val="24"/>
        </w:rPr>
        <w:t>承包人有关人员、设备投入的承诺及投标文件中的施工组织设计；</w:t>
      </w:r>
    </w:p>
    <w:p>
      <w:pPr>
        <w:spacing w:after="0" w:line="148" w:lineRule="exact"/>
        <w:rPr>
          <w:color w:val="auto"/>
          <w:sz w:val="20"/>
          <w:szCs w:val="20"/>
        </w:rPr>
      </w:pPr>
    </w:p>
    <w:p>
      <w:pPr>
        <w:spacing w:after="0" w:line="292" w:lineRule="exact"/>
        <w:ind w:left="820"/>
        <w:rPr>
          <w:color w:val="auto"/>
          <w:sz w:val="20"/>
          <w:szCs w:val="20"/>
        </w:rPr>
      </w:pPr>
      <w:r>
        <w:rPr>
          <w:rFonts w:ascii="Times New Roman" w:hAnsi="Times New Roman" w:eastAsia="Times New Roman" w:cs="Times New Roman"/>
          <w:color w:val="auto"/>
          <w:sz w:val="24"/>
          <w:szCs w:val="24"/>
        </w:rPr>
        <w:t>(12)</w:t>
      </w:r>
      <w:r>
        <w:rPr>
          <w:rFonts w:ascii="宋体" w:hAnsi="宋体" w:eastAsia="宋体" w:cs="宋体"/>
          <w:color w:val="auto"/>
          <w:sz w:val="24"/>
          <w:szCs w:val="24"/>
        </w:rPr>
        <w:t>其他合同文件。</w:t>
      </w:r>
    </w:p>
    <w:p>
      <w:pPr>
        <w:spacing w:after="0" w:line="182" w:lineRule="exact"/>
        <w:rPr>
          <w:color w:val="auto"/>
          <w:sz w:val="20"/>
          <w:szCs w:val="20"/>
        </w:rPr>
      </w:pPr>
    </w:p>
    <w:p>
      <w:pPr>
        <w:numPr>
          <w:ilvl w:val="0"/>
          <w:numId w:val="65"/>
        </w:numPr>
        <w:tabs>
          <w:tab w:val="left" w:pos="1118"/>
        </w:tabs>
        <w:spacing w:after="0" w:line="340" w:lineRule="exact"/>
        <w:ind w:left="200" w:right="18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上述文件互相补充和解释，如有不明确或不一致之处，以合同约定次序在先者为准。</w:t>
      </w:r>
    </w:p>
    <w:p>
      <w:pPr>
        <w:spacing w:after="0" w:line="200" w:lineRule="exact"/>
        <w:rPr>
          <w:rFonts w:ascii="Times New Roman" w:hAnsi="Times New Roman" w:eastAsia="Times New Roman" w:cs="Times New Roman"/>
          <w:color w:val="auto"/>
          <w:sz w:val="24"/>
          <w:szCs w:val="24"/>
        </w:rPr>
      </w:pPr>
    </w:p>
    <w:p>
      <w:pPr>
        <w:keepNext w:val="0"/>
        <w:keepLines w:val="0"/>
        <w:pageBreakBefore w:val="0"/>
        <w:widowControl/>
        <w:numPr>
          <w:ilvl w:val="0"/>
          <w:numId w:val="65"/>
        </w:numPr>
        <w:tabs>
          <w:tab w:val="left" w:pos="1118"/>
        </w:tabs>
        <w:kinsoku/>
        <w:wordWrap/>
        <w:overflowPunct/>
        <w:topLinePunct w:val="0"/>
        <w:autoSpaceDE/>
        <w:autoSpaceDN/>
        <w:bidi w:val="0"/>
        <w:adjustRightInd/>
        <w:snapToGrid/>
        <w:spacing w:line="296" w:lineRule="exact"/>
        <w:ind w:left="200" w:right="184" w:firstLine="621"/>
        <w:jc w:val="left"/>
        <w:textAlignment w:val="auto"/>
        <w:outlineLvl w:val="9"/>
        <w:rPr>
          <w:rFonts w:ascii="Times New Roman" w:hAnsi="Times New Roman" w:eastAsia="Times New Roman" w:cs="Times New Roman"/>
          <w:color w:val="auto"/>
          <w:sz w:val="24"/>
          <w:szCs w:val="24"/>
        </w:rPr>
      </w:pPr>
      <w:r>
        <w:rPr>
          <w:rFonts w:ascii="宋体" w:hAnsi="宋体" w:eastAsia="宋体" w:cs="宋体"/>
          <w:color w:val="auto"/>
          <w:sz w:val="24"/>
          <w:szCs w:val="24"/>
        </w:rPr>
        <w:t>根据工程量清单所列的预计数量和单价或总额价计算的签约合同价：人民币</w:t>
      </w:r>
      <w:r>
        <w:rPr>
          <w:rFonts w:ascii="Times New Roman" w:hAnsi="Times New Roman" w:eastAsia="Times New Roman" w:cs="Times New Roman"/>
          <w:color w:val="auto"/>
          <w:sz w:val="24"/>
          <w:szCs w:val="24"/>
        </w:rPr>
        <w:t>(</w:t>
      </w:r>
      <w:r>
        <w:rPr>
          <w:rFonts w:ascii="宋体" w:hAnsi="宋体" w:eastAsia="宋体" w:cs="宋体"/>
          <w:color w:val="auto"/>
          <w:sz w:val="24"/>
          <w:szCs w:val="24"/>
        </w:rPr>
        <w:t>大写</w:t>
      </w:r>
      <w:r>
        <w:rPr>
          <w:rFonts w:ascii="Times New Roman" w:hAnsi="Times New Roman" w:eastAsia="Times New Roman" w:cs="Times New Roman"/>
          <w:color w:val="auto"/>
          <w:sz w:val="24"/>
          <w:szCs w:val="24"/>
        </w:rPr>
        <w:t>)________</w:t>
      </w:r>
      <w:r>
        <w:rPr>
          <w:rFonts w:ascii="宋体" w:hAnsi="宋体" w:eastAsia="宋体" w:cs="宋体"/>
          <w:color w:val="auto"/>
          <w:sz w:val="24"/>
          <w:szCs w:val="24"/>
        </w:rPr>
        <w:t>元</w:t>
      </w:r>
      <w:r>
        <w:rPr>
          <w:rFonts w:ascii="Times New Roman" w:hAnsi="Times New Roman" w:eastAsia="Times New Roman" w:cs="Times New Roman"/>
          <w:color w:val="auto"/>
          <w:sz w:val="24"/>
          <w:szCs w:val="24"/>
        </w:rPr>
        <w:t>(¥________)</w:t>
      </w:r>
      <w:r>
        <w:rPr>
          <w:rFonts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before="0" w:beforeLines="50" w:after="0" w:afterLines="50" w:line="296" w:lineRule="exact"/>
        <w:ind w:firstLine="720" w:firstLineChars="0"/>
        <w:jc w:val="left"/>
        <w:textAlignment w:val="auto"/>
        <w:outlineLvl w:val="9"/>
        <w:rPr>
          <w:rFonts w:hint="eastAsia" w:ascii="宋体" w:hAnsi="宋体" w:eastAsia="宋体"/>
          <w:sz w:val="24"/>
        </w:rPr>
      </w:pPr>
      <w:r>
        <w:rPr>
          <w:rFonts w:hint="eastAsia" w:ascii="宋体" w:hAnsi="宋体" w:eastAsia="宋体"/>
          <w:sz w:val="24"/>
        </w:rPr>
        <w:t xml:space="preserve"> </w:t>
      </w:r>
      <w:r>
        <w:rPr>
          <w:rFonts w:hint="default" w:ascii="TimesNewRomanPSMT" w:hAnsi="TimesNewRomanPSMT" w:eastAsia="TimesNewRomanPSMT"/>
          <w:sz w:val="24"/>
        </w:rPr>
        <w:t xml:space="preserve">5. </w:t>
      </w:r>
      <w:r>
        <w:rPr>
          <w:rFonts w:hint="eastAsia" w:ascii="宋体" w:hAnsi="宋体" w:eastAsia="宋体"/>
          <w:sz w:val="24"/>
        </w:rPr>
        <w:t>承包人项目经理：</w:t>
      </w:r>
      <w:r>
        <w:rPr>
          <w:rFonts w:ascii="Times New Roman" w:hAnsi="Times New Roman" w:eastAsia="Times New Roman" w:cs="Times New Roman"/>
          <w:color w:val="auto"/>
          <w:sz w:val="24"/>
          <w:szCs w:val="24"/>
          <w:u w:val="none"/>
        </w:rPr>
        <w:t>_</w:t>
      </w:r>
      <w:r>
        <w:rPr>
          <w:rFonts w:ascii="Times New Roman" w:hAnsi="Times New Roman" w:eastAsia="Times New Roman" w:cs="Times New Roman"/>
          <w:color w:val="auto"/>
          <w:sz w:val="24"/>
          <w:szCs w:val="24"/>
        </w:rPr>
        <w:t>____</w:t>
      </w:r>
      <w:r>
        <w:rPr>
          <w:rFonts w:ascii="Times New Roman" w:hAnsi="Times New Roman" w:eastAsia="Times New Roman" w:cs="Times New Roman"/>
          <w:color w:val="auto"/>
          <w:sz w:val="24"/>
          <w:szCs w:val="24"/>
          <w:u w:val="none"/>
        </w:rPr>
        <w:t>______</w:t>
      </w:r>
      <w:r>
        <w:rPr>
          <w:rFonts w:hint="eastAsia" w:ascii="宋体" w:hAnsi="宋体" w:eastAsia="宋体"/>
          <w:sz w:val="24"/>
        </w:rPr>
        <w:t>。承包人项目总工：</w:t>
      </w:r>
      <w:r>
        <w:rPr>
          <w:rFonts w:ascii="Times New Roman" w:hAnsi="Times New Roman" w:eastAsia="Times New Roman" w:cs="Times New Roman"/>
          <w:color w:val="auto"/>
          <w:sz w:val="24"/>
          <w:szCs w:val="24"/>
          <w:u w:val="none"/>
        </w:rPr>
        <w:t>_________</w:t>
      </w:r>
      <w:r>
        <w:rPr>
          <w:rFonts w:hint="eastAsia" w:ascii="宋体" w:hAnsi="宋体" w:eastAsia="宋体"/>
          <w:sz w:val="24"/>
        </w:rPr>
        <w:t xml:space="preserve"> 。</w:t>
      </w:r>
    </w:p>
    <w:p>
      <w:pPr>
        <w:keepNext w:val="0"/>
        <w:keepLines w:val="0"/>
        <w:pageBreakBefore w:val="0"/>
        <w:widowControl/>
        <w:numPr>
          <w:ilvl w:val="0"/>
          <w:numId w:val="0"/>
        </w:numPr>
        <w:tabs>
          <w:tab w:val="left" w:pos="1118"/>
        </w:tabs>
        <w:kinsoku/>
        <w:wordWrap/>
        <w:overflowPunct/>
        <w:topLinePunct w:val="0"/>
        <w:autoSpaceDE/>
        <w:autoSpaceDN/>
        <w:bidi w:val="0"/>
        <w:adjustRightInd/>
        <w:snapToGrid/>
        <w:spacing w:before="0" w:beforeLines="50" w:after="0" w:afterLines="50" w:line="300" w:lineRule="exact"/>
        <w:ind w:left="0" w:leftChars="0" w:right="184" w:rightChars="0" w:firstLine="720" w:firstLineChars="300"/>
        <w:jc w:val="left"/>
        <w:textAlignment w:val="auto"/>
        <w:outlineLvl w:val="9"/>
        <w:rPr>
          <w:rFonts w:ascii="Times New Roman" w:hAnsi="Times New Roman" w:eastAsia="Times New Roman" w:cs="Times New Roman"/>
          <w:color w:val="auto"/>
          <w:sz w:val="24"/>
          <w:szCs w:val="24"/>
        </w:rPr>
      </w:pPr>
      <w:r>
        <w:rPr>
          <w:rFonts w:hint="eastAsia" w:ascii="宋体" w:hAnsi="宋体" w:eastAsia="宋体"/>
          <w:sz w:val="24"/>
        </w:rPr>
        <w:t xml:space="preserve"> </w:t>
      </w:r>
      <w:r>
        <w:rPr>
          <w:rFonts w:hint="default" w:ascii="TimesNewRomanPSMT" w:hAnsi="TimesNewRomanPSMT" w:eastAsia="TimesNewRomanPSMT"/>
          <w:sz w:val="24"/>
        </w:rPr>
        <w:t xml:space="preserve">6. </w:t>
      </w:r>
      <w:r>
        <w:rPr>
          <w:rFonts w:hint="eastAsia" w:ascii="宋体" w:hAnsi="宋体" w:eastAsia="宋体"/>
          <w:sz w:val="24"/>
        </w:rPr>
        <w:t xml:space="preserve">工程质量符合 </w:t>
      </w:r>
      <w:r>
        <w:rPr>
          <w:rFonts w:hint="eastAsia" w:ascii="Times New Roman" w:hAnsi="Times New Roman" w:eastAsia="宋体" w:cs="Times New Roman"/>
          <w:color w:val="auto"/>
          <w:sz w:val="24"/>
          <w:szCs w:val="24"/>
          <w:u w:val="single"/>
          <w:lang w:val="en-US" w:eastAsia="zh-CN"/>
        </w:rPr>
        <w:t xml:space="preserve">            </w:t>
      </w:r>
      <w:r>
        <w:rPr>
          <w:rFonts w:hint="eastAsia" w:ascii="宋体" w:hAnsi="宋体" w:eastAsia="宋体"/>
          <w:sz w:val="24"/>
        </w:rPr>
        <w:t>标准。工程安全目标：</w:t>
      </w:r>
      <w:r>
        <w:rPr>
          <w:rFonts w:ascii="Times New Roman" w:hAnsi="Times New Roman" w:eastAsia="Times New Roman" w:cs="Times New Roman"/>
          <w:color w:val="auto"/>
          <w:sz w:val="24"/>
          <w:szCs w:val="24"/>
        </w:rPr>
        <w:t>__</w:t>
      </w:r>
      <w:r>
        <w:rPr>
          <w:rFonts w:ascii="Times New Roman" w:hAnsi="Times New Roman" w:eastAsia="Times New Roman" w:cs="Times New Roman"/>
          <w:color w:val="auto"/>
          <w:sz w:val="24"/>
          <w:szCs w:val="24"/>
          <w:u w:val="none"/>
        </w:rPr>
        <w:t>____</w:t>
      </w:r>
      <w:r>
        <w:rPr>
          <w:rFonts w:ascii="Times New Roman" w:hAnsi="Times New Roman" w:eastAsia="Times New Roman" w:cs="Times New Roman"/>
          <w:color w:val="auto"/>
          <w:sz w:val="24"/>
          <w:szCs w:val="24"/>
        </w:rPr>
        <w:t>____</w:t>
      </w:r>
      <w:r>
        <w:rPr>
          <w:rFonts w:hint="eastAsia" w:ascii="宋体" w:hAnsi="宋体" w:eastAsia="宋体"/>
          <w:sz w:val="24"/>
        </w:rPr>
        <w:t xml:space="preserve"> 。</w:t>
      </w:r>
    </w:p>
    <w:p>
      <w:pPr>
        <w:keepNext w:val="0"/>
        <w:keepLines w:val="0"/>
        <w:pageBreakBefore w:val="0"/>
        <w:widowControl/>
        <w:numPr>
          <w:ilvl w:val="0"/>
          <w:numId w:val="66"/>
        </w:numPr>
        <w:tabs>
          <w:tab w:val="left" w:pos="1120"/>
        </w:tabs>
        <w:kinsoku/>
        <w:wordWrap/>
        <w:overflowPunct/>
        <w:topLinePunct w:val="0"/>
        <w:autoSpaceDE/>
        <w:autoSpaceDN/>
        <w:bidi w:val="0"/>
        <w:adjustRightInd/>
        <w:snapToGrid/>
        <w:spacing w:after="0" w:line="300" w:lineRule="exact"/>
        <w:ind w:left="1120" w:hanging="299"/>
        <w:textAlignment w:val="auto"/>
        <w:outlineLvl w:val="9"/>
        <w:rPr>
          <w:rFonts w:ascii="Times New Roman" w:hAnsi="Times New Roman" w:eastAsia="Times New Roman" w:cs="Times New Roman"/>
          <w:color w:val="auto"/>
          <w:sz w:val="24"/>
          <w:szCs w:val="24"/>
        </w:rPr>
      </w:pPr>
      <w:r>
        <w:rPr>
          <w:rFonts w:ascii="宋体" w:hAnsi="宋体" w:eastAsia="宋体" w:cs="宋体"/>
          <w:color w:val="auto"/>
          <w:sz w:val="24"/>
          <w:szCs w:val="24"/>
        </w:rPr>
        <w:t>承包人承诺按合同约定承担工程的实施、完成及缺陷修复。</w:t>
      </w:r>
    </w:p>
    <w:p>
      <w:pPr>
        <w:keepNext w:val="0"/>
        <w:keepLines w:val="0"/>
        <w:pageBreakBefore w:val="0"/>
        <w:widowControl/>
        <w:numPr>
          <w:ilvl w:val="0"/>
          <w:numId w:val="66"/>
        </w:numPr>
        <w:tabs>
          <w:tab w:val="left" w:pos="1120"/>
        </w:tabs>
        <w:kinsoku/>
        <w:wordWrap/>
        <w:overflowPunct/>
        <w:topLinePunct w:val="0"/>
        <w:autoSpaceDE/>
        <w:autoSpaceDN/>
        <w:bidi w:val="0"/>
        <w:adjustRightInd/>
        <w:snapToGrid/>
        <w:spacing w:after="0" w:line="300" w:lineRule="exact"/>
        <w:ind w:left="1120" w:hanging="299"/>
        <w:textAlignment w:val="auto"/>
        <w:outlineLvl w:val="9"/>
        <w:rPr>
          <w:rFonts w:ascii="Times New Roman" w:hAnsi="Times New Roman" w:eastAsia="Times New Roman" w:cs="Times New Roman"/>
          <w:color w:val="auto"/>
          <w:sz w:val="24"/>
          <w:szCs w:val="24"/>
        </w:rPr>
      </w:pPr>
      <w:r>
        <w:rPr>
          <w:rFonts w:ascii="宋体" w:hAnsi="宋体" w:eastAsia="宋体" w:cs="宋体"/>
          <w:color w:val="auto"/>
          <w:sz w:val="24"/>
          <w:szCs w:val="24"/>
        </w:rPr>
        <w:t>发包人承诺按合同约定的条件、时间和方式向承包人支付合同价款。</w:t>
      </w:r>
    </w:p>
    <w:p>
      <w:pPr>
        <w:keepNext w:val="0"/>
        <w:keepLines w:val="0"/>
        <w:pageBreakBefore w:val="0"/>
        <w:widowControl/>
        <w:tabs>
          <w:tab w:val="left" w:pos="5660"/>
        </w:tabs>
        <w:kinsoku/>
        <w:wordWrap/>
        <w:overflowPunct/>
        <w:topLinePunct w:val="0"/>
        <w:autoSpaceDE/>
        <w:autoSpaceDN/>
        <w:bidi w:val="0"/>
        <w:adjustRightInd/>
        <w:snapToGrid/>
        <w:spacing w:after="0" w:line="300" w:lineRule="exact"/>
        <w:ind w:firstLine="720" w:firstLineChars="300"/>
        <w:textAlignment w:val="auto"/>
        <w:outlineLvl w:val="9"/>
        <w:rPr>
          <w:color w:val="auto"/>
          <w:sz w:val="20"/>
          <w:szCs w:val="20"/>
        </w:rPr>
      </w:pPr>
      <w:bookmarkStart w:id="57" w:name="page203"/>
      <w:bookmarkEnd w:id="57"/>
      <w:r>
        <w:rPr>
          <w:rFonts w:hint="eastAsia" w:ascii="宋体" w:hAnsi="宋体" w:eastAsia="宋体" w:cs="宋体"/>
          <w:color w:val="auto"/>
          <w:sz w:val="24"/>
          <w:szCs w:val="24"/>
          <w:lang w:val="en-US" w:eastAsia="zh-CN"/>
        </w:rPr>
        <w:t xml:space="preserve"> </w:t>
      </w:r>
      <w:r>
        <w:rPr>
          <w:rFonts w:ascii="Times New Roman" w:hAnsi="Times New Roman" w:eastAsia="Times New Roman" w:cs="Times New Roman"/>
          <w:color w:val="auto"/>
          <w:sz w:val="24"/>
          <w:szCs w:val="24"/>
        </w:rPr>
        <w:t xml:space="preserve">9. </w:t>
      </w:r>
      <w:r>
        <w:rPr>
          <w:rFonts w:ascii="宋体" w:hAnsi="宋体" w:eastAsia="宋体" w:cs="宋体"/>
          <w:color w:val="auto"/>
          <w:sz w:val="24"/>
          <w:szCs w:val="24"/>
        </w:rPr>
        <w:t>承包人应按照监理人指示开工，工期为</w:t>
      </w:r>
      <w:r>
        <w:rPr>
          <w:color w:val="auto"/>
          <w:sz w:val="20"/>
          <w:szCs w:val="20"/>
        </w:rPr>
        <w:tab/>
      </w:r>
      <w:r>
        <w:rPr>
          <w:rFonts w:ascii="宋体" w:hAnsi="宋体" w:eastAsia="宋体" w:cs="宋体"/>
          <w:color w:val="auto"/>
          <w:sz w:val="23"/>
          <w:szCs w:val="23"/>
        </w:rPr>
        <w:t>日历天。</w:t>
      </w:r>
    </w:p>
    <w:p>
      <w:pPr>
        <w:keepNext w:val="0"/>
        <w:keepLines w:val="0"/>
        <w:pageBreakBefore w:val="0"/>
        <w:widowControl/>
        <w:kinsoku/>
        <w:wordWrap/>
        <w:overflowPunct/>
        <w:topLinePunct w:val="0"/>
        <w:autoSpaceDE/>
        <w:autoSpaceDN/>
        <w:bidi w:val="0"/>
        <w:adjustRightInd/>
        <w:snapToGrid/>
        <w:spacing w:after="0" w:line="300" w:lineRule="exact"/>
        <w:textAlignment w:val="auto"/>
        <w:outlineLvl w:val="9"/>
        <w:rPr>
          <w:rFonts w:ascii="Times New Roman" w:hAnsi="Times New Roman" w:eastAsia="Times New Roman" w:cs="Times New Roman"/>
          <w:color w:val="auto"/>
          <w:sz w:val="24"/>
          <w:szCs w:val="24"/>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3302000</wp:posOffset>
                </wp:positionH>
                <wp:positionV relativeFrom="paragraph">
                  <wp:posOffset>-12065</wp:posOffset>
                </wp:positionV>
                <wp:extent cx="304800" cy="0"/>
                <wp:effectExtent l="0" t="0" r="0" b="0"/>
                <wp:wrapNone/>
                <wp:docPr id="505" name="Shape 505"/>
                <wp:cNvGraphicFramePr/>
                <a:graphic xmlns:a="http://schemas.openxmlformats.org/drawingml/2006/main">
                  <a:graphicData uri="http://schemas.microsoft.com/office/word/2010/wordprocessingShape">
                    <wps:wsp>
                      <wps:cNvCnPr/>
                      <wps:spPr>
                        <a:xfrm>
                          <a:off x="0" y="0"/>
                          <a:ext cx="304800" cy="4763"/>
                        </a:xfrm>
                        <a:prstGeom prst="line">
                          <a:avLst/>
                        </a:prstGeom>
                        <a:solidFill>
                          <a:srgbClr val="FFFFFF"/>
                        </a:solidFill>
                        <a:ln w="7620">
                          <a:solidFill>
                            <a:srgbClr val="000000"/>
                          </a:solidFill>
                          <a:miter lim="800000"/>
                        </a:ln>
                      </wps:spPr>
                      <wps:bodyPr/>
                    </wps:wsp>
                  </a:graphicData>
                </a:graphic>
              </wp:anchor>
            </w:drawing>
          </mc:Choice>
          <mc:Fallback>
            <w:pict>
              <v:line id="Shape 505" o:spid="_x0000_s1026" o:spt="20" style="position:absolute;left:0pt;margin-left:260pt;margin-top:-0.95pt;height:0pt;width:24pt;z-index:-251658240;mso-width-relative:page;mso-height-relative:page;" fillcolor="#FFFFFF" filled="t" stroked="t" coordsize="21600,21600" o:allowincell="f" o:gfxdata="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I0fOobVAAAA&#10;CQEAAA8AAAAAAAAAAQAgAAAAOAAAAGRycy9kb3ducmV2LnhtbFBLAQIUABQAAAAIAIdO4kBqC5V/&#10;mAEAAE4DAAAOAAAAAAAAAAEAIAAAADoBAABkcnMvZTJvRG9jLnhtbFBLBQYAAAAABgAGAFkBAABE&#10;BQAAAAA=&#10;">
                <v:fill on="t" focussize="0,0"/>
                <v:stroke weight="0.6pt" color="#000000" miterlimit="8" joinstyle="miter"/>
                <v:imagedata o:title=""/>
                <o:lock v:ext="edit" aspectratio="f"/>
              </v:line>
            </w:pict>
          </mc:Fallback>
        </mc:AlternateContent>
      </w:r>
      <w:r>
        <w:rPr>
          <w:rFonts w:ascii="宋体" w:hAnsi="宋体" w:eastAsia="宋体" w:cs="宋体"/>
          <w:color w:val="auto"/>
          <w:sz w:val="24"/>
          <w:szCs w:val="24"/>
        </w:rPr>
        <w:t>本协议书在承包人提供履约担保后，由双方法定代表人或其委托代理人签署并加盖单位章后生效。全部工程完工后经交工验收合格、缺陷责任期满签发缺陷责任终止证书后失效。</w:t>
      </w:r>
      <w:r>
        <w:rPr>
          <w:rFonts w:hint="eastAsia" w:ascii="宋体" w:hAnsi="宋体" w:eastAsia="宋体" w:cs="宋体"/>
          <w:color w:val="auto"/>
          <w:sz w:val="24"/>
          <w:szCs w:val="24"/>
          <w:lang w:val="en-US" w:eastAsia="zh-CN"/>
        </w:rPr>
        <w:t xml:space="preserve"> </w:t>
      </w:r>
    </w:p>
    <w:p>
      <w:pPr>
        <w:keepNext w:val="0"/>
        <w:keepLines w:val="0"/>
        <w:pageBreakBefore w:val="0"/>
        <w:widowControl/>
        <w:numPr>
          <w:ilvl w:val="0"/>
          <w:numId w:val="67"/>
        </w:numPr>
        <w:tabs>
          <w:tab w:val="left" w:pos="1228"/>
        </w:tabs>
        <w:kinsoku/>
        <w:wordWrap/>
        <w:overflowPunct/>
        <w:topLinePunct w:val="0"/>
        <w:autoSpaceDE/>
        <w:autoSpaceDN/>
        <w:bidi w:val="0"/>
        <w:adjustRightInd/>
        <w:snapToGrid/>
        <w:spacing w:after="0" w:line="300" w:lineRule="exact"/>
        <w:ind w:left="200" w:right="104" w:firstLine="621"/>
        <w:textAlignment w:val="auto"/>
        <w:outlineLvl w:val="9"/>
        <w:rPr>
          <w:rFonts w:ascii="Times New Roman" w:hAnsi="Times New Roman" w:eastAsia="Times New Roman" w:cs="Times New Roman"/>
          <w:color w:val="auto"/>
          <w:sz w:val="24"/>
          <w:szCs w:val="24"/>
        </w:rPr>
      </w:pPr>
      <w:r>
        <w:rPr>
          <w:rFonts w:ascii="宋体" w:hAnsi="宋体" w:eastAsia="宋体" w:cs="宋体"/>
          <w:color w:val="auto"/>
          <w:sz w:val="24"/>
          <w:szCs w:val="24"/>
        </w:rPr>
        <w:t>本协议书正本二份、副本</w:t>
      </w:r>
      <w:r>
        <w:rPr>
          <w:rFonts w:ascii="Times New Roman" w:hAnsi="Times New Roman" w:eastAsia="Times New Roman" w:cs="Times New Roman"/>
          <w:color w:val="auto"/>
          <w:sz w:val="24"/>
          <w:szCs w:val="24"/>
        </w:rPr>
        <w:t>____</w:t>
      </w:r>
      <w:r>
        <w:rPr>
          <w:rFonts w:ascii="宋体" w:hAnsi="宋体" w:eastAsia="宋体" w:cs="宋体"/>
          <w:color w:val="auto"/>
          <w:sz w:val="24"/>
          <w:szCs w:val="24"/>
        </w:rPr>
        <w:t>份，合同双方各执正本一份，副本</w:t>
      </w:r>
      <w:r>
        <w:rPr>
          <w:rFonts w:ascii="Times New Roman" w:hAnsi="Times New Roman" w:eastAsia="Times New Roman" w:cs="Times New Roman"/>
          <w:color w:val="auto"/>
          <w:sz w:val="24"/>
          <w:szCs w:val="24"/>
        </w:rPr>
        <w:t>____</w:t>
      </w:r>
      <w:r>
        <w:rPr>
          <w:rFonts w:ascii="宋体" w:hAnsi="宋体" w:eastAsia="宋体" w:cs="宋体"/>
          <w:color w:val="auto"/>
          <w:sz w:val="24"/>
          <w:szCs w:val="24"/>
        </w:rPr>
        <w:t>份，当正本与副本的内容不一致时，以正本为准。</w:t>
      </w:r>
    </w:p>
    <w:p>
      <w:pPr>
        <w:spacing w:after="0" w:line="147" w:lineRule="exact"/>
        <w:rPr>
          <w:rFonts w:ascii="Times New Roman" w:hAnsi="Times New Roman" w:eastAsia="Times New Roman" w:cs="Times New Roman"/>
          <w:color w:val="auto"/>
          <w:sz w:val="24"/>
          <w:szCs w:val="24"/>
        </w:rPr>
      </w:pPr>
    </w:p>
    <w:p>
      <w:pPr>
        <w:numPr>
          <w:ilvl w:val="0"/>
          <w:numId w:val="67"/>
        </w:numPr>
        <w:tabs>
          <w:tab w:val="left" w:pos="1240"/>
        </w:tabs>
        <w:spacing w:after="0" w:line="292" w:lineRule="exact"/>
        <w:ind w:left="1240" w:hanging="419"/>
        <w:rPr>
          <w:rFonts w:ascii="Times New Roman" w:hAnsi="Times New Roman" w:eastAsia="Times New Roman" w:cs="Times New Roman"/>
          <w:color w:val="auto"/>
          <w:sz w:val="24"/>
          <w:szCs w:val="24"/>
        </w:rPr>
      </w:pPr>
      <w:r>
        <w:rPr>
          <w:rFonts w:ascii="宋体" w:hAnsi="宋体" w:eastAsia="宋体" w:cs="宋体"/>
          <w:color w:val="auto"/>
          <w:sz w:val="24"/>
          <w:szCs w:val="24"/>
        </w:rPr>
        <w:t>合同未尽事宜，双方另行签订补充协议。补充协议是合同的组成部分。</w:t>
      </w:r>
    </w:p>
    <w:p>
      <w:pPr>
        <w:spacing w:after="0" w:line="200" w:lineRule="exact"/>
        <w:rPr>
          <w:color w:val="auto"/>
          <w:sz w:val="20"/>
          <w:szCs w:val="20"/>
        </w:rPr>
      </w:pPr>
    </w:p>
    <w:p>
      <w:pPr>
        <w:spacing w:after="0" w:line="381" w:lineRule="exact"/>
        <w:rPr>
          <w:color w:val="auto"/>
          <w:sz w:val="20"/>
          <w:szCs w:val="20"/>
        </w:rPr>
      </w:pPr>
    </w:p>
    <w:tbl>
      <w:tblPr>
        <w:tblStyle w:val="10"/>
        <w:tblW w:w="9040" w:type="dxa"/>
        <w:tblInd w:w="200" w:type="dxa"/>
        <w:tblLayout w:type="fixed"/>
        <w:tblCellMar>
          <w:top w:w="0" w:type="dxa"/>
          <w:left w:w="0" w:type="dxa"/>
          <w:bottom w:w="0" w:type="dxa"/>
          <w:right w:w="0" w:type="dxa"/>
        </w:tblCellMar>
      </w:tblPr>
      <w:tblGrid>
        <w:gridCol w:w="360"/>
        <w:gridCol w:w="600"/>
        <w:gridCol w:w="480"/>
        <w:gridCol w:w="240"/>
        <w:gridCol w:w="840"/>
        <w:gridCol w:w="240"/>
        <w:gridCol w:w="120"/>
        <w:gridCol w:w="220"/>
        <w:gridCol w:w="260"/>
        <w:gridCol w:w="300"/>
        <w:gridCol w:w="680"/>
        <w:gridCol w:w="460"/>
        <w:gridCol w:w="640"/>
        <w:gridCol w:w="440"/>
        <w:gridCol w:w="240"/>
        <w:gridCol w:w="840"/>
        <w:gridCol w:w="160"/>
        <w:gridCol w:w="200"/>
        <w:gridCol w:w="240"/>
        <w:gridCol w:w="240"/>
        <w:gridCol w:w="320"/>
        <w:gridCol w:w="40"/>
        <w:gridCol w:w="520"/>
        <w:gridCol w:w="360"/>
      </w:tblGrid>
      <w:tr>
        <w:tblPrEx>
          <w:tblCellMar>
            <w:top w:w="0" w:type="dxa"/>
            <w:left w:w="0" w:type="dxa"/>
            <w:bottom w:w="0" w:type="dxa"/>
            <w:right w:w="0" w:type="dxa"/>
          </w:tblCellMar>
        </w:tblPrEx>
        <w:trPr>
          <w:trHeight w:val="292" w:hRule="atLeast"/>
        </w:trPr>
        <w:tc>
          <w:tcPr>
            <w:tcW w:w="1680" w:type="dxa"/>
            <w:gridSpan w:val="4"/>
            <w:vAlign w:val="bottom"/>
          </w:tcPr>
          <w:p>
            <w:pPr>
              <w:spacing w:after="0" w:line="274" w:lineRule="exact"/>
              <w:rPr>
                <w:color w:val="auto"/>
                <w:sz w:val="20"/>
                <w:szCs w:val="20"/>
              </w:rPr>
            </w:pPr>
            <w:r>
              <w:rPr>
                <w:rFonts w:ascii="宋体" w:hAnsi="宋体" w:eastAsia="宋体" w:cs="宋体"/>
                <w:color w:val="auto"/>
                <w:sz w:val="24"/>
                <w:szCs w:val="24"/>
              </w:rPr>
              <w:t>发包人：</w:t>
            </w:r>
          </w:p>
        </w:tc>
        <w:tc>
          <w:tcPr>
            <w:tcW w:w="84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1580" w:type="dxa"/>
            <w:gridSpan w:val="5"/>
            <w:vAlign w:val="bottom"/>
          </w:tcPr>
          <w:p>
            <w:pPr>
              <w:spacing w:after="0" w:line="292" w:lineRule="exact"/>
              <w:rPr>
                <w:color w:val="auto"/>
                <w:sz w:val="20"/>
                <w:szCs w:val="20"/>
              </w:rPr>
            </w:pPr>
            <w:r>
              <w:rPr>
                <w:rFonts w:ascii="Times New Roman" w:hAnsi="Times New Roman" w:eastAsia="Times New Roman" w:cs="Times New Roman"/>
                <w:color w:val="auto"/>
                <w:sz w:val="24"/>
                <w:szCs w:val="24"/>
              </w:rPr>
              <w:t>(</w:t>
            </w:r>
            <w:r>
              <w:rPr>
                <w:rFonts w:ascii="宋体" w:hAnsi="宋体" w:eastAsia="宋体" w:cs="宋体"/>
                <w:color w:val="auto"/>
                <w:sz w:val="24"/>
                <w:szCs w:val="24"/>
              </w:rPr>
              <w:t>盖单位章</w:t>
            </w:r>
            <w:r>
              <w:rPr>
                <w:rFonts w:ascii="Times New Roman" w:hAnsi="Times New Roman" w:eastAsia="Times New Roman" w:cs="Times New Roman"/>
                <w:color w:val="auto"/>
                <w:sz w:val="24"/>
                <w:szCs w:val="24"/>
              </w:rPr>
              <w:t>)</w:t>
            </w:r>
          </w:p>
        </w:tc>
        <w:tc>
          <w:tcPr>
            <w:tcW w:w="1780" w:type="dxa"/>
            <w:gridSpan w:val="4"/>
            <w:vAlign w:val="bottom"/>
          </w:tcPr>
          <w:p>
            <w:pPr>
              <w:spacing w:after="0" w:line="274" w:lineRule="exact"/>
              <w:ind w:left="140"/>
              <w:rPr>
                <w:color w:val="auto"/>
                <w:sz w:val="20"/>
                <w:szCs w:val="20"/>
              </w:rPr>
            </w:pPr>
            <w:r>
              <w:rPr>
                <w:rFonts w:ascii="宋体" w:hAnsi="宋体" w:eastAsia="宋体" w:cs="宋体"/>
                <w:color w:val="auto"/>
                <w:sz w:val="24"/>
                <w:szCs w:val="24"/>
              </w:rPr>
              <w:t>承包人：</w:t>
            </w:r>
          </w:p>
        </w:tc>
        <w:tc>
          <w:tcPr>
            <w:tcW w:w="84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1560" w:type="dxa"/>
            <w:gridSpan w:val="6"/>
            <w:vAlign w:val="bottom"/>
          </w:tcPr>
          <w:p>
            <w:pPr>
              <w:spacing w:after="0" w:line="292" w:lineRule="exact"/>
              <w:rPr>
                <w:color w:val="auto"/>
                <w:sz w:val="20"/>
                <w:szCs w:val="20"/>
              </w:rPr>
            </w:pPr>
            <w:r>
              <w:rPr>
                <w:rFonts w:ascii="Times New Roman" w:hAnsi="Times New Roman" w:eastAsia="Times New Roman" w:cs="Times New Roman"/>
                <w:color w:val="auto"/>
                <w:sz w:val="24"/>
                <w:szCs w:val="24"/>
              </w:rPr>
              <w:t>(</w:t>
            </w:r>
            <w:r>
              <w:rPr>
                <w:rFonts w:ascii="宋体" w:hAnsi="宋体" w:eastAsia="宋体" w:cs="宋体"/>
                <w:color w:val="auto"/>
                <w:sz w:val="24"/>
                <w:szCs w:val="24"/>
              </w:rPr>
              <w:t>盖单位章</w:t>
            </w:r>
            <w:r>
              <w:rPr>
                <w:rFonts w:ascii="Times New Roman" w:hAnsi="Times New Roman" w:eastAsia="Times New Roman" w:cs="Times New Roman"/>
                <w:color w:val="auto"/>
                <w:sz w:val="24"/>
                <w:szCs w:val="24"/>
              </w:rPr>
              <w:t>)</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360" w:type="dxa"/>
            <w:vAlign w:val="bottom"/>
          </w:tcPr>
          <w:p>
            <w:pPr>
              <w:spacing w:after="0" w:line="20" w:lineRule="exact"/>
              <w:rPr>
                <w:color w:val="auto"/>
                <w:sz w:val="1"/>
                <w:szCs w:val="1"/>
              </w:rPr>
            </w:pPr>
          </w:p>
        </w:tc>
        <w:tc>
          <w:tcPr>
            <w:tcW w:w="600" w:type="dxa"/>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1080" w:type="dxa"/>
            <w:gridSpan w:val="2"/>
            <w:shd w:val="clear" w:color="auto" w:fill="000000"/>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260" w:type="dxa"/>
            <w:vAlign w:val="bottom"/>
          </w:tcPr>
          <w:p>
            <w:pPr>
              <w:spacing w:after="0" w:line="20" w:lineRule="exact"/>
              <w:rPr>
                <w:color w:val="auto"/>
                <w:sz w:val="1"/>
                <w:szCs w:val="1"/>
              </w:rPr>
            </w:pPr>
          </w:p>
        </w:tc>
        <w:tc>
          <w:tcPr>
            <w:tcW w:w="980" w:type="dxa"/>
            <w:gridSpan w:val="2"/>
            <w:vMerge w:val="restart"/>
            <w:vAlign w:val="bottom"/>
          </w:tcPr>
          <w:p>
            <w:pPr>
              <w:spacing w:after="0" w:line="292" w:lineRule="exact"/>
              <w:ind w:left="220"/>
              <w:rPr>
                <w:color w:val="auto"/>
                <w:sz w:val="20"/>
                <w:szCs w:val="20"/>
              </w:rPr>
            </w:pPr>
            <w:r>
              <w:rPr>
                <w:rFonts w:ascii="Times New Roman" w:hAnsi="Times New Roman" w:eastAsia="Times New Roman" w:cs="Times New Roman"/>
                <w:color w:val="auto"/>
                <w:sz w:val="24"/>
                <w:szCs w:val="24"/>
              </w:rPr>
              <w:t>(</w:t>
            </w:r>
            <w:r>
              <w:rPr>
                <w:rFonts w:ascii="宋体" w:hAnsi="宋体" w:eastAsia="宋体" w:cs="宋体"/>
                <w:color w:val="auto"/>
                <w:sz w:val="24"/>
                <w:szCs w:val="24"/>
              </w:rPr>
              <w:t>签字</w:t>
            </w:r>
            <w:r>
              <w:rPr>
                <w:rFonts w:ascii="Times New Roman" w:hAnsi="Times New Roman" w:eastAsia="Times New Roman" w:cs="Times New Roman"/>
                <w:color w:val="auto"/>
                <w:sz w:val="24"/>
                <w:szCs w:val="24"/>
              </w:rPr>
              <w:t>)</w:t>
            </w:r>
          </w:p>
        </w:tc>
        <w:tc>
          <w:tcPr>
            <w:tcW w:w="460" w:type="dxa"/>
            <w:vAlign w:val="bottom"/>
          </w:tcPr>
          <w:p>
            <w:pPr>
              <w:spacing w:after="0" w:line="20" w:lineRule="exact"/>
              <w:rPr>
                <w:color w:val="auto"/>
                <w:sz w:val="1"/>
                <w:szCs w:val="1"/>
              </w:rPr>
            </w:pPr>
          </w:p>
        </w:tc>
        <w:tc>
          <w:tcPr>
            <w:tcW w:w="640" w:type="dxa"/>
            <w:vAlign w:val="bottom"/>
          </w:tcPr>
          <w:p>
            <w:pPr>
              <w:spacing w:after="0" w:line="20" w:lineRule="exact"/>
              <w:rPr>
                <w:color w:val="auto"/>
                <w:sz w:val="1"/>
                <w:szCs w:val="1"/>
              </w:rPr>
            </w:pPr>
          </w:p>
        </w:tc>
        <w:tc>
          <w:tcPr>
            <w:tcW w:w="440" w:type="dxa"/>
            <w:shd w:val="clear" w:color="auto" w:fill="000000"/>
            <w:vAlign w:val="bottom"/>
          </w:tcPr>
          <w:p>
            <w:pPr>
              <w:spacing w:after="0" w:line="20" w:lineRule="exact"/>
              <w:rPr>
                <w:color w:val="auto"/>
                <w:sz w:val="1"/>
                <w:szCs w:val="1"/>
              </w:rPr>
            </w:pPr>
          </w:p>
        </w:tc>
        <w:tc>
          <w:tcPr>
            <w:tcW w:w="1080" w:type="dxa"/>
            <w:gridSpan w:val="2"/>
            <w:shd w:val="clear" w:color="auto" w:fill="000000"/>
            <w:vAlign w:val="bottom"/>
          </w:tcPr>
          <w:p>
            <w:pPr>
              <w:spacing w:after="0" w:line="20" w:lineRule="exact"/>
              <w:rPr>
                <w:color w:val="auto"/>
                <w:sz w:val="1"/>
                <w:szCs w:val="1"/>
              </w:rPr>
            </w:pPr>
          </w:p>
        </w:tc>
        <w:tc>
          <w:tcPr>
            <w:tcW w:w="160" w:type="dxa"/>
            <w:shd w:val="clear" w:color="auto" w:fill="000000"/>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880" w:type="dxa"/>
            <w:gridSpan w:val="3"/>
            <w:vMerge w:val="restart"/>
            <w:vAlign w:val="bottom"/>
          </w:tcPr>
          <w:p>
            <w:pPr>
              <w:spacing w:after="0" w:line="292" w:lineRule="exact"/>
              <w:ind w:left="120"/>
              <w:jc w:val="center"/>
              <w:rPr>
                <w:color w:val="auto"/>
                <w:sz w:val="20"/>
                <w:szCs w:val="20"/>
              </w:rPr>
            </w:pPr>
            <w:r>
              <w:rPr>
                <w:rFonts w:ascii="Times New Roman" w:hAnsi="Times New Roman" w:eastAsia="Times New Roman" w:cs="Times New Roman"/>
                <w:color w:val="auto"/>
                <w:w w:val="99"/>
                <w:sz w:val="24"/>
                <w:szCs w:val="24"/>
              </w:rPr>
              <w:t>(</w:t>
            </w:r>
            <w:r>
              <w:rPr>
                <w:rFonts w:ascii="宋体" w:hAnsi="宋体" w:eastAsia="宋体" w:cs="宋体"/>
                <w:color w:val="auto"/>
                <w:w w:val="99"/>
                <w:sz w:val="24"/>
                <w:szCs w:val="24"/>
              </w:rPr>
              <w:t>签字</w:t>
            </w:r>
            <w:r>
              <w:rPr>
                <w:rFonts w:ascii="Times New Roman" w:hAnsi="Times New Roman" w:eastAsia="Times New Roman" w:cs="Times New Roman"/>
                <w:color w:val="auto"/>
                <w:w w:val="99"/>
                <w:sz w:val="24"/>
                <w:szCs w:val="24"/>
              </w:rPr>
              <w:t>)</w:t>
            </w: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19" w:hRule="atLeast"/>
        </w:trPr>
        <w:tc>
          <w:tcPr>
            <w:tcW w:w="3360" w:type="dxa"/>
            <w:gridSpan w:val="9"/>
            <w:vAlign w:val="bottom"/>
          </w:tcPr>
          <w:p>
            <w:pPr>
              <w:spacing w:after="0" w:line="274" w:lineRule="exact"/>
              <w:rPr>
                <w:color w:val="auto"/>
                <w:sz w:val="20"/>
                <w:szCs w:val="20"/>
              </w:rPr>
            </w:pPr>
            <w:r>
              <w:rPr>
                <w:rFonts w:ascii="宋体" w:hAnsi="宋体" w:eastAsia="宋体" w:cs="宋体"/>
                <w:color w:val="auto"/>
                <w:sz w:val="24"/>
                <w:szCs w:val="24"/>
              </w:rPr>
              <w:t>法定代表人或其委托代理人：</w:t>
            </w:r>
          </w:p>
        </w:tc>
        <w:tc>
          <w:tcPr>
            <w:tcW w:w="980" w:type="dxa"/>
            <w:gridSpan w:val="2"/>
            <w:vMerge w:val="continue"/>
            <w:vAlign w:val="bottom"/>
          </w:tcPr>
          <w:p>
            <w:pPr>
              <w:spacing w:after="0"/>
              <w:rPr>
                <w:color w:val="auto"/>
                <w:sz w:val="24"/>
                <w:szCs w:val="24"/>
              </w:rPr>
            </w:pPr>
          </w:p>
        </w:tc>
        <w:tc>
          <w:tcPr>
            <w:tcW w:w="3460" w:type="dxa"/>
            <w:gridSpan w:val="9"/>
            <w:vAlign w:val="bottom"/>
          </w:tcPr>
          <w:p>
            <w:pPr>
              <w:spacing w:after="0" w:line="274" w:lineRule="exact"/>
              <w:ind w:left="120"/>
              <w:rPr>
                <w:color w:val="auto"/>
                <w:sz w:val="20"/>
                <w:szCs w:val="20"/>
              </w:rPr>
            </w:pPr>
            <w:r>
              <w:rPr>
                <w:rFonts w:ascii="宋体" w:hAnsi="宋体" w:eastAsia="宋体" w:cs="宋体"/>
                <w:color w:val="auto"/>
                <w:sz w:val="24"/>
                <w:szCs w:val="24"/>
              </w:rPr>
              <w:t>法定代表人或其委托代理人：</w:t>
            </w:r>
          </w:p>
        </w:tc>
        <w:tc>
          <w:tcPr>
            <w:tcW w:w="880" w:type="dxa"/>
            <w:gridSpan w:val="3"/>
            <w:vMerge w:val="continue"/>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360" w:type="dxa"/>
            <w:vAlign w:val="bottom"/>
          </w:tcPr>
          <w:p>
            <w:pPr>
              <w:spacing w:after="0" w:line="20" w:lineRule="exact"/>
              <w:rPr>
                <w:color w:val="auto"/>
                <w:sz w:val="1"/>
                <w:szCs w:val="1"/>
              </w:rPr>
            </w:pPr>
          </w:p>
        </w:tc>
        <w:tc>
          <w:tcPr>
            <w:tcW w:w="600" w:type="dxa"/>
            <w:vAlign w:val="bottom"/>
          </w:tcPr>
          <w:p>
            <w:pPr>
              <w:spacing w:after="0" w:line="20" w:lineRule="exact"/>
              <w:rPr>
                <w:color w:val="auto"/>
                <w:sz w:val="1"/>
                <w:szCs w:val="1"/>
              </w:rPr>
            </w:pPr>
          </w:p>
        </w:tc>
        <w:tc>
          <w:tcPr>
            <w:tcW w:w="48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360" w:type="dxa"/>
            <w:gridSpan w:val="2"/>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300" w:type="dxa"/>
            <w:shd w:val="clear" w:color="auto" w:fill="000000"/>
            <w:vAlign w:val="bottom"/>
          </w:tcPr>
          <w:p>
            <w:pPr>
              <w:spacing w:after="0" w:line="20" w:lineRule="exact"/>
              <w:rPr>
                <w:color w:val="auto"/>
                <w:sz w:val="1"/>
                <w:szCs w:val="1"/>
              </w:rPr>
            </w:pPr>
          </w:p>
        </w:tc>
        <w:tc>
          <w:tcPr>
            <w:tcW w:w="680" w:type="dxa"/>
            <w:vAlign w:val="bottom"/>
          </w:tcPr>
          <w:p>
            <w:pPr>
              <w:spacing w:after="0" w:line="20" w:lineRule="exact"/>
              <w:rPr>
                <w:color w:val="auto"/>
                <w:sz w:val="1"/>
                <w:szCs w:val="1"/>
              </w:rPr>
            </w:pPr>
          </w:p>
        </w:tc>
        <w:tc>
          <w:tcPr>
            <w:tcW w:w="460" w:type="dxa"/>
            <w:vAlign w:val="bottom"/>
          </w:tcPr>
          <w:p>
            <w:pPr>
              <w:spacing w:after="0" w:line="20" w:lineRule="exact"/>
              <w:rPr>
                <w:color w:val="auto"/>
                <w:sz w:val="1"/>
                <w:szCs w:val="1"/>
              </w:rPr>
            </w:pPr>
          </w:p>
        </w:tc>
        <w:tc>
          <w:tcPr>
            <w:tcW w:w="640" w:type="dxa"/>
            <w:vAlign w:val="bottom"/>
          </w:tcPr>
          <w:p>
            <w:pPr>
              <w:spacing w:after="0" w:line="20" w:lineRule="exact"/>
              <w:rPr>
                <w:color w:val="auto"/>
                <w:sz w:val="1"/>
                <w:szCs w:val="1"/>
              </w:rPr>
            </w:pPr>
          </w:p>
        </w:tc>
        <w:tc>
          <w:tcPr>
            <w:tcW w:w="44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360" w:type="dxa"/>
            <w:gridSpan w:val="2"/>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320" w:type="dxa"/>
            <w:shd w:val="clear" w:color="auto" w:fill="000000"/>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52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20" w:hRule="atLeast"/>
        </w:trPr>
        <w:tc>
          <w:tcPr>
            <w:tcW w:w="360" w:type="dxa"/>
            <w:vAlign w:val="bottom"/>
          </w:tcPr>
          <w:p>
            <w:pPr>
              <w:spacing w:after="0"/>
              <w:rPr>
                <w:color w:val="auto"/>
                <w:sz w:val="24"/>
                <w:szCs w:val="24"/>
              </w:rPr>
            </w:pPr>
          </w:p>
        </w:tc>
        <w:tc>
          <w:tcPr>
            <w:tcW w:w="60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240" w:type="dxa"/>
            <w:vAlign w:val="bottom"/>
          </w:tcPr>
          <w:p>
            <w:pPr>
              <w:spacing w:after="0" w:line="274" w:lineRule="exact"/>
              <w:rPr>
                <w:color w:val="auto"/>
                <w:sz w:val="20"/>
                <w:szCs w:val="20"/>
              </w:rPr>
            </w:pPr>
            <w:r>
              <w:rPr>
                <w:rFonts w:ascii="宋体" w:hAnsi="宋体" w:eastAsia="宋体" w:cs="宋体"/>
                <w:color w:val="auto"/>
                <w:w w:val="91"/>
                <w:sz w:val="24"/>
                <w:szCs w:val="24"/>
              </w:rPr>
              <w:t>年</w:t>
            </w:r>
          </w:p>
        </w:tc>
        <w:tc>
          <w:tcPr>
            <w:tcW w:w="840" w:type="dxa"/>
            <w:tcBorders>
              <w:bottom w:val="single" w:color="auto" w:sz="8" w:space="0"/>
            </w:tcBorders>
            <w:vAlign w:val="bottom"/>
          </w:tcPr>
          <w:p>
            <w:pPr>
              <w:spacing w:after="0"/>
              <w:rPr>
                <w:color w:val="auto"/>
                <w:sz w:val="24"/>
                <w:szCs w:val="24"/>
              </w:rPr>
            </w:pPr>
          </w:p>
        </w:tc>
        <w:tc>
          <w:tcPr>
            <w:tcW w:w="360" w:type="dxa"/>
            <w:gridSpan w:val="2"/>
            <w:vAlign w:val="bottom"/>
          </w:tcPr>
          <w:p>
            <w:pPr>
              <w:spacing w:after="0" w:line="274" w:lineRule="exact"/>
              <w:rPr>
                <w:color w:val="auto"/>
                <w:sz w:val="20"/>
                <w:szCs w:val="20"/>
              </w:rPr>
            </w:pPr>
            <w:r>
              <w:rPr>
                <w:rFonts w:ascii="宋体" w:hAnsi="宋体" w:eastAsia="宋体" w:cs="宋体"/>
                <w:color w:val="auto"/>
                <w:sz w:val="24"/>
                <w:szCs w:val="24"/>
              </w:rPr>
              <w:t>月</w:t>
            </w:r>
          </w:p>
        </w:tc>
        <w:tc>
          <w:tcPr>
            <w:tcW w:w="220" w:type="dxa"/>
            <w:tcBorders>
              <w:bottom w:val="single" w:color="auto" w:sz="8" w:space="0"/>
            </w:tcBorders>
            <w:vAlign w:val="bottom"/>
          </w:tcPr>
          <w:p>
            <w:pPr>
              <w:spacing w:after="0"/>
              <w:rPr>
                <w:color w:val="auto"/>
                <w:sz w:val="24"/>
                <w:szCs w:val="24"/>
              </w:rPr>
            </w:pPr>
          </w:p>
        </w:tc>
        <w:tc>
          <w:tcPr>
            <w:tcW w:w="260" w:type="dxa"/>
            <w:tcBorders>
              <w:bottom w:val="single" w:color="auto" w:sz="8" w:space="0"/>
            </w:tcBorders>
            <w:vAlign w:val="bottom"/>
          </w:tcPr>
          <w:p>
            <w:pPr>
              <w:spacing w:after="0"/>
              <w:rPr>
                <w:color w:val="auto"/>
                <w:sz w:val="24"/>
                <w:szCs w:val="24"/>
              </w:rPr>
            </w:pPr>
          </w:p>
        </w:tc>
        <w:tc>
          <w:tcPr>
            <w:tcW w:w="980" w:type="dxa"/>
            <w:gridSpan w:val="2"/>
            <w:vAlign w:val="bottom"/>
          </w:tcPr>
          <w:p>
            <w:pPr>
              <w:spacing w:after="0" w:line="274" w:lineRule="exact"/>
              <w:ind w:left="120"/>
              <w:rPr>
                <w:color w:val="auto"/>
                <w:sz w:val="20"/>
                <w:szCs w:val="20"/>
              </w:rPr>
            </w:pPr>
            <w:r>
              <w:rPr>
                <w:rFonts w:ascii="宋体" w:hAnsi="宋体" w:eastAsia="宋体" w:cs="宋体"/>
                <w:color w:val="auto"/>
                <w:sz w:val="24"/>
                <w:szCs w:val="24"/>
              </w:rPr>
              <w:t>日</w:t>
            </w:r>
          </w:p>
        </w:tc>
        <w:tc>
          <w:tcPr>
            <w:tcW w:w="460" w:type="dxa"/>
            <w:vAlign w:val="bottom"/>
          </w:tcPr>
          <w:p>
            <w:pPr>
              <w:spacing w:after="0"/>
              <w:rPr>
                <w:color w:val="auto"/>
                <w:sz w:val="24"/>
                <w:szCs w:val="24"/>
              </w:rPr>
            </w:pPr>
          </w:p>
        </w:tc>
        <w:tc>
          <w:tcPr>
            <w:tcW w:w="640" w:type="dxa"/>
            <w:tcBorders>
              <w:bottom w:val="single" w:color="auto" w:sz="8" w:space="0"/>
            </w:tcBorders>
            <w:vAlign w:val="bottom"/>
          </w:tcPr>
          <w:p>
            <w:pPr>
              <w:spacing w:after="0"/>
              <w:rPr>
                <w:color w:val="auto"/>
                <w:sz w:val="24"/>
                <w:szCs w:val="24"/>
              </w:rPr>
            </w:pPr>
          </w:p>
        </w:tc>
        <w:tc>
          <w:tcPr>
            <w:tcW w:w="440" w:type="dxa"/>
            <w:tcBorders>
              <w:bottom w:val="single" w:color="auto" w:sz="8" w:space="0"/>
            </w:tcBorders>
            <w:vAlign w:val="bottom"/>
          </w:tcPr>
          <w:p>
            <w:pPr>
              <w:spacing w:after="0"/>
              <w:rPr>
                <w:color w:val="auto"/>
                <w:sz w:val="24"/>
                <w:szCs w:val="24"/>
              </w:rPr>
            </w:pPr>
          </w:p>
        </w:tc>
        <w:tc>
          <w:tcPr>
            <w:tcW w:w="240" w:type="dxa"/>
            <w:vAlign w:val="bottom"/>
          </w:tcPr>
          <w:p>
            <w:pPr>
              <w:spacing w:after="0" w:line="274" w:lineRule="exact"/>
              <w:rPr>
                <w:color w:val="auto"/>
                <w:sz w:val="20"/>
                <w:szCs w:val="20"/>
              </w:rPr>
            </w:pPr>
            <w:r>
              <w:rPr>
                <w:rFonts w:ascii="宋体" w:hAnsi="宋体" w:eastAsia="宋体" w:cs="宋体"/>
                <w:color w:val="auto"/>
                <w:w w:val="91"/>
                <w:sz w:val="24"/>
                <w:szCs w:val="24"/>
              </w:rPr>
              <w:t>年</w:t>
            </w:r>
          </w:p>
        </w:tc>
        <w:tc>
          <w:tcPr>
            <w:tcW w:w="840" w:type="dxa"/>
            <w:tcBorders>
              <w:bottom w:val="single" w:color="auto" w:sz="8" w:space="0"/>
            </w:tcBorders>
            <w:vAlign w:val="bottom"/>
          </w:tcPr>
          <w:p>
            <w:pPr>
              <w:spacing w:after="0"/>
              <w:rPr>
                <w:color w:val="auto"/>
                <w:sz w:val="24"/>
                <w:szCs w:val="24"/>
              </w:rPr>
            </w:pPr>
          </w:p>
        </w:tc>
        <w:tc>
          <w:tcPr>
            <w:tcW w:w="360" w:type="dxa"/>
            <w:gridSpan w:val="2"/>
            <w:vAlign w:val="bottom"/>
          </w:tcPr>
          <w:p>
            <w:pPr>
              <w:spacing w:after="0" w:line="274" w:lineRule="exact"/>
              <w:rPr>
                <w:color w:val="auto"/>
                <w:sz w:val="20"/>
                <w:szCs w:val="20"/>
              </w:rPr>
            </w:pPr>
            <w:r>
              <w:rPr>
                <w:rFonts w:ascii="宋体" w:hAnsi="宋体" w:eastAsia="宋体" w:cs="宋体"/>
                <w:color w:val="auto"/>
                <w:sz w:val="24"/>
                <w:szCs w:val="24"/>
              </w:rPr>
              <w:t>月</w:t>
            </w:r>
          </w:p>
        </w:tc>
        <w:tc>
          <w:tcPr>
            <w:tcW w:w="480" w:type="dxa"/>
            <w:gridSpan w:val="2"/>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520" w:type="dxa"/>
            <w:vAlign w:val="bottom"/>
          </w:tcPr>
          <w:p>
            <w:pPr>
              <w:spacing w:after="0" w:line="274" w:lineRule="exact"/>
              <w:jc w:val="center"/>
              <w:rPr>
                <w:color w:val="auto"/>
                <w:sz w:val="20"/>
                <w:szCs w:val="20"/>
              </w:rPr>
            </w:pPr>
            <w:r>
              <w:rPr>
                <w:rFonts w:ascii="宋体" w:hAnsi="宋体" w:eastAsia="宋体" w:cs="宋体"/>
                <w:color w:val="auto"/>
                <w:w w:val="99"/>
                <w:sz w:val="24"/>
                <w:szCs w:val="24"/>
              </w:rPr>
              <w:t>日</w:t>
            </w:r>
          </w:p>
        </w:tc>
        <w:tc>
          <w:tcPr>
            <w:tcW w:w="36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pacing w:after="0" w:line="274" w:lineRule="exact"/>
        <w:ind w:left="200"/>
        <w:rPr>
          <w:rFonts w:ascii="黑体" w:hAnsi="黑体" w:eastAsia="黑体" w:cs="黑体"/>
          <w:color w:val="auto"/>
          <w:sz w:val="24"/>
          <w:szCs w:val="24"/>
        </w:rPr>
      </w:pPr>
      <w:r>
        <w:rPr>
          <w:rFonts w:ascii="黑体" w:hAnsi="黑体" w:eastAsia="黑体" w:cs="黑体"/>
          <w:color w:val="auto"/>
          <w:sz w:val="24"/>
          <w:szCs w:val="24"/>
        </w:rPr>
        <w:br w:type="page"/>
      </w:r>
    </w:p>
    <w:p>
      <w:pPr>
        <w:spacing w:after="0" w:line="274" w:lineRule="exact"/>
        <w:ind w:left="200"/>
        <w:rPr>
          <w:color w:val="auto"/>
          <w:sz w:val="20"/>
          <w:szCs w:val="20"/>
        </w:rPr>
      </w:pPr>
      <w:r>
        <w:rPr>
          <w:rFonts w:ascii="黑体" w:hAnsi="黑体" w:eastAsia="黑体" w:cs="黑体"/>
          <w:color w:val="auto"/>
          <w:sz w:val="24"/>
          <w:szCs w:val="24"/>
        </w:rPr>
        <w:t>附件二：廉政合同</w:t>
      </w:r>
    </w:p>
    <w:p>
      <w:pPr>
        <w:spacing w:after="0" w:line="109" w:lineRule="exact"/>
        <w:rPr>
          <w:color w:val="auto"/>
          <w:sz w:val="20"/>
          <w:szCs w:val="20"/>
        </w:rPr>
      </w:pPr>
    </w:p>
    <w:p>
      <w:pPr>
        <w:spacing w:after="0" w:line="320" w:lineRule="exact"/>
        <w:ind w:right="-55"/>
        <w:jc w:val="center"/>
        <w:rPr>
          <w:color w:val="auto"/>
          <w:sz w:val="20"/>
          <w:szCs w:val="20"/>
        </w:rPr>
      </w:pPr>
      <w:r>
        <w:rPr>
          <w:rFonts w:ascii="黑体" w:hAnsi="黑体" w:eastAsia="黑体" w:cs="黑体"/>
          <w:color w:val="auto"/>
          <w:sz w:val="28"/>
          <w:szCs w:val="28"/>
        </w:rPr>
        <w:t>廉 政 合 同</w:t>
      </w:r>
    </w:p>
    <w:p>
      <w:pPr>
        <w:spacing w:after="0" w:line="200" w:lineRule="exact"/>
        <w:rPr>
          <w:color w:val="auto"/>
          <w:sz w:val="20"/>
          <w:szCs w:val="20"/>
        </w:rPr>
      </w:pPr>
    </w:p>
    <w:p>
      <w:pPr>
        <w:spacing w:after="0" w:line="370" w:lineRule="exact"/>
        <w:rPr>
          <w:color w:val="auto"/>
          <w:sz w:val="20"/>
          <w:szCs w:val="20"/>
        </w:rPr>
      </w:pP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720" w:firstLineChars="0"/>
        <w:jc w:val="left"/>
        <w:textAlignment w:val="auto"/>
        <w:outlineLvl w:val="9"/>
        <w:rPr>
          <w:rFonts w:ascii="宋体" w:hAnsi="宋体" w:eastAsia="宋体" w:cs="宋体"/>
          <w:color w:val="auto"/>
          <w:sz w:val="24"/>
          <w:szCs w:val="24"/>
        </w:rPr>
      </w:pPr>
      <w:r>
        <w:rPr>
          <w:rFonts w:ascii="宋体" w:hAnsi="宋体" w:eastAsia="宋体" w:cs="宋体"/>
          <w:color w:val="auto"/>
          <w:sz w:val="24"/>
          <w:szCs w:val="24"/>
        </w:rPr>
        <w:t>根据《关于在交通基础设施建设中加强廉政建设的若干意见》以及有关工程建设、廉政建设的规定，为做好工程建设中的党风廉政建设，保证工程建设高效优质，</w:t>
      </w:r>
      <w:r>
        <w:rPr>
          <w:rFonts w:hint="eastAsia" w:ascii="宋体" w:hAnsi="宋体" w:eastAsia="宋体" w:cs="宋体"/>
          <w:color w:val="auto"/>
          <w:sz w:val="24"/>
          <w:szCs w:val="24"/>
        </w:rPr>
        <w:t>保证建设资金的安全和有效使用以及投资效益，</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（项目名称）的项目法人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r>
        <w:rPr>
          <w:rFonts w:hint="default" w:ascii="宋体" w:hAnsi="宋体" w:eastAsia="宋体" w:cs="宋体"/>
          <w:color w:val="auto"/>
          <w:sz w:val="24"/>
          <w:szCs w:val="24"/>
        </w:rPr>
        <w:t>(</w:t>
      </w:r>
      <w:r>
        <w:rPr>
          <w:rFonts w:hint="eastAsia" w:ascii="宋体" w:hAnsi="宋体" w:eastAsia="宋体" w:cs="宋体"/>
          <w:color w:val="auto"/>
          <w:sz w:val="24"/>
          <w:szCs w:val="24"/>
        </w:rPr>
        <w:t>项目法人名称，以下简称</w:t>
      </w:r>
      <w:r>
        <w:rPr>
          <w:rFonts w:hint="default" w:ascii="宋体" w:hAnsi="宋体" w:eastAsia="宋体" w:cs="宋体"/>
          <w:color w:val="auto"/>
          <w:sz w:val="24"/>
          <w:szCs w:val="24"/>
        </w:rPr>
        <w:t>“</w:t>
      </w:r>
      <w:r>
        <w:rPr>
          <w:rFonts w:hint="eastAsia" w:ascii="宋体" w:hAnsi="宋体" w:eastAsia="宋体" w:cs="宋体"/>
          <w:color w:val="auto"/>
          <w:sz w:val="24"/>
          <w:szCs w:val="24"/>
        </w:rPr>
        <w:t>发包人</w:t>
      </w:r>
      <w:r>
        <w:rPr>
          <w:rFonts w:hint="default" w:ascii="宋体" w:hAnsi="宋体" w:eastAsia="宋体" w:cs="宋体"/>
          <w:color w:val="auto"/>
          <w:sz w:val="24"/>
          <w:szCs w:val="24"/>
        </w:rPr>
        <w:t>”)</w:t>
      </w:r>
      <w:r>
        <w:rPr>
          <w:rFonts w:hint="eastAsia" w:ascii="宋体" w:hAnsi="宋体" w:eastAsia="宋体" w:cs="宋体"/>
          <w:color w:val="auto"/>
          <w:sz w:val="24"/>
          <w:szCs w:val="24"/>
        </w:rPr>
        <w:t>与该项目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标段的施工单位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rPr>
        <w:t>(</w:t>
      </w:r>
      <w:r>
        <w:rPr>
          <w:rFonts w:hint="eastAsia" w:ascii="宋体" w:hAnsi="宋体" w:eastAsia="宋体" w:cs="宋体"/>
          <w:color w:val="auto"/>
          <w:sz w:val="24"/>
          <w:szCs w:val="24"/>
        </w:rPr>
        <w:t>施工单位名称，以下简称</w:t>
      </w:r>
      <w:r>
        <w:rPr>
          <w:rFonts w:hint="default" w:ascii="宋体" w:hAnsi="宋体" w:eastAsia="宋体" w:cs="宋体"/>
          <w:color w:val="auto"/>
          <w:sz w:val="24"/>
          <w:szCs w:val="24"/>
        </w:rPr>
        <w:t>“</w:t>
      </w:r>
      <w:r>
        <w:rPr>
          <w:rFonts w:hint="eastAsia" w:ascii="宋体" w:hAnsi="宋体" w:eastAsia="宋体" w:cs="宋体"/>
          <w:color w:val="auto"/>
          <w:sz w:val="24"/>
          <w:szCs w:val="24"/>
        </w:rPr>
        <w:t>承包人</w:t>
      </w:r>
      <w:r>
        <w:rPr>
          <w:rFonts w:hint="default" w:ascii="宋体" w:hAnsi="宋体" w:eastAsia="宋体" w:cs="宋体"/>
          <w:color w:val="auto"/>
          <w:sz w:val="24"/>
          <w:szCs w:val="24"/>
        </w:rPr>
        <w:t>”)</w:t>
      </w:r>
      <w:r>
        <w:rPr>
          <w:rFonts w:hint="eastAsia" w:ascii="宋体" w:hAnsi="宋体" w:eastAsia="宋体" w:cs="宋体"/>
          <w:color w:val="auto"/>
          <w:sz w:val="24"/>
          <w:szCs w:val="24"/>
        </w:rPr>
        <w:t>，特订立如下合同。</w:t>
      </w:r>
    </w:p>
    <w:p>
      <w:pPr>
        <w:spacing w:after="0" w:line="121" w:lineRule="exact"/>
        <w:rPr>
          <w:color w:val="auto"/>
          <w:sz w:val="20"/>
          <w:szCs w:val="20"/>
        </w:rPr>
      </w:pPr>
    </w:p>
    <w:p>
      <w:pPr>
        <w:numPr>
          <w:ilvl w:val="0"/>
          <w:numId w:val="68"/>
        </w:numPr>
        <w:tabs>
          <w:tab w:val="left" w:pos="1120"/>
        </w:tabs>
        <w:spacing w:after="0" w:line="292" w:lineRule="exact"/>
        <w:ind w:left="1120" w:hanging="299"/>
        <w:rPr>
          <w:rFonts w:ascii="Times New Roman" w:hAnsi="Times New Roman" w:eastAsia="Times New Roman" w:cs="Times New Roman"/>
          <w:color w:val="auto"/>
          <w:sz w:val="24"/>
          <w:szCs w:val="24"/>
        </w:rPr>
      </w:pPr>
      <w:r>
        <w:rPr>
          <w:rFonts w:ascii="黑体" w:hAnsi="黑体" w:eastAsia="黑体" w:cs="黑体"/>
          <w:color w:val="auto"/>
          <w:sz w:val="24"/>
          <w:szCs w:val="24"/>
        </w:rPr>
        <w:t>发包人和承包人双方的权利和义务</w:t>
      </w:r>
    </w:p>
    <w:p>
      <w:pPr>
        <w:spacing w:after="0" w:line="106" w:lineRule="exact"/>
        <w:rPr>
          <w:color w:val="auto"/>
          <w:sz w:val="20"/>
          <w:szCs w:val="20"/>
        </w:rPr>
      </w:pPr>
    </w:p>
    <w:p>
      <w:pPr>
        <w:numPr>
          <w:ilvl w:val="0"/>
          <w:numId w:val="69"/>
        </w:numPr>
        <w:tabs>
          <w:tab w:val="left" w:pos="1220"/>
        </w:tabs>
        <w:spacing w:after="0" w:line="292" w:lineRule="exact"/>
        <w:ind w:left="1220" w:hanging="399"/>
        <w:rPr>
          <w:rFonts w:ascii="Times New Roman" w:hAnsi="Times New Roman" w:eastAsia="Times New Roman" w:cs="Times New Roman"/>
          <w:color w:val="auto"/>
          <w:sz w:val="24"/>
          <w:szCs w:val="24"/>
        </w:rPr>
      </w:pPr>
      <w:r>
        <w:rPr>
          <w:rFonts w:ascii="宋体" w:hAnsi="宋体" w:eastAsia="宋体" w:cs="宋体"/>
          <w:color w:val="auto"/>
          <w:sz w:val="24"/>
          <w:szCs w:val="24"/>
        </w:rPr>
        <w:t>严格遵守党的政策规定和国家有关法律法规及交通运输部的有关规定。</w:t>
      </w:r>
    </w:p>
    <w:p>
      <w:pPr>
        <w:spacing w:after="0" w:line="107" w:lineRule="exact"/>
        <w:rPr>
          <w:rFonts w:ascii="Times New Roman" w:hAnsi="Times New Roman" w:eastAsia="Times New Roman" w:cs="Times New Roman"/>
          <w:color w:val="auto"/>
          <w:sz w:val="24"/>
          <w:szCs w:val="24"/>
        </w:rPr>
      </w:pPr>
    </w:p>
    <w:p>
      <w:pPr>
        <w:numPr>
          <w:ilvl w:val="0"/>
          <w:numId w:val="0"/>
        </w:numPr>
        <w:tabs>
          <w:tab w:val="left" w:pos="1220"/>
        </w:tabs>
        <w:spacing w:after="0" w:line="292" w:lineRule="exact"/>
        <w:ind w:leftChars="100" w:firstLine="480" w:firstLineChars="200"/>
        <w:rPr>
          <w:rFonts w:ascii="Times New Roman" w:hAnsi="Times New Roman" w:eastAsia="Times New Roman" w:cs="Times New Roman"/>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ascii="宋体" w:hAnsi="宋体" w:eastAsia="宋体" w:cs="宋体"/>
          <w:color w:val="auto"/>
          <w:sz w:val="24"/>
          <w:szCs w:val="24"/>
        </w:rPr>
        <w:t>严格执行</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rPr>
        <w:t>（项目名称）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3"/>
          <w:szCs w:val="23"/>
        </w:rPr>
        <w:t>标段施工合同文件，自觉按合同办</w:t>
      </w:r>
      <w:r>
        <w:rPr>
          <w:rFonts w:hint="eastAsia" w:ascii="宋体" w:hAnsi="宋体" w:eastAsia="宋体" w:cs="宋体"/>
          <w:color w:val="auto"/>
          <w:sz w:val="23"/>
          <w:szCs w:val="23"/>
          <w:lang w:eastAsia="zh-CN"/>
        </w:rPr>
        <w:t>事。</w:t>
      </w:r>
    </w:p>
    <w:p>
      <w:pPr>
        <w:spacing w:after="0" w:line="20" w:lineRule="exact"/>
        <w:rPr>
          <w:color w:val="auto"/>
          <w:sz w:val="20"/>
          <w:szCs w:val="20"/>
        </w:rPr>
      </w:pPr>
    </w:p>
    <w:p>
      <w:pPr>
        <w:numPr>
          <w:ilvl w:val="0"/>
          <w:numId w:val="70"/>
        </w:numPr>
        <w:tabs>
          <w:tab w:val="left" w:pos="1218"/>
        </w:tabs>
        <w:spacing w:after="0" w:line="358" w:lineRule="exact"/>
        <w:ind w:left="200" w:right="144" w:firstLine="621"/>
        <w:jc w:val="both"/>
        <w:rPr>
          <w:rFonts w:ascii="Times New Roman" w:hAnsi="Times New Roman" w:eastAsia="Times New Roman" w:cs="Times New Roman"/>
          <w:color w:val="auto"/>
          <w:sz w:val="24"/>
          <w:szCs w:val="24"/>
        </w:rPr>
      </w:pPr>
      <w:r>
        <w:rPr>
          <w:rFonts w:ascii="宋体" w:hAnsi="宋体" w:eastAsia="宋体" w:cs="宋体"/>
          <w:color w:val="auto"/>
          <w:sz w:val="24"/>
          <w:szCs w:val="24"/>
        </w:rPr>
        <w:t>双方的业务活动坚持公开、公正、诚信、透明的原则</w:t>
      </w:r>
      <w:r>
        <w:rPr>
          <w:rFonts w:ascii="Times New Roman" w:hAnsi="Times New Roman" w:eastAsia="Times New Roman" w:cs="Times New Roman"/>
          <w:color w:val="auto"/>
          <w:sz w:val="24"/>
          <w:szCs w:val="24"/>
        </w:rPr>
        <w:t>(</w:t>
      </w:r>
      <w:r>
        <w:rPr>
          <w:rFonts w:ascii="宋体" w:hAnsi="宋体" w:eastAsia="宋体" w:cs="宋体"/>
          <w:color w:val="auto"/>
          <w:sz w:val="24"/>
          <w:szCs w:val="24"/>
        </w:rPr>
        <w:t>法律认定的商业秘密和合同文件另有规定除外</w:t>
      </w:r>
      <w:r>
        <w:rPr>
          <w:rFonts w:ascii="Times New Roman" w:hAnsi="Times New Roman" w:eastAsia="Times New Roman" w:cs="Times New Roman"/>
          <w:color w:val="auto"/>
          <w:sz w:val="24"/>
          <w:szCs w:val="24"/>
        </w:rPr>
        <w:t>)</w:t>
      </w:r>
      <w:r>
        <w:rPr>
          <w:rFonts w:ascii="宋体" w:hAnsi="宋体" w:eastAsia="宋体" w:cs="宋体"/>
          <w:color w:val="auto"/>
          <w:sz w:val="24"/>
          <w:szCs w:val="24"/>
        </w:rPr>
        <w:t>，不得损害国家和集体利益，不得违反工程建设管理规章制度。</w:t>
      </w:r>
    </w:p>
    <w:p>
      <w:pPr>
        <w:spacing w:after="0" w:line="161" w:lineRule="exact"/>
        <w:rPr>
          <w:rFonts w:ascii="Times New Roman" w:hAnsi="Times New Roman" w:eastAsia="Times New Roman" w:cs="Times New Roman"/>
          <w:color w:val="auto"/>
          <w:sz w:val="24"/>
          <w:szCs w:val="24"/>
        </w:rPr>
      </w:pPr>
    </w:p>
    <w:p>
      <w:pPr>
        <w:numPr>
          <w:ilvl w:val="0"/>
          <w:numId w:val="70"/>
        </w:numPr>
        <w:tabs>
          <w:tab w:val="left" w:pos="1218"/>
        </w:tabs>
        <w:spacing w:after="0" w:line="320"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建立健全廉政制度，开展廉政教育，设立廉政告示牌，公布举报电话，监督并认真查处违法违纪行为。</w:t>
      </w:r>
    </w:p>
    <w:p>
      <w:pPr>
        <w:spacing w:after="0" w:line="161" w:lineRule="exact"/>
        <w:rPr>
          <w:rFonts w:ascii="Times New Roman" w:hAnsi="Times New Roman" w:eastAsia="Times New Roman" w:cs="Times New Roman"/>
          <w:color w:val="auto"/>
          <w:sz w:val="24"/>
          <w:szCs w:val="24"/>
        </w:rPr>
      </w:pPr>
    </w:p>
    <w:p>
      <w:pPr>
        <w:numPr>
          <w:ilvl w:val="0"/>
          <w:numId w:val="70"/>
        </w:numPr>
        <w:tabs>
          <w:tab w:val="left" w:pos="1218"/>
        </w:tabs>
        <w:spacing w:after="0" w:line="320"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发现对方在业务活动中有违反廉政规定的行为，有及时提醒对方纠正的权利和义务。</w:t>
      </w:r>
    </w:p>
    <w:p>
      <w:pPr>
        <w:spacing w:after="0" w:line="160" w:lineRule="exact"/>
        <w:rPr>
          <w:rFonts w:ascii="Times New Roman" w:hAnsi="Times New Roman" w:eastAsia="Times New Roman" w:cs="Times New Roman"/>
          <w:color w:val="auto"/>
          <w:sz w:val="24"/>
          <w:szCs w:val="24"/>
        </w:rPr>
      </w:pPr>
    </w:p>
    <w:p>
      <w:pPr>
        <w:numPr>
          <w:ilvl w:val="0"/>
          <w:numId w:val="70"/>
        </w:numPr>
        <w:tabs>
          <w:tab w:val="left" w:pos="1218"/>
        </w:tabs>
        <w:spacing w:after="0" w:line="320"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发现对方严重违反本合同义务条款的行为，有向其上级有关部门举报、建议给予处理并要求告知处理结果的权利。</w:t>
      </w:r>
    </w:p>
    <w:p>
      <w:pPr>
        <w:spacing w:after="0" w:line="127" w:lineRule="exact"/>
        <w:rPr>
          <w:rFonts w:ascii="Times New Roman" w:hAnsi="Times New Roman" w:eastAsia="Times New Roman" w:cs="Times New Roman"/>
          <w:color w:val="auto"/>
          <w:sz w:val="24"/>
          <w:szCs w:val="24"/>
        </w:rPr>
      </w:pPr>
    </w:p>
    <w:p>
      <w:pPr>
        <w:spacing w:after="0" w:line="292" w:lineRule="exact"/>
        <w:ind w:left="8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2. </w:t>
      </w:r>
      <w:r>
        <w:rPr>
          <w:rFonts w:ascii="黑体" w:hAnsi="黑体" w:eastAsia="黑体" w:cs="黑体"/>
          <w:color w:val="auto"/>
          <w:sz w:val="24"/>
          <w:szCs w:val="24"/>
        </w:rPr>
        <w:t>发包人的义务</w:t>
      </w:r>
    </w:p>
    <w:p>
      <w:pPr>
        <w:spacing w:after="0" w:line="141" w:lineRule="exact"/>
        <w:rPr>
          <w:rFonts w:ascii="Times New Roman" w:hAnsi="Times New Roman" w:eastAsia="Times New Roman" w:cs="Times New Roman"/>
          <w:color w:val="auto"/>
          <w:sz w:val="24"/>
          <w:szCs w:val="24"/>
        </w:rPr>
      </w:pPr>
    </w:p>
    <w:p>
      <w:pPr>
        <w:numPr>
          <w:ilvl w:val="0"/>
          <w:numId w:val="71"/>
        </w:numPr>
        <w:tabs>
          <w:tab w:val="left" w:pos="1225"/>
        </w:tabs>
        <w:spacing w:after="0" w:line="320"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发包人及其工作人员不得索要或接受承包人的礼金、有价证券和贵重物品，不得让承包人报销任何应由发包人或发包人工作人员个人支付的费用等。</w:t>
      </w:r>
    </w:p>
    <w:p>
      <w:pPr>
        <w:spacing w:after="0" w:line="161" w:lineRule="exact"/>
        <w:rPr>
          <w:rFonts w:ascii="Times New Roman" w:hAnsi="Times New Roman" w:eastAsia="Times New Roman" w:cs="Times New Roman"/>
          <w:color w:val="auto"/>
          <w:sz w:val="24"/>
          <w:szCs w:val="24"/>
        </w:rPr>
      </w:pPr>
    </w:p>
    <w:p>
      <w:pPr>
        <w:numPr>
          <w:ilvl w:val="0"/>
          <w:numId w:val="71"/>
        </w:numPr>
        <w:tabs>
          <w:tab w:val="left" w:pos="1218"/>
        </w:tabs>
        <w:spacing w:after="0" w:line="320"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发包人工作人员不得参加承包人安排的超标准宴请和娱乐活动；不得接受承包人提供的通讯工具、交通工具和高档办公用品等。</w:t>
      </w:r>
    </w:p>
    <w:p>
      <w:pPr>
        <w:spacing w:after="0" w:line="161" w:lineRule="exact"/>
        <w:rPr>
          <w:rFonts w:ascii="Times New Roman" w:hAnsi="Times New Roman" w:eastAsia="Times New Roman" w:cs="Times New Roman"/>
          <w:color w:val="auto"/>
          <w:sz w:val="24"/>
          <w:szCs w:val="24"/>
        </w:rPr>
      </w:pPr>
    </w:p>
    <w:p>
      <w:pPr>
        <w:numPr>
          <w:ilvl w:val="0"/>
          <w:numId w:val="71"/>
        </w:numPr>
        <w:tabs>
          <w:tab w:val="left" w:pos="1218"/>
        </w:tabs>
        <w:spacing w:after="0" w:line="320"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发包人及其工作人员不得要求或者接受承包人为其住房装修、婚丧嫁娶活动、配偶子女的工作安排以及出国出境、旅游等提供方便等。</w:t>
      </w:r>
    </w:p>
    <w:p>
      <w:pPr>
        <w:spacing w:after="0" w:line="160" w:lineRule="exact"/>
        <w:rPr>
          <w:rFonts w:ascii="Times New Roman" w:hAnsi="Times New Roman" w:eastAsia="Times New Roman" w:cs="Times New Roman"/>
          <w:color w:val="auto"/>
          <w:sz w:val="24"/>
          <w:szCs w:val="24"/>
        </w:rPr>
      </w:pPr>
    </w:p>
    <w:p>
      <w:pPr>
        <w:numPr>
          <w:ilvl w:val="0"/>
          <w:numId w:val="71"/>
        </w:numPr>
        <w:tabs>
          <w:tab w:val="left" w:pos="1218"/>
        </w:tabs>
        <w:spacing w:after="0" w:line="320"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发包人工作人员及其配偶、子女不得从事与发包人工程有关的材料设备供应、工程分包、劳务等经济活动等。</w:t>
      </w:r>
    </w:p>
    <w:p>
      <w:pPr>
        <w:spacing w:after="0" w:line="161" w:lineRule="exact"/>
        <w:rPr>
          <w:rFonts w:ascii="Times New Roman" w:hAnsi="Times New Roman" w:eastAsia="Times New Roman" w:cs="Times New Roman"/>
          <w:color w:val="auto"/>
          <w:sz w:val="24"/>
          <w:szCs w:val="24"/>
        </w:rPr>
      </w:pPr>
    </w:p>
    <w:p>
      <w:pPr>
        <w:numPr>
          <w:ilvl w:val="0"/>
          <w:numId w:val="71"/>
        </w:numPr>
        <w:tabs>
          <w:tab w:val="left" w:pos="1218"/>
        </w:tabs>
        <w:spacing w:after="0" w:line="320" w:lineRule="exact"/>
        <w:ind w:left="200" w:right="12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发包人及其工作人员不得以任何理由向承包人推荐分包单位或推销材料，不得要求承包人购买合同规定外的材料和设备。</w:t>
      </w:r>
    </w:p>
    <w:p>
      <w:pPr>
        <w:spacing w:after="0" w:line="161" w:lineRule="exact"/>
        <w:rPr>
          <w:rFonts w:ascii="Times New Roman" w:hAnsi="Times New Roman" w:eastAsia="Times New Roman" w:cs="Times New Roman"/>
          <w:color w:val="auto"/>
          <w:sz w:val="24"/>
          <w:szCs w:val="24"/>
        </w:rPr>
      </w:pPr>
    </w:p>
    <w:p>
      <w:pPr>
        <w:numPr>
          <w:ilvl w:val="0"/>
          <w:numId w:val="71"/>
        </w:numPr>
        <w:tabs>
          <w:tab w:val="left" w:pos="1218"/>
        </w:tabs>
        <w:spacing w:after="0" w:line="320"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发包人工作人员要秉公办事，不准营私舞弊，不准利用职权从事各种个人有偿中介活动和安排个人施工队伍。</w:t>
      </w:r>
    </w:p>
    <w:p>
      <w:pPr>
        <w:spacing w:after="0" w:line="335" w:lineRule="exact"/>
        <w:rPr>
          <w:color w:val="auto"/>
          <w:sz w:val="20"/>
          <w:szCs w:val="20"/>
        </w:rPr>
      </w:pPr>
    </w:p>
    <w:p>
      <w:pPr>
        <w:numPr>
          <w:ilvl w:val="0"/>
          <w:numId w:val="72"/>
        </w:numPr>
        <w:tabs>
          <w:tab w:val="left" w:pos="1120"/>
        </w:tabs>
        <w:spacing w:after="0" w:line="292" w:lineRule="exact"/>
        <w:ind w:left="1120" w:hanging="299"/>
        <w:rPr>
          <w:rFonts w:ascii="Times New Roman" w:hAnsi="Times New Roman" w:eastAsia="Times New Roman" w:cs="Times New Roman"/>
          <w:color w:val="auto"/>
          <w:sz w:val="24"/>
          <w:szCs w:val="24"/>
        </w:rPr>
      </w:pPr>
      <w:r>
        <w:rPr>
          <w:rFonts w:ascii="黑体" w:hAnsi="黑体" w:eastAsia="黑体" w:cs="黑体"/>
          <w:color w:val="auto"/>
          <w:sz w:val="24"/>
          <w:szCs w:val="24"/>
        </w:rPr>
        <w:t>承包人的义务</w:t>
      </w:r>
    </w:p>
    <w:p>
      <w:pPr>
        <w:spacing w:after="0" w:line="159" w:lineRule="exact"/>
        <w:rPr>
          <w:color w:val="auto"/>
          <w:sz w:val="20"/>
          <w:szCs w:val="20"/>
        </w:rPr>
      </w:pPr>
    </w:p>
    <w:p>
      <w:pPr>
        <w:numPr>
          <w:ilvl w:val="0"/>
          <w:numId w:val="73"/>
        </w:numPr>
        <w:tabs>
          <w:tab w:val="left" w:pos="1225"/>
        </w:tabs>
        <w:spacing w:after="0" w:line="320"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承包人不得以任何理由向发包人及其工作人员行贿或馈赠礼金、有价证券、贵重礼品。</w:t>
      </w:r>
    </w:p>
    <w:p>
      <w:pPr>
        <w:spacing w:after="0" w:line="160" w:lineRule="exact"/>
        <w:rPr>
          <w:rFonts w:ascii="Times New Roman" w:hAnsi="Times New Roman" w:eastAsia="Times New Roman" w:cs="Times New Roman"/>
          <w:color w:val="auto"/>
          <w:sz w:val="24"/>
          <w:szCs w:val="24"/>
        </w:rPr>
      </w:pPr>
    </w:p>
    <w:p>
      <w:pPr>
        <w:numPr>
          <w:ilvl w:val="0"/>
          <w:numId w:val="73"/>
        </w:numPr>
        <w:tabs>
          <w:tab w:val="left" w:pos="1225"/>
        </w:tabs>
        <w:spacing w:after="0" w:line="320"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承包人不得以任何名义为发包人及其工作人员报销应由发包人单位或个人支付的任何费用。</w:t>
      </w:r>
    </w:p>
    <w:p>
      <w:pPr>
        <w:spacing w:after="0" w:line="122" w:lineRule="exact"/>
        <w:rPr>
          <w:rFonts w:ascii="Times New Roman" w:hAnsi="Times New Roman" w:eastAsia="Times New Roman" w:cs="Times New Roman"/>
          <w:color w:val="auto"/>
          <w:sz w:val="24"/>
          <w:szCs w:val="24"/>
        </w:rPr>
      </w:pPr>
    </w:p>
    <w:p>
      <w:pPr>
        <w:numPr>
          <w:ilvl w:val="0"/>
          <w:numId w:val="73"/>
        </w:numPr>
        <w:tabs>
          <w:tab w:val="left" w:pos="1220"/>
        </w:tabs>
        <w:spacing w:after="0" w:line="280" w:lineRule="exact"/>
        <w:ind w:left="1220" w:hanging="399"/>
        <w:rPr>
          <w:rFonts w:ascii="Times New Roman" w:hAnsi="Times New Roman" w:eastAsia="Times New Roman" w:cs="Times New Roman"/>
          <w:color w:val="auto"/>
          <w:sz w:val="23"/>
          <w:szCs w:val="23"/>
        </w:rPr>
      </w:pPr>
      <w:r>
        <w:rPr>
          <w:rFonts w:ascii="宋体" w:hAnsi="宋体" w:eastAsia="宋体" w:cs="宋体"/>
          <w:color w:val="auto"/>
          <w:sz w:val="23"/>
          <w:szCs w:val="23"/>
        </w:rPr>
        <w:t>承包人不得以任何理由安排发包人工作人员参加超标准宴请及娱乐活动。</w:t>
      </w:r>
    </w:p>
    <w:p>
      <w:pPr>
        <w:spacing w:after="0" w:line="119" w:lineRule="exact"/>
        <w:rPr>
          <w:rFonts w:ascii="Times New Roman" w:hAnsi="Times New Roman" w:eastAsia="Times New Roman" w:cs="Times New Roman"/>
          <w:color w:val="auto"/>
          <w:sz w:val="23"/>
          <w:szCs w:val="23"/>
        </w:rPr>
      </w:pPr>
    </w:p>
    <w:p>
      <w:pPr>
        <w:numPr>
          <w:ilvl w:val="0"/>
          <w:numId w:val="73"/>
        </w:numPr>
        <w:tabs>
          <w:tab w:val="left" w:pos="1220"/>
        </w:tabs>
        <w:spacing w:after="0" w:line="280" w:lineRule="exact"/>
        <w:ind w:left="1220" w:hanging="399"/>
        <w:rPr>
          <w:rFonts w:ascii="Times New Roman" w:hAnsi="Times New Roman" w:eastAsia="Times New Roman" w:cs="Times New Roman"/>
          <w:color w:val="auto"/>
          <w:sz w:val="23"/>
          <w:szCs w:val="23"/>
        </w:rPr>
      </w:pPr>
      <w:r>
        <w:rPr>
          <w:rFonts w:ascii="宋体" w:hAnsi="宋体" w:eastAsia="宋体" w:cs="宋体"/>
          <w:color w:val="auto"/>
          <w:sz w:val="23"/>
          <w:szCs w:val="23"/>
        </w:rPr>
        <w:t>承包人不得为发包人单位和个人购置或提供通信工具、交通工具和高档办</w:t>
      </w:r>
    </w:p>
    <w:p>
      <w:pPr>
        <w:spacing w:after="0" w:line="127" w:lineRule="exact"/>
        <w:rPr>
          <w:color w:val="auto"/>
          <w:sz w:val="20"/>
          <w:szCs w:val="20"/>
        </w:rPr>
      </w:pPr>
    </w:p>
    <w:p>
      <w:pPr>
        <w:spacing w:after="0" w:line="274" w:lineRule="exact"/>
        <w:ind w:left="200"/>
        <w:rPr>
          <w:color w:val="auto"/>
          <w:sz w:val="20"/>
          <w:szCs w:val="20"/>
        </w:rPr>
      </w:pPr>
      <w:r>
        <w:rPr>
          <w:rFonts w:ascii="宋体" w:hAnsi="宋体" w:eastAsia="宋体" w:cs="宋体"/>
          <w:color w:val="auto"/>
          <w:sz w:val="24"/>
          <w:szCs w:val="24"/>
        </w:rPr>
        <w:t>公用品等。</w:t>
      </w:r>
    </w:p>
    <w:p>
      <w:pPr>
        <w:spacing w:after="0" w:line="110" w:lineRule="exact"/>
        <w:rPr>
          <w:color w:val="auto"/>
          <w:sz w:val="20"/>
          <w:szCs w:val="20"/>
        </w:rPr>
      </w:pPr>
    </w:p>
    <w:p>
      <w:pPr>
        <w:numPr>
          <w:ilvl w:val="0"/>
          <w:numId w:val="74"/>
        </w:numPr>
        <w:tabs>
          <w:tab w:val="left" w:pos="1120"/>
        </w:tabs>
        <w:spacing w:after="0" w:line="292" w:lineRule="exact"/>
        <w:ind w:left="1120" w:hanging="299"/>
        <w:rPr>
          <w:rFonts w:ascii="Times New Roman" w:hAnsi="Times New Roman" w:eastAsia="Times New Roman" w:cs="Times New Roman"/>
          <w:color w:val="auto"/>
          <w:sz w:val="24"/>
          <w:szCs w:val="24"/>
        </w:rPr>
      </w:pPr>
      <w:r>
        <w:rPr>
          <w:rFonts w:ascii="黑体" w:hAnsi="黑体" w:eastAsia="黑体" w:cs="黑体"/>
          <w:color w:val="auto"/>
          <w:sz w:val="24"/>
          <w:szCs w:val="24"/>
        </w:rPr>
        <w:t>违约责任</w:t>
      </w:r>
    </w:p>
    <w:p>
      <w:pPr>
        <w:spacing w:after="0" w:line="124" w:lineRule="exact"/>
        <w:rPr>
          <w:color w:val="auto"/>
          <w:sz w:val="20"/>
          <w:szCs w:val="20"/>
        </w:rPr>
      </w:pPr>
    </w:p>
    <w:p>
      <w:pPr>
        <w:numPr>
          <w:ilvl w:val="0"/>
          <w:numId w:val="75"/>
        </w:numPr>
        <w:tabs>
          <w:tab w:val="left" w:pos="1218"/>
        </w:tabs>
        <w:spacing w:after="0" w:line="358" w:lineRule="exact"/>
        <w:ind w:left="200" w:right="144" w:firstLine="621"/>
        <w:jc w:val="both"/>
        <w:rPr>
          <w:rFonts w:ascii="Times New Roman" w:hAnsi="Times New Roman" w:eastAsia="Times New Roman" w:cs="Times New Roman"/>
          <w:color w:val="auto"/>
          <w:sz w:val="24"/>
          <w:szCs w:val="24"/>
        </w:rPr>
      </w:pPr>
      <w:r>
        <w:rPr>
          <w:rFonts w:ascii="宋体" w:hAnsi="宋体" w:eastAsia="宋体" w:cs="宋体"/>
          <w:color w:val="auto"/>
          <w:sz w:val="24"/>
          <w:szCs w:val="24"/>
        </w:rPr>
        <w:t>发包人及其工作人员违反本合同第</w:t>
      </w:r>
      <w:r>
        <w:rPr>
          <w:rFonts w:ascii="Times New Roman" w:hAnsi="Times New Roman" w:eastAsia="Times New Roman" w:cs="Times New Roman"/>
          <w:color w:val="auto"/>
          <w:sz w:val="24"/>
          <w:szCs w:val="24"/>
        </w:rPr>
        <w:t xml:space="preserve"> 1</w:t>
      </w:r>
      <w:r>
        <w:rPr>
          <w:rFonts w:ascii="宋体" w:hAnsi="宋体" w:eastAsia="宋体" w:cs="宋体"/>
          <w:color w:val="auto"/>
          <w:sz w:val="24"/>
          <w:szCs w:val="24"/>
        </w:rPr>
        <w:t>、</w:t>
      </w:r>
      <w:r>
        <w:rPr>
          <w:rFonts w:ascii="Times New Roman" w:hAnsi="Times New Roman" w:eastAsia="Times New Roman" w:cs="Times New Roman"/>
          <w:color w:val="auto"/>
          <w:sz w:val="24"/>
          <w:szCs w:val="24"/>
        </w:rPr>
        <w:t xml:space="preserve">2 </w:t>
      </w:r>
      <w:r>
        <w:rPr>
          <w:rFonts w:ascii="宋体" w:hAnsi="宋体" w:eastAsia="宋体" w:cs="宋体"/>
          <w:color w:val="auto"/>
          <w:sz w:val="24"/>
          <w:szCs w:val="24"/>
        </w:rPr>
        <w:t>条，按管理权限，依据有关规定给予党纪、政纪或组织处理；涉嫌犯罪的，移交司法机关追究刑事责任；给承包人单位造成经济损失的，应予以赔偿。</w:t>
      </w:r>
    </w:p>
    <w:p>
      <w:pPr>
        <w:spacing w:after="0" w:line="126" w:lineRule="exact"/>
        <w:rPr>
          <w:rFonts w:ascii="Times New Roman" w:hAnsi="Times New Roman" w:eastAsia="Times New Roman" w:cs="Times New Roman"/>
          <w:color w:val="auto"/>
          <w:sz w:val="24"/>
          <w:szCs w:val="24"/>
        </w:rPr>
      </w:pPr>
    </w:p>
    <w:p>
      <w:pPr>
        <w:numPr>
          <w:ilvl w:val="0"/>
          <w:numId w:val="75"/>
        </w:numPr>
        <w:tabs>
          <w:tab w:val="left" w:pos="1218"/>
        </w:tabs>
        <w:spacing w:after="0" w:line="368" w:lineRule="exact"/>
        <w:ind w:left="200" w:right="144" w:firstLine="621"/>
        <w:jc w:val="both"/>
        <w:rPr>
          <w:rFonts w:ascii="Times New Roman" w:hAnsi="Times New Roman" w:eastAsia="Times New Roman" w:cs="Times New Roman"/>
          <w:color w:val="auto"/>
          <w:sz w:val="24"/>
          <w:szCs w:val="24"/>
        </w:rPr>
      </w:pPr>
      <w:r>
        <w:rPr>
          <w:rFonts w:ascii="宋体" w:hAnsi="宋体" w:eastAsia="宋体" w:cs="宋体"/>
          <w:color w:val="auto"/>
          <w:sz w:val="24"/>
          <w:szCs w:val="24"/>
        </w:rPr>
        <w:t>承包人及其工作人员违反本合同第</w:t>
      </w:r>
      <w:r>
        <w:rPr>
          <w:rFonts w:ascii="Times New Roman" w:hAnsi="Times New Roman" w:eastAsia="Times New Roman" w:cs="Times New Roman"/>
          <w:color w:val="auto"/>
          <w:sz w:val="24"/>
          <w:szCs w:val="24"/>
        </w:rPr>
        <w:t xml:space="preserve"> 1</w:t>
      </w:r>
      <w:r>
        <w:rPr>
          <w:rFonts w:ascii="宋体" w:hAnsi="宋体" w:eastAsia="宋体" w:cs="宋体"/>
          <w:color w:val="auto"/>
          <w:sz w:val="24"/>
          <w:szCs w:val="24"/>
        </w:rPr>
        <w:t>、</w:t>
      </w:r>
      <w:r>
        <w:rPr>
          <w:rFonts w:ascii="Times New Roman" w:hAnsi="Times New Roman" w:eastAsia="Times New Roman" w:cs="Times New Roman"/>
          <w:color w:val="auto"/>
          <w:sz w:val="24"/>
          <w:szCs w:val="24"/>
        </w:rPr>
        <w:t xml:space="preserve">3 </w:t>
      </w:r>
      <w:r>
        <w:rPr>
          <w:rFonts w:ascii="宋体" w:hAnsi="宋体" w:eastAsia="宋体" w:cs="宋体"/>
          <w:color w:val="auto"/>
          <w:sz w:val="24"/>
          <w:szCs w:val="24"/>
        </w:rPr>
        <w:t>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after="0" w:line="130" w:lineRule="exact"/>
        <w:rPr>
          <w:rFonts w:ascii="Times New Roman" w:hAnsi="Times New Roman" w:eastAsia="Times New Roman" w:cs="Times New Roman"/>
          <w:color w:val="auto"/>
          <w:sz w:val="24"/>
          <w:szCs w:val="24"/>
        </w:rPr>
      </w:pPr>
    </w:p>
    <w:p>
      <w:pPr>
        <w:spacing w:after="0" w:line="357" w:lineRule="exact"/>
        <w:ind w:left="200" w:right="144" w:firstLine="61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5. </w:t>
      </w:r>
      <w:r>
        <w:rPr>
          <w:rFonts w:ascii="宋体" w:hAnsi="宋体" w:eastAsia="宋体" w:cs="宋体"/>
          <w:color w:val="auto"/>
          <w:sz w:val="24"/>
          <w:szCs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after="0" w:line="129" w:lineRule="exact"/>
        <w:rPr>
          <w:rFonts w:ascii="Times New Roman" w:hAnsi="Times New Roman" w:eastAsia="Times New Roman" w:cs="Times New Roman"/>
          <w:color w:val="auto"/>
          <w:sz w:val="24"/>
          <w:szCs w:val="24"/>
        </w:rPr>
      </w:pPr>
    </w:p>
    <w:p>
      <w:pPr>
        <w:spacing w:after="0" w:line="292" w:lineRule="exact"/>
        <w:ind w:left="8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6. </w:t>
      </w:r>
      <w:r>
        <w:rPr>
          <w:rFonts w:ascii="宋体" w:hAnsi="宋体" w:eastAsia="宋体" w:cs="宋体"/>
          <w:color w:val="auto"/>
          <w:sz w:val="24"/>
          <w:szCs w:val="24"/>
        </w:rPr>
        <w:t>本合同有效期为发包人和承包人签署之日起至该工程项目竣工验收后止。</w:t>
      </w:r>
    </w:p>
    <w:p>
      <w:pPr>
        <w:spacing w:after="0" w:line="74" w:lineRule="exact"/>
        <w:rPr>
          <w:color w:val="auto"/>
          <w:sz w:val="20"/>
          <w:szCs w:val="20"/>
        </w:rPr>
      </w:pPr>
    </w:p>
    <w:p>
      <w:pPr>
        <w:tabs>
          <w:tab w:val="left" w:pos="3420"/>
          <w:tab w:val="left" w:pos="5480"/>
        </w:tabs>
        <w:spacing w:after="0" w:line="326" w:lineRule="exact"/>
        <w:ind w:left="820"/>
        <w:rPr>
          <w:color w:val="auto"/>
          <w:sz w:val="20"/>
          <w:szCs w:val="20"/>
        </w:rPr>
      </w:pPr>
      <w:r>
        <w:rPr>
          <w:rFonts w:ascii="Times New Roman" w:hAnsi="Times New Roman" w:eastAsia="Times New Roman" w:cs="Times New Roman"/>
          <w:color w:val="auto"/>
          <w:sz w:val="24"/>
          <w:szCs w:val="24"/>
        </w:rPr>
        <w:t xml:space="preserve">7. </w:t>
      </w:r>
      <w:r>
        <w:rPr>
          <w:rFonts w:ascii="宋体" w:hAnsi="宋体" w:eastAsia="宋体" w:cs="宋体"/>
          <w:color w:val="auto"/>
          <w:sz w:val="24"/>
          <w:szCs w:val="24"/>
        </w:rPr>
        <w:t>本合同作为</w:t>
      </w:r>
      <w:r>
        <w:rPr>
          <w:color w:val="auto"/>
          <w:sz w:val="20"/>
          <w:szCs w:val="20"/>
        </w:rPr>
        <w:tab/>
      </w:r>
      <w:r>
        <w:rPr>
          <w:rFonts w:ascii="宋体" w:hAnsi="宋体" w:eastAsia="宋体" w:cs="宋体"/>
          <w:color w:val="auto"/>
          <w:sz w:val="24"/>
          <w:szCs w:val="24"/>
        </w:rPr>
        <w:t>（项目名称）</w:t>
      </w:r>
      <w:r>
        <w:rPr>
          <w:color w:val="auto"/>
          <w:sz w:val="20"/>
          <w:szCs w:val="20"/>
        </w:rPr>
        <w:tab/>
      </w:r>
      <w:r>
        <w:rPr>
          <w:rFonts w:ascii="宋体" w:hAnsi="宋体" w:eastAsia="宋体" w:cs="宋体"/>
          <w:color w:val="auto"/>
          <w:sz w:val="24"/>
          <w:szCs w:val="24"/>
        </w:rPr>
        <w:t>标段施工合同的附件，与工程施</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1481455</wp:posOffset>
                </wp:positionH>
                <wp:positionV relativeFrom="paragraph">
                  <wp:posOffset>-12065</wp:posOffset>
                </wp:positionV>
                <wp:extent cx="697865" cy="0"/>
                <wp:effectExtent l="0" t="0" r="0" b="0"/>
                <wp:wrapNone/>
                <wp:docPr id="510" name="Shape 510"/>
                <wp:cNvGraphicFramePr/>
                <a:graphic xmlns:a="http://schemas.openxmlformats.org/drawingml/2006/main">
                  <a:graphicData uri="http://schemas.microsoft.com/office/word/2010/wordprocessingShape">
                    <wps:wsp>
                      <wps:cNvCnPr/>
                      <wps:spPr>
                        <a:xfrm>
                          <a:off x="0" y="0"/>
                          <a:ext cx="697865" cy="4763"/>
                        </a:xfrm>
                        <a:prstGeom prst="line">
                          <a:avLst/>
                        </a:prstGeom>
                        <a:solidFill>
                          <a:srgbClr val="FFFFFF"/>
                        </a:solidFill>
                        <a:ln w="7619">
                          <a:solidFill>
                            <a:srgbClr val="000000"/>
                          </a:solidFill>
                          <a:miter lim="800000"/>
                        </a:ln>
                      </wps:spPr>
                      <wps:bodyPr/>
                    </wps:wsp>
                  </a:graphicData>
                </a:graphic>
              </wp:anchor>
            </w:drawing>
          </mc:Choice>
          <mc:Fallback>
            <w:pict>
              <v:line id="Shape 510" o:spid="_x0000_s1026" o:spt="20" style="position:absolute;left:0pt;margin-left:116.65pt;margin-top:-0.95pt;height:0pt;width:54.95pt;z-index:-251658240;mso-width-relative:page;mso-height-relative:page;" fillcolor="#FFFFFF" filled="t" stroked="t" coordsize="21600,21600" o:allowincell="f" o:gfxdata="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IMTXjvWAAAA&#10;CQEAAA8AAAAAAAAAAQAgAAAAOAAAAGRycy9kb3ducmV2LnhtbFBLAQIUABQAAAAIAIdO4kA9SSZQ&#10;lwEAAE4DAAAOAAAAAAAAAAEAIAAAADsBAABkcnMvZTJvRG9jLnhtbFBLBQYAAAAABgAGAFkBAABE&#10;BQAAAAA=&#10;">
                <v:fill on="t" focussize="0,0"/>
                <v:stroke weight="0.59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3101340</wp:posOffset>
                </wp:positionH>
                <wp:positionV relativeFrom="paragraph">
                  <wp:posOffset>-12065</wp:posOffset>
                </wp:positionV>
                <wp:extent cx="386715" cy="0"/>
                <wp:effectExtent l="0" t="0" r="0" b="0"/>
                <wp:wrapNone/>
                <wp:docPr id="511" name="Shape 511"/>
                <wp:cNvGraphicFramePr/>
                <a:graphic xmlns:a="http://schemas.openxmlformats.org/drawingml/2006/main">
                  <a:graphicData uri="http://schemas.microsoft.com/office/word/2010/wordprocessingShape">
                    <wps:wsp>
                      <wps:cNvCnPr/>
                      <wps:spPr>
                        <a:xfrm>
                          <a:off x="0" y="0"/>
                          <a:ext cx="386715" cy="4763"/>
                        </a:xfrm>
                        <a:prstGeom prst="line">
                          <a:avLst/>
                        </a:prstGeom>
                        <a:solidFill>
                          <a:srgbClr val="FFFFFF"/>
                        </a:solidFill>
                        <a:ln w="7619">
                          <a:solidFill>
                            <a:srgbClr val="000000"/>
                          </a:solidFill>
                          <a:miter lim="800000"/>
                        </a:ln>
                      </wps:spPr>
                      <wps:bodyPr/>
                    </wps:wsp>
                  </a:graphicData>
                </a:graphic>
              </wp:anchor>
            </w:drawing>
          </mc:Choice>
          <mc:Fallback>
            <w:pict>
              <v:line id="Shape 511" o:spid="_x0000_s1026" o:spt="20" style="position:absolute;left:0pt;margin-left:244.2pt;margin-top:-0.95pt;height:0pt;width:30.45pt;z-index:-251658240;mso-width-relative:page;mso-height-relative:page;" fillcolor="#FFFFFF" filled="t" stroked="t" coordsize="21600,21600" o:allowincell="f" o:gfxdata="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CMlzJD1wAA&#10;AAkBAAAPAAAAAAAAAAEAIAAAADgAAABkcnMvZG93bnJldi54bWxQSwECFAAUAAAACACHTuJAFTvA&#10;qJcBAABOAwAADgAAAAAAAAABACAAAAA8AQAAZHJzL2Uyb0RvYy54bWxQSwUGAAAAAAYABgBZAQAA&#10;RQUAAAAA&#10;">
                <v:fill on="t" focussize="0,0"/>
                <v:stroke weight="0.59992125984252pt" color="#000000" miterlimit="8" joinstyle="miter"/>
                <v:imagedata o:title=""/>
                <o:lock v:ext="edit" aspectratio="f"/>
              </v:line>
            </w:pict>
          </mc:Fallback>
        </mc:AlternateContent>
      </w:r>
    </w:p>
    <w:p>
      <w:pPr>
        <w:spacing w:after="0" w:line="88" w:lineRule="exact"/>
        <w:rPr>
          <w:color w:val="auto"/>
          <w:sz w:val="20"/>
          <w:szCs w:val="20"/>
        </w:rPr>
      </w:pPr>
    </w:p>
    <w:p>
      <w:pPr>
        <w:spacing w:after="0" w:line="274" w:lineRule="exact"/>
        <w:ind w:left="200"/>
        <w:rPr>
          <w:color w:val="auto"/>
          <w:sz w:val="20"/>
          <w:szCs w:val="20"/>
        </w:rPr>
      </w:pPr>
      <w:r>
        <w:rPr>
          <w:rFonts w:ascii="宋体" w:hAnsi="宋体" w:eastAsia="宋体" w:cs="宋体"/>
          <w:color w:val="auto"/>
          <w:sz w:val="24"/>
          <w:szCs w:val="24"/>
        </w:rPr>
        <w:t>工合同具有同等的法律效力，经合同双方签署后立即生效。</w:t>
      </w:r>
    </w:p>
    <w:p>
      <w:pPr>
        <w:spacing w:after="0" w:line="161" w:lineRule="exact"/>
        <w:rPr>
          <w:color w:val="auto"/>
          <w:sz w:val="20"/>
          <w:szCs w:val="20"/>
        </w:rPr>
      </w:pPr>
    </w:p>
    <w:p>
      <w:pPr>
        <w:numPr>
          <w:ilvl w:val="0"/>
          <w:numId w:val="76"/>
        </w:numPr>
        <w:tabs>
          <w:tab w:val="left" w:pos="1119"/>
        </w:tabs>
        <w:spacing w:after="0" w:line="320"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本合同一式四份，由发包人和承包人各执一份，送交发包人和承包人的监督单位各一份。</w:t>
      </w:r>
    </w:p>
    <w:p>
      <w:pPr>
        <w:spacing w:after="0" w:line="200" w:lineRule="exact"/>
        <w:rPr>
          <w:color w:val="auto"/>
          <w:sz w:val="20"/>
          <w:szCs w:val="20"/>
        </w:rPr>
      </w:pPr>
    </w:p>
    <w:p>
      <w:pPr>
        <w:spacing w:after="0" w:line="324" w:lineRule="exact"/>
        <w:rPr>
          <w:color w:val="auto"/>
          <w:sz w:val="20"/>
          <w:szCs w:val="20"/>
        </w:rPr>
      </w:pPr>
    </w:p>
    <w:tbl>
      <w:tblPr>
        <w:tblStyle w:val="10"/>
        <w:tblW w:w="9040" w:type="dxa"/>
        <w:tblInd w:w="200" w:type="dxa"/>
        <w:tblLayout w:type="fixed"/>
        <w:tblCellMar>
          <w:top w:w="0" w:type="dxa"/>
          <w:left w:w="0" w:type="dxa"/>
          <w:bottom w:w="0" w:type="dxa"/>
          <w:right w:w="0" w:type="dxa"/>
        </w:tblCellMar>
      </w:tblPr>
      <w:tblGrid>
        <w:gridCol w:w="360"/>
        <w:gridCol w:w="600"/>
        <w:gridCol w:w="480"/>
        <w:gridCol w:w="240"/>
        <w:gridCol w:w="840"/>
        <w:gridCol w:w="240"/>
        <w:gridCol w:w="120"/>
        <w:gridCol w:w="220"/>
        <w:gridCol w:w="260"/>
        <w:gridCol w:w="300"/>
        <w:gridCol w:w="680"/>
        <w:gridCol w:w="460"/>
        <w:gridCol w:w="640"/>
        <w:gridCol w:w="440"/>
        <w:gridCol w:w="240"/>
        <w:gridCol w:w="840"/>
        <w:gridCol w:w="160"/>
        <w:gridCol w:w="200"/>
        <w:gridCol w:w="240"/>
        <w:gridCol w:w="240"/>
        <w:gridCol w:w="320"/>
        <w:gridCol w:w="40"/>
        <w:gridCol w:w="520"/>
        <w:gridCol w:w="360"/>
      </w:tblGrid>
      <w:tr>
        <w:tblPrEx>
          <w:tblCellMar>
            <w:top w:w="0" w:type="dxa"/>
            <w:left w:w="0" w:type="dxa"/>
            <w:bottom w:w="0" w:type="dxa"/>
            <w:right w:w="0" w:type="dxa"/>
          </w:tblCellMar>
        </w:tblPrEx>
        <w:trPr>
          <w:trHeight w:val="292" w:hRule="atLeast"/>
        </w:trPr>
        <w:tc>
          <w:tcPr>
            <w:tcW w:w="1680" w:type="dxa"/>
            <w:gridSpan w:val="4"/>
            <w:vAlign w:val="bottom"/>
          </w:tcPr>
          <w:p>
            <w:pPr>
              <w:spacing w:after="0" w:line="274" w:lineRule="exact"/>
              <w:rPr>
                <w:color w:val="auto"/>
                <w:sz w:val="20"/>
                <w:szCs w:val="20"/>
              </w:rPr>
            </w:pPr>
            <w:r>
              <w:rPr>
                <w:rFonts w:ascii="宋体" w:hAnsi="宋体" w:eastAsia="宋体" w:cs="宋体"/>
                <w:color w:val="auto"/>
                <w:sz w:val="24"/>
                <w:szCs w:val="24"/>
              </w:rPr>
              <w:t>发包人：</w:t>
            </w:r>
          </w:p>
        </w:tc>
        <w:tc>
          <w:tcPr>
            <w:tcW w:w="84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1580" w:type="dxa"/>
            <w:gridSpan w:val="5"/>
            <w:vAlign w:val="bottom"/>
          </w:tcPr>
          <w:p>
            <w:pPr>
              <w:spacing w:after="0" w:line="292" w:lineRule="exact"/>
              <w:rPr>
                <w:color w:val="auto"/>
                <w:sz w:val="20"/>
                <w:szCs w:val="20"/>
              </w:rPr>
            </w:pPr>
            <w:r>
              <w:rPr>
                <w:rFonts w:ascii="Times New Roman" w:hAnsi="Times New Roman" w:eastAsia="Times New Roman" w:cs="Times New Roman"/>
                <w:color w:val="auto"/>
                <w:sz w:val="24"/>
                <w:szCs w:val="24"/>
              </w:rPr>
              <w:t>(</w:t>
            </w:r>
            <w:r>
              <w:rPr>
                <w:rFonts w:ascii="宋体" w:hAnsi="宋体" w:eastAsia="宋体" w:cs="宋体"/>
                <w:color w:val="auto"/>
                <w:sz w:val="24"/>
                <w:szCs w:val="24"/>
              </w:rPr>
              <w:t>盖单位章</w:t>
            </w:r>
            <w:r>
              <w:rPr>
                <w:rFonts w:ascii="Times New Roman" w:hAnsi="Times New Roman" w:eastAsia="Times New Roman" w:cs="Times New Roman"/>
                <w:color w:val="auto"/>
                <w:sz w:val="24"/>
                <w:szCs w:val="24"/>
              </w:rPr>
              <w:t>)</w:t>
            </w:r>
          </w:p>
        </w:tc>
        <w:tc>
          <w:tcPr>
            <w:tcW w:w="1780" w:type="dxa"/>
            <w:gridSpan w:val="4"/>
            <w:vAlign w:val="bottom"/>
          </w:tcPr>
          <w:p>
            <w:pPr>
              <w:spacing w:after="0" w:line="274" w:lineRule="exact"/>
              <w:ind w:left="140"/>
              <w:rPr>
                <w:color w:val="auto"/>
                <w:sz w:val="20"/>
                <w:szCs w:val="20"/>
              </w:rPr>
            </w:pPr>
            <w:r>
              <w:rPr>
                <w:rFonts w:ascii="宋体" w:hAnsi="宋体" w:eastAsia="宋体" w:cs="宋体"/>
                <w:color w:val="auto"/>
                <w:sz w:val="24"/>
                <w:szCs w:val="24"/>
              </w:rPr>
              <w:t>承包人：</w:t>
            </w:r>
          </w:p>
        </w:tc>
        <w:tc>
          <w:tcPr>
            <w:tcW w:w="84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1560" w:type="dxa"/>
            <w:gridSpan w:val="6"/>
            <w:vAlign w:val="bottom"/>
          </w:tcPr>
          <w:p>
            <w:pPr>
              <w:spacing w:after="0" w:line="292" w:lineRule="exact"/>
              <w:rPr>
                <w:color w:val="auto"/>
                <w:sz w:val="20"/>
                <w:szCs w:val="20"/>
              </w:rPr>
            </w:pPr>
            <w:r>
              <w:rPr>
                <w:rFonts w:ascii="Times New Roman" w:hAnsi="Times New Roman" w:eastAsia="Times New Roman" w:cs="Times New Roman"/>
                <w:color w:val="auto"/>
                <w:sz w:val="24"/>
                <w:szCs w:val="24"/>
              </w:rPr>
              <w:t>(</w:t>
            </w:r>
            <w:r>
              <w:rPr>
                <w:rFonts w:ascii="宋体" w:hAnsi="宋体" w:eastAsia="宋体" w:cs="宋体"/>
                <w:color w:val="auto"/>
                <w:sz w:val="24"/>
                <w:szCs w:val="24"/>
              </w:rPr>
              <w:t>盖单位章</w:t>
            </w:r>
            <w:r>
              <w:rPr>
                <w:rFonts w:ascii="Times New Roman" w:hAnsi="Times New Roman" w:eastAsia="Times New Roman" w:cs="Times New Roman"/>
                <w:color w:val="auto"/>
                <w:sz w:val="24"/>
                <w:szCs w:val="24"/>
              </w:rPr>
              <w:t>)</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360" w:type="dxa"/>
            <w:vAlign w:val="bottom"/>
          </w:tcPr>
          <w:p>
            <w:pPr>
              <w:spacing w:after="0" w:line="20" w:lineRule="exact"/>
              <w:rPr>
                <w:color w:val="auto"/>
                <w:sz w:val="1"/>
                <w:szCs w:val="1"/>
              </w:rPr>
            </w:pPr>
          </w:p>
        </w:tc>
        <w:tc>
          <w:tcPr>
            <w:tcW w:w="600" w:type="dxa"/>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1080" w:type="dxa"/>
            <w:gridSpan w:val="2"/>
            <w:shd w:val="clear" w:color="auto" w:fill="000000"/>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260" w:type="dxa"/>
            <w:vAlign w:val="bottom"/>
          </w:tcPr>
          <w:p>
            <w:pPr>
              <w:spacing w:after="0" w:line="20" w:lineRule="exact"/>
              <w:rPr>
                <w:color w:val="auto"/>
                <w:sz w:val="1"/>
                <w:szCs w:val="1"/>
              </w:rPr>
            </w:pPr>
          </w:p>
        </w:tc>
        <w:tc>
          <w:tcPr>
            <w:tcW w:w="980" w:type="dxa"/>
            <w:gridSpan w:val="2"/>
            <w:vMerge w:val="restart"/>
            <w:vAlign w:val="bottom"/>
          </w:tcPr>
          <w:p>
            <w:pPr>
              <w:spacing w:after="0" w:line="292" w:lineRule="exact"/>
              <w:ind w:left="220"/>
              <w:rPr>
                <w:color w:val="auto"/>
                <w:sz w:val="20"/>
                <w:szCs w:val="20"/>
              </w:rPr>
            </w:pPr>
            <w:r>
              <w:rPr>
                <w:rFonts w:ascii="Times New Roman" w:hAnsi="Times New Roman" w:eastAsia="Times New Roman" w:cs="Times New Roman"/>
                <w:color w:val="auto"/>
                <w:sz w:val="24"/>
                <w:szCs w:val="24"/>
              </w:rPr>
              <w:t>(</w:t>
            </w:r>
            <w:r>
              <w:rPr>
                <w:rFonts w:ascii="宋体" w:hAnsi="宋体" w:eastAsia="宋体" w:cs="宋体"/>
                <w:color w:val="auto"/>
                <w:sz w:val="24"/>
                <w:szCs w:val="24"/>
              </w:rPr>
              <w:t>签字</w:t>
            </w:r>
            <w:r>
              <w:rPr>
                <w:rFonts w:ascii="Times New Roman" w:hAnsi="Times New Roman" w:eastAsia="Times New Roman" w:cs="Times New Roman"/>
                <w:color w:val="auto"/>
                <w:sz w:val="24"/>
                <w:szCs w:val="24"/>
              </w:rPr>
              <w:t>)</w:t>
            </w:r>
          </w:p>
        </w:tc>
        <w:tc>
          <w:tcPr>
            <w:tcW w:w="460" w:type="dxa"/>
            <w:vAlign w:val="bottom"/>
          </w:tcPr>
          <w:p>
            <w:pPr>
              <w:spacing w:after="0" w:line="20" w:lineRule="exact"/>
              <w:rPr>
                <w:color w:val="auto"/>
                <w:sz w:val="1"/>
                <w:szCs w:val="1"/>
              </w:rPr>
            </w:pPr>
          </w:p>
        </w:tc>
        <w:tc>
          <w:tcPr>
            <w:tcW w:w="640" w:type="dxa"/>
            <w:vAlign w:val="bottom"/>
          </w:tcPr>
          <w:p>
            <w:pPr>
              <w:spacing w:after="0" w:line="20" w:lineRule="exact"/>
              <w:rPr>
                <w:color w:val="auto"/>
                <w:sz w:val="1"/>
                <w:szCs w:val="1"/>
              </w:rPr>
            </w:pPr>
          </w:p>
        </w:tc>
        <w:tc>
          <w:tcPr>
            <w:tcW w:w="440" w:type="dxa"/>
            <w:shd w:val="clear" w:color="auto" w:fill="000000"/>
            <w:vAlign w:val="bottom"/>
          </w:tcPr>
          <w:p>
            <w:pPr>
              <w:spacing w:after="0" w:line="20" w:lineRule="exact"/>
              <w:rPr>
                <w:color w:val="auto"/>
                <w:sz w:val="1"/>
                <w:szCs w:val="1"/>
              </w:rPr>
            </w:pPr>
          </w:p>
        </w:tc>
        <w:tc>
          <w:tcPr>
            <w:tcW w:w="1080" w:type="dxa"/>
            <w:gridSpan w:val="2"/>
            <w:shd w:val="clear" w:color="auto" w:fill="000000"/>
            <w:vAlign w:val="bottom"/>
          </w:tcPr>
          <w:p>
            <w:pPr>
              <w:spacing w:after="0" w:line="20" w:lineRule="exact"/>
              <w:rPr>
                <w:color w:val="auto"/>
                <w:sz w:val="1"/>
                <w:szCs w:val="1"/>
              </w:rPr>
            </w:pPr>
          </w:p>
        </w:tc>
        <w:tc>
          <w:tcPr>
            <w:tcW w:w="160" w:type="dxa"/>
            <w:shd w:val="clear" w:color="auto" w:fill="000000"/>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880" w:type="dxa"/>
            <w:gridSpan w:val="3"/>
            <w:vMerge w:val="restart"/>
            <w:vAlign w:val="bottom"/>
          </w:tcPr>
          <w:p>
            <w:pPr>
              <w:spacing w:after="0" w:line="292" w:lineRule="exact"/>
              <w:ind w:left="120"/>
              <w:jc w:val="center"/>
              <w:rPr>
                <w:color w:val="auto"/>
                <w:sz w:val="20"/>
                <w:szCs w:val="20"/>
              </w:rPr>
            </w:pPr>
            <w:r>
              <w:rPr>
                <w:rFonts w:ascii="Times New Roman" w:hAnsi="Times New Roman" w:eastAsia="Times New Roman" w:cs="Times New Roman"/>
                <w:color w:val="auto"/>
                <w:w w:val="99"/>
                <w:sz w:val="24"/>
                <w:szCs w:val="24"/>
              </w:rPr>
              <w:t>(</w:t>
            </w:r>
            <w:r>
              <w:rPr>
                <w:rFonts w:ascii="宋体" w:hAnsi="宋体" w:eastAsia="宋体" w:cs="宋体"/>
                <w:color w:val="auto"/>
                <w:w w:val="99"/>
                <w:sz w:val="24"/>
                <w:szCs w:val="24"/>
              </w:rPr>
              <w:t>签字</w:t>
            </w:r>
            <w:r>
              <w:rPr>
                <w:rFonts w:ascii="Times New Roman" w:hAnsi="Times New Roman" w:eastAsia="Times New Roman" w:cs="Times New Roman"/>
                <w:color w:val="auto"/>
                <w:w w:val="99"/>
                <w:sz w:val="24"/>
                <w:szCs w:val="24"/>
              </w:rPr>
              <w:t>)</w:t>
            </w: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19" w:hRule="atLeast"/>
        </w:trPr>
        <w:tc>
          <w:tcPr>
            <w:tcW w:w="3360" w:type="dxa"/>
            <w:gridSpan w:val="9"/>
            <w:vAlign w:val="bottom"/>
          </w:tcPr>
          <w:p>
            <w:pPr>
              <w:spacing w:after="0" w:line="274" w:lineRule="exact"/>
              <w:rPr>
                <w:color w:val="auto"/>
                <w:sz w:val="20"/>
                <w:szCs w:val="20"/>
              </w:rPr>
            </w:pPr>
            <w:r>
              <w:rPr>
                <w:rFonts w:ascii="宋体" w:hAnsi="宋体" w:eastAsia="宋体" w:cs="宋体"/>
                <w:color w:val="auto"/>
                <w:sz w:val="24"/>
                <w:szCs w:val="24"/>
              </w:rPr>
              <w:t>法定代表人或其委托代理人：</w:t>
            </w:r>
          </w:p>
        </w:tc>
        <w:tc>
          <w:tcPr>
            <w:tcW w:w="980" w:type="dxa"/>
            <w:gridSpan w:val="2"/>
            <w:vMerge w:val="continue"/>
            <w:vAlign w:val="bottom"/>
          </w:tcPr>
          <w:p>
            <w:pPr>
              <w:spacing w:after="0"/>
              <w:rPr>
                <w:color w:val="auto"/>
                <w:sz w:val="24"/>
                <w:szCs w:val="24"/>
              </w:rPr>
            </w:pPr>
          </w:p>
        </w:tc>
        <w:tc>
          <w:tcPr>
            <w:tcW w:w="3460" w:type="dxa"/>
            <w:gridSpan w:val="9"/>
            <w:vAlign w:val="bottom"/>
          </w:tcPr>
          <w:p>
            <w:pPr>
              <w:spacing w:after="0" w:line="274" w:lineRule="exact"/>
              <w:ind w:left="120"/>
              <w:rPr>
                <w:color w:val="auto"/>
                <w:sz w:val="20"/>
                <w:szCs w:val="20"/>
              </w:rPr>
            </w:pPr>
            <w:r>
              <w:rPr>
                <w:rFonts w:ascii="宋体" w:hAnsi="宋体" w:eastAsia="宋体" w:cs="宋体"/>
                <w:color w:val="auto"/>
                <w:sz w:val="24"/>
                <w:szCs w:val="24"/>
              </w:rPr>
              <w:t>法定代表人或其委托代理人：</w:t>
            </w:r>
          </w:p>
        </w:tc>
        <w:tc>
          <w:tcPr>
            <w:tcW w:w="880" w:type="dxa"/>
            <w:gridSpan w:val="3"/>
            <w:vMerge w:val="continue"/>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360" w:type="dxa"/>
            <w:vAlign w:val="bottom"/>
          </w:tcPr>
          <w:p>
            <w:pPr>
              <w:spacing w:after="0" w:line="20" w:lineRule="exact"/>
              <w:rPr>
                <w:color w:val="auto"/>
                <w:sz w:val="1"/>
                <w:szCs w:val="1"/>
              </w:rPr>
            </w:pPr>
          </w:p>
        </w:tc>
        <w:tc>
          <w:tcPr>
            <w:tcW w:w="600" w:type="dxa"/>
            <w:vAlign w:val="bottom"/>
          </w:tcPr>
          <w:p>
            <w:pPr>
              <w:spacing w:after="0" w:line="20" w:lineRule="exact"/>
              <w:rPr>
                <w:color w:val="auto"/>
                <w:sz w:val="1"/>
                <w:szCs w:val="1"/>
              </w:rPr>
            </w:pPr>
          </w:p>
        </w:tc>
        <w:tc>
          <w:tcPr>
            <w:tcW w:w="48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360" w:type="dxa"/>
            <w:gridSpan w:val="2"/>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300" w:type="dxa"/>
            <w:shd w:val="clear" w:color="auto" w:fill="000000"/>
            <w:vAlign w:val="bottom"/>
          </w:tcPr>
          <w:p>
            <w:pPr>
              <w:spacing w:after="0" w:line="20" w:lineRule="exact"/>
              <w:rPr>
                <w:color w:val="auto"/>
                <w:sz w:val="1"/>
                <w:szCs w:val="1"/>
              </w:rPr>
            </w:pPr>
          </w:p>
        </w:tc>
        <w:tc>
          <w:tcPr>
            <w:tcW w:w="680" w:type="dxa"/>
            <w:vAlign w:val="bottom"/>
          </w:tcPr>
          <w:p>
            <w:pPr>
              <w:spacing w:after="0" w:line="20" w:lineRule="exact"/>
              <w:rPr>
                <w:color w:val="auto"/>
                <w:sz w:val="1"/>
                <w:szCs w:val="1"/>
              </w:rPr>
            </w:pPr>
          </w:p>
        </w:tc>
        <w:tc>
          <w:tcPr>
            <w:tcW w:w="460" w:type="dxa"/>
            <w:vAlign w:val="bottom"/>
          </w:tcPr>
          <w:p>
            <w:pPr>
              <w:spacing w:after="0" w:line="20" w:lineRule="exact"/>
              <w:rPr>
                <w:color w:val="auto"/>
                <w:sz w:val="1"/>
                <w:szCs w:val="1"/>
              </w:rPr>
            </w:pPr>
          </w:p>
        </w:tc>
        <w:tc>
          <w:tcPr>
            <w:tcW w:w="640" w:type="dxa"/>
            <w:vAlign w:val="bottom"/>
          </w:tcPr>
          <w:p>
            <w:pPr>
              <w:spacing w:after="0" w:line="20" w:lineRule="exact"/>
              <w:rPr>
                <w:color w:val="auto"/>
                <w:sz w:val="1"/>
                <w:szCs w:val="1"/>
              </w:rPr>
            </w:pPr>
          </w:p>
        </w:tc>
        <w:tc>
          <w:tcPr>
            <w:tcW w:w="44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360" w:type="dxa"/>
            <w:gridSpan w:val="2"/>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320" w:type="dxa"/>
            <w:shd w:val="clear" w:color="auto" w:fill="000000"/>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52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20" w:hRule="atLeast"/>
        </w:trPr>
        <w:tc>
          <w:tcPr>
            <w:tcW w:w="360" w:type="dxa"/>
            <w:vAlign w:val="bottom"/>
          </w:tcPr>
          <w:p>
            <w:pPr>
              <w:spacing w:after="0"/>
              <w:rPr>
                <w:color w:val="auto"/>
                <w:sz w:val="24"/>
                <w:szCs w:val="24"/>
              </w:rPr>
            </w:pPr>
          </w:p>
        </w:tc>
        <w:tc>
          <w:tcPr>
            <w:tcW w:w="60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240" w:type="dxa"/>
            <w:vAlign w:val="bottom"/>
          </w:tcPr>
          <w:p>
            <w:pPr>
              <w:spacing w:after="0" w:line="274" w:lineRule="exact"/>
              <w:rPr>
                <w:color w:val="auto"/>
                <w:sz w:val="20"/>
                <w:szCs w:val="20"/>
              </w:rPr>
            </w:pPr>
            <w:r>
              <w:rPr>
                <w:rFonts w:ascii="宋体" w:hAnsi="宋体" w:eastAsia="宋体" w:cs="宋体"/>
                <w:color w:val="auto"/>
                <w:w w:val="91"/>
                <w:sz w:val="24"/>
                <w:szCs w:val="24"/>
              </w:rPr>
              <w:t>年</w:t>
            </w:r>
          </w:p>
        </w:tc>
        <w:tc>
          <w:tcPr>
            <w:tcW w:w="840" w:type="dxa"/>
            <w:tcBorders>
              <w:bottom w:val="single" w:color="auto" w:sz="8" w:space="0"/>
            </w:tcBorders>
            <w:vAlign w:val="bottom"/>
          </w:tcPr>
          <w:p>
            <w:pPr>
              <w:spacing w:after="0"/>
              <w:rPr>
                <w:color w:val="auto"/>
                <w:sz w:val="24"/>
                <w:szCs w:val="24"/>
              </w:rPr>
            </w:pPr>
          </w:p>
        </w:tc>
        <w:tc>
          <w:tcPr>
            <w:tcW w:w="360" w:type="dxa"/>
            <w:gridSpan w:val="2"/>
            <w:vAlign w:val="bottom"/>
          </w:tcPr>
          <w:p>
            <w:pPr>
              <w:spacing w:after="0" w:line="274" w:lineRule="exact"/>
              <w:rPr>
                <w:color w:val="auto"/>
                <w:sz w:val="20"/>
                <w:szCs w:val="20"/>
              </w:rPr>
            </w:pPr>
            <w:r>
              <w:rPr>
                <w:rFonts w:ascii="宋体" w:hAnsi="宋体" w:eastAsia="宋体" w:cs="宋体"/>
                <w:color w:val="auto"/>
                <w:sz w:val="24"/>
                <w:szCs w:val="24"/>
              </w:rPr>
              <w:t>月</w:t>
            </w:r>
          </w:p>
        </w:tc>
        <w:tc>
          <w:tcPr>
            <w:tcW w:w="220" w:type="dxa"/>
            <w:tcBorders>
              <w:bottom w:val="single" w:color="auto" w:sz="8" w:space="0"/>
            </w:tcBorders>
            <w:vAlign w:val="bottom"/>
          </w:tcPr>
          <w:p>
            <w:pPr>
              <w:spacing w:after="0"/>
              <w:rPr>
                <w:color w:val="auto"/>
                <w:sz w:val="24"/>
                <w:szCs w:val="24"/>
              </w:rPr>
            </w:pPr>
          </w:p>
        </w:tc>
        <w:tc>
          <w:tcPr>
            <w:tcW w:w="260" w:type="dxa"/>
            <w:tcBorders>
              <w:bottom w:val="single" w:color="auto" w:sz="8" w:space="0"/>
            </w:tcBorders>
            <w:vAlign w:val="bottom"/>
          </w:tcPr>
          <w:p>
            <w:pPr>
              <w:spacing w:after="0"/>
              <w:rPr>
                <w:color w:val="auto"/>
                <w:sz w:val="24"/>
                <w:szCs w:val="24"/>
              </w:rPr>
            </w:pPr>
          </w:p>
        </w:tc>
        <w:tc>
          <w:tcPr>
            <w:tcW w:w="980" w:type="dxa"/>
            <w:gridSpan w:val="2"/>
            <w:vAlign w:val="bottom"/>
          </w:tcPr>
          <w:p>
            <w:pPr>
              <w:spacing w:after="0" w:line="274" w:lineRule="exact"/>
              <w:ind w:left="120"/>
              <w:rPr>
                <w:color w:val="auto"/>
                <w:sz w:val="20"/>
                <w:szCs w:val="20"/>
              </w:rPr>
            </w:pPr>
            <w:r>
              <w:rPr>
                <w:rFonts w:ascii="宋体" w:hAnsi="宋体" w:eastAsia="宋体" w:cs="宋体"/>
                <w:color w:val="auto"/>
                <w:sz w:val="24"/>
                <w:szCs w:val="24"/>
              </w:rPr>
              <w:t>日</w:t>
            </w:r>
          </w:p>
        </w:tc>
        <w:tc>
          <w:tcPr>
            <w:tcW w:w="460" w:type="dxa"/>
            <w:vAlign w:val="bottom"/>
          </w:tcPr>
          <w:p>
            <w:pPr>
              <w:spacing w:after="0"/>
              <w:rPr>
                <w:color w:val="auto"/>
                <w:sz w:val="24"/>
                <w:szCs w:val="24"/>
              </w:rPr>
            </w:pPr>
          </w:p>
        </w:tc>
        <w:tc>
          <w:tcPr>
            <w:tcW w:w="640" w:type="dxa"/>
            <w:tcBorders>
              <w:bottom w:val="single" w:color="auto" w:sz="8" w:space="0"/>
            </w:tcBorders>
            <w:vAlign w:val="bottom"/>
          </w:tcPr>
          <w:p>
            <w:pPr>
              <w:spacing w:after="0"/>
              <w:rPr>
                <w:color w:val="auto"/>
                <w:sz w:val="24"/>
                <w:szCs w:val="24"/>
              </w:rPr>
            </w:pPr>
          </w:p>
        </w:tc>
        <w:tc>
          <w:tcPr>
            <w:tcW w:w="440" w:type="dxa"/>
            <w:tcBorders>
              <w:bottom w:val="single" w:color="auto" w:sz="8" w:space="0"/>
            </w:tcBorders>
            <w:vAlign w:val="bottom"/>
          </w:tcPr>
          <w:p>
            <w:pPr>
              <w:spacing w:after="0"/>
              <w:rPr>
                <w:color w:val="auto"/>
                <w:sz w:val="24"/>
                <w:szCs w:val="24"/>
              </w:rPr>
            </w:pPr>
          </w:p>
        </w:tc>
        <w:tc>
          <w:tcPr>
            <w:tcW w:w="240" w:type="dxa"/>
            <w:vAlign w:val="bottom"/>
          </w:tcPr>
          <w:p>
            <w:pPr>
              <w:spacing w:after="0" w:line="274" w:lineRule="exact"/>
              <w:rPr>
                <w:color w:val="auto"/>
                <w:sz w:val="20"/>
                <w:szCs w:val="20"/>
              </w:rPr>
            </w:pPr>
            <w:r>
              <w:rPr>
                <w:rFonts w:ascii="宋体" w:hAnsi="宋体" w:eastAsia="宋体" w:cs="宋体"/>
                <w:color w:val="auto"/>
                <w:w w:val="91"/>
                <w:sz w:val="24"/>
                <w:szCs w:val="24"/>
              </w:rPr>
              <w:t>年</w:t>
            </w:r>
          </w:p>
        </w:tc>
        <w:tc>
          <w:tcPr>
            <w:tcW w:w="840" w:type="dxa"/>
            <w:tcBorders>
              <w:bottom w:val="single" w:color="auto" w:sz="8" w:space="0"/>
            </w:tcBorders>
            <w:vAlign w:val="bottom"/>
          </w:tcPr>
          <w:p>
            <w:pPr>
              <w:spacing w:after="0"/>
              <w:rPr>
                <w:color w:val="auto"/>
                <w:sz w:val="24"/>
                <w:szCs w:val="24"/>
              </w:rPr>
            </w:pPr>
          </w:p>
        </w:tc>
        <w:tc>
          <w:tcPr>
            <w:tcW w:w="360" w:type="dxa"/>
            <w:gridSpan w:val="2"/>
            <w:vAlign w:val="bottom"/>
          </w:tcPr>
          <w:p>
            <w:pPr>
              <w:spacing w:after="0" w:line="274" w:lineRule="exact"/>
              <w:rPr>
                <w:color w:val="auto"/>
                <w:sz w:val="20"/>
                <w:szCs w:val="20"/>
              </w:rPr>
            </w:pPr>
            <w:r>
              <w:rPr>
                <w:rFonts w:ascii="宋体" w:hAnsi="宋体" w:eastAsia="宋体" w:cs="宋体"/>
                <w:color w:val="auto"/>
                <w:sz w:val="24"/>
                <w:szCs w:val="24"/>
              </w:rPr>
              <w:t>月</w:t>
            </w:r>
          </w:p>
        </w:tc>
        <w:tc>
          <w:tcPr>
            <w:tcW w:w="480" w:type="dxa"/>
            <w:gridSpan w:val="2"/>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520" w:type="dxa"/>
            <w:vAlign w:val="bottom"/>
          </w:tcPr>
          <w:p>
            <w:pPr>
              <w:spacing w:after="0" w:line="274" w:lineRule="exact"/>
              <w:jc w:val="center"/>
              <w:rPr>
                <w:color w:val="auto"/>
                <w:sz w:val="20"/>
                <w:szCs w:val="20"/>
              </w:rPr>
            </w:pPr>
            <w:r>
              <w:rPr>
                <w:rFonts w:ascii="宋体" w:hAnsi="宋体" w:eastAsia="宋体" w:cs="宋体"/>
                <w:color w:val="auto"/>
                <w:w w:val="99"/>
                <w:sz w:val="24"/>
                <w:szCs w:val="24"/>
              </w:rPr>
              <w:t>日</w:t>
            </w:r>
          </w:p>
        </w:tc>
        <w:tc>
          <w:tcPr>
            <w:tcW w:w="360" w:type="dxa"/>
            <w:vAlign w:val="bottom"/>
          </w:tcPr>
          <w:p>
            <w:pPr>
              <w:spacing w:after="0"/>
              <w:rPr>
                <w:color w:val="auto"/>
                <w:sz w:val="1"/>
                <w:szCs w:val="1"/>
              </w:rPr>
            </w:pPr>
          </w:p>
        </w:tc>
      </w:tr>
    </w:tbl>
    <w:p>
      <w:pPr>
        <w:spacing w:after="0" w:line="200" w:lineRule="exact"/>
        <w:rPr>
          <w:color w:val="auto"/>
          <w:sz w:val="20"/>
          <w:szCs w:val="20"/>
        </w:rPr>
      </w:pPr>
    </w:p>
    <w:p>
      <w:pPr>
        <w:spacing w:after="0" w:line="380" w:lineRule="exact"/>
        <w:rPr>
          <w:color w:val="auto"/>
          <w:sz w:val="20"/>
          <w:szCs w:val="20"/>
        </w:rPr>
      </w:pPr>
    </w:p>
    <w:p>
      <w:pPr>
        <w:tabs>
          <w:tab w:val="left" w:pos="2980"/>
          <w:tab w:val="left" w:pos="4700"/>
          <w:tab w:val="left" w:pos="7500"/>
        </w:tabs>
        <w:spacing w:after="0" w:line="292" w:lineRule="exact"/>
        <w:ind w:left="200"/>
        <w:rPr>
          <w:color w:val="auto"/>
          <w:sz w:val="20"/>
          <w:szCs w:val="20"/>
        </w:rPr>
      </w:pPr>
      <w:r>
        <w:rPr>
          <w:rFonts w:ascii="宋体" w:hAnsi="宋体" w:eastAsia="宋体" w:cs="宋体"/>
          <w:color w:val="auto"/>
          <w:sz w:val="24"/>
          <w:szCs w:val="24"/>
        </w:rPr>
        <w:t>发包人监督单位：</w:t>
      </w:r>
      <w:r>
        <w:rPr>
          <w:rFonts w:ascii="Times New Roman" w:hAnsi="Times New Roman" w:eastAsia="Times New Roman" w:cs="Times New Roman"/>
          <w:color w:val="auto"/>
          <w:sz w:val="24"/>
          <w:szCs w:val="24"/>
          <w:u w:val="single" w:color="auto"/>
        </w:rPr>
        <w:t>(</w:t>
      </w:r>
      <w:r>
        <w:rPr>
          <w:rFonts w:ascii="宋体" w:hAnsi="宋体" w:eastAsia="宋体" w:cs="宋体"/>
          <w:color w:val="auto"/>
          <w:sz w:val="24"/>
          <w:szCs w:val="24"/>
          <w:u w:val="single" w:color="auto"/>
        </w:rPr>
        <w:t>全称</w:t>
      </w:r>
      <w:r>
        <w:rPr>
          <w:rFonts w:ascii="Times New Roman" w:hAnsi="Times New Roman" w:eastAsia="Times New Roman" w:cs="Times New Roman"/>
          <w:color w:val="auto"/>
          <w:sz w:val="24"/>
          <w:szCs w:val="24"/>
          <w:u w:val="single" w:color="auto"/>
        </w:rPr>
        <w:t>)</w:t>
      </w:r>
      <w:r>
        <w:rPr>
          <w:color w:val="auto"/>
          <w:sz w:val="20"/>
          <w:szCs w:val="20"/>
        </w:rPr>
        <w:tab/>
      </w:r>
      <w:r>
        <w:rPr>
          <w:rFonts w:ascii="Times New Roman" w:hAnsi="Times New Roman" w:eastAsia="Times New Roman" w:cs="Times New Roman"/>
          <w:color w:val="auto"/>
          <w:sz w:val="24"/>
          <w:szCs w:val="24"/>
          <w:u w:val="single" w:color="auto"/>
        </w:rPr>
        <w:t>(</w:t>
      </w:r>
      <w:r>
        <w:rPr>
          <w:rFonts w:ascii="宋体" w:hAnsi="宋体" w:eastAsia="宋体" w:cs="宋体"/>
          <w:color w:val="auto"/>
          <w:sz w:val="24"/>
          <w:szCs w:val="24"/>
          <w:u w:val="single" w:color="auto"/>
        </w:rPr>
        <w:t>盖单位章</w:t>
      </w:r>
      <w:r>
        <w:rPr>
          <w:rFonts w:ascii="Times New Roman" w:hAnsi="Times New Roman" w:eastAsia="Times New Roman" w:cs="Times New Roman"/>
          <w:color w:val="auto"/>
          <w:sz w:val="24"/>
          <w:szCs w:val="24"/>
          <w:u w:val="single" w:color="auto"/>
        </w:rPr>
        <w:t>)</w:t>
      </w:r>
      <w:r>
        <w:rPr>
          <w:color w:val="auto"/>
          <w:sz w:val="20"/>
          <w:szCs w:val="20"/>
        </w:rPr>
        <w:tab/>
      </w:r>
      <w:r>
        <w:rPr>
          <w:rFonts w:ascii="宋体" w:hAnsi="宋体" w:eastAsia="宋体" w:cs="宋体"/>
          <w:color w:val="auto"/>
          <w:sz w:val="24"/>
          <w:szCs w:val="24"/>
        </w:rPr>
        <w:t>承包人监督单位：</w:t>
      </w:r>
      <w:r>
        <w:rPr>
          <w:rFonts w:ascii="Times New Roman" w:hAnsi="Times New Roman" w:eastAsia="Times New Roman" w:cs="Times New Roman"/>
          <w:color w:val="auto"/>
          <w:sz w:val="24"/>
          <w:szCs w:val="24"/>
          <w:u w:val="single" w:color="auto"/>
        </w:rPr>
        <w:t>(</w:t>
      </w:r>
      <w:r>
        <w:rPr>
          <w:rFonts w:ascii="宋体" w:hAnsi="宋体" w:eastAsia="宋体" w:cs="宋体"/>
          <w:color w:val="auto"/>
          <w:sz w:val="24"/>
          <w:szCs w:val="24"/>
          <w:u w:val="single" w:color="auto"/>
        </w:rPr>
        <w:t>全称</w:t>
      </w:r>
      <w:r>
        <w:rPr>
          <w:rFonts w:ascii="Times New Roman" w:hAnsi="Times New Roman" w:eastAsia="Times New Roman" w:cs="Times New Roman"/>
          <w:color w:val="auto"/>
          <w:sz w:val="24"/>
          <w:szCs w:val="24"/>
          <w:u w:val="single" w:color="auto"/>
        </w:rPr>
        <w:t>)</w:t>
      </w:r>
      <w:r>
        <w:rPr>
          <w:color w:val="auto"/>
          <w:sz w:val="20"/>
          <w:szCs w:val="20"/>
        </w:rPr>
        <w:tab/>
      </w:r>
      <w:r>
        <w:rPr>
          <w:rFonts w:ascii="Times New Roman" w:hAnsi="Times New Roman" w:eastAsia="Times New Roman" w:cs="Times New Roman"/>
          <w:color w:val="auto"/>
          <w:sz w:val="23"/>
          <w:szCs w:val="23"/>
          <w:u w:val="single" w:color="auto"/>
        </w:rPr>
        <w:t>(</w:t>
      </w:r>
      <w:r>
        <w:rPr>
          <w:rFonts w:ascii="宋体" w:hAnsi="宋体" w:eastAsia="宋体" w:cs="宋体"/>
          <w:color w:val="auto"/>
          <w:sz w:val="23"/>
          <w:szCs w:val="23"/>
          <w:u w:val="single" w:color="auto"/>
        </w:rPr>
        <w:t>盖单位章</w:t>
      </w:r>
      <w:r>
        <w:rPr>
          <w:rFonts w:ascii="Times New Roman" w:hAnsi="Times New Roman" w:eastAsia="Times New Roman" w:cs="Times New Roman"/>
          <w:color w:val="auto"/>
          <w:sz w:val="23"/>
          <w:szCs w:val="23"/>
          <w:u w:val="single" w:color="auto"/>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4" w:lineRule="exact"/>
        <w:rPr>
          <w:color w:val="auto"/>
          <w:sz w:val="20"/>
          <w:szCs w:val="20"/>
        </w:rPr>
      </w:pPr>
    </w:p>
    <w:p>
      <w:pPr>
        <w:spacing w:after="0" w:line="319" w:lineRule="exact"/>
        <w:rPr>
          <w:color w:val="auto"/>
          <w:sz w:val="20"/>
          <w:szCs w:val="20"/>
        </w:rPr>
      </w:pPr>
      <w:bookmarkStart w:id="58" w:name="page206"/>
      <w:bookmarkEnd w:id="58"/>
    </w:p>
    <w:p>
      <w:pPr>
        <w:spacing w:after="0" w:line="274" w:lineRule="exact"/>
        <w:ind w:left="200"/>
        <w:rPr>
          <w:rFonts w:ascii="黑体" w:hAnsi="黑体" w:eastAsia="黑体" w:cs="黑体"/>
          <w:color w:val="auto"/>
          <w:sz w:val="24"/>
          <w:szCs w:val="24"/>
        </w:rPr>
      </w:pPr>
      <w:r>
        <w:rPr>
          <w:rFonts w:ascii="黑体" w:hAnsi="黑体" w:eastAsia="黑体" w:cs="黑体"/>
          <w:color w:val="auto"/>
          <w:sz w:val="24"/>
          <w:szCs w:val="24"/>
        </w:rPr>
        <w:br w:type="page"/>
      </w:r>
    </w:p>
    <w:p>
      <w:pPr>
        <w:spacing w:after="0" w:line="274" w:lineRule="exact"/>
        <w:ind w:left="200"/>
        <w:rPr>
          <w:color w:val="auto"/>
          <w:sz w:val="20"/>
          <w:szCs w:val="20"/>
        </w:rPr>
      </w:pPr>
      <w:r>
        <w:rPr>
          <w:rFonts w:ascii="黑体" w:hAnsi="黑体" w:eastAsia="黑体" w:cs="黑体"/>
          <w:color w:val="auto"/>
          <w:sz w:val="24"/>
          <w:szCs w:val="24"/>
        </w:rPr>
        <w:t>附件三：安全生产合同</w:t>
      </w:r>
    </w:p>
    <w:p>
      <w:pPr>
        <w:spacing w:after="0" w:line="66" w:lineRule="exact"/>
        <w:rPr>
          <w:color w:val="auto"/>
          <w:sz w:val="20"/>
          <w:szCs w:val="20"/>
        </w:rPr>
      </w:pPr>
    </w:p>
    <w:p>
      <w:pPr>
        <w:spacing w:after="0" w:line="320" w:lineRule="exact"/>
        <w:ind w:right="-55"/>
        <w:jc w:val="center"/>
        <w:rPr>
          <w:color w:val="auto"/>
          <w:sz w:val="20"/>
          <w:szCs w:val="20"/>
        </w:rPr>
      </w:pPr>
      <w:r>
        <w:rPr>
          <w:rFonts w:ascii="黑体" w:hAnsi="黑体" w:eastAsia="黑体" w:cs="黑体"/>
          <w:color w:val="auto"/>
          <w:sz w:val="28"/>
          <w:szCs w:val="28"/>
        </w:rPr>
        <w:t>安全生产合同</w:t>
      </w:r>
    </w:p>
    <w:p>
      <w:pPr>
        <w:spacing w:after="0" w:line="200" w:lineRule="exact"/>
        <w:rPr>
          <w:color w:val="auto"/>
          <w:sz w:val="20"/>
          <w:szCs w:val="20"/>
        </w:rPr>
      </w:pPr>
    </w:p>
    <w:p>
      <w:pPr>
        <w:spacing w:after="0" w:line="288" w:lineRule="exact"/>
        <w:rPr>
          <w:color w:val="auto"/>
          <w:sz w:val="20"/>
          <w:szCs w:val="20"/>
        </w:rPr>
      </w:pPr>
    </w:p>
    <w:p>
      <w:pPr>
        <w:spacing w:beforeLines="0" w:afterLines="0" w:line="360" w:lineRule="auto"/>
        <w:ind w:firstLine="720" w:firstLineChars="0"/>
        <w:jc w:val="left"/>
        <w:rPr>
          <w:rFonts w:hint="eastAsia" w:ascii="宋体" w:hAnsi="宋体" w:eastAsia="宋体"/>
          <w:sz w:val="24"/>
        </w:rPr>
      </w:pPr>
      <w:r>
        <w:rPr>
          <w:rFonts w:hint="eastAsia" w:ascii="宋体" w:hAnsi="宋体" w:eastAsia="宋体"/>
          <w:sz w:val="24"/>
        </w:rPr>
        <w:t>为在</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default" w:ascii="TimesNewRomanPSMT" w:hAnsi="TimesNewRomanPSMT" w:eastAsia="TimesNewRomanPSMT"/>
          <w:sz w:val="24"/>
        </w:rPr>
        <w:t>(</w:t>
      </w:r>
      <w:r>
        <w:rPr>
          <w:rFonts w:hint="eastAsia" w:ascii="宋体" w:hAnsi="宋体" w:eastAsia="宋体"/>
          <w:sz w:val="24"/>
        </w:rPr>
        <w:t>项目名称</w:t>
      </w:r>
      <w:r>
        <w:rPr>
          <w:rFonts w:hint="default" w:ascii="TimesNewRomanPSMT" w:hAnsi="TimesNewRomanPSMT" w:eastAsia="TimesNewRomanPSMT"/>
          <w:sz w:val="24"/>
        </w:rPr>
        <w:t>)</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default" w:ascii="TimesNewRomanPSMT" w:hAnsi="TimesNewRomanPSMT" w:eastAsia="TimesNewRomanPSMT"/>
          <w:sz w:val="24"/>
        </w:rPr>
        <w:t xml:space="preserve"> </w:t>
      </w:r>
      <w:r>
        <w:rPr>
          <w:rFonts w:hint="eastAsia" w:ascii="宋体" w:hAnsi="宋体" w:eastAsia="宋体"/>
          <w:sz w:val="24"/>
        </w:rPr>
        <w:t xml:space="preserve">标段施工合同的实施过程中创造安全、高效的施工环境，切实搞好本项目的安全管理工作，本项目发包人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default" w:ascii="TimesNewRomanPSMT" w:hAnsi="TimesNewRomanPSMT" w:eastAsia="TimesNewRomanPSMT"/>
          <w:sz w:val="24"/>
        </w:rPr>
        <w:t>(</w:t>
      </w:r>
      <w:r>
        <w:rPr>
          <w:rFonts w:hint="eastAsia" w:ascii="宋体" w:hAnsi="宋体" w:eastAsia="宋体"/>
          <w:sz w:val="24"/>
        </w:rPr>
        <w:t>发包人名称，以下简称</w:t>
      </w:r>
      <w:r>
        <w:rPr>
          <w:rFonts w:hint="default" w:ascii="TimesNewRomanPSMT" w:hAnsi="TimesNewRomanPSMT" w:eastAsia="TimesNewRomanPSMT"/>
          <w:sz w:val="24"/>
        </w:rPr>
        <w:t>“</w:t>
      </w:r>
      <w:r>
        <w:rPr>
          <w:rFonts w:hint="eastAsia" w:ascii="宋体" w:hAnsi="宋体" w:eastAsia="宋体"/>
          <w:sz w:val="24"/>
        </w:rPr>
        <w:t>发包人</w:t>
      </w:r>
      <w:r>
        <w:rPr>
          <w:rFonts w:hint="default" w:ascii="TimesNewRomanPSMT" w:hAnsi="TimesNewRomanPSMT" w:eastAsia="TimesNewRomanPSMT"/>
          <w:sz w:val="24"/>
        </w:rPr>
        <w:t>”)</w:t>
      </w:r>
      <w:r>
        <w:rPr>
          <w:rFonts w:hint="eastAsia" w:ascii="宋体" w:hAnsi="宋体" w:eastAsia="宋体"/>
          <w:sz w:val="24"/>
        </w:rPr>
        <w:t>与承包人</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eastAsia" w:ascii="宋体" w:hAnsi="宋体" w:eastAsia="宋体"/>
          <w:sz w:val="24"/>
        </w:rPr>
        <w:t xml:space="preserve"> </w:t>
      </w:r>
      <w:r>
        <w:rPr>
          <w:rFonts w:hint="default" w:ascii="TimesNewRomanPSMT" w:hAnsi="TimesNewRomanPSMT" w:eastAsia="TimesNewRomanPSMT"/>
          <w:sz w:val="24"/>
        </w:rPr>
        <w:t>(</w:t>
      </w:r>
      <w:r>
        <w:rPr>
          <w:rFonts w:hint="eastAsia" w:ascii="宋体" w:hAnsi="宋体" w:eastAsia="宋体"/>
          <w:sz w:val="24"/>
        </w:rPr>
        <w:t>承包人名称，以下简称</w:t>
      </w:r>
      <w:r>
        <w:rPr>
          <w:rFonts w:hint="default" w:ascii="TimesNewRomanPSMT" w:hAnsi="TimesNewRomanPSMT" w:eastAsia="TimesNewRomanPSMT"/>
          <w:sz w:val="24"/>
        </w:rPr>
        <w:t>“</w:t>
      </w:r>
      <w:r>
        <w:rPr>
          <w:rFonts w:hint="eastAsia" w:ascii="宋体" w:hAnsi="宋体" w:eastAsia="宋体"/>
          <w:sz w:val="24"/>
        </w:rPr>
        <w:t>承包人</w:t>
      </w:r>
      <w:r>
        <w:rPr>
          <w:rFonts w:hint="default" w:ascii="TimesNewRomanPSMT" w:hAnsi="TimesNewRomanPSMT" w:eastAsia="TimesNewRomanPSMT"/>
          <w:sz w:val="24"/>
        </w:rPr>
        <w:t>”)</w:t>
      </w:r>
      <w:r>
        <w:rPr>
          <w:rFonts w:hint="eastAsia" w:ascii="宋体" w:hAnsi="宋体" w:eastAsia="宋体"/>
          <w:sz w:val="24"/>
        </w:rPr>
        <w:t>特此签订安全生产合同：</w:t>
      </w:r>
    </w:p>
    <w:p>
      <w:pPr>
        <w:spacing w:beforeLines="0" w:afterLines="0" w:line="360" w:lineRule="auto"/>
        <w:ind w:firstLine="240" w:firstLineChars="100"/>
        <w:jc w:val="left"/>
        <w:rPr>
          <w:rFonts w:hint="eastAsia" w:ascii="宋体" w:hAnsi="宋体" w:eastAsia="宋体"/>
          <w:sz w:val="24"/>
        </w:rPr>
      </w:pPr>
      <w:r>
        <w:rPr>
          <w:rFonts w:hint="default" w:ascii="TimesNewRomanPSMT" w:hAnsi="TimesNewRomanPSMT" w:eastAsia="TimesNewRomanPSMT"/>
          <w:sz w:val="24"/>
        </w:rPr>
        <w:t>1.</w:t>
      </w:r>
      <w:r>
        <w:rPr>
          <w:rFonts w:hint="eastAsia" w:ascii="黑体" w:hAnsi="黑体" w:eastAsia="黑体"/>
          <w:sz w:val="24"/>
        </w:rPr>
        <w:t>发包人职责</w:t>
      </w:r>
    </w:p>
    <w:p>
      <w:pPr>
        <w:numPr>
          <w:ilvl w:val="0"/>
          <w:numId w:val="77"/>
        </w:numPr>
        <w:tabs>
          <w:tab w:val="left" w:pos="1218"/>
        </w:tabs>
        <w:spacing w:after="0" w:line="315"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严格遵守国家有关安全生产的法律法规，认真执行工程承包合同中的有关安全要求。</w:t>
      </w:r>
    </w:p>
    <w:p>
      <w:pPr>
        <w:spacing w:after="0" w:line="116" w:lineRule="exact"/>
        <w:rPr>
          <w:rFonts w:ascii="Times New Roman" w:hAnsi="Times New Roman" w:eastAsia="Times New Roman" w:cs="Times New Roman"/>
          <w:color w:val="auto"/>
          <w:sz w:val="24"/>
          <w:szCs w:val="24"/>
        </w:rPr>
      </w:pPr>
    </w:p>
    <w:p>
      <w:pPr>
        <w:numPr>
          <w:ilvl w:val="0"/>
          <w:numId w:val="77"/>
        </w:numPr>
        <w:tabs>
          <w:tab w:val="left" w:pos="1219"/>
        </w:tabs>
        <w:spacing w:after="0" w:line="332"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按照</w:t>
      </w:r>
      <w:r>
        <w:rPr>
          <w:rFonts w:ascii="Times New Roman" w:hAnsi="Times New Roman" w:eastAsia="Times New Roman" w:cs="Times New Roman"/>
          <w:color w:val="auto"/>
          <w:sz w:val="24"/>
          <w:szCs w:val="24"/>
        </w:rPr>
        <w:t>“</w:t>
      </w:r>
      <w:r>
        <w:rPr>
          <w:rFonts w:ascii="宋体" w:hAnsi="宋体" w:eastAsia="宋体" w:cs="宋体"/>
          <w:color w:val="auto"/>
          <w:sz w:val="24"/>
          <w:szCs w:val="24"/>
        </w:rPr>
        <w:t>安全第一、预防为主</w:t>
      </w:r>
      <w:r>
        <w:rPr>
          <w:rFonts w:ascii="Times New Roman" w:hAnsi="Times New Roman" w:eastAsia="Times New Roman" w:cs="Times New Roman"/>
          <w:color w:val="auto"/>
          <w:sz w:val="24"/>
          <w:szCs w:val="24"/>
        </w:rPr>
        <w:t>”</w:t>
      </w:r>
      <w:r>
        <w:rPr>
          <w:rFonts w:ascii="宋体" w:hAnsi="宋体" w:eastAsia="宋体" w:cs="宋体"/>
          <w:color w:val="auto"/>
          <w:sz w:val="24"/>
          <w:szCs w:val="24"/>
        </w:rPr>
        <w:t>和坚持</w:t>
      </w:r>
      <w:r>
        <w:rPr>
          <w:rFonts w:ascii="Times New Roman" w:hAnsi="Times New Roman" w:eastAsia="Times New Roman" w:cs="Times New Roman"/>
          <w:color w:val="auto"/>
          <w:sz w:val="24"/>
          <w:szCs w:val="24"/>
        </w:rPr>
        <w:t>“</w:t>
      </w:r>
      <w:r>
        <w:rPr>
          <w:rFonts w:ascii="宋体" w:hAnsi="宋体" w:eastAsia="宋体" w:cs="宋体"/>
          <w:color w:val="auto"/>
          <w:sz w:val="24"/>
          <w:szCs w:val="24"/>
        </w:rPr>
        <w:t>管生产必须管安全</w:t>
      </w:r>
      <w:r>
        <w:rPr>
          <w:rFonts w:ascii="Times New Roman" w:hAnsi="Times New Roman" w:eastAsia="Times New Roman" w:cs="Times New Roman"/>
          <w:color w:val="auto"/>
          <w:sz w:val="24"/>
          <w:szCs w:val="24"/>
        </w:rPr>
        <w:t>”</w:t>
      </w:r>
      <w:r>
        <w:rPr>
          <w:rFonts w:ascii="宋体" w:hAnsi="宋体" w:eastAsia="宋体" w:cs="宋体"/>
          <w:color w:val="auto"/>
          <w:sz w:val="24"/>
          <w:szCs w:val="24"/>
        </w:rPr>
        <w:t>的原则进行安全生产管理，做到生产与安全工作同时计划、布置、检查、总结和评比。</w:t>
      </w:r>
    </w:p>
    <w:p>
      <w:pPr>
        <w:spacing w:after="0" w:line="117" w:lineRule="exact"/>
        <w:rPr>
          <w:rFonts w:ascii="Times New Roman" w:hAnsi="Times New Roman" w:eastAsia="Times New Roman" w:cs="Times New Roman"/>
          <w:color w:val="auto"/>
          <w:sz w:val="24"/>
          <w:szCs w:val="24"/>
        </w:rPr>
      </w:pPr>
    </w:p>
    <w:p>
      <w:pPr>
        <w:numPr>
          <w:ilvl w:val="0"/>
          <w:numId w:val="77"/>
        </w:numPr>
        <w:tabs>
          <w:tab w:val="left" w:pos="1218"/>
        </w:tabs>
        <w:spacing w:after="0" w:line="332"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重要的安全设施必须坚持与主体工程</w:t>
      </w:r>
      <w:r>
        <w:rPr>
          <w:rFonts w:ascii="Times New Roman" w:hAnsi="Times New Roman" w:eastAsia="Times New Roman" w:cs="Times New Roman"/>
          <w:color w:val="auto"/>
          <w:sz w:val="24"/>
          <w:szCs w:val="24"/>
        </w:rPr>
        <w:t>“</w:t>
      </w:r>
      <w:r>
        <w:rPr>
          <w:rFonts w:ascii="宋体" w:hAnsi="宋体" w:eastAsia="宋体" w:cs="宋体"/>
          <w:color w:val="auto"/>
          <w:sz w:val="24"/>
          <w:szCs w:val="24"/>
        </w:rPr>
        <w:t>三同时</w:t>
      </w:r>
      <w:r>
        <w:rPr>
          <w:rFonts w:ascii="Times New Roman" w:hAnsi="Times New Roman" w:eastAsia="Times New Roman" w:cs="Times New Roman"/>
          <w:color w:val="auto"/>
          <w:sz w:val="24"/>
          <w:szCs w:val="24"/>
        </w:rPr>
        <w:t>”</w:t>
      </w:r>
      <w:r>
        <w:rPr>
          <w:rFonts w:ascii="宋体" w:hAnsi="宋体" w:eastAsia="宋体" w:cs="宋体"/>
          <w:color w:val="auto"/>
          <w:sz w:val="24"/>
          <w:szCs w:val="24"/>
        </w:rPr>
        <w:t>的原则，即：同时设计、审批，同时施工，同时验收，投入使用。</w:t>
      </w:r>
    </w:p>
    <w:p>
      <w:pPr>
        <w:spacing w:after="0" w:line="99" w:lineRule="exact"/>
        <w:rPr>
          <w:rFonts w:ascii="Times New Roman" w:hAnsi="Times New Roman" w:eastAsia="Times New Roman" w:cs="Times New Roman"/>
          <w:color w:val="auto"/>
          <w:sz w:val="24"/>
          <w:szCs w:val="24"/>
        </w:rPr>
      </w:pPr>
    </w:p>
    <w:p>
      <w:pPr>
        <w:numPr>
          <w:ilvl w:val="0"/>
          <w:numId w:val="77"/>
        </w:numPr>
        <w:tabs>
          <w:tab w:val="left" w:pos="1220"/>
        </w:tabs>
        <w:spacing w:after="0" w:line="292" w:lineRule="exact"/>
        <w:ind w:left="1220" w:hanging="399"/>
        <w:rPr>
          <w:rFonts w:ascii="Times New Roman" w:hAnsi="Times New Roman" w:eastAsia="Times New Roman" w:cs="Times New Roman"/>
          <w:color w:val="auto"/>
          <w:sz w:val="24"/>
          <w:szCs w:val="24"/>
        </w:rPr>
      </w:pPr>
      <w:r>
        <w:rPr>
          <w:rFonts w:ascii="宋体" w:hAnsi="宋体" w:eastAsia="宋体" w:cs="宋体"/>
          <w:color w:val="auto"/>
          <w:sz w:val="24"/>
          <w:szCs w:val="24"/>
        </w:rPr>
        <w:t>定期召开安全生产调度会，及时传达中央及地方有关安全生产的精神。</w:t>
      </w:r>
    </w:p>
    <w:p>
      <w:pPr>
        <w:spacing w:after="0" w:line="149" w:lineRule="exact"/>
        <w:rPr>
          <w:rFonts w:ascii="Times New Roman" w:hAnsi="Times New Roman" w:eastAsia="Times New Roman" w:cs="Times New Roman"/>
          <w:color w:val="auto"/>
          <w:sz w:val="24"/>
          <w:szCs w:val="24"/>
        </w:rPr>
      </w:pPr>
    </w:p>
    <w:p>
      <w:pPr>
        <w:numPr>
          <w:ilvl w:val="0"/>
          <w:numId w:val="77"/>
        </w:numPr>
        <w:tabs>
          <w:tab w:val="left" w:pos="1218"/>
        </w:tabs>
        <w:spacing w:after="0" w:line="315"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组织对承包人施工现场进行安全生产检查，监督承包人及时处理发现的各种安全隐患。</w:t>
      </w:r>
    </w:p>
    <w:p>
      <w:pPr>
        <w:spacing w:after="0" w:line="116" w:lineRule="exact"/>
        <w:rPr>
          <w:rFonts w:ascii="Times New Roman" w:hAnsi="Times New Roman" w:eastAsia="Times New Roman" w:cs="Times New Roman"/>
          <w:color w:val="auto"/>
          <w:sz w:val="24"/>
          <w:szCs w:val="24"/>
        </w:rPr>
      </w:pPr>
    </w:p>
    <w:p>
      <w:pPr>
        <w:spacing w:after="0" w:line="292" w:lineRule="exact"/>
        <w:ind w:firstLine="240" w:firstLineChars="1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w:t>
      </w:r>
      <w:r>
        <w:rPr>
          <w:rFonts w:ascii="黑体" w:hAnsi="黑体" w:eastAsia="黑体" w:cs="黑体"/>
          <w:color w:val="auto"/>
          <w:sz w:val="24"/>
          <w:szCs w:val="24"/>
        </w:rPr>
        <w:t>承包人职责</w:t>
      </w:r>
    </w:p>
    <w:p>
      <w:pPr>
        <w:spacing w:after="0" w:line="131" w:lineRule="exact"/>
        <w:rPr>
          <w:rFonts w:ascii="Times New Roman" w:hAnsi="Times New Roman" w:eastAsia="Times New Roman" w:cs="Times New Roman"/>
          <w:color w:val="auto"/>
          <w:sz w:val="24"/>
          <w:szCs w:val="24"/>
        </w:rPr>
      </w:pPr>
    </w:p>
    <w:p>
      <w:pPr>
        <w:numPr>
          <w:ilvl w:val="0"/>
          <w:numId w:val="78"/>
        </w:numPr>
        <w:tabs>
          <w:tab w:val="left" w:pos="1218"/>
        </w:tabs>
        <w:spacing w:after="0" w:line="353" w:lineRule="exact"/>
        <w:ind w:left="200" w:right="124" w:firstLine="621"/>
        <w:jc w:val="both"/>
        <w:rPr>
          <w:rFonts w:ascii="Times New Roman" w:hAnsi="Times New Roman" w:eastAsia="Times New Roman" w:cs="Times New Roman"/>
          <w:color w:val="auto"/>
          <w:sz w:val="24"/>
          <w:szCs w:val="24"/>
        </w:rPr>
      </w:pPr>
      <w:r>
        <w:rPr>
          <w:rFonts w:ascii="宋体" w:hAnsi="宋体" w:eastAsia="宋体" w:cs="宋体"/>
          <w:color w:val="auto"/>
          <w:sz w:val="24"/>
          <w:szCs w:val="24"/>
        </w:rPr>
        <w:t>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after="0" w:line="116" w:lineRule="exact"/>
        <w:rPr>
          <w:rFonts w:ascii="Times New Roman" w:hAnsi="Times New Roman" w:eastAsia="Times New Roman" w:cs="Times New Roman"/>
          <w:color w:val="auto"/>
          <w:sz w:val="24"/>
          <w:szCs w:val="24"/>
        </w:rPr>
      </w:pPr>
    </w:p>
    <w:p>
      <w:pPr>
        <w:numPr>
          <w:ilvl w:val="0"/>
          <w:numId w:val="78"/>
        </w:numPr>
        <w:tabs>
          <w:tab w:val="left" w:pos="1219"/>
        </w:tabs>
        <w:spacing w:after="0" w:line="367" w:lineRule="exact"/>
        <w:ind w:left="200" w:right="144" w:firstLine="621"/>
        <w:jc w:val="both"/>
        <w:rPr>
          <w:rFonts w:ascii="Times New Roman" w:hAnsi="Times New Roman" w:eastAsia="Times New Roman" w:cs="Times New Roman"/>
          <w:color w:val="auto"/>
          <w:sz w:val="24"/>
          <w:szCs w:val="24"/>
        </w:rPr>
      </w:pPr>
      <w:r>
        <w:rPr>
          <w:rFonts w:ascii="宋体" w:hAnsi="宋体" w:eastAsia="宋体" w:cs="宋体"/>
          <w:color w:val="auto"/>
          <w:sz w:val="24"/>
          <w:szCs w:val="24"/>
        </w:rPr>
        <w:t>坚持</w:t>
      </w:r>
      <w:r>
        <w:rPr>
          <w:rFonts w:ascii="Times New Roman" w:hAnsi="Times New Roman" w:eastAsia="Times New Roman" w:cs="Times New Roman"/>
          <w:color w:val="auto"/>
          <w:sz w:val="24"/>
          <w:szCs w:val="24"/>
        </w:rPr>
        <w:t>“</w:t>
      </w:r>
      <w:r>
        <w:rPr>
          <w:rFonts w:ascii="宋体" w:hAnsi="宋体" w:eastAsia="宋体" w:cs="宋体"/>
          <w:color w:val="auto"/>
          <w:sz w:val="24"/>
          <w:szCs w:val="24"/>
        </w:rPr>
        <w:t>安全第一、预防为主</w:t>
      </w:r>
      <w:r>
        <w:rPr>
          <w:rFonts w:ascii="Times New Roman" w:hAnsi="Times New Roman" w:eastAsia="Times New Roman" w:cs="Times New Roman"/>
          <w:color w:val="auto"/>
          <w:sz w:val="24"/>
          <w:szCs w:val="24"/>
        </w:rPr>
        <w:t>”</w:t>
      </w:r>
      <w:r>
        <w:rPr>
          <w:rFonts w:ascii="宋体" w:hAnsi="宋体" w:eastAsia="宋体" w:cs="宋体"/>
          <w:color w:val="auto"/>
          <w:sz w:val="24"/>
          <w:szCs w:val="24"/>
        </w:rPr>
        <w:t>和</w:t>
      </w:r>
      <w:r>
        <w:rPr>
          <w:rFonts w:ascii="Times New Roman" w:hAnsi="Times New Roman" w:eastAsia="Times New Roman" w:cs="Times New Roman"/>
          <w:color w:val="auto"/>
          <w:sz w:val="24"/>
          <w:szCs w:val="24"/>
        </w:rPr>
        <w:t>“</w:t>
      </w:r>
      <w:r>
        <w:rPr>
          <w:rFonts w:ascii="宋体" w:hAnsi="宋体" w:eastAsia="宋体" w:cs="宋体"/>
          <w:color w:val="auto"/>
          <w:sz w:val="24"/>
          <w:szCs w:val="24"/>
        </w:rPr>
        <w:t>管生产必须管安全</w:t>
      </w:r>
      <w:r>
        <w:rPr>
          <w:rFonts w:ascii="Times New Roman" w:hAnsi="Times New Roman" w:eastAsia="Times New Roman" w:cs="Times New Roman"/>
          <w:color w:val="auto"/>
          <w:sz w:val="24"/>
          <w:szCs w:val="24"/>
        </w:rPr>
        <w:t>”</w:t>
      </w:r>
      <w:r>
        <w:rPr>
          <w:rFonts w:ascii="宋体" w:hAnsi="宋体" w:eastAsia="宋体" w:cs="宋体"/>
          <w:color w:val="auto"/>
          <w:sz w:val="24"/>
          <w:szCs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after="0" w:line="118" w:lineRule="exact"/>
        <w:rPr>
          <w:rFonts w:ascii="Times New Roman" w:hAnsi="Times New Roman" w:eastAsia="Times New Roman" w:cs="Times New Roman"/>
          <w:color w:val="auto"/>
          <w:sz w:val="24"/>
          <w:szCs w:val="24"/>
        </w:rPr>
      </w:pPr>
    </w:p>
    <w:p>
      <w:pPr>
        <w:numPr>
          <w:ilvl w:val="0"/>
          <w:numId w:val="78"/>
        </w:numPr>
        <w:tabs>
          <w:tab w:val="left" w:pos="1218"/>
        </w:tabs>
        <w:spacing w:after="0" w:line="374" w:lineRule="exact"/>
        <w:ind w:left="200" w:right="2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建立健全安全生产责任制。从派往项目实施的项目经理到生产工人</w:t>
      </w:r>
      <w:r>
        <w:rPr>
          <w:rFonts w:ascii="Times New Roman" w:hAnsi="Times New Roman" w:eastAsia="Times New Roman" w:cs="Times New Roman"/>
          <w:color w:val="auto"/>
          <w:sz w:val="24"/>
          <w:szCs w:val="24"/>
        </w:rPr>
        <w:t>(</w:t>
      </w:r>
      <w:r>
        <w:rPr>
          <w:rFonts w:ascii="宋体" w:hAnsi="宋体" w:eastAsia="宋体" w:cs="宋体"/>
          <w:color w:val="auto"/>
          <w:sz w:val="24"/>
          <w:szCs w:val="24"/>
        </w:rPr>
        <w:t>包括临时雇请的民工</w:t>
      </w:r>
      <w:r>
        <w:rPr>
          <w:rFonts w:ascii="Times New Roman" w:hAnsi="Times New Roman" w:eastAsia="Times New Roman" w:cs="Times New Roman"/>
          <w:color w:val="auto"/>
          <w:sz w:val="24"/>
          <w:szCs w:val="24"/>
        </w:rPr>
        <w:t>)</w:t>
      </w:r>
      <w:r>
        <w:rPr>
          <w:rFonts w:ascii="宋体" w:hAnsi="宋体" w:eastAsia="宋体" w:cs="宋体"/>
          <w:color w:val="auto"/>
          <w:sz w:val="24"/>
          <w:szCs w:val="24"/>
        </w:rPr>
        <w:t>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after="0" w:line="100" w:lineRule="exact"/>
        <w:rPr>
          <w:rFonts w:ascii="Times New Roman" w:hAnsi="Times New Roman" w:eastAsia="Times New Roman" w:cs="Times New Roman"/>
          <w:color w:val="auto"/>
          <w:sz w:val="24"/>
          <w:szCs w:val="24"/>
        </w:rPr>
      </w:pPr>
    </w:p>
    <w:p>
      <w:pPr>
        <w:numPr>
          <w:ilvl w:val="0"/>
          <w:numId w:val="78"/>
        </w:numPr>
        <w:tabs>
          <w:tab w:val="left" w:pos="1220"/>
        </w:tabs>
        <w:spacing w:after="0" w:line="292" w:lineRule="exact"/>
        <w:ind w:left="1220" w:hanging="399"/>
        <w:rPr>
          <w:rFonts w:ascii="Times New Roman" w:hAnsi="Times New Roman" w:eastAsia="Times New Roman" w:cs="Times New Roman"/>
          <w:color w:val="auto"/>
          <w:sz w:val="24"/>
          <w:szCs w:val="24"/>
        </w:rPr>
      </w:pPr>
      <w:r>
        <w:rPr>
          <w:rFonts w:ascii="宋体" w:hAnsi="宋体" w:eastAsia="宋体" w:cs="宋体"/>
          <w:color w:val="auto"/>
          <w:sz w:val="24"/>
          <w:szCs w:val="24"/>
        </w:rPr>
        <w:t>承包人在任何时候都应采取各种合理的预防措施，防止其员工发生任何违</w:t>
      </w:r>
    </w:p>
    <w:p>
      <w:pPr>
        <w:spacing w:after="0" w:line="274" w:lineRule="exact"/>
        <w:ind w:firstLine="240" w:firstLineChars="100"/>
        <w:rPr>
          <w:color w:val="auto"/>
          <w:sz w:val="20"/>
          <w:szCs w:val="20"/>
        </w:rPr>
      </w:pPr>
      <w:r>
        <w:rPr>
          <w:rFonts w:ascii="宋体" w:hAnsi="宋体" w:eastAsia="宋体" w:cs="宋体"/>
          <w:color w:val="auto"/>
          <w:sz w:val="24"/>
          <w:szCs w:val="24"/>
        </w:rPr>
        <w:t>法、违禁、暴力或妨碍治安的行为。</w:t>
      </w:r>
    </w:p>
    <w:p>
      <w:pPr>
        <w:spacing w:after="0" w:line="150" w:lineRule="exact"/>
        <w:rPr>
          <w:color w:val="auto"/>
          <w:sz w:val="20"/>
          <w:szCs w:val="20"/>
        </w:rPr>
      </w:pPr>
    </w:p>
    <w:p>
      <w:pPr>
        <w:numPr>
          <w:ilvl w:val="0"/>
          <w:numId w:val="79"/>
        </w:numPr>
        <w:tabs>
          <w:tab w:val="left" w:pos="1218"/>
        </w:tabs>
        <w:spacing w:after="0" w:line="365" w:lineRule="exact"/>
        <w:ind w:left="200" w:right="144" w:firstLine="621"/>
        <w:jc w:val="both"/>
        <w:rPr>
          <w:rFonts w:ascii="Times New Roman" w:hAnsi="Times New Roman" w:eastAsia="Times New Roman" w:cs="Times New Roman"/>
          <w:color w:val="auto"/>
          <w:sz w:val="24"/>
          <w:szCs w:val="24"/>
        </w:rPr>
      </w:pPr>
      <w:r>
        <w:rPr>
          <w:rFonts w:ascii="宋体" w:hAnsi="宋体" w:eastAsia="宋体" w:cs="宋体"/>
          <w:color w:val="auto"/>
          <w:sz w:val="24"/>
          <w:szCs w:val="24"/>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after="0" w:line="153" w:lineRule="exact"/>
        <w:rPr>
          <w:rFonts w:ascii="Times New Roman" w:hAnsi="Times New Roman" w:eastAsia="Times New Roman" w:cs="Times New Roman"/>
          <w:color w:val="auto"/>
          <w:sz w:val="24"/>
          <w:szCs w:val="24"/>
        </w:rPr>
      </w:pPr>
    </w:p>
    <w:p>
      <w:pPr>
        <w:numPr>
          <w:ilvl w:val="0"/>
          <w:numId w:val="79"/>
        </w:numPr>
        <w:tabs>
          <w:tab w:val="left" w:pos="1225"/>
        </w:tabs>
        <w:spacing w:after="0" w:line="340" w:lineRule="exact"/>
        <w:ind w:left="200" w:right="144" w:firstLine="621"/>
        <w:jc w:val="both"/>
        <w:rPr>
          <w:rFonts w:ascii="Times New Roman" w:hAnsi="Times New Roman" w:eastAsia="Times New Roman" w:cs="Times New Roman"/>
          <w:color w:val="auto"/>
          <w:sz w:val="24"/>
          <w:szCs w:val="24"/>
        </w:rPr>
      </w:pPr>
      <w:r>
        <w:rPr>
          <w:rFonts w:ascii="宋体" w:hAnsi="宋体" w:eastAsia="宋体" w:cs="宋体"/>
          <w:color w:val="auto"/>
          <w:sz w:val="24"/>
          <w:szCs w:val="24"/>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after="0" w:line="152" w:lineRule="exact"/>
        <w:rPr>
          <w:rFonts w:ascii="Times New Roman" w:hAnsi="Times New Roman" w:eastAsia="Times New Roman" w:cs="Times New Roman"/>
          <w:color w:val="auto"/>
          <w:sz w:val="24"/>
          <w:szCs w:val="24"/>
        </w:rPr>
      </w:pPr>
    </w:p>
    <w:p>
      <w:pPr>
        <w:numPr>
          <w:ilvl w:val="0"/>
          <w:numId w:val="79"/>
        </w:numPr>
        <w:tabs>
          <w:tab w:val="left" w:pos="1218"/>
        </w:tabs>
        <w:spacing w:after="0" w:line="315"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操作人员上岗，必须按规定穿戴防护用品。施工负责人和安全检查员应随时检查劳动防护用品的穿戴情况，不按规定穿戴防护用品的人员不得上岗。</w:t>
      </w:r>
    </w:p>
    <w:p>
      <w:pPr>
        <w:spacing w:after="0" w:line="150" w:lineRule="exact"/>
        <w:rPr>
          <w:rFonts w:ascii="Times New Roman" w:hAnsi="Times New Roman" w:eastAsia="Times New Roman" w:cs="Times New Roman"/>
          <w:color w:val="auto"/>
          <w:sz w:val="24"/>
          <w:szCs w:val="24"/>
        </w:rPr>
      </w:pPr>
    </w:p>
    <w:p>
      <w:pPr>
        <w:numPr>
          <w:ilvl w:val="0"/>
          <w:numId w:val="79"/>
        </w:numPr>
        <w:tabs>
          <w:tab w:val="left" w:pos="1218"/>
        </w:tabs>
        <w:spacing w:after="0" w:line="315"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所有施工机具设备和高空作业的设备均应定期检查，并有安全员的签字记录，保证其经常处于完好状态；不合格的机具、设备和劳动保护用品严禁使用。</w:t>
      </w:r>
    </w:p>
    <w:p>
      <w:pPr>
        <w:spacing w:after="0" w:line="150" w:lineRule="exact"/>
        <w:rPr>
          <w:rFonts w:ascii="Times New Roman" w:hAnsi="Times New Roman" w:eastAsia="Times New Roman" w:cs="Times New Roman"/>
          <w:color w:val="auto"/>
          <w:sz w:val="24"/>
          <w:szCs w:val="24"/>
        </w:rPr>
      </w:pPr>
    </w:p>
    <w:p>
      <w:pPr>
        <w:numPr>
          <w:ilvl w:val="0"/>
          <w:numId w:val="79"/>
        </w:numPr>
        <w:tabs>
          <w:tab w:val="left" w:pos="1218"/>
        </w:tabs>
        <w:spacing w:after="0" w:line="315"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施工中采用新技术、新工艺、新设备、新材料时，必须制定相应的安全技术措施，施工现场必须具有相关的安全标志牌。</w:t>
      </w:r>
    </w:p>
    <w:p>
      <w:pPr>
        <w:spacing w:after="0" w:line="150" w:lineRule="exact"/>
        <w:rPr>
          <w:rFonts w:ascii="Times New Roman" w:hAnsi="Times New Roman" w:eastAsia="Times New Roman" w:cs="Times New Roman"/>
          <w:color w:val="auto"/>
          <w:sz w:val="24"/>
          <w:szCs w:val="24"/>
        </w:rPr>
      </w:pPr>
    </w:p>
    <w:p>
      <w:pPr>
        <w:numPr>
          <w:ilvl w:val="0"/>
          <w:numId w:val="79"/>
        </w:numPr>
        <w:tabs>
          <w:tab w:val="left" w:pos="1340"/>
        </w:tabs>
        <w:spacing w:after="0" w:line="353" w:lineRule="exact"/>
        <w:ind w:left="200" w:right="144" w:firstLine="621"/>
        <w:jc w:val="both"/>
        <w:rPr>
          <w:rFonts w:ascii="Times New Roman" w:hAnsi="Times New Roman" w:eastAsia="Times New Roman" w:cs="Times New Roman"/>
          <w:color w:val="auto"/>
          <w:sz w:val="24"/>
          <w:szCs w:val="24"/>
        </w:rPr>
      </w:pPr>
      <w:r>
        <w:rPr>
          <w:rFonts w:ascii="宋体" w:hAnsi="宋体" w:eastAsia="宋体" w:cs="宋体"/>
          <w:color w:val="auto"/>
          <w:sz w:val="24"/>
          <w:szCs w:val="24"/>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ascii="Times New Roman" w:hAnsi="Times New Roman" w:eastAsia="Times New Roman" w:cs="Times New Roman"/>
          <w:color w:val="auto"/>
          <w:sz w:val="24"/>
          <w:szCs w:val="24"/>
        </w:rPr>
        <w:t>“</w:t>
      </w:r>
      <w:r>
        <w:rPr>
          <w:rFonts w:ascii="宋体" w:hAnsi="宋体" w:eastAsia="宋体" w:cs="宋体"/>
          <w:color w:val="auto"/>
          <w:sz w:val="24"/>
          <w:szCs w:val="24"/>
        </w:rPr>
        <w:t>四不放过</w:t>
      </w:r>
      <w:r>
        <w:rPr>
          <w:rFonts w:ascii="Times New Roman" w:hAnsi="Times New Roman" w:eastAsia="Times New Roman" w:cs="Times New Roman"/>
          <w:color w:val="auto"/>
          <w:sz w:val="24"/>
          <w:szCs w:val="24"/>
        </w:rPr>
        <w:t>”</w:t>
      </w:r>
      <w:r>
        <w:rPr>
          <w:rFonts w:ascii="宋体" w:hAnsi="宋体" w:eastAsia="宋体" w:cs="宋体"/>
          <w:color w:val="auto"/>
          <w:sz w:val="24"/>
          <w:szCs w:val="24"/>
        </w:rPr>
        <w:t>的原则，严肃处理相关责任人。</w:t>
      </w:r>
    </w:p>
    <w:p>
      <w:pPr>
        <w:spacing w:after="0" w:line="100" w:lineRule="exact"/>
        <w:rPr>
          <w:rFonts w:ascii="Times New Roman" w:hAnsi="Times New Roman" w:eastAsia="Times New Roman" w:cs="Times New Roman"/>
          <w:color w:val="auto"/>
          <w:sz w:val="24"/>
          <w:szCs w:val="24"/>
        </w:rPr>
      </w:pPr>
    </w:p>
    <w:p>
      <w:pPr>
        <w:numPr>
          <w:ilvl w:val="0"/>
          <w:numId w:val="79"/>
        </w:numPr>
        <w:tabs>
          <w:tab w:val="left" w:pos="1340"/>
        </w:tabs>
        <w:spacing w:after="0" w:line="292" w:lineRule="exact"/>
        <w:ind w:left="1340" w:hanging="519"/>
        <w:rPr>
          <w:rFonts w:ascii="Times New Roman" w:hAnsi="Times New Roman" w:eastAsia="Times New Roman" w:cs="Times New Roman"/>
          <w:color w:val="auto"/>
          <w:sz w:val="24"/>
          <w:szCs w:val="24"/>
        </w:rPr>
      </w:pPr>
      <w:r>
        <w:rPr>
          <w:rFonts w:ascii="宋体" w:hAnsi="宋体" w:eastAsia="宋体" w:cs="宋体"/>
          <w:color w:val="auto"/>
          <w:sz w:val="24"/>
          <w:szCs w:val="24"/>
        </w:rPr>
        <w:t>安全生产费用按照《公路水运工程安全生产监督管理办法》的相关规定</w:t>
      </w:r>
    </w:p>
    <w:p>
      <w:pPr>
        <w:spacing w:after="0" w:line="116" w:lineRule="exact"/>
        <w:rPr>
          <w:color w:val="auto"/>
          <w:sz w:val="20"/>
          <w:szCs w:val="20"/>
        </w:rPr>
      </w:pPr>
    </w:p>
    <w:p>
      <w:pPr>
        <w:spacing w:after="0" w:line="274" w:lineRule="exact"/>
        <w:ind w:left="200"/>
        <w:rPr>
          <w:color w:val="auto"/>
          <w:sz w:val="20"/>
          <w:szCs w:val="20"/>
        </w:rPr>
      </w:pPr>
      <w:r>
        <w:rPr>
          <w:rFonts w:ascii="宋体" w:hAnsi="宋体" w:eastAsia="宋体" w:cs="宋体"/>
          <w:color w:val="auto"/>
          <w:sz w:val="24"/>
          <w:szCs w:val="24"/>
        </w:rPr>
        <w:t>使用和管理。</w:t>
      </w:r>
    </w:p>
    <w:p>
      <w:pPr>
        <w:spacing w:after="0" w:line="116" w:lineRule="exact"/>
        <w:rPr>
          <w:color w:val="auto"/>
          <w:sz w:val="20"/>
          <w:szCs w:val="20"/>
        </w:rPr>
      </w:pPr>
    </w:p>
    <w:p>
      <w:pPr>
        <w:spacing w:after="0" w:line="292" w:lineRule="exact"/>
        <w:ind w:left="820"/>
        <w:rPr>
          <w:color w:val="auto"/>
          <w:sz w:val="20"/>
          <w:szCs w:val="20"/>
        </w:rPr>
      </w:pPr>
      <w:r>
        <w:rPr>
          <w:rFonts w:ascii="Times New Roman" w:hAnsi="Times New Roman" w:eastAsia="Times New Roman" w:cs="Times New Roman"/>
          <w:color w:val="auto"/>
          <w:sz w:val="24"/>
          <w:szCs w:val="24"/>
        </w:rPr>
        <w:t>3.</w:t>
      </w:r>
      <w:r>
        <w:rPr>
          <w:rFonts w:ascii="黑体" w:hAnsi="黑体" w:eastAsia="黑体" w:cs="黑体"/>
          <w:color w:val="auto"/>
          <w:sz w:val="24"/>
          <w:szCs w:val="24"/>
        </w:rPr>
        <w:t>违约责任</w:t>
      </w:r>
    </w:p>
    <w:p>
      <w:pPr>
        <w:spacing w:after="0" w:line="98" w:lineRule="exact"/>
        <w:rPr>
          <w:color w:val="auto"/>
          <w:sz w:val="20"/>
          <w:szCs w:val="20"/>
        </w:rPr>
      </w:pPr>
    </w:p>
    <w:p>
      <w:pPr>
        <w:spacing w:after="0" w:line="274" w:lineRule="exact"/>
        <w:ind w:left="820"/>
        <w:rPr>
          <w:color w:val="auto"/>
          <w:sz w:val="20"/>
          <w:szCs w:val="20"/>
        </w:rPr>
      </w:pPr>
      <w:r>
        <w:rPr>
          <w:rFonts w:ascii="宋体" w:hAnsi="宋体" w:eastAsia="宋体" w:cs="宋体"/>
          <w:color w:val="auto"/>
          <w:sz w:val="24"/>
          <w:szCs w:val="24"/>
        </w:rPr>
        <w:t>如因发包人或承包人违约造成安全事故，将依法追究责任。</w:t>
      </w:r>
    </w:p>
    <w:p>
      <w:pPr>
        <w:spacing w:after="0" w:line="150" w:lineRule="exact"/>
        <w:rPr>
          <w:color w:val="auto"/>
          <w:sz w:val="20"/>
          <w:szCs w:val="20"/>
        </w:rPr>
      </w:pPr>
    </w:p>
    <w:p>
      <w:pPr>
        <w:numPr>
          <w:ilvl w:val="0"/>
          <w:numId w:val="80"/>
        </w:numPr>
        <w:tabs>
          <w:tab w:val="left" w:pos="1119"/>
        </w:tabs>
        <w:spacing w:after="0" w:line="315"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本合同由双方法定代表人或其授权的代理人签署并加盖单位章后生效，全部工程竣工验收后失效。</w:t>
      </w:r>
    </w:p>
    <w:p>
      <w:pPr>
        <w:spacing w:after="0" w:line="116" w:lineRule="exact"/>
        <w:rPr>
          <w:rFonts w:ascii="Times New Roman" w:hAnsi="Times New Roman" w:eastAsia="Times New Roman" w:cs="Times New Roman"/>
          <w:color w:val="auto"/>
          <w:sz w:val="24"/>
          <w:szCs w:val="24"/>
        </w:rPr>
      </w:pPr>
    </w:p>
    <w:p>
      <w:pPr>
        <w:numPr>
          <w:ilvl w:val="0"/>
          <w:numId w:val="80"/>
        </w:numPr>
        <w:tabs>
          <w:tab w:val="left" w:pos="1119"/>
        </w:tabs>
        <w:spacing w:after="0" w:line="332" w:lineRule="exact"/>
        <w:ind w:left="200" w:right="144" w:firstLine="621"/>
        <w:rPr>
          <w:rFonts w:ascii="Times New Roman" w:hAnsi="Times New Roman" w:eastAsia="Times New Roman" w:cs="Times New Roman"/>
          <w:color w:val="auto"/>
          <w:sz w:val="24"/>
          <w:szCs w:val="24"/>
        </w:rPr>
      </w:pPr>
      <w:r>
        <w:rPr>
          <w:rFonts w:ascii="宋体" w:hAnsi="宋体" w:eastAsia="宋体" w:cs="宋体"/>
          <w:color w:val="auto"/>
          <w:sz w:val="24"/>
          <w:szCs w:val="24"/>
        </w:rPr>
        <w:t>本合同正本二份、副本</w:t>
      </w:r>
      <w:r>
        <w:rPr>
          <w:rFonts w:ascii="Times New Roman" w:hAnsi="Times New Roman" w:eastAsia="Times New Roman" w:cs="Times New Roman"/>
          <w:color w:val="auto"/>
          <w:sz w:val="24"/>
          <w:szCs w:val="24"/>
        </w:rPr>
        <w:t>____</w:t>
      </w:r>
      <w:r>
        <w:rPr>
          <w:rFonts w:ascii="宋体" w:hAnsi="宋体" w:eastAsia="宋体" w:cs="宋体"/>
          <w:color w:val="auto"/>
          <w:sz w:val="24"/>
          <w:szCs w:val="24"/>
        </w:rPr>
        <w:t>份，合同双方各执正本一份，副本</w:t>
      </w:r>
      <w:r>
        <w:rPr>
          <w:rFonts w:ascii="Times New Roman" w:hAnsi="Times New Roman" w:eastAsia="Times New Roman" w:cs="Times New Roman"/>
          <w:color w:val="auto"/>
          <w:sz w:val="24"/>
          <w:szCs w:val="24"/>
        </w:rPr>
        <w:t>____</w:t>
      </w:r>
      <w:r>
        <w:rPr>
          <w:rFonts w:ascii="宋体" w:hAnsi="宋体" w:eastAsia="宋体" w:cs="宋体"/>
          <w:color w:val="auto"/>
          <w:sz w:val="24"/>
          <w:szCs w:val="24"/>
        </w:rPr>
        <w:t>份，当正本与副本的内容不一致时，以正本为准。</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tbl>
      <w:tblPr>
        <w:tblStyle w:val="10"/>
        <w:tblW w:w="9040" w:type="dxa"/>
        <w:tblInd w:w="200" w:type="dxa"/>
        <w:tblLayout w:type="fixed"/>
        <w:tblCellMar>
          <w:top w:w="0" w:type="dxa"/>
          <w:left w:w="0" w:type="dxa"/>
          <w:bottom w:w="0" w:type="dxa"/>
          <w:right w:w="0" w:type="dxa"/>
        </w:tblCellMar>
      </w:tblPr>
      <w:tblGrid>
        <w:gridCol w:w="360"/>
        <w:gridCol w:w="600"/>
        <w:gridCol w:w="480"/>
        <w:gridCol w:w="240"/>
        <w:gridCol w:w="840"/>
        <w:gridCol w:w="240"/>
        <w:gridCol w:w="120"/>
        <w:gridCol w:w="220"/>
        <w:gridCol w:w="260"/>
        <w:gridCol w:w="300"/>
        <w:gridCol w:w="680"/>
        <w:gridCol w:w="460"/>
        <w:gridCol w:w="640"/>
        <w:gridCol w:w="440"/>
        <w:gridCol w:w="240"/>
        <w:gridCol w:w="840"/>
        <w:gridCol w:w="160"/>
        <w:gridCol w:w="200"/>
        <w:gridCol w:w="240"/>
        <w:gridCol w:w="240"/>
        <w:gridCol w:w="320"/>
        <w:gridCol w:w="40"/>
        <w:gridCol w:w="520"/>
        <w:gridCol w:w="360"/>
      </w:tblGrid>
      <w:tr>
        <w:tblPrEx>
          <w:tblCellMar>
            <w:top w:w="0" w:type="dxa"/>
            <w:left w:w="0" w:type="dxa"/>
            <w:bottom w:w="0" w:type="dxa"/>
            <w:right w:w="0" w:type="dxa"/>
          </w:tblCellMar>
        </w:tblPrEx>
        <w:trPr>
          <w:trHeight w:val="292" w:hRule="atLeast"/>
        </w:trPr>
        <w:tc>
          <w:tcPr>
            <w:tcW w:w="1680" w:type="dxa"/>
            <w:gridSpan w:val="4"/>
            <w:vAlign w:val="bottom"/>
          </w:tcPr>
          <w:p>
            <w:pPr>
              <w:spacing w:after="0" w:line="274" w:lineRule="exact"/>
              <w:rPr>
                <w:color w:val="auto"/>
                <w:sz w:val="20"/>
                <w:szCs w:val="20"/>
              </w:rPr>
            </w:pPr>
            <w:r>
              <w:rPr>
                <w:rFonts w:ascii="宋体" w:hAnsi="宋体" w:eastAsia="宋体" w:cs="宋体"/>
                <w:color w:val="auto"/>
                <w:sz w:val="24"/>
                <w:szCs w:val="24"/>
              </w:rPr>
              <w:t>发包人：</w:t>
            </w:r>
          </w:p>
        </w:tc>
        <w:tc>
          <w:tcPr>
            <w:tcW w:w="84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1580" w:type="dxa"/>
            <w:gridSpan w:val="5"/>
            <w:vAlign w:val="bottom"/>
          </w:tcPr>
          <w:p>
            <w:pPr>
              <w:spacing w:after="0" w:line="292" w:lineRule="exact"/>
              <w:rPr>
                <w:color w:val="auto"/>
                <w:sz w:val="20"/>
                <w:szCs w:val="20"/>
              </w:rPr>
            </w:pPr>
            <w:r>
              <w:rPr>
                <w:rFonts w:ascii="Times New Roman" w:hAnsi="Times New Roman" w:eastAsia="Times New Roman" w:cs="Times New Roman"/>
                <w:color w:val="auto"/>
                <w:sz w:val="24"/>
                <w:szCs w:val="24"/>
              </w:rPr>
              <w:t>(</w:t>
            </w:r>
            <w:r>
              <w:rPr>
                <w:rFonts w:ascii="宋体" w:hAnsi="宋体" w:eastAsia="宋体" w:cs="宋体"/>
                <w:color w:val="auto"/>
                <w:sz w:val="24"/>
                <w:szCs w:val="24"/>
              </w:rPr>
              <w:t>盖单位章</w:t>
            </w:r>
            <w:r>
              <w:rPr>
                <w:rFonts w:ascii="Times New Roman" w:hAnsi="Times New Roman" w:eastAsia="Times New Roman" w:cs="Times New Roman"/>
                <w:color w:val="auto"/>
                <w:sz w:val="24"/>
                <w:szCs w:val="24"/>
              </w:rPr>
              <w:t>)</w:t>
            </w:r>
          </w:p>
        </w:tc>
        <w:tc>
          <w:tcPr>
            <w:tcW w:w="1780" w:type="dxa"/>
            <w:gridSpan w:val="4"/>
            <w:vAlign w:val="bottom"/>
          </w:tcPr>
          <w:p>
            <w:pPr>
              <w:spacing w:after="0" w:line="274" w:lineRule="exact"/>
              <w:ind w:left="140"/>
              <w:rPr>
                <w:color w:val="auto"/>
                <w:sz w:val="20"/>
                <w:szCs w:val="20"/>
              </w:rPr>
            </w:pPr>
            <w:r>
              <w:rPr>
                <w:rFonts w:ascii="宋体" w:hAnsi="宋体" w:eastAsia="宋体" w:cs="宋体"/>
                <w:color w:val="auto"/>
                <w:sz w:val="24"/>
                <w:szCs w:val="24"/>
              </w:rPr>
              <w:t>承包人：</w:t>
            </w:r>
          </w:p>
        </w:tc>
        <w:tc>
          <w:tcPr>
            <w:tcW w:w="84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1560" w:type="dxa"/>
            <w:gridSpan w:val="6"/>
            <w:vAlign w:val="bottom"/>
          </w:tcPr>
          <w:p>
            <w:pPr>
              <w:spacing w:after="0" w:line="292" w:lineRule="exact"/>
              <w:rPr>
                <w:color w:val="auto"/>
                <w:sz w:val="20"/>
                <w:szCs w:val="20"/>
              </w:rPr>
            </w:pPr>
            <w:r>
              <w:rPr>
                <w:rFonts w:ascii="Times New Roman" w:hAnsi="Times New Roman" w:eastAsia="Times New Roman" w:cs="Times New Roman"/>
                <w:color w:val="auto"/>
                <w:sz w:val="24"/>
                <w:szCs w:val="24"/>
              </w:rPr>
              <w:t>(</w:t>
            </w:r>
            <w:r>
              <w:rPr>
                <w:rFonts w:ascii="宋体" w:hAnsi="宋体" w:eastAsia="宋体" w:cs="宋体"/>
                <w:color w:val="auto"/>
                <w:sz w:val="24"/>
                <w:szCs w:val="24"/>
              </w:rPr>
              <w:t>盖单位章</w:t>
            </w:r>
            <w:r>
              <w:rPr>
                <w:rFonts w:ascii="Times New Roman" w:hAnsi="Times New Roman" w:eastAsia="Times New Roman" w:cs="Times New Roman"/>
                <w:color w:val="auto"/>
                <w:sz w:val="24"/>
                <w:szCs w:val="24"/>
              </w:rPr>
              <w:t>)</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360" w:type="dxa"/>
            <w:vAlign w:val="bottom"/>
          </w:tcPr>
          <w:p>
            <w:pPr>
              <w:spacing w:after="0" w:line="20" w:lineRule="exact"/>
              <w:rPr>
                <w:color w:val="auto"/>
                <w:sz w:val="1"/>
                <w:szCs w:val="1"/>
              </w:rPr>
            </w:pPr>
          </w:p>
        </w:tc>
        <w:tc>
          <w:tcPr>
            <w:tcW w:w="600" w:type="dxa"/>
            <w:vAlign w:val="bottom"/>
          </w:tcPr>
          <w:p>
            <w:pPr>
              <w:spacing w:after="0" w:line="20" w:lineRule="exact"/>
              <w:rPr>
                <w:color w:val="auto"/>
                <w:sz w:val="1"/>
                <w:szCs w:val="1"/>
              </w:rPr>
            </w:pPr>
          </w:p>
        </w:tc>
        <w:tc>
          <w:tcPr>
            <w:tcW w:w="480" w:type="dxa"/>
            <w:shd w:val="clear" w:color="auto" w:fill="000000"/>
            <w:vAlign w:val="bottom"/>
          </w:tcPr>
          <w:p>
            <w:pPr>
              <w:spacing w:after="0" w:line="20" w:lineRule="exact"/>
              <w:rPr>
                <w:color w:val="auto"/>
                <w:sz w:val="1"/>
                <w:szCs w:val="1"/>
              </w:rPr>
            </w:pPr>
          </w:p>
        </w:tc>
        <w:tc>
          <w:tcPr>
            <w:tcW w:w="1080" w:type="dxa"/>
            <w:gridSpan w:val="2"/>
            <w:shd w:val="clear" w:color="auto" w:fill="000000"/>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260" w:type="dxa"/>
            <w:vAlign w:val="bottom"/>
          </w:tcPr>
          <w:p>
            <w:pPr>
              <w:spacing w:after="0" w:line="20" w:lineRule="exact"/>
              <w:rPr>
                <w:color w:val="auto"/>
                <w:sz w:val="1"/>
                <w:szCs w:val="1"/>
              </w:rPr>
            </w:pPr>
          </w:p>
        </w:tc>
        <w:tc>
          <w:tcPr>
            <w:tcW w:w="980" w:type="dxa"/>
            <w:gridSpan w:val="2"/>
            <w:vMerge w:val="restart"/>
            <w:vAlign w:val="bottom"/>
          </w:tcPr>
          <w:p>
            <w:pPr>
              <w:spacing w:after="0" w:line="292" w:lineRule="exact"/>
              <w:ind w:left="220"/>
              <w:rPr>
                <w:color w:val="auto"/>
                <w:sz w:val="20"/>
                <w:szCs w:val="20"/>
              </w:rPr>
            </w:pPr>
            <w:r>
              <w:rPr>
                <w:rFonts w:ascii="Times New Roman" w:hAnsi="Times New Roman" w:eastAsia="Times New Roman" w:cs="Times New Roman"/>
                <w:color w:val="auto"/>
                <w:sz w:val="24"/>
                <w:szCs w:val="24"/>
              </w:rPr>
              <w:t>(</w:t>
            </w:r>
            <w:r>
              <w:rPr>
                <w:rFonts w:ascii="宋体" w:hAnsi="宋体" w:eastAsia="宋体" w:cs="宋体"/>
                <w:color w:val="auto"/>
                <w:sz w:val="24"/>
                <w:szCs w:val="24"/>
              </w:rPr>
              <w:t>签字</w:t>
            </w:r>
            <w:r>
              <w:rPr>
                <w:rFonts w:ascii="Times New Roman" w:hAnsi="Times New Roman" w:eastAsia="Times New Roman" w:cs="Times New Roman"/>
                <w:color w:val="auto"/>
                <w:sz w:val="24"/>
                <w:szCs w:val="24"/>
              </w:rPr>
              <w:t>)</w:t>
            </w:r>
          </w:p>
        </w:tc>
        <w:tc>
          <w:tcPr>
            <w:tcW w:w="460" w:type="dxa"/>
            <w:vAlign w:val="bottom"/>
          </w:tcPr>
          <w:p>
            <w:pPr>
              <w:spacing w:after="0" w:line="20" w:lineRule="exact"/>
              <w:rPr>
                <w:color w:val="auto"/>
                <w:sz w:val="1"/>
                <w:szCs w:val="1"/>
              </w:rPr>
            </w:pPr>
          </w:p>
        </w:tc>
        <w:tc>
          <w:tcPr>
            <w:tcW w:w="640" w:type="dxa"/>
            <w:vAlign w:val="bottom"/>
          </w:tcPr>
          <w:p>
            <w:pPr>
              <w:spacing w:after="0" w:line="20" w:lineRule="exact"/>
              <w:rPr>
                <w:color w:val="auto"/>
                <w:sz w:val="1"/>
                <w:szCs w:val="1"/>
              </w:rPr>
            </w:pPr>
          </w:p>
        </w:tc>
        <w:tc>
          <w:tcPr>
            <w:tcW w:w="440" w:type="dxa"/>
            <w:shd w:val="clear" w:color="auto" w:fill="000000"/>
            <w:vAlign w:val="bottom"/>
          </w:tcPr>
          <w:p>
            <w:pPr>
              <w:spacing w:after="0" w:line="20" w:lineRule="exact"/>
              <w:rPr>
                <w:color w:val="auto"/>
                <w:sz w:val="1"/>
                <w:szCs w:val="1"/>
              </w:rPr>
            </w:pPr>
          </w:p>
        </w:tc>
        <w:tc>
          <w:tcPr>
            <w:tcW w:w="1080" w:type="dxa"/>
            <w:gridSpan w:val="2"/>
            <w:shd w:val="clear" w:color="auto" w:fill="000000"/>
            <w:vAlign w:val="bottom"/>
          </w:tcPr>
          <w:p>
            <w:pPr>
              <w:spacing w:after="0" w:line="20" w:lineRule="exact"/>
              <w:rPr>
                <w:color w:val="auto"/>
                <w:sz w:val="1"/>
                <w:szCs w:val="1"/>
              </w:rPr>
            </w:pPr>
          </w:p>
        </w:tc>
        <w:tc>
          <w:tcPr>
            <w:tcW w:w="160" w:type="dxa"/>
            <w:shd w:val="clear" w:color="auto" w:fill="000000"/>
            <w:vAlign w:val="bottom"/>
          </w:tcPr>
          <w:p>
            <w:pPr>
              <w:spacing w:after="0" w:line="20" w:lineRule="exact"/>
              <w:rPr>
                <w:color w:val="auto"/>
                <w:sz w:val="1"/>
                <w:szCs w:val="1"/>
              </w:rPr>
            </w:pPr>
          </w:p>
        </w:tc>
        <w:tc>
          <w:tcPr>
            <w:tcW w:w="20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880" w:type="dxa"/>
            <w:gridSpan w:val="3"/>
            <w:vMerge w:val="restart"/>
            <w:vAlign w:val="bottom"/>
          </w:tcPr>
          <w:p>
            <w:pPr>
              <w:spacing w:after="0" w:line="292" w:lineRule="exact"/>
              <w:ind w:left="120"/>
              <w:jc w:val="center"/>
              <w:rPr>
                <w:color w:val="auto"/>
                <w:sz w:val="20"/>
                <w:szCs w:val="20"/>
              </w:rPr>
            </w:pPr>
            <w:r>
              <w:rPr>
                <w:rFonts w:ascii="Times New Roman" w:hAnsi="Times New Roman" w:eastAsia="Times New Roman" w:cs="Times New Roman"/>
                <w:color w:val="auto"/>
                <w:w w:val="99"/>
                <w:sz w:val="24"/>
                <w:szCs w:val="24"/>
              </w:rPr>
              <w:t>(</w:t>
            </w:r>
            <w:r>
              <w:rPr>
                <w:rFonts w:ascii="宋体" w:hAnsi="宋体" w:eastAsia="宋体" w:cs="宋体"/>
                <w:color w:val="auto"/>
                <w:w w:val="99"/>
                <w:sz w:val="24"/>
                <w:szCs w:val="24"/>
              </w:rPr>
              <w:t>签字</w:t>
            </w:r>
            <w:r>
              <w:rPr>
                <w:rFonts w:ascii="Times New Roman" w:hAnsi="Times New Roman" w:eastAsia="Times New Roman" w:cs="Times New Roman"/>
                <w:color w:val="auto"/>
                <w:w w:val="99"/>
                <w:sz w:val="24"/>
                <w:szCs w:val="24"/>
              </w:rPr>
              <w:t>)</w:t>
            </w: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20" w:hRule="atLeast"/>
        </w:trPr>
        <w:tc>
          <w:tcPr>
            <w:tcW w:w="3360" w:type="dxa"/>
            <w:gridSpan w:val="9"/>
            <w:vAlign w:val="bottom"/>
          </w:tcPr>
          <w:p>
            <w:pPr>
              <w:spacing w:after="0" w:line="274" w:lineRule="exact"/>
              <w:rPr>
                <w:color w:val="auto"/>
                <w:sz w:val="20"/>
                <w:szCs w:val="20"/>
              </w:rPr>
            </w:pPr>
            <w:r>
              <w:rPr>
                <w:rFonts w:ascii="宋体" w:hAnsi="宋体" w:eastAsia="宋体" w:cs="宋体"/>
                <w:color w:val="auto"/>
                <w:sz w:val="24"/>
                <w:szCs w:val="24"/>
              </w:rPr>
              <w:t>法定代表人或其委托代理人：</w:t>
            </w:r>
          </w:p>
        </w:tc>
        <w:tc>
          <w:tcPr>
            <w:tcW w:w="980" w:type="dxa"/>
            <w:gridSpan w:val="2"/>
            <w:vMerge w:val="continue"/>
            <w:vAlign w:val="bottom"/>
          </w:tcPr>
          <w:p>
            <w:pPr>
              <w:spacing w:after="0"/>
              <w:rPr>
                <w:color w:val="auto"/>
                <w:sz w:val="24"/>
                <w:szCs w:val="24"/>
              </w:rPr>
            </w:pPr>
          </w:p>
        </w:tc>
        <w:tc>
          <w:tcPr>
            <w:tcW w:w="3460" w:type="dxa"/>
            <w:gridSpan w:val="9"/>
            <w:vAlign w:val="bottom"/>
          </w:tcPr>
          <w:p>
            <w:pPr>
              <w:spacing w:after="0" w:line="274" w:lineRule="exact"/>
              <w:ind w:left="120"/>
              <w:rPr>
                <w:color w:val="auto"/>
                <w:sz w:val="20"/>
                <w:szCs w:val="20"/>
              </w:rPr>
            </w:pPr>
            <w:r>
              <w:rPr>
                <w:rFonts w:ascii="宋体" w:hAnsi="宋体" w:eastAsia="宋体" w:cs="宋体"/>
                <w:color w:val="auto"/>
                <w:sz w:val="24"/>
                <w:szCs w:val="24"/>
              </w:rPr>
              <w:t>法定代表人或其委托代理人：</w:t>
            </w:r>
          </w:p>
        </w:tc>
        <w:tc>
          <w:tcPr>
            <w:tcW w:w="880" w:type="dxa"/>
            <w:gridSpan w:val="3"/>
            <w:vMerge w:val="continue"/>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360" w:type="dxa"/>
            <w:vAlign w:val="bottom"/>
          </w:tcPr>
          <w:p>
            <w:pPr>
              <w:spacing w:after="0" w:line="20" w:lineRule="exact"/>
              <w:rPr>
                <w:color w:val="auto"/>
                <w:sz w:val="1"/>
                <w:szCs w:val="1"/>
              </w:rPr>
            </w:pPr>
          </w:p>
        </w:tc>
        <w:tc>
          <w:tcPr>
            <w:tcW w:w="600" w:type="dxa"/>
            <w:vAlign w:val="bottom"/>
          </w:tcPr>
          <w:p>
            <w:pPr>
              <w:spacing w:after="0" w:line="20" w:lineRule="exact"/>
              <w:rPr>
                <w:color w:val="auto"/>
                <w:sz w:val="1"/>
                <w:szCs w:val="1"/>
              </w:rPr>
            </w:pPr>
          </w:p>
        </w:tc>
        <w:tc>
          <w:tcPr>
            <w:tcW w:w="48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360" w:type="dxa"/>
            <w:gridSpan w:val="2"/>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300" w:type="dxa"/>
            <w:shd w:val="clear" w:color="auto" w:fill="000000"/>
            <w:vAlign w:val="bottom"/>
          </w:tcPr>
          <w:p>
            <w:pPr>
              <w:spacing w:after="0" w:line="20" w:lineRule="exact"/>
              <w:rPr>
                <w:color w:val="auto"/>
                <w:sz w:val="1"/>
                <w:szCs w:val="1"/>
              </w:rPr>
            </w:pPr>
          </w:p>
        </w:tc>
        <w:tc>
          <w:tcPr>
            <w:tcW w:w="680" w:type="dxa"/>
            <w:vAlign w:val="bottom"/>
          </w:tcPr>
          <w:p>
            <w:pPr>
              <w:spacing w:after="0" w:line="20" w:lineRule="exact"/>
              <w:rPr>
                <w:color w:val="auto"/>
                <w:sz w:val="1"/>
                <w:szCs w:val="1"/>
              </w:rPr>
            </w:pPr>
          </w:p>
        </w:tc>
        <w:tc>
          <w:tcPr>
            <w:tcW w:w="460" w:type="dxa"/>
            <w:vAlign w:val="bottom"/>
          </w:tcPr>
          <w:p>
            <w:pPr>
              <w:spacing w:after="0" w:line="20" w:lineRule="exact"/>
              <w:rPr>
                <w:color w:val="auto"/>
                <w:sz w:val="1"/>
                <w:szCs w:val="1"/>
              </w:rPr>
            </w:pPr>
          </w:p>
        </w:tc>
        <w:tc>
          <w:tcPr>
            <w:tcW w:w="640" w:type="dxa"/>
            <w:vAlign w:val="bottom"/>
          </w:tcPr>
          <w:p>
            <w:pPr>
              <w:spacing w:after="0" w:line="20" w:lineRule="exact"/>
              <w:rPr>
                <w:color w:val="auto"/>
                <w:sz w:val="1"/>
                <w:szCs w:val="1"/>
              </w:rPr>
            </w:pPr>
          </w:p>
        </w:tc>
        <w:tc>
          <w:tcPr>
            <w:tcW w:w="44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360" w:type="dxa"/>
            <w:gridSpan w:val="2"/>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320" w:type="dxa"/>
            <w:shd w:val="clear" w:color="auto" w:fill="000000"/>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52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19" w:hRule="atLeast"/>
        </w:trPr>
        <w:tc>
          <w:tcPr>
            <w:tcW w:w="360" w:type="dxa"/>
            <w:vAlign w:val="bottom"/>
          </w:tcPr>
          <w:p>
            <w:pPr>
              <w:spacing w:after="0"/>
              <w:rPr>
                <w:color w:val="auto"/>
                <w:sz w:val="24"/>
                <w:szCs w:val="24"/>
              </w:rPr>
            </w:pPr>
          </w:p>
        </w:tc>
        <w:tc>
          <w:tcPr>
            <w:tcW w:w="60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240" w:type="dxa"/>
            <w:vAlign w:val="bottom"/>
          </w:tcPr>
          <w:p>
            <w:pPr>
              <w:spacing w:after="0" w:line="274" w:lineRule="exact"/>
              <w:rPr>
                <w:color w:val="auto"/>
                <w:sz w:val="20"/>
                <w:szCs w:val="20"/>
              </w:rPr>
            </w:pPr>
            <w:r>
              <w:rPr>
                <w:rFonts w:ascii="宋体" w:hAnsi="宋体" w:eastAsia="宋体" w:cs="宋体"/>
                <w:color w:val="auto"/>
                <w:w w:val="91"/>
                <w:sz w:val="24"/>
                <w:szCs w:val="24"/>
              </w:rPr>
              <w:t>年</w:t>
            </w:r>
          </w:p>
        </w:tc>
        <w:tc>
          <w:tcPr>
            <w:tcW w:w="840" w:type="dxa"/>
            <w:tcBorders>
              <w:bottom w:val="single" w:color="auto" w:sz="8" w:space="0"/>
            </w:tcBorders>
            <w:vAlign w:val="bottom"/>
          </w:tcPr>
          <w:p>
            <w:pPr>
              <w:spacing w:after="0"/>
              <w:rPr>
                <w:color w:val="auto"/>
                <w:sz w:val="24"/>
                <w:szCs w:val="24"/>
              </w:rPr>
            </w:pPr>
          </w:p>
        </w:tc>
        <w:tc>
          <w:tcPr>
            <w:tcW w:w="360" w:type="dxa"/>
            <w:gridSpan w:val="2"/>
            <w:vAlign w:val="bottom"/>
          </w:tcPr>
          <w:p>
            <w:pPr>
              <w:spacing w:after="0" w:line="274" w:lineRule="exact"/>
              <w:rPr>
                <w:color w:val="auto"/>
                <w:sz w:val="20"/>
                <w:szCs w:val="20"/>
              </w:rPr>
            </w:pPr>
            <w:r>
              <w:rPr>
                <w:rFonts w:ascii="宋体" w:hAnsi="宋体" w:eastAsia="宋体" w:cs="宋体"/>
                <w:color w:val="auto"/>
                <w:sz w:val="24"/>
                <w:szCs w:val="24"/>
              </w:rPr>
              <w:t>月</w:t>
            </w:r>
          </w:p>
        </w:tc>
        <w:tc>
          <w:tcPr>
            <w:tcW w:w="220" w:type="dxa"/>
            <w:tcBorders>
              <w:bottom w:val="single" w:color="auto" w:sz="8" w:space="0"/>
            </w:tcBorders>
            <w:vAlign w:val="bottom"/>
          </w:tcPr>
          <w:p>
            <w:pPr>
              <w:spacing w:after="0"/>
              <w:rPr>
                <w:color w:val="auto"/>
                <w:sz w:val="24"/>
                <w:szCs w:val="24"/>
              </w:rPr>
            </w:pPr>
          </w:p>
        </w:tc>
        <w:tc>
          <w:tcPr>
            <w:tcW w:w="260" w:type="dxa"/>
            <w:tcBorders>
              <w:bottom w:val="single" w:color="auto" w:sz="8" w:space="0"/>
            </w:tcBorders>
            <w:vAlign w:val="bottom"/>
          </w:tcPr>
          <w:p>
            <w:pPr>
              <w:spacing w:after="0"/>
              <w:rPr>
                <w:color w:val="auto"/>
                <w:sz w:val="24"/>
                <w:szCs w:val="24"/>
              </w:rPr>
            </w:pPr>
          </w:p>
        </w:tc>
        <w:tc>
          <w:tcPr>
            <w:tcW w:w="980" w:type="dxa"/>
            <w:gridSpan w:val="2"/>
            <w:vAlign w:val="bottom"/>
          </w:tcPr>
          <w:p>
            <w:pPr>
              <w:spacing w:after="0" w:line="274" w:lineRule="exact"/>
              <w:ind w:left="120"/>
              <w:rPr>
                <w:color w:val="auto"/>
                <w:sz w:val="20"/>
                <w:szCs w:val="20"/>
              </w:rPr>
            </w:pPr>
            <w:r>
              <w:rPr>
                <w:rFonts w:ascii="宋体" w:hAnsi="宋体" w:eastAsia="宋体" w:cs="宋体"/>
                <w:color w:val="auto"/>
                <w:sz w:val="24"/>
                <w:szCs w:val="24"/>
              </w:rPr>
              <w:t>日</w:t>
            </w:r>
          </w:p>
        </w:tc>
        <w:tc>
          <w:tcPr>
            <w:tcW w:w="460" w:type="dxa"/>
            <w:vAlign w:val="bottom"/>
          </w:tcPr>
          <w:p>
            <w:pPr>
              <w:spacing w:after="0"/>
              <w:rPr>
                <w:color w:val="auto"/>
                <w:sz w:val="24"/>
                <w:szCs w:val="24"/>
              </w:rPr>
            </w:pPr>
          </w:p>
        </w:tc>
        <w:tc>
          <w:tcPr>
            <w:tcW w:w="640" w:type="dxa"/>
            <w:tcBorders>
              <w:bottom w:val="single" w:color="auto" w:sz="8" w:space="0"/>
            </w:tcBorders>
            <w:vAlign w:val="bottom"/>
          </w:tcPr>
          <w:p>
            <w:pPr>
              <w:spacing w:after="0"/>
              <w:rPr>
                <w:color w:val="auto"/>
                <w:sz w:val="24"/>
                <w:szCs w:val="24"/>
              </w:rPr>
            </w:pPr>
          </w:p>
        </w:tc>
        <w:tc>
          <w:tcPr>
            <w:tcW w:w="440" w:type="dxa"/>
            <w:tcBorders>
              <w:bottom w:val="single" w:color="auto" w:sz="8" w:space="0"/>
            </w:tcBorders>
            <w:vAlign w:val="bottom"/>
          </w:tcPr>
          <w:p>
            <w:pPr>
              <w:spacing w:after="0"/>
              <w:rPr>
                <w:color w:val="auto"/>
                <w:sz w:val="24"/>
                <w:szCs w:val="24"/>
              </w:rPr>
            </w:pPr>
          </w:p>
        </w:tc>
        <w:tc>
          <w:tcPr>
            <w:tcW w:w="240" w:type="dxa"/>
            <w:vAlign w:val="bottom"/>
          </w:tcPr>
          <w:p>
            <w:pPr>
              <w:spacing w:after="0" w:line="274" w:lineRule="exact"/>
              <w:rPr>
                <w:color w:val="auto"/>
                <w:sz w:val="20"/>
                <w:szCs w:val="20"/>
              </w:rPr>
            </w:pPr>
            <w:r>
              <w:rPr>
                <w:rFonts w:ascii="宋体" w:hAnsi="宋体" w:eastAsia="宋体" w:cs="宋体"/>
                <w:color w:val="auto"/>
                <w:w w:val="91"/>
                <w:sz w:val="24"/>
                <w:szCs w:val="24"/>
              </w:rPr>
              <w:t>年</w:t>
            </w:r>
          </w:p>
        </w:tc>
        <w:tc>
          <w:tcPr>
            <w:tcW w:w="840" w:type="dxa"/>
            <w:tcBorders>
              <w:bottom w:val="single" w:color="auto" w:sz="8" w:space="0"/>
            </w:tcBorders>
            <w:vAlign w:val="bottom"/>
          </w:tcPr>
          <w:p>
            <w:pPr>
              <w:spacing w:after="0"/>
              <w:rPr>
                <w:color w:val="auto"/>
                <w:sz w:val="24"/>
                <w:szCs w:val="24"/>
              </w:rPr>
            </w:pPr>
          </w:p>
        </w:tc>
        <w:tc>
          <w:tcPr>
            <w:tcW w:w="360" w:type="dxa"/>
            <w:gridSpan w:val="2"/>
            <w:vAlign w:val="bottom"/>
          </w:tcPr>
          <w:p>
            <w:pPr>
              <w:spacing w:after="0" w:line="274" w:lineRule="exact"/>
              <w:rPr>
                <w:color w:val="auto"/>
                <w:sz w:val="20"/>
                <w:szCs w:val="20"/>
              </w:rPr>
            </w:pPr>
            <w:r>
              <w:rPr>
                <w:rFonts w:ascii="宋体" w:hAnsi="宋体" w:eastAsia="宋体" w:cs="宋体"/>
                <w:color w:val="auto"/>
                <w:sz w:val="24"/>
                <w:szCs w:val="24"/>
              </w:rPr>
              <w:t>月</w:t>
            </w:r>
          </w:p>
        </w:tc>
        <w:tc>
          <w:tcPr>
            <w:tcW w:w="480" w:type="dxa"/>
            <w:gridSpan w:val="2"/>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520" w:type="dxa"/>
            <w:vAlign w:val="bottom"/>
          </w:tcPr>
          <w:p>
            <w:pPr>
              <w:spacing w:after="0" w:line="274" w:lineRule="exact"/>
              <w:jc w:val="center"/>
              <w:rPr>
                <w:color w:val="auto"/>
                <w:sz w:val="20"/>
                <w:szCs w:val="20"/>
              </w:rPr>
            </w:pPr>
            <w:r>
              <w:rPr>
                <w:rFonts w:ascii="宋体" w:hAnsi="宋体" w:eastAsia="宋体" w:cs="宋体"/>
                <w:color w:val="auto"/>
                <w:w w:val="99"/>
                <w:sz w:val="24"/>
                <w:szCs w:val="24"/>
              </w:rPr>
              <w:t>日</w:t>
            </w:r>
          </w:p>
        </w:tc>
        <w:tc>
          <w:tcPr>
            <w:tcW w:w="36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ind w:left="8600"/>
        <w:rPr>
          <w:color w:val="auto"/>
          <w:sz w:val="20"/>
          <w:szCs w:val="20"/>
        </w:rPr>
      </w:pPr>
      <w:r>
        <w:rPr>
          <w:rFonts w:ascii="Times New Roman" w:hAnsi="Times New Roman" w:eastAsia="Times New Roman" w:cs="Times New Roman"/>
          <w:color w:val="auto"/>
          <w:sz w:val="18"/>
          <w:szCs w:val="18"/>
        </w:rPr>
        <w:t>197</w:t>
      </w:r>
    </w:p>
    <w:p>
      <w:pPr>
        <w:sectPr>
          <w:pgSz w:w="11900" w:h="16840"/>
          <w:pgMar w:top="1247" w:right="1247" w:bottom="1247" w:left="1361" w:header="0" w:footer="0" w:gutter="0"/>
          <w:pgBorders>
            <w:top w:val="none" w:sz="0" w:space="0"/>
            <w:left w:val="none" w:sz="0" w:space="0"/>
            <w:bottom w:val="none" w:sz="0" w:space="0"/>
            <w:right w:val="none" w:sz="0" w:space="0"/>
          </w:pgBorders>
          <w:cols w:equalWidth="0" w:num="1">
            <w:col w:w="9024"/>
          </w:cols>
          <w:rtlGutter w:val="0"/>
          <w:docGrid w:linePitch="0" w:charSpace="0"/>
        </w:sectPr>
      </w:pPr>
    </w:p>
    <w:p>
      <w:pPr>
        <w:spacing w:after="0" w:line="343" w:lineRule="exact"/>
        <w:rPr>
          <w:color w:val="auto"/>
          <w:sz w:val="20"/>
          <w:szCs w:val="20"/>
        </w:rPr>
      </w:pPr>
      <w:bookmarkStart w:id="59" w:name="page208"/>
      <w:bookmarkEnd w:id="59"/>
    </w:p>
    <w:p>
      <w:pPr>
        <w:spacing w:after="0" w:line="274" w:lineRule="exact"/>
        <w:ind w:left="200"/>
        <w:rPr>
          <w:rFonts w:ascii="宋体" w:hAnsi="宋体" w:eastAsia="宋体" w:cs="宋体"/>
          <w:b/>
          <w:bCs/>
          <w:color w:val="auto"/>
          <w:sz w:val="24"/>
          <w:szCs w:val="24"/>
          <w:vertAlign w:val="superscript"/>
        </w:rPr>
      </w:pPr>
      <w:r>
        <w:rPr>
          <w:rFonts w:ascii="黑体" w:hAnsi="黑体" w:eastAsia="黑体" w:cs="黑体"/>
          <w:color w:val="auto"/>
          <w:sz w:val="24"/>
          <w:szCs w:val="24"/>
        </w:rPr>
        <w:t xml:space="preserve">附件四：其他管理和技术人员最低要求 </w:t>
      </w:r>
      <w:r>
        <w:rPr>
          <w:rFonts w:ascii="宋体" w:hAnsi="宋体" w:eastAsia="宋体" w:cs="宋体"/>
          <w:b/>
          <w:bCs/>
          <w:color w:val="auto"/>
          <w:sz w:val="24"/>
          <w:szCs w:val="24"/>
          <w:vertAlign w:val="superscript"/>
        </w:rPr>
        <w:t>①</w:t>
      </w:r>
    </w:p>
    <w:p>
      <w:pPr>
        <w:spacing w:after="0" w:line="274" w:lineRule="exact"/>
        <w:ind w:left="200"/>
        <w:rPr>
          <w:rFonts w:ascii="宋体" w:hAnsi="宋体" w:eastAsia="宋体" w:cs="宋体"/>
          <w:b/>
          <w:bCs/>
          <w:color w:val="auto"/>
          <w:sz w:val="24"/>
          <w:szCs w:val="24"/>
          <w:vertAlign w:val="superscript"/>
        </w:rPr>
      </w:pPr>
    </w:p>
    <w:tbl>
      <w:tblPr>
        <w:tblStyle w:val="10"/>
        <w:tblW w:w="93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2145"/>
        <w:gridCol w:w="2145"/>
        <w:gridCol w:w="5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1677" w:hRule="atLeast"/>
        </w:trPr>
        <w:tc>
          <w:tcPr>
            <w:tcW w:w="21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人员</w:t>
            </w:r>
          </w:p>
        </w:tc>
        <w:tc>
          <w:tcPr>
            <w:tcW w:w="214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c>
          <w:tcPr>
            <w:tcW w:w="50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15" w:hRule="atLeast"/>
        </w:trPr>
        <w:tc>
          <w:tcPr>
            <w:tcW w:w="2145" w:type="dxa"/>
            <w:tcBorders>
              <w:tl2br w:val="nil"/>
              <w:tr2bl w:val="nil"/>
            </w:tcBorders>
            <w:shd w:val="clear" w:color="auto" w:fill="auto"/>
            <w:vAlign w:val="center"/>
          </w:tcPr>
          <w:p>
            <w:pPr>
              <w:jc w:val="center"/>
              <w:rPr>
                <w:rFonts w:hint="eastAsia" w:ascii="Calibri" w:hAnsi="Calibri" w:eastAsia="宋体" w:cs="Calibri"/>
                <w:i w:val="0"/>
                <w:color w:val="000000"/>
                <w:sz w:val="28"/>
                <w:szCs w:val="28"/>
                <w:u w:val="none"/>
              </w:rPr>
            </w:pPr>
          </w:p>
        </w:tc>
        <w:tc>
          <w:tcPr>
            <w:tcW w:w="2145"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c>
          <w:tcPr>
            <w:tcW w:w="5030"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15" w:hRule="atLeast"/>
        </w:trPr>
        <w:tc>
          <w:tcPr>
            <w:tcW w:w="2145"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c>
          <w:tcPr>
            <w:tcW w:w="2145"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c>
          <w:tcPr>
            <w:tcW w:w="5030"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15" w:hRule="atLeast"/>
        </w:trPr>
        <w:tc>
          <w:tcPr>
            <w:tcW w:w="2145"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c>
          <w:tcPr>
            <w:tcW w:w="2145"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c>
          <w:tcPr>
            <w:tcW w:w="5030"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15" w:hRule="atLeast"/>
        </w:trPr>
        <w:tc>
          <w:tcPr>
            <w:tcW w:w="2145"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c>
          <w:tcPr>
            <w:tcW w:w="2145"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c>
          <w:tcPr>
            <w:tcW w:w="5030"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15" w:hRule="atLeast"/>
        </w:trPr>
        <w:tc>
          <w:tcPr>
            <w:tcW w:w="2145"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c>
          <w:tcPr>
            <w:tcW w:w="2145"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c>
          <w:tcPr>
            <w:tcW w:w="5030"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15" w:hRule="atLeast"/>
        </w:trPr>
        <w:tc>
          <w:tcPr>
            <w:tcW w:w="2145"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c>
          <w:tcPr>
            <w:tcW w:w="2145"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c>
          <w:tcPr>
            <w:tcW w:w="5030"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76" w:hRule="atLeast"/>
        </w:trPr>
        <w:tc>
          <w:tcPr>
            <w:tcW w:w="2145"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c>
          <w:tcPr>
            <w:tcW w:w="2145"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c>
          <w:tcPr>
            <w:tcW w:w="5030" w:type="dxa"/>
            <w:tcBorders>
              <w:tl2br w:val="nil"/>
              <w:tr2bl w:val="nil"/>
            </w:tcBorders>
            <w:shd w:val="clear" w:color="auto" w:fill="auto"/>
            <w:vAlign w:val="center"/>
          </w:tcPr>
          <w:p>
            <w:pP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76" w:hRule="atLeast"/>
        </w:trPr>
        <w:tc>
          <w:tcPr>
            <w:tcW w:w="2145"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c>
          <w:tcPr>
            <w:tcW w:w="2145"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c>
          <w:tcPr>
            <w:tcW w:w="5030" w:type="dxa"/>
            <w:tcBorders>
              <w:tl2br w:val="nil"/>
              <w:tr2bl w:val="nil"/>
            </w:tcBorders>
            <w:shd w:val="clear" w:color="auto" w:fill="auto"/>
            <w:vAlign w:val="center"/>
          </w:tcPr>
          <w:p>
            <w:pP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976" w:hRule="atLeast"/>
        </w:trPr>
        <w:tc>
          <w:tcPr>
            <w:tcW w:w="2145"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c>
          <w:tcPr>
            <w:tcW w:w="2145" w:type="dxa"/>
            <w:tcBorders>
              <w:tl2br w:val="nil"/>
              <w:tr2bl w:val="nil"/>
            </w:tcBorders>
            <w:shd w:val="clear" w:color="auto" w:fill="auto"/>
            <w:vAlign w:val="center"/>
          </w:tcPr>
          <w:p>
            <w:pPr>
              <w:jc w:val="center"/>
              <w:rPr>
                <w:rFonts w:hint="default" w:ascii="Calibri" w:hAnsi="Calibri" w:eastAsia="宋体" w:cs="Calibri"/>
                <w:i w:val="0"/>
                <w:color w:val="000000"/>
                <w:sz w:val="28"/>
                <w:szCs w:val="28"/>
                <w:u w:val="none"/>
              </w:rPr>
            </w:pPr>
          </w:p>
        </w:tc>
        <w:tc>
          <w:tcPr>
            <w:tcW w:w="5030" w:type="dxa"/>
            <w:tcBorders>
              <w:tl2br w:val="nil"/>
              <w:tr2bl w:val="nil"/>
            </w:tcBorders>
            <w:shd w:val="clear" w:color="auto" w:fill="auto"/>
            <w:vAlign w:val="center"/>
          </w:tcPr>
          <w:p>
            <w:pPr>
              <w:rPr>
                <w:rFonts w:hint="eastAsia" w:ascii="宋体" w:hAnsi="宋体" w:eastAsia="宋体" w:cs="宋体"/>
                <w:i w:val="0"/>
                <w:color w:val="000000"/>
                <w:sz w:val="22"/>
                <w:szCs w:val="22"/>
                <w:u w:val="none"/>
              </w:rPr>
            </w:pPr>
          </w:p>
        </w:tc>
      </w:tr>
    </w:tbl>
    <w:p>
      <w:pPr>
        <w:spacing w:after="0" w:line="156" w:lineRule="exact"/>
        <w:rPr>
          <w:color w:val="auto"/>
          <w:sz w:val="20"/>
          <w:szCs w:val="20"/>
        </w:rPr>
      </w:pPr>
    </w:p>
    <w:p>
      <w:pPr>
        <w:numPr>
          <w:ilvl w:val="0"/>
          <w:numId w:val="81"/>
        </w:numPr>
        <w:tabs>
          <w:tab w:val="left" w:pos="380"/>
        </w:tabs>
        <w:spacing w:after="0" w:line="219" w:lineRule="exact"/>
        <w:ind w:left="380" w:hanging="176"/>
        <w:rPr>
          <w:color w:val="auto"/>
          <w:sz w:val="20"/>
          <w:szCs w:val="20"/>
        </w:rPr>
      </w:pPr>
      <w:r>
        <w:rPr>
          <w:rFonts w:ascii="Times New Roman" w:hAnsi="Times New Roman" w:eastAsia="Times New Roman" w:cs="Times New Roman"/>
          <w:color w:val="auto"/>
          <w:sz w:val="18"/>
          <w:szCs w:val="18"/>
        </w:rPr>
        <w:t>a.</w:t>
      </w:r>
      <w:r>
        <w:rPr>
          <w:rFonts w:hint="eastAsia" w:ascii="Times New Roman" w:hAnsi="Times New Roman" w:eastAsia="宋体" w:cs="Times New Roman"/>
          <w:color w:val="auto"/>
          <w:sz w:val="18"/>
          <w:szCs w:val="18"/>
          <w:lang w:val="en-US" w:eastAsia="zh-CN"/>
        </w:rPr>
        <w:t xml:space="preserve"> </w:t>
      </w:r>
      <w:r>
        <w:rPr>
          <w:rFonts w:ascii="宋体" w:hAnsi="宋体" w:eastAsia="宋体" w:cs="宋体"/>
          <w:color w:val="auto"/>
          <w:sz w:val="18"/>
          <w:szCs w:val="18"/>
        </w:rPr>
        <w:t>招标人应在招标文件中规定若投标人在所投标段中标需派驻的其他管理和技术人员（例如项目副经理、专业工程师等）。上述人员的具体人选由招标人和中标人在合同谈判阶段确定，且经招标人审批后作为派驻本标段的项目管理机构主要人员，不允许更换。如中标人拟派驻的人员数量和资格条件不满足本表要求，招标人应取消其中标资格。</w:t>
      </w:r>
    </w:p>
    <w:p>
      <w:pPr>
        <w:spacing w:after="0" w:line="253" w:lineRule="exact"/>
        <w:ind w:left="398" w:leftChars="181" w:right="144" w:firstLine="360" w:firstLineChars="200"/>
        <w:rPr>
          <w:color w:val="auto"/>
          <w:sz w:val="20"/>
          <w:szCs w:val="20"/>
        </w:rPr>
      </w:pPr>
      <w:r>
        <w:rPr>
          <w:rFonts w:ascii="Times New Roman" w:hAnsi="Times New Roman" w:eastAsia="Times New Roman" w:cs="Times New Roman"/>
          <w:color w:val="auto"/>
          <w:sz w:val="18"/>
          <w:szCs w:val="18"/>
        </w:rPr>
        <w:t>b.</w:t>
      </w:r>
      <w:r>
        <w:rPr>
          <w:rFonts w:hint="eastAsia" w:ascii="Times New Roman" w:hAnsi="Times New Roman" w:eastAsia="宋体" w:cs="Times New Roman"/>
          <w:color w:val="auto"/>
          <w:sz w:val="18"/>
          <w:szCs w:val="18"/>
          <w:lang w:val="en-US" w:eastAsia="zh-CN"/>
        </w:rPr>
        <w:t xml:space="preserve"> </w:t>
      </w:r>
      <w:r>
        <w:rPr>
          <w:rFonts w:ascii="宋体" w:hAnsi="宋体" w:eastAsia="宋体" w:cs="宋体"/>
          <w:color w:val="auto"/>
          <w:sz w:val="18"/>
          <w:szCs w:val="18"/>
        </w:rPr>
        <w:t>本表不适用于已按资格预审文件或招标文件要求提供了其他管理和技术人员的技术特别复杂的特大桥梁和特长隧道项目主体工程以及其他有特殊要求的</w:t>
      </w:r>
      <w:r>
        <w:rPr>
          <w:rFonts w:hint="eastAsia" w:ascii="宋体" w:hAnsi="宋体" w:eastAsia="宋体" w:cs="宋体"/>
          <w:color w:val="auto"/>
          <w:sz w:val="18"/>
          <w:szCs w:val="18"/>
          <w:lang w:eastAsia="zh-CN"/>
        </w:rPr>
        <w:t>工</w:t>
      </w:r>
      <w:r>
        <w:rPr>
          <w:rFonts w:ascii="宋体" w:hAnsi="宋体" w:eastAsia="宋体" w:cs="宋体"/>
          <w:color w:val="auto"/>
          <w:sz w:val="18"/>
          <w:szCs w:val="18"/>
        </w:rPr>
        <w:t>程。</w:t>
      </w:r>
    </w:p>
    <w:p>
      <w:pPr>
        <w:sectPr>
          <w:pgSz w:w="11900" w:h="16840"/>
          <w:pgMar w:top="1247" w:right="1247" w:bottom="1247" w:left="1361" w:header="0" w:footer="0" w:gutter="0"/>
          <w:pgBorders>
            <w:top w:val="none" w:sz="0" w:space="0"/>
            <w:left w:val="none" w:sz="0" w:space="0"/>
            <w:bottom w:val="none" w:sz="0" w:space="0"/>
            <w:right w:val="none" w:sz="0" w:space="0"/>
          </w:pgBorders>
          <w:cols w:equalWidth="0" w:num="1">
            <w:col w:w="9024"/>
          </w:cols>
          <w:rtlGutter w:val="0"/>
          <w:docGrid w:linePitch="0" w:charSpace="0"/>
        </w:sectPr>
      </w:pPr>
    </w:p>
    <w:p>
      <w:pPr>
        <w:spacing w:after="0" w:line="357" w:lineRule="exact"/>
        <w:rPr>
          <w:color w:val="auto"/>
          <w:sz w:val="20"/>
          <w:szCs w:val="20"/>
        </w:rPr>
      </w:pPr>
    </w:p>
    <w:p>
      <w:pPr>
        <w:spacing w:after="0" w:line="274" w:lineRule="exact"/>
        <w:ind w:left="200"/>
        <w:rPr>
          <w:color w:val="auto"/>
          <w:sz w:val="20"/>
          <w:szCs w:val="20"/>
        </w:rPr>
      </w:pPr>
      <w:r>
        <w:rPr>
          <w:rFonts w:ascii="黑体" w:hAnsi="黑体" w:eastAsia="黑体" w:cs="黑体"/>
          <w:color w:val="auto"/>
          <w:sz w:val="24"/>
          <w:szCs w:val="24"/>
        </w:rPr>
        <w:t>附件五：主要机械设备和试验检测设备最低要求</w:t>
      </w:r>
      <w:r>
        <w:rPr>
          <w:rFonts w:ascii="宋体" w:hAnsi="宋体" w:eastAsia="宋体" w:cs="宋体"/>
          <w:b/>
          <w:bCs/>
          <w:color w:val="auto"/>
          <w:sz w:val="24"/>
          <w:szCs w:val="24"/>
          <w:vertAlign w:val="superscript"/>
        </w:rPr>
        <w:t>①</w:t>
      </w:r>
    </w:p>
    <w:p>
      <w:pPr>
        <w:spacing w:after="0" w:line="390" w:lineRule="exact"/>
        <w:rPr>
          <w:color w:val="auto"/>
          <w:sz w:val="20"/>
          <w:szCs w:val="20"/>
        </w:rPr>
      </w:pPr>
    </w:p>
    <w:tbl>
      <w:tblPr>
        <w:tblStyle w:val="10"/>
        <w:tblW w:w="9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80"/>
        <w:gridCol w:w="2280"/>
        <w:gridCol w:w="2280"/>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4"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设备名称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规格、功率及容量</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最低数量要求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7"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7"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7"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7"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7"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7"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7"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7"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7"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7"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7"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7"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5"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spacing w:after="0" w:line="156" w:lineRule="exact"/>
        <w:rPr>
          <w:color w:val="auto"/>
          <w:sz w:val="20"/>
          <w:szCs w:val="20"/>
        </w:rPr>
      </w:pPr>
    </w:p>
    <w:p>
      <w:pPr>
        <w:numPr>
          <w:ilvl w:val="0"/>
          <w:numId w:val="82"/>
        </w:numPr>
        <w:tabs>
          <w:tab w:val="left" w:pos="380"/>
        </w:tabs>
        <w:spacing w:after="0" w:line="269" w:lineRule="exact"/>
        <w:ind w:left="560" w:right="144" w:hanging="356"/>
        <w:jc w:val="left"/>
        <w:rPr>
          <w:color w:val="auto"/>
          <w:sz w:val="20"/>
          <w:szCs w:val="20"/>
        </w:rPr>
      </w:pPr>
      <w:r>
        <w:rPr>
          <w:rFonts w:ascii="Times New Roman" w:hAnsi="Times New Roman" w:eastAsia="Times New Roman" w:cs="Times New Roman"/>
          <w:color w:val="auto"/>
          <w:sz w:val="18"/>
          <w:szCs w:val="18"/>
        </w:rPr>
        <w:t xml:space="preserve">a. </w:t>
      </w:r>
      <w:r>
        <w:rPr>
          <w:rFonts w:ascii="宋体" w:hAnsi="宋体" w:eastAsia="宋体" w:cs="宋体"/>
          <w:color w:val="auto"/>
          <w:sz w:val="18"/>
          <w:szCs w:val="18"/>
        </w:rPr>
        <w:t>招标人应在招标文件中规定若投标人在所投标段中标需提供的主要机械设备和试验检测设备。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p>
    <w:p>
      <w:pPr>
        <w:spacing w:after="0" w:line="94" w:lineRule="exact"/>
        <w:rPr>
          <w:color w:val="auto"/>
          <w:sz w:val="20"/>
          <w:szCs w:val="20"/>
        </w:rPr>
      </w:pPr>
    </w:p>
    <w:p>
      <w:pPr>
        <w:spacing w:after="0" w:line="253" w:lineRule="exact"/>
        <w:ind w:left="660" w:right="144" w:hanging="179"/>
        <w:rPr>
          <w:color w:val="auto"/>
          <w:sz w:val="20"/>
          <w:szCs w:val="20"/>
        </w:rPr>
      </w:pPr>
      <w:r>
        <w:rPr>
          <w:rFonts w:ascii="Times New Roman" w:hAnsi="Times New Roman" w:eastAsia="Times New Roman" w:cs="Times New Roman"/>
          <w:color w:val="auto"/>
          <w:sz w:val="18"/>
          <w:szCs w:val="18"/>
        </w:rPr>
        <w:t>b.</w:t>
      </w:r>
      <w:r>
        <w:rPr>
          <w:rFonts w:ascii="宋体" w:hAnsi="宋体" w:eastAsia="宋体" w:cs="宋体"/>
          <w:color w:val="auto"/>
          <w:sz w:val="18"/>
          <w:szCs w:val="18"/>
        </w:rPr>
        <w:t>本表不适用于已按资格预审文件或招标文件要求提供了主要机械设备和试验检测设备的技术特别复杂的特大桥梁和特长隧道项目主体工程以及其他有特殊要求的工程。</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pacing w:after="0" w:line="274" w:lineRule="exact"/>
        <w:ind w:left="200"/>
        <w:rPr>
          <w:rFonts w:ascii="黑体" w:hAnsi="黑体" w:eastAsia="黑体" w:cs="黑体"/>
          <w:color w:val="auto"/>
          <w:sz w:val="24"/>
          <w:szCs w:val="24"/>
        </w:rPr>
      </w:pPr>
      <w:r>
        <w:rPr>
          <w:rFonts w:ascii="黑体" w:hAnsi="黑体" w:eastAsia="黑体" w:cs="黑体"/>
          <w:color w:val="auto"/>
          <w:sz w:val="24"/>
          <w:szCs w:val="24"/>
        </w:rPr>
        <w:br w:type="page"/>
      </w:r>
    </w:p>
    <w:p>
      <w:pPr>
        <w:spacing w:after="0" w:line="274" w:lineRule="exact"/>
        <w:ind w:left="200"/>
        <w:rPr>
          <w:color w:val="auto"/>
          <w:sz w:val="20"/>
          <w:szCs w:val="20"/>
        </w:rPr>
      </w:pPr>
      <w:r>
        <w:rPr>
          <w:rFonts w:ascii="黑体" w:hAnsi="黑体" w:eastAsia="黑体" w:cs="黑体"/>
          <w:color w:val="auto"/>
          <w:sz w:val="24"/>
          <w:szCs w:val="24"/>
        </w:rPr>
        <w:t>附件六：项目经理委任书</w:t>
      </w:r>
    </w:p>
    <w:p>
      <w:pPr>
        <w:spacing w:after="0" w:line="72" w:lineRule="exact"/>
        <w:rPr>
          <w:color w:val="auto"/>
          <w:sz w:val="20"/>
          <w:szCs w:val="20"/>
        </w:rPr>
      </w:pPr>
    </w:p>
    <w:p>
      <w:pPr>
        <w:spacing w:after="0" w:line="341" w:lineRule="exact"/>
        <w:ind w:right="-55"/>
        <w:jc w:val="center"/>
        <w:rPr>
          <w:color w:val="auto"/>
          <w:sz w:val="20"/>
          <w:szCs w:val="20"/>
        </w:rPr>
      </w:pPr>
      <w:r>
        <w:rPr>
          <w:rFonts w:hint="eastAsia" w:ascii="Times New Roman" w:hAnsi="Times New Roman" w:eastAsia="宋体" w:cs="Times New Roman"/>
          <w:color w:val="auto"/>
          <w:sz w:val="28"/>
          <w:szCs w:val="28"/>
          <w:u w:val="single" w:color="auto"/>
          <w:lang w:val="en-US" w:eastAsia="zh-CN"/>
        </w:rPr>
        <w:t xml:space="preserve">       </w:t>
      </w:r>
      <w:r>
        <w:rPr>
          <w:rFonts w:ascii="Times New Roman" w:hAnsi="Times New Roman" w:eastAsia="Times New Roman" w:cs="Times New Roman"/>
          <w:color w:val="auto"/>
          <w:sz w:val="28"/>
          <w:szCs w:val="28"/>
          <w:u w:val="single" w:color="auto"/>
        </w:rPr>
        <w:t>(</w:t>
      </w:r>
      <w:r>
        <w:rPr>
          <w:rFonts w:ascii="黑体" w:hAnsi="黑体" w:eastAsia="黑体" w:cs="黑体"/>
          <w:color w:val="auto"/>
          <w:sz w:val="28"/>
          <w:szCs w:val="28"/>
          <w:u w:val="single" w:color="auto"/>
        </w:rPr>
        <w:t>承包人全称</w:t>
      </w:r>
      <w:r>
        <w:rPr>
          <w:rFonts w:ascii="Times New Roman" w:hAnsi="Times New Roman" w:eastAsia="Times New Roman" w:cs="Times New Roman"/>
          <w:color w:val="auto"/>
          <w:sz w:val="28"/>
          <w:szCs w:val="28"/>
          <w:u w:val="single" w:color="auto"/>
        </w:rPr>
        <w:t>)</w:t>
      </w:r>
    </w:p>
    <w:p>
      <w:pPr>
        <w:spacing w:after="0" w:line="60" w:lineRule="exact"/>
        <w:rPr>
          <w:color w:val="auto"/>
          <w:sz w:val="20"/>
          <w:szCs w:val="20"/>
        </w:rPr>
      </w:pPr>
    </w:p>
    <w:p>
      <w:pPr>
        <w:spacing w:after="0" w:line="341" w:lineRule="exact"/>
        <w:ind w:right="-55"/>
        <w:jc w:val="center"/>
        <w:rPr>
          <w:color w:val="auto"/>
          <w:sz w:val="20"/>
          <w:szCs w:val="20"/>
        </w:rPr>
      </w:pPr>
      <w:r>
        <w:rPr>
          <w:rFonts w:hint="eastAsia" w:ascii="Times New Roman" w:hAnsi="Times New Roman" w:eastAsia="宋体" w:cs="Times New Roman"/>
          <w:color w:val="auto"/>
          <w:sz w:val="28"/>
          <w:szCs w:val="28"/>
          <w:u w:val="single" w:color="auto"/>
          <w:lang w:val="en-US" w:eastAsia="zh-CN"/>
        </w:rPr>
        <w:t xml:space="preserve">       </w:t>
      </w:r>
      <w:r>
        <w:rPr>
          <w:rFonts w:ascii="Times New Roman" w:hAnsi="Times New Roman" w:eastAsia="Times New Roman" w:cs="Times New Roman"/>
          <w:color w:val="auto"/>
          <w:sz w:val="28"/>
          <w:szCs w:val="28"/>
          <w:u w:val="single" w:color="auto"/>
        </w:rPr>
        <w:t>(</w:t>
      </w:r>
      <w:r>
        <w:rPr>
          <w:rFonts w:ascii="黑体" w:hAnsi="黑体" w:eastAsia="黑体" w:cs="黑体"/>
          <w:color w:val="auto"/>
          <w:sz w:val="28"/>
          <w:szCs w:val="28"/>
          <w:u w:val="single" w:color="auto"/>
        </w:rPr>
        <w:t>合同工程名称</w:t>
      </w:r>
      <w:r>
        <w:rPr>
          <w:rFonts w:ascii="Times New Roman" w:hAnsi="Times New Roman" w:eastAsia="Times New Roman" w:cs="Times New Roman"/>
          <w:color w:val="auto"/>
          <w:sz w:val="28"/>
          <w:szCs w:val="28"/>
          <w:u w:val="single" w:color="auto"/>
        </w:rPr>
        <w:t>)</w:t>
      </w:r>
      <w:r>
        <w:rPr>
          <w:rFonts w:ascii="Times New Roman" w:hAnsi="Times New Roman" w:eastAsia="Times New Roman" w:cs="Times New Roman"/>
          <w:color w:val="auto"/>
          <w:sz w:val="28"/>
          <w:szCs w:val="28"/>
        </w:rPr>
        <w:t xml:space="preserve"> </w:t>
      </w:r>
      <w:r>
        <w:rPr>
          <w:rFonts w:ascii="黑体" w:hAnsi="黑体" w:eastAsia="黑体" w:cs="黑体"/>
          <w:color w:val="auto"/>
          <w:sz w:val="28"/>
          <w:szCs w:val="28"/>
        </w:rPr>
        <w:t>项目经理委任书</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line="292" w:lineRule="exact"/>
        <w:ind w:left="200"/>
        <w:rPr>
          <w:color w:val="auto"/>
          <w:sz w:val="20"/>
          <w:szCs w:val="20"/>
        </w:rPr>
      </w:pPr>
      <w:r>
        <w:rPr>
          <w:rFonts w:ascii="宋体" w:hAnsi="宋体" w:eastAsia="宋体" w:cs="宋体"/>
          <w:color w:val="auto"/>
          <w:sz w:val="24"/>
          <w:szCs w:val="24"/>
        </w:rPr>
        <w:t>致：</w:t>
      </w:r>
      <w:r>
        <w:rPr>
          <w:rFonts w:ascii="Times New Roman" w:hAnsi="Times New Roman" w:eastAsia="Times New Roman" w:cs="Times New Roman"/>
          <w:color w:val="auto"/>
          <w:sz w:val="24"/>
          <w:szCs w:val="24"/>
          <w:u w:val="single" w:color="auto"/>
        </w:rPr>
        <w:t>(</w:t>
      </w:r>
      <w:r>
        <w:rPr>
          <w:rFonts w:ascii="宋体" w:hAnsi="宋体" w:eastAsia="宋体" w:cs="宋体"/>
          <w:color w:val="auto"/>
          <w:sz w:val="24"/>
          <w:szCs w:val="24"/>
          <w:u w:val="single" w:color="auto"/>
        </w:rPr>
        <w:t>发包人全称</w:t>
      </w:r>
      <w:r>
        <w:rPr>
          <w:rFonts w:ascii="Times New Roman" w:hAnsi="Times New Roman" w:eastAsia="Times New Roman" w:cs="Times New Roman"/>
          <w:color w:val="auto"/>
          <w:sz w:val="24"/>
          <w:szCs w:val="24"/>
          <w:u w:val="single" w:color="auto"/>
        </w:rPr>
        <w:t>)</w:t>
      </w:r>
    </w:p>
    <w:p>
      <w:pPr>
        <w:spacing w:after="0" w:line="108" w:lineRule="exact"/>
        <w:rPr>
          <w:color w:val="auto"/>
          <w:sz w:val="20"/>
          <w:szCs w:val="20"/>
        </w:rPr>
      </w:pPr>
    </w:p>
    <w:p>
      <w:pPr>
        <w:spacing w:after="0" w:line="360" w:lineRule="auto"/>
        <w:ind w:right="144" w:firstLine="1200" w:firstLineChars="500"/>
        <w:jc w:val="both"/>
        <w:rPr>
          <w:color w:val="auto"/>
          <w:sz w:val="20"/>
          <w:szCs w:val="20"/>
        </w:rPr>
      </w:pP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(承包人全称) </w:t>
      </w: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(职务、姓名) </w:t>
      </w:r>
      <w:r>
        <w:rPr>
          <w:rFonts w:hint="eastAsia" w:asciiTheme="minorEastAsia" w:hAnsiTheme="minorEastAsia" w:eastAsiaTheme="minorEastAsia" w:cstheme="minorEastAsia"/>
          <w:color w:val="auto"/>
          <w:sz w:val="24"/>
          <w:szCs w:val="24"/>
        </w:rPr>
        <w:t>代表本单位委任</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(职务、姓名)</w:t>
      </w:r>
      <w:r>
        <w:rPr>
          <w:rFonts w:hint="eastAsia" w:asciiTheme="minorEastAsia" w:hAnsiTheme="minorEastAsia" w:eastAsiaTheme="minorEastAsia" w:cstheme="minorEastAsia"/>
          <w:color w:val="auto"/>
          <w:sz w:val="24"/>
          <w:szCs w:val="24"/>
        </w:rPr>
        <w:t xml:space="preserve"> 为</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(合同工程名称)</w:t>
      </w:r>
      <w:r>
        <w:rPr>
          <w:rFonts w:hint="eastAsia" w:asciiTheme="minorEastAsia" w:hAnsiTheme="minorEastAsia" w:eastAsiaTheme="minorEastAsia" w:cstheme="minorEastAsia"/>
          <w:color w:val="auto"/>
          <w:sz w:val="24"/>
          <w:szCs w:val="24"/>
        </w:rPr>
        <w:t>的项目经理。凡本合同执行中的有关技术、工程进度、现场管理、质量检验、结算与支付等方面工作，由</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(姓名) </w:t>
      </w:r>
      <w:r>
        <w:rPr>
          <w:rFonts w:hint="eastAsia" w:asciiTheme="minorEastAsia" w:hAnsiTheme="minorEastAsia" w:eastAsiaTheme="minorEastAsia" w:cstheme="minorEastAsia"/>
          <w:color w:val="auto"/>
          <w:sz w:val="24"/>
          <w:szCs w:val="24"/>
        </w:rPr>
        <w:t>代表本单位全面负责。</w:t>
      </w:r>
    </w:p>
    <w:p>
      <w:pPr>
        <w:spacing w:after="0" w:line="20" w:lineRule="exact"/>
        <w:rPr>
          <w:color w:val="auto"/>
          <w:sz w:val="20"/>
          <w:szCs w:val="20"/>
        </w:rPr>
      </w:pPr>
    </w:p>
    <w:p>
      <w:pPr>
        <w:spacing w:after="0" w:line="200" w:lineRule="exact"/>
        <w:rPr>
          <w:color w:val="auto"/>
          <w:sz w:val="20"/>
          <w:szCs w:val="20"/>
        </w:rPr>
      </w:pPr>
    </w:p>
    <w:p>
      <w:pPr>
        <w:spacing w:after="0" w:line="245" w:lineRule="exact"/>
        <w:rPr>
          <w:color w:val="auto"/>
          <w:sz w:val="20"/>
          <w:szCs w:val="20"/>
        </w:rPr>
      </w:pPr>
    </w:p>
    <w:tbl>
      <w:tblPr>
        <w:tblStyle w:val="10"/>
        <w:tblW w:w="4640" w:type="dxa"/>
        <w:tblInd w:w="4040" w:type="dxa"/>
        <w:tblLayout w:type="fixed"/>
        <w:tblCellMar>
          <w:top w:w="0" w:type="dxa"/>
          <w:left w:w="0" w:type="dxa"/>
          <w:bottom w:w="0" w:type="dxa"/>
          <w:right w:w="0" w:type="dxa"/>
        </w:tblCellMar>
      </w:tblPr>
      <w:tblGrid>
        <w:gridCol w:w="960"/>
        <w:gridCol w:w="840"/>
        <w:gridCol w:w="400"/>
        <w:gridCol w:w="80"/>
        <w:gridCol w:w="360"/>
        <w:gridCol w:w="240"/>
        <w:gridCol w:w="600"/>
        <w:gridCol w:w="240"/>
        <w:gridCol w:w="600"/>
        <w:gridCol w:w="280"/>
        <w:gridCol w:w="40"/>
      </w:tblGrid>
      <w:tr>
        <w:tblPrEx>
          <w:tblCellMar>
            <w:top w:w="0" w:type="dxa"/>
            <w:left w:w="0" w:type="dxa"/>
            <w:bottom w:w="0" w:type="dxa"/>
            <w:right w:w="0" w:type="dxa"/>
          </w:tblCellMar>
        </w:tblPrEx>
        <w:trPr>
          <w:trHeight w:val="292" w:hRule="atLeast"/>
        </w:trPr>
        <w:tc>
          <w:tcPr>
            <w:tcW w:w="2880" w:type="dxa"/>
            <w:gridSpan w:val="6"/>
            <w:vAlign w:val="bottom"/>
          </w:tcPr>
          <w:p>
            <w:pPr>
              <w:spacing w:after="0" w:line="274" w:lineRule="exact"/>
              <w:rPr>
                <w:color w:val="auto"/>
                <w:sz w:val="20"/>
                <w:szCs w:val="20"/>
              </w:rPr>
            </w:pPr>
            <w:r>
              <w:rPr>
                <w:rFonts w:ascii="宋体" w:hAnsi="宋体" w:eastAsia="宋体" w:cs="宋体"/>
                <w:color w:val="auto"/>
                <w:sz w:val="24"/>
                <w:szCs w:val="24"/>
              </w:rPr>
              <w:t>承包人：</w:t>
            </w:r>
          </w:p>
        </w:tc>
        <w:tc>
          <w:tcPr>
            <w:tcW w:w="600" w:type="dxa"/>
            <w:vAlign w:val="bottom"/>
          </w:tcPr>
          <w:p>
            <w:pPr>
              <w:spacing w:after="0"/>
              <w:rPr>
                <w:color w:val="auto"/>
                <w:sz w:val="24"/>
                <w:szCs w:val="24"/>
              </w:rPr>
            </w:pPr>
          </w:p>
        </w:tc>
        <w:tc>
          <w:tcPr>
            <w:tcW w:w="1160" w:type="dxa"/>
            <w:gridSpan w:val="4"/>
            <w:vAlign w:val="bottom"/>
          </w:tcPr>
          <w:p>
            <w:pPr>
              <w:spacing w:after="0" w:line="292" w:lineRule="exact"/>
              <w:rPr>
                <w:color w:val="auto"/>
                <w:sz w:val="20"/>
                <w:szCs w:val="20"/>
              </w:rPr>
            </w:pPr>
            <w:r>
              <w:rPr>
                <w:rFonts w:ascii="Times New Roman" w:hAnsi="Times New Roman" w:eastAsia="Times New Roman" w:cs="Times New Roman"/>
                <w:color w:val="auto"/>
                <w:sz w:val="24"/>
                <w:szCs w:val="24"/>
              </w:rPr>
              <w:t>(</w:t>
            </w:r>
            <w:r>
              <w:rPr>
                <w:rFonts w:ascii="宋体" w:hAnsi="宋体" w:eastAsia="宋体" w:cs="宋体"/>
                <w:color w:val="auto"/>
                <w:sz w:val="24"/>
                <w:szCs w:val="24"/>
              </w:rPr>
              <w:t>盖单位章</w:t>
            </w: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20" w:hRule="atLeast"/>
        </w:trPr>
        <w:tc>
          <w:tcPr>
            <w:tcW w:w="960" w:type="dxa"/>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400" w:type="dxa"/>
            <w:shd w:val="clear" w:color="auto" w:fill="000000"/>
            <w:vAlign w:val="bottom"/>
          </w:tcPr>
          <w:p>
            <w:pPr>
              <w:spacing w:after="0" w:line="20" w:lineRule="exact"/>
              <w:rPr>
                <w:color w:val="auto"/>
                <w:sz w:val="1"/>
                <w:szCs w:val="1"/>
              </w:rPr>
            </w:pPr>
          </w:p>
        </w:tc>
        <w:tc>
          <w:tcPr>
            <w:tcW w:w="80" w:type="dxa"/>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600" w:type="dxa"/>
            <w:shd w:val="clear" w:color="auto" w:fill="000000"/>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600" w:type="dxa"/>
            <w:vAlign w:val="bottom"/>
          </w:tcPr>
          <w:p>
            <w:pPr>
              <w:spacing w:after="0" w:line="20" w:lineRule="exact"/>
              <w:rPr>
                <w:color w:val="auto"/>
                <w:sz w:val="1"/>
                <w:szCs w:val="1"/>
              </w:rPr>
            </w:pPr>
          </w:p>
        </w:tc>
        <w:tc>
          <w:tcPr>
            <w:tcW w:w="28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82" w:hRule="atLeast"/>
        </w:trPr>
        <w:tc>
          <w:tcPr>
            <w:tcW w:w="2880" w:type="dxa"/>
            <w:gridSpan w:val="6"/>
            <w:vAlign w:val="bottom"/>
          </w:tcPr>
          <w:p>
            <w:pPr>
              <w:spacing w:after="0" w:line="274" w:lineRule="exact"/>
              <w:ind w:left="760"/>
              <w:rPr>
                <w:color w:val="auto"/>
                <w:sz w:val="20"/>
                <w:szCs w:val="20"/>
              </w:rPr>
            </w:pPr>
            <w:r>
              <w:rPr>
                <w:rFonts w:ascii="宋体" w:hAnsi="宋体" w:eastAsia="宋体" w:cs="宋体"/>
                <w:color w:val="auto"/>
                <w:sz w:val="24"/>
                <w:szCs w:val="24"/>
              </w:rPr>
              <w:t>法定代表人：</w:t>
            </w:r>
          </w:p>
        </w:tc>
        <w:tc>
          <w:tcPr>
            <w:tcW w:w="1440" w:type="dxa"/>
            <w:gridSpan w:val="3"/>
            <w:vAlign w:val="bottom"/>
          </w:tcPr>
          <w:p>
            <w:pPr>
              <w:spacing w:after="0" w:line="292" w:lineRule="exact"/>
              <w:ind w:left="160"/>
              <w:rPr>
                <w:color w:val="auto"/>
                <w:sz w:val="20"/>
                <w:szCs w:val="20"/>
              </w:rPr>
            </w:pPr>
            <w:r>
              <w:rPr>
                <w:rFonts w:ascii="Times New Roman" w:hAnsi="Times New Roman" w:eastAsia="Times New Roman" w:cs="Times New Roman"/>
                <w:color w:val="auto"/>
                <w:sz w:val="24"/>
                <w:szCs w:val="24"/>
              </w:rPr>
              <w:t>(</w:t>
            </w:r>
            <w:r>
              <w:rPr>
                <w:rFonts w:ascii="宋体" w:hAnsi="宋体" w:eastAsia="宋体" w:cs="宋体"/>
                <w:color w:val="auto"/>
                <w:sz w:val="24"/>
                <w:szCs w:val="24"/>
              </w:rPr>
              <w:t>职务</w:t>
            </w:r>
            <w:r>
              <w:rPr>
                <w:rFonts w:ascii="Times New Roman" w:hAnsi="Times New Roman" w:eastAsia="Times New Roman" w:cs="Times New Roman"/>
                <w:color w:val="auto"/>
                <w:sz w:val="24"/>
                <w:szCs w:val="24"/>
              </w:rPr>
              <w:t>)</w:t>
            </w:r>
          </w:p>
        </w:tc>
        <w:tc>
          <w:tcPr>
            <w:tcW w:w="280" w:type="dxa"/>
            <w:vAlign w:val="bottom"/>
          </w:tcPr>
          <w:p>
            <w:pPr>
              <w:spacing w:after="0"/>
              <w:rPr>
                <w:color w:val="auto"/>
                <w:sz w:val="24"/>
                <w:szCs w:val="24"/>
              </w:rPr>
            </w:pPr>
          </w:p>
        </w:tc>
        <w:tc>
          <w:tcPr>
            <w:tcW w:w="40" w:type="dxa"/>
            <w:vAlign w:val="bottom"/>
          </w:tcPr>
          <w:p>
            <w:pPr>
              <w:spacing w:after="0"/>
              <w:rPr>
                <w:color w:val="auto"/>
                <w:sz w:val="24"/>
                <w:szCs w:val="24"/>
              </w:rPr>
            </w:pPr>
          </w:p>
        </w:tc>
      </w:tr>
      <w:tr>
        <w:tblPrEx>
          <w:tblCellMar>
            <w:top w:w="0" w:type="dxa"/>
            <w:left w:w="0" w:type="dxa"/>
            <w:bottom w:w="0" w:type="dxa"/>
            <w:right w:w="0" w:type="dxa"/>
          </w:tblCellMar>
        </w:tblPrEx>
        <w:trPr>
          <w:trHeight w:val="380" w:hRule="atLeast"/>
        </w:trPr>
        <w:tc>
          <w:tcPr>
            <w:tcW w:w="96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80" w:type="dxa"/>
            <w:tcBorders>
              <w:top w:val="single" w:color="auto" w:sz="8" w:space="0"/>
            </w:tcBorders>
            <w:vAlign w:val="bottom"/>
          </w:tcPr>
          <w:p>
            <w:pPr>
              <w:spacing w:after="0"/>
              <w:rPr>
                <w:color w:val="auto"/>
                <w:sz w:val="24"/>
                <w:szCs w:val="24"/>
              </w:rPr>
            </w:pPr>
          </w:p>
        </w:tc>
        <w:tc>
          <w:tcPr>
            <w:tcW w:w="360" w:type="dxa"/>
            <w:tcBorders>
              <w:top w:val="single" w:color="auto" w:sz="8" w:space="0"/>
              <w:bottom w:val="single" w:color="auto" w:sz="8" w:space="0"/>
            </w:tcBorders>
            <w:vAlign w:val="bottom"/>
          </w:tcPr>
          <w:p>
            <w:pPr>
              <w:spacing w:after="0"/>
              <w:rPr>
                <w:color w:val="auto"/>
                <w:sz w:val="24"/>
                <w:szCs w:val="24"/>
              </w:rPr>
            </w:pPr>
          </w:p>
        </w:tc>
        <w:tc>
          <w:tcPr>
            <w:tcW w:w="240" w:type="dxa"/>
            <w:tcBorders>
              <w:top w:val="single" w:color="auto" w:sz="8" w:space="0"/>
              <w:bottom w:val="single" w:color="auto" w:sz="8" w:space="0"/>
            </w:tcBorders>
            <w:vAlign w:val="bottom"/>
          </w:tcPr>
          <w:p>
            <w:pPr>
              <w:spacing w:after="0"/>
              <w:rPr>
                <w:color w:val="auto"/>
                <w:sz w:val="24"/>
                <w:szCs w:val="24"/>
              </w:rPr>
            </w:pPr>
          </w:p>
        </w:tc>
        <w:tc>
          <w:tcPr>
            <w:tcW w:w="1440" w:type="dxa"/>
            <w:gridSpan w:val="3"/>
            <w:tcBorders>
              <w:top w:val="single" w:color="auto" w:sz="8" w:space="0"/>
              <w:bottom w:val="single" w:color="auto" w:sz="8" w:space="0"/>
            </w:tcBorders>
            <w:vAlign w:val="bottom"/>
          </w:tcPr>
          <w:p>
            <w:pPr>
              <w:spacing w:after="0" w:line="292" w:lineRule="exact"/>
              <w:ind w:left="240"/>
              <w:rPr>
                <w:color w:val="auto"/>
                <w:sz w:val="20"/>
                <w:szCs w:val="20"/>
              </w:rPr>
            </w:pPr>
            <w:r>
              <w:rPr>
                <w:rFonts w:ascii="Times New Roman" w:hAnsi="Times New Roman" w:eastAsia="Times New Roman" w:cs="Times New Roman"/>
                <w:color w:val="auto"/>
                <w:sz w:val="24"/>
                <w:szCs w:val="24"/>
              </w:rPr>
              <w:t>(</w:t>
            </w:r>
            <w:r>
              <w:rPr>
                <w:rFonts w:ascii="宋体" w:hAnsi="宋体" w:eastAsia="宋体" w:cs="宋体"/>
                <w:color w:val="auto"/>
                <w:sz w:val="24"/>
                <w:szCs w:val="24"/>
              </w:rPr>
              <w:t>姓名</w:t>
            </w:r>
            <w:r>
              <w:rPr>
                <w:rFonts w:ascii="Times New Roman" w:hAnsi="Times New Roman" w:eastAsia="Times New Roman" w:cs="Times New Roman"/>
                <w:color w:val="auto"/>
                <w:sz w:val="24"/>
                <w:szCs w:val="24"/>
              </w:rPr>
              <w:t>)</w:t>
            </w:r>
          </w:p>
        </w:tc>
        <w:tc>
          <w:tcPr>
            <w:tcW w:w="280" w:type="dxa"/>
            <w:tcBorders>
              <w:top w:val="single" w:color="auto" w:sz="8" w:space="0"/>
              <w:bottom w:val="single" w:color="auto" w:sz="8" w:space="0"/>
            </w:tcBorders>
            <w:vAlign w:val="bottom"/>
          </w:tcPr>
          <w:p>
            <w:pPr>
              <w:spacing w:after="0"/>
              <w:rPr>
                <w:color w:val="auto"/>
                <w:sz w:val="24"/>
                <w:szCs w:val="24"/>
              </w:rPr>
            </w:pPr>
          </w:p>
        </w:tc>
        <w:tc>
          <w:tcPr>
            <w:tcW w:w="40" w:type="dxa"/>
            <w:tcBorders>
              <w:top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80" w:hRule="atLeast"/>
        </w:trPr>
        <w:tc>
          <w:tcPr>
            <w:tcW w:w="96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360" w:type="dxa"/>
            <w:tcBorders>
              <w:bottom w:val="single" w:color="auto" w:sz="8" w:space="0"/>
            </w:tcBorders>
            <w:vAlign w:val="bottom"/>
          </w:tcPr>
          <w:p>
            <w:pPr>
              <w:spacing w:after="0"/>
              <w:rPr>
                <w:color w:val="auto"/>
                <w:sz w:val="24"/>
                <w:szCs w:val="24"/>
              </w:rPr>
            </w:pPr>
          </w:p>
        </w:tc>
        <w:tc>
          <w:tcPr>
            <w:tcW w:w="240" w:type="dxa"/>
            <w:tcBorders>
              <w:bottom w:val="single" w:color="auto" w:sz="8" w:space="0"/>
            </w:tcBorders>
            <w:vAlign w:val="bottom"/>
          </w:tcPr>
          <w:p>
            <w:pPr>
              <w:spacing w:after="0"/>
              <w:rPr>
                <w:color w:val="auto"/>
                <w:sz w:val="24"/>
                <w:szCs w:val="24"/>
              </w:rPr>
            </w:pPr>
          </w:p>
        </w:tc>
        <w:tc>
          <w:tcPr>
            <w:tcW w:w="1440" w:type="dxa"/>
            <w:gridSpan w:val="3"/>
            <w:tcBorders>
              <w:bottom w:val="single" w:color="auto" w:sz="8" w:space="0"/>
            </w:tcBorders>
            <w:vAlign w:val="bottom"/>
          </w:tcPr>
          <w:p>
            <w:pPr>
              <w:spacing w:after="0" w:line="292" w:lineRule="exact"/>
              <w:ind w:left="240"/>
              <w:rPr>
                <w:color w:val="auto"/>
                <w:sz w:val="20"/>
                <w:szCs w:val="20"/>
              </w:rPr>
            </w:pPr>
            <w:r>
              <w:rPr>
                <w:rFonts w:ascii="Times New Roman" w:hAnsi="Times New Roman" w:eastAsia="Times New Roman" w:cs="Times New Roman"/>
                <w:color w:val="auto"/>
                <w:sz w:val="24"/>
                <w:szCs w:val="24"/>
              </w:rPr>
              <w:t>(</w:t>
            </w:r>
            <w:r>
              <w:rPr>
                <w:rFonts w:ascii="宋体" w:hAnsi="宋体" w:eastAsia="宋体" w:cs="宋体"/>
                <w:color w:val="auto"/>
                <w:sz w:val="24"/>
                <w:szCs w:val="24"/>
              </w:rPr>
              <w:t>签字</w:t>
            </w:r>
            <w:r>
              <w:rPr>
                <w:rFonts w:ascii="Times New Roman" w:hAnsi="Times New Roman" w:eastAsia="Times New Roman" w:cs="Times New Roman"/>
                <w:color w:val="auto"/>
                <w:sz w:val="24"/>
                <w:szCs w:val="24"/>
              </w:rPr>
              <w:t>)</w:t>
            </w:r>
          </w:p>
        </w:tc>
        <w:tc>
          <w:tcPr>
            <w:tcW w:w="280" w:type="dxa"/>
            <w:tcBorders>
              <w:bottom w:val="single" w:color="auto" w:sz="8" w:space="0"/>
            </w:tcBorders>
            <w:vAlign w:val="bottom"/>
          </w:tcPr>
          <w:p>
            <w:pPr>
              <w:spacing w:after="0"/>
              <w:rPr>
                <w:color w:val="auto"/>
                <w:sz w:val="24"/>
                <w:szCs w:val="24"/>
              </w:rPr>
            </w:pPr>
          </w:p>
        </w:tc>
        <w:tc>
          <w:tcPr>
            <w:tcW w:w="40" w:type="dxa"/>
            <w:vAlign w:val="bottom"/>
          </w:tcPr>
          <w:p>
            <w:pPr>
              <w:spacing w:after="0"/>
              <w:rPr>
                <w:color w:val="auto"/>
                <w:sz w:val="24"/>
                <w:szCs w:val="24"/>
              </w:rPr>
            </w:pPr>
          </w:p>
        </w:tc>
      </w:tr>
      <w:tr>
        <w:tblPrEx>
          <w:tblCellMar>
            <w:top w:w="0" w:type="dxa"/>
            <w:left w:w="0" w:type="dxa"/>
            <w:bottom w:w="0" w:type="dxa"/>
            <w:right w:w="0" w:type="dxa"/>
          </w:tblCellMar>
        </w:tblPrEx>
        <w:trPr>
          <w:trHeight w:val="380" w:hRule="atLeast"/>
        </w:trPr>
        <w:tc>
          <w:tcPr>
            <w:tcW w:w="96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240" w:type="dxa"/>
            <w:vAlign w:val="bottom"/>
          </w:tcPr>
          <w:p>
            <w:pPr>
              <w:spacing w:after="0" w:line="274" w:lineRule="exact"/>
              <w:rPr>
                <w:color w:val="auto"/>
                <w:sz w:val="20"/>
                <w:szCs w:val="20"/>
              </w:rPr>
            </w:pPr>
            <w:r>
              <w:rPr>
                <w:rFonts w:ascii="宋体" w:hAnsi="宋体" w:eastAsia="宋体" w:cs="宋体"/>
                <w:color w:val="auto"/>
                <w:w w:val="91"/>
                <w:sz w:val="24"/>
                <w:szCs w:val="24"/>
              </w:rPr>
              <w:t>年</w:t>
            </w:r>
          </w:p>
        </w:tc>
        <w:tc>
          <w:tcPr>
            <w:tcW w:w="600" w:type="dxa"/>
            <w:vAlign w:val="bottom"/>
          </w:tcPr>
          <w:p>
            <w:pPr>
              <w:spacing w:after="0"/>
              <w:rPr>
                <w:color w:val="auto"/>
                <w:sz w:val="24"/>
                <w:szCs w:val="24"/>
              </w:rPr>
            </w:pPr>
          </w:p>
        </w:tc>
        <w:tc>
          <w:tcPr>
            <w:tcW w:w="840" w:type="dxa"/>
            <w:gridSpan w:val="2"/>
            <w:vAlign w:val="bottom"/>
          </w:tcPr>
          <w:p>
            <w:pPr>
              <w:spacing w:after="0" w:line="274" w:lineRule="exact"/>
              <w:rPr>
                <w:color w:val="auto"/>
                <w:sz w:val="20"/>
                <w:szCs w:val="20"/>
              </w:rPr>
            </w:pPr>
            <w:r>
              <w:rPr>
                <w:rFonts w:ascii="宋体" w:hAnsi="宋体" w:eastAsia="宋体" w:cs="宋体"/>
                <w:color w:val="auto"/>
                <w:sz w:val="24"/>
                <w:szCs w:val="24"/>
              </w:rPr>
              <w:t>月</w:t>
            </w:r>
          </w:p>
        </w:tc>
        <w:tc>
          <w:tcPr>
            <w:tcW w:w="320" w:type="dxa"/>
            <w:gridSpan w:val="2"/>
            <w:vAlign w:val="bottom"/>
          </w:tcPr>
          <w:p>
            <w:pPr>
              <w:spacing w:after="0" w:line="274" w:lineRule="exact"/>
              <w:rPr>
                <w:color w:val="auto"/>
                <w:sz w:val="20"/>
                <w:szCs w:val="20"/>
              </w:rPr>
            </w:pPr>
            <w:r>
              <w:rPr>
                <w:rFonts w:ascii="宋体" w:hAnsi="宋体" w:eastAsia="宋体" w:cs="宋体"/>
                <w:color w:val="auto"/>
                <w:sz w:val="24"/>
                <w:szCs w:val="24"/>
              </w:rPr>
              <w:t>日</w:t>
            </w:r>
          </w:p>
        </w:tc>
      </w:tr>
      <w:tr>
        <w:tblPrEx>
          <w:tblCellMar>
            <w:top w:w="0" w:type="dxa"/>
            <w:left w:w="0" w:type="dxa"/>
            <w:bottom w:w="0" w:type="dxa"/>
            <w:right w:w="0" w:type="dxa"/>
          </w:tblCellMar>
        </w:tblPrEx>
        <w:trPr>
          <w:trHeight w:val="20" w:hRule="atLeast"/>
        </w:trPr>
        <w:tc>
          <w:tcPr>
            <w:tcW w:w="960" w:type="dxa"/>
            <w:vAlign w:val="bottom"/>
          </w:tcPr>
          <w:p>
            <w:pPr>
              <w:spacing w:after="0" w:line="20" w:lineRule="exact"/>
              <w:rPr>
                <w:color w:val="auto"/>
                <w:sz w:val="1"/>
                <w:szCs w:val="1"/>
              </w:rPr>
            </w:pPr>
          </w:p>
        </w:tc>
        <w:tc>
          <w:tcPr>
            <w:tcW w:w="840" w:type="dxa"/>
            <w:vAlign w:val="bottom"/>
          </w:tcPr>
          <w:p>
            <w:pPr>
              <w:spacing w:after="0" w:line="20" w:lineRule="exact"/>
              <w:rPr>
                <w:color w:val="auto"/>
                <w:sz w:val="1"/>
                <w:szCs w:val="1"/>
              </w:rPr>
            </w:pPr>
          </w:p>
        </w:tc>
        <w:tc>
          <w:tcPr>
            <w:tcW w:w="400" w:type="dxa"/>
            <w:shd w:val="clear" w:color="auto" w:fill="000000"/>
            <w:vAlign w:val="bottom"/>
          </w:tcPr>
          <w:p>
            <w:pPr>
              <w:spacing w:after="0" w:line="20" w:lineRule="exact"/>
              <w:rPr>
                <w:color w:val="auto"/>
                <w:sz w:val="1"/>
                <w:szCs w:val="1"/>
              </w:rPr>
            </w:pPr>
          </w:p>
        </w:tc>
        <w:tc>
          <w:tcPr>
            <w:tcW w:w="80" w:type="dxa"/>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600" w:type="dxa"/>
            <w:shd w:val="clear" w:color="auto" w:fill="000000"/>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600" w:type="dxa"/>
            <w:shd w:val="clear" w:color="auto" w:fill="000000"/>
            <w:vAlign w:val="bottom"/>
          </w:tcPr>
          <w:p>
            <w:pPr>
              <w:spacing w:after="0" w:line="20" w:lineRule="exact"/>
              <w:rPr>
                <w:color w:val="auto"/>
                <w:sz w:val="1"/>
                <w:szCs w:val="1"/>
              </w:rPr>
            </w:pPr>
          </w:p>
        </w:tc>
        <w:tc>
          <w:tcPr>
            <w:tcW w:w="28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1" w:lineRule="exact"/>
        <w:rPr>
          <w:color w:val="auto"/>
          <w:sz w:val="20"/>
          <w:szCs w:val="20"/>
        </w:rPr>
      </w:pPr>
    </w:p>
    <w:p>
      <w:pPr>
        <w:tabs>
          <w:tab w:val="left" w:pos="1140"/>
        </w:tabs>
        <w:spacing w:after="0" w:line="292" w:lineRule="exact"/>
        <w:ind w:left="200"/>
        <w:rPr>
          <w:color w:val="auto"/>
          <w:sz w:val="20"/>
          <w:szCs w:val="20"/>
        </w:rPr>
      </w:pPr>
      <w:r>
        <w:rPr>
          <w:rFonts w:ascii="宋体" w:hAnsi="宋体" w:eastAsia="宋体" w:cs="宋体"/>
          <w:color w:val="auto"/>
          <w:sz w:val="24"/>
          <w:szCs w:val="24"/>
        </w:rPr>
        <w:t>抄送：</w:t>
      </w:r>
      <w:r>
        <w:rPr>
          <w:color w:val="auto"/>
          <w:sz w:val="20"/>
          <w:szCs w:val="20"/>
        </w:rPr>
        <w:tab/>
      </w:r>
      <w:r>
        <w:rPr>
          <w:rFonts w:ascii="Times New Roman" w:hAnsi="Times New Roman" w:eastAsia="Times New Roman" w:cs="Times New Roman"/>
          <w:color w:val="auto"/>
          <w:sz w:val="24"/>
          <w:szCs w:val="24"/>
        </w:rPr>
        <w:t>(</w:t>
      </w:r>
      <w:r>
        <w:rPr>
          <w:rFonts w:ascii="宋体" w:hAnsi="宋体" w:eastAsia="宋体" w:cs="宋体"/>
          <w:color w:val="auto"/>
          <w:sz w:val="24"/>
          <w:szCs w:val="24"/>
        </w:rPr>
        <w:t>监理人</w:t>
      </w:r>
      <w:r>
        <w:rPr>
          <w:rFonts w:ascii="Times New Roman" w:hAnsi="Times New Roman" w:eastAsia="Times New Roman" w:cs="Times New Roman"/>
          <w:color w:val="auto"/>
          <w:sz w:val="24"/>
          <w:szCs w:val="24"/>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586105</wp:posOffset>
                </wp:positionH>
                <wp:positionV relativeFrom="paragraph">
                  <wp:posOffset>-9525</wp:posOffset>
                </wp:positionV>
                <wp:extent cx="864235" cy="0"/>
                <wp:effectExtent l="0" t="0" r="0" b="0"/>
                <wp:wrapNone/>
                <wp:docPr id="524" name="Shape 524"/>
                <wp:cNvGraphicFramePr/>
                <a:graphic xmlns:a="http://schemas.openxmlformats.org/drawingml/2006/main">
                  <a:graphicData uri="http://schemas.microsoft.com/office/word/2010/wordprocessingShape">
                    <wps:wsp>
                      <wps:cNvCnPr/>
                      <wps:spPr>
                        <a:xfrm>
                          <a:off x="0" y="0"/>
                          <a:ext cx="864235" cy="4763"/>
                        </a:xfrm>
                        <a:prstGeom prst="line">
                          <a:avLst/>
                        </a:prstGeom>
                        <a:solidFill>
                          <a:srgbClr val="FFFFFF"/>
                        </a:solidFill>
                        <a:ln w="7620">
                          <a:solidFill>
                            <a:srgbClr val="000000"/>
                          </a:solidFill>
                          <a:miter lim="800000"/>
                        </a:ln>
                      </wps:spPr>
                      <wps:bodyPr/>
                    </wps:wsp>
                  </a:graphicData>
                </a:graphic>
              </wp:anchor>
            </w:drawing>
          </mc:Choice>
          <mc:Fallback>
            <w:pict>
              <v:line id="Shape 524" o:spid="_x0000_s1026" o:spt="20" style="position:absolute;left:0pt;margin-left:46.15pt;margin-top:-0.75pt;height:0pt;width:68.05pt;z-index:-251658240;mso-width-relative:page;mso-height-relative:page;" fillcolor="#FFFFFF" filled="t" stroked="t" coordsize="21600,21600" o:allowincell="f" o:gfxdata="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F5F1ntYAAAAI&#10;AQAADwAAAAAAAAABACAAAAA4AAAAZHJzL2Rvd25yZXYueG1sUEsBAhQAFAAAAAgAh07iQDkMc0KW&#10;AQAATgMAAA4AAAAAAAAAAQAgAAAAOwEAAGRycy9lMm9Eb2MueG1sUEsFBgAAAAAGAAYAWQEAAEMF&#10;AAAAAA==&#10;">
                <v:fill on="t" focussize="0,0"/>
                <v:stroke weight="0.6pt" color="#000000" miterlimit="8" joinstyle="miter"/>
                <v:imagedata o:title=""/>
                <o:lock v:ext="edit" aspectratio="f"/>
              </v:line>
            </w:pict>
          </mc:Fallback>
        </mc:AlternateContent>
      </w:r>
    </w:p>
    <w:p>
      <w:pPr>
        <w:sectPr>
          <w:pgSz w:w="11900" w:h="16840"/>
          <w:pgMar w:top="1247" w:right="1247" w:bottom="1247" w:left="1361" w:header="0" w:footer="0" w:gutter="0"/>
          <w:pgBorders>
            <w:top w:val="none" w:sz="0" w:space="0"/>
            <w:left w:val="none" w:sz="0" w:space="0"/>
            <w:bottom w:val="none" w:sz="0" w:space="0"/>
            <w:right w:val="none" w:sz="0" w:space="0"/>
          </w:pgBorders>
          <w:cols w:equalWidth="0" w:num="1">
            <w:col w:w="9024"/>
          </w:cols>
          <w:rtlGutter w:val="0"/>
          <w:docGrid w:linePitch="0" w:charSpace="0"/>
        </w:sectPr>
      </w:pPr>
    </w:p>
    <w:p>
      <w:pPr>
        <w:spacing w:beforeLines="0" w:afterLines="0"/>
        <w:jc w:val="left"/>
        <w:rPr>
          <w:rFonts w:hint="eastAsia" w:ascii="黑体" w:hAnsi="黑体" w:eastAsia="黑体"/>
          <w:sz w:val="24"/>
        </w:rPr>
      </w:pPr>
      <w:r>
        <w:rPr>
          <w:rFonts w:hint="eastAsia" w:ascii="黑体" w:hAnsi="黑体" w:eastAsia="黑体"/>
          <w:sz w:val="24"/>
        </w:rPr>
        <w:t>附件七：履约担保格式</w:t>
      </w:r>
    </w:p>
    <w:p>
      <w:pPr>
        <w:spacing w:beforeLines="0" w:afterLines="0"/>
        <w:jc w:val="center"/>
        <w:rPr>
          <w:rFonts w:hint="eastAsia" w:ascii="黑体" w:hAnsi="黑体" w:eastAsia="黑体"/>
          <w:sz w:val="28"/>
        </w:rPr>
      </w:pPr>
    </w:p>
    <w:p>
      <w:pPr>
        <w:spacing w:beforeLines="0" w:afterLines="0"/>
        <w:jc w:val="center"/>
        <w:rPr>
          <w:rFonts w:hint="eastAsia" w:ascii="黑体" w:hAnsi="黑体" w:eastAsia="黑体"/>
          <w:sz w:val="28"/>
        </w:rPr>
      </w:pPr>
      <w:r>
        <w:rPr>
          <w:rFonts w:hint="eastAsia" w:ascii="黑体" w:hAnsi="黑体" w:eastAsia="黑体"/>
          <w:sz w:val="28"/>
        </w:rPr>
        <w:t>履 约 担 保</w:t>
      </w:r>
    </w:p>
    <w:p>
      <w:pPr>
        <w:spacing w:beforeLines="0" w:afterLines="0"/>
        <w:jc w:val="center"/>
        <w:rPr>
          <w:rFonts w:hint="eastAsia" w:ascii="黑体" w:hAnsi="黑体" w:eastAsia="黑体"/>
          <w:sz w:val="28"/>
        </w:rPr>
      </w:pPr>
    </w:p>
    <w:p>
      <w:pPr>
        <w:spacing w:beforeLines="0" w:afterLines="0" w:line="360" w:lineRule="auto"/>
        <w:jc w:val="left"/>
        <w:rPr>
          <w:rFonts w:hint="eastAsia" w:ascii="宋体" w:hAnsi="宋体" w:eastAsia="宋体"/>
          <w:sz w:val="24"/>
        </w:rPr>
      </w:pPr>
      <w:r>
        <w:rPr>
          <w:rFonts w:hint="eastAsia" w:ascii="宋体" w:hAnsi="宋体" w:eastAsia="宋体"/>
          <w:sz w:val="24"/>
          <w:u w:val="single"/>
          <w:lang w:val="en-US" w:eastAsia="zh-CN"/>
        </w:rPr>
        <w:t xml:space="preserve">               </w:t>
      </w:r>
      <w:r>
        <w:rPr>
          <w:rFonts w:hint="eastAsia" w:ascii="宋体" w:hAnsi="宋体" w:eastAsia="宋体"/>
          <w:sz w:val="24"/>
          <w:u w:val="single"/>
        </w:rPr>
        <w:t xml:space="preserve"> </w:t>
      </w:r>
      <w:r>
        <w:rPr>
          <w:rFonts w:hint="default" w:ascii="TimesNewRomanPSMT" w:hAnsi="TimesNewRomanPSMT" w:eastAsia="TimesNewRomanPSMT"/>
          <w:sz w:val="24"/>
        </w:rPr>
        <w:t>(</w:t>
      </w:r>
      <w:r>
        <w:rPr>
          <w:rFonts w:hint="eastAsia" w:ascii="宋体" w:hAnsi="宋体" w:eastAsia="宋体"/>
          <w:sz w:val="24"/>
        </w:rPr>
        <w:t>发包人名称</w:t>
      </w:r>
      <w:r>
        <w:rPr>
          <w:rFonts w:hint="default" w:ascii="TimesNewRomanPSMT" w:hAnsi="TimesNewRomanPSMT" w:eastAsia="TimesNewRomanPSMT"/>
          <w:sz w:val="24"/>
        </w:rPr>
        <w:t>)</w:t>
      </w:r>
      <w:r>
        <w:rPr>
          <w:rFonts w:hint="eastAsia" w:ascii="宋体" w:hAnsi="宋体" w:eastAsia="宋体"/>
          <w:sz w:val="24"/>
        </w:rPr>
        <w:t>：</w:t>
      </w:r>
    </w:p>
    <w:p>
      <w:pPr>
        <w:spacing w:beforeLines="0" w:afterLines="0" w:line="360" w:lineRule="auto"/>
        <w:jc w:val="left"/>
        <w:rPr>
          <w:rFonts w:hint="eastAsia" w:asciiTheme="minorEastAsia" w:hAnsiTheme="minorEastAsia" w:eastAsiaTheme="minorEastAsia" w:cstheme="minorEastAsia"/>
          <w:sz w:val="24"/>
          <w:szCs w:val="24"/>
        </w:rPr>
      </w:pPr>
    </w:p>
    <w:p>
      <w:pPr>
        <w:spacing w:beforeLines="0" w:afterLines="0" w:line="360" w:lineRule="auto"/>
        <w:ind w:firstLine="72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鉴于</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(发包人名称，以下简称“发包人”)接受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(承包人名称)(以下称“承包人”)于</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日参加 (项目名称)标段施工的投标。我方愿意无条件地、不可撤销地就承包人履行与你方订立的合同，向你方提供担保。</w:t>
      </w:r>
    </w:p>
    <w:p>
      <w:pPr>
        <w:numPr>
          <w:ilvl w:val="0"/>
          <w:numId w:val="83"/>
        </w:numPr>
        <w:tabs>
          <w:tab w:val="left" w:pos="5320"/>
          <w:tab w:val="left" w:pos="7320"/>
        </w:tabs>
        <w:spacing w:after="0" w:line="360" w:lineRule="auto"/>
        <w:ind w:left="680"/>
        <w:rPr>
          <w:rFonts w:ascii="Times New Roman" w:hAnsi="Times New Roman" w:eastAsia="Times New Roman" w:cs="Times New Roman"/>
          <w:color w:val="auto"/>
          <w:sz w:val="24"/>
          <w:szCs w:val="24"/>
        </w:rPr>
      </w:pPr>
      <w:r>
        <w:rPr>
          <w:rFonts w:ascii="宋体" w:hAnsi="宋体" w:eastAsia="宋体" w:cs="宋体"/>
          <w:color w:val="auto"/>
          <w:sz w:val="24"/>
          <w:szCs w:val="24"/>
        </w:rPr>
        <w:t>担保金额人民币</w:t>
      </w:r>
      <w:r>
        <w:rPr>
          <w:rFonts w:ascii="Times New Roman" w:hAnsi="Times New Roman" w:eastAsia="Times New Roman" w:cs="Times New Roman"/>
          <w:color w:val="auto"/>
          <w:sz w:val="24"/>
          <w:szCs w:val="24"/>
        </w:rPr>
        <w:t>(</w:t>
      </w:r>
      <w:r>
        <w:rPr>
          <w:rFonts w:ascii="宋体" w:hAnsi="宋体" w:eastAsia="宋体" w:cs="宋体"/>
          <w:color w:val="auto"/>
          <w:sz w:val="24"/>
          <w:szCs w:val="24"/>
        </w:rPr>
        <w:t>大写</w:t>
      </w:r>
      <w:r>
        <w:rPr>
          <w:rFonts w:ascii="Times New Roman" w:hAnsi="Times New Roman" w:eastAsia="Times New Roman" w:cs="Times New Roman"/>
          <w:color w:val="auto"/>
          <w:sz w:val="24"/>
          <w:szCs w:val="24"/>
        </w:rPr>
        <w:t>)</w:t>
      </w:r>
      <w:r>
        <w:rPr>
          <w:color w:val="auto"/>
          <w:sz w:val="20"/>
          <w:szCs w:val="20"/>
          <w:u w:val="single"/>
        </w:rPr>
        <w:tab/>
      </w:r>
      <w:r>
        <w:rPr>
          <w:rFonts w:ascii="宋体" w:hAnsi="宋体" w:eastAsia="宋体" w:cs="宋体"/>
          <w:color w:val="auto"/>
          <w:sz w:val="24"/>
          <w:szCs w:val="24"/>
        </w:rPr>
        <w:t>元</w:t>
      </w:r>
      <w:r>
        <w:rPr>
          <w:rFonts w:ascii="Times New Roman" w:hAnsi="Times New Roman" w:eastAsia="Times New Roman" w:cs="Times New Roman"/>
          <w:color w:val="auto"/>
          <w:sz w:val="24"/>
          <w:szCs w:val="24"/>
        </w:rPr>
        <w:t>(¥</w:t>
      </w:r>
      <w:r>
        <w:rPr>
          <w:color w:val="auto"/>
          <w:sz w:val="20"/>
          <w:szCs w:val="20"/>
          <w:u w:val="single"/>
        </w:rPr>
        <w:tab/>
      </w:r>
      <w:r>
        <w:rPr>
          <w:rFonts w:ascii="Times New Roman" w:hAnsi="Times New Roman" w:eastAsia="Times New Roman" w:cs="Times New Roman"/>
          <w:color w:val="auto"/>
          <w:sz w:val="24"/>
          <w:szCs w:val="24"/>
        </w:rPr>
        <w:t>)</w:t>
      </w:r>
      <w:r>
        <w:rPr>
          <w:rFonts w:ascii="宋体" w:hAnsi="宋体" w:eastAsia="宋体" w:cs="宋体"/>
          <w:color w:val="auto"/>
          <w:sz w:val="24"/>
          <w:szCs w:val="24"/>
        </w:rPr>
        <w:t>。</w:t>
      </w:r>
    </w:p>
    <w:p>
      <w:pPr>
        <w:numPr>
          <w:ilvl w:val="0"/>
          <w:numId w:val="84"/>
        </w:numPr>
        <w:tabs>
          <w:tab w:val="left" w:pos="987"/>
        </w:tabs>
        <w:spacing w:after="0" w:line="320" w:lineRule="exact"/>
        <w:ind w:left="200" w:right="144" w:firstLine="484"/>
        <w:rPr>
          <w:rFonts w:ascii="Times New Roman" w:hAnsi="Times New Roman" w:eastAsia="Times New Roman" w:cs="Times New Roman"/>
          <w:color w:val="auto"/>
          <w:sz w:val="24"/>
          <w:szCs w:val="24"/>
        </w:rPr>
      </w:pPr>
      <w:r>
        <w:rPr>
          <w:rFonts w:ascii="宋体" w:hAnsi="宋体" w:eastAsia="宋体" w:cs="宋体"/>
          <w:color w:val="auto"/>
          <w:sz w:val="24"/>
          <w:szCs w:val="24"/>
        </w:rPr>
        <w:t>担保有效期自发包人与承包人签订的合同生效之日起至发包人签发交工验收证书且承包人按照合同约定缴纳质量保证金之日止。</w:t>
      </w:r>
    </w:p>
    <w:p>
      <w:pPr>
        <w:spacing w:after="0" w:line="161" w:lineRule="exact"/>
        <w:rPr>
          <w:rFonts w:ascii="Times New Roman" w:hAnsi="Times New Roman" w:eastAsia="Times New Roman" w:cs="Times New Roman"/>
          <w:color w:val="auto"/>
          <w:sz w:val="24"/>
          <w:szCs w:val="24"/>
        </w:rPr>
      </w:pPr>
    </w:p>
    <w:p>
      <w:pPr>
        <w:numPr>
          <w:ilvl w:val="0"/>
          <w:numId w:val="84"/>
        </w:numPr>
        <w:tabs>
          <w:tab w:val="left" w:pos="980"/>
        </w:tabs>
        <w:spacing w:after="0" w:line="346" w:lineRule="exact"/>
        <w:ind w:left="200" w:right="124" w:firstLine="484"/>
        <w:jc w:val="both"/>
        <w:rPr>
          <w:rFonts w:ascii="Times New Roman" w:hAnsi="Times New Roman" w:eastAsia="Times New Roman" w:cs="Times New Roman"/>
          <w:color w:val="auto"/>
          <w:sz w:val="24"/>
          <w:szCs w:val="24"/>
        </w:rPr>
      </w:pPr>
      <w:r>
        <w:rPr>
          <w:rFonts w:ascii="宋体" w:hAnsi="宋体" w:eastAsia="宋体" w:cs="宋体"/>
          <w:color w:val="auto"/>
          <w:sz w:val="24"/>
          <w:szCs w:val="24"/>
        </w:rPr>
        <w:t>在本担保有效期内，因承包人违反合同约定的义务给你方造成经济损失时，我方在收到你方以书面形式提出的在担保金额内的赔偿要求后，在</w:t>
      </w:r>
      <w:r>
        <w:rPr>
          <w:rFonts w:ascii="Times New Roman" w:hAnsi="Times New Roman" w:eastAsia="Times New Roman" w:cs="Times New Roman"/>
          <w:color w:val="auto"/>
          <w:sz w:val="24"/>
          <w:szCs w:val="24"/>
        </w:rPr>
        <w:t xml:space="preserve"> 7 </w:t>
      </w:r>
      <w:r>
        <w:rPr>
          <w:rFonts w:ascii="宋体" w:hAnsi="宋体" w:eastAsia="宋体" w:cs="宋体"/>
          <w:color w:val="auto"/>
          <w:sz w:val="24"/>
          <w:szCs w:val="24"/>
        </w:rPr>
        <w:t>天内无条件支付，无须你方出具证明或陈述理由。</w:t>
      </w:r>
    </w:p>
    <w:p>
      <w:pPr>
        <w:spacing w:after="0" w:line="129" w:lineRule="exact"/>
        <w:rPr>
          <w:rFonts w:ascii="Times New Roman" w:hAnsi="Times New Roman" w:eastAsia="Times New Roman" w:cs="Times New Roman"/>
          <w:color w:val="auto"/>
          <w:sz w:val="24"/>
          <w:szCs w:val="24"/>
        </w:rPr>
      </w:pPr>
    </w:p>
    <w:p>
      <w:pPr>
        <w:numPr>
          <w:ilvl w:val="0"/>
          <w:numId w:val="84"/>
        </w:numPr>
        <w:tabs>
          <w:tab w:val="left" w:pos="980"/>
        </w:tabs>
        <w:spacing w:after="0" w:line="336" w:lineRule="exact"/>
        <w:ind w:left="200" w:right="144" w:firstLine="484"/>
        <w:rPr>
          <w:rFonts w:ascii="Times New Roman" w:hAnsi="Times New Roman" w:eastAsia="Times New Roman" w:cs="Times New Roman"/>
          <w:color w:val="auto"/>
          <w:sz w:val="24"/>
          <w:szCs w:val="24"/>
        </w:rPr>
      </w:pPr>
      <w:r>
        <w:rPr>
          <w:rFonts w:ascii="宋体" w:hAnsi="宋体" w:eastAsia="宋体" w:cs="宋体"/>
          <w:color w:val="auto"/>
          <w:sz w:val="24"/>
          <w:szCs w:val="24"/>
        </w:rPr>
        <w:t>发包人和承包人按合同条款第</w:t>
      </w:r>
      <w:r>
        <w:rPr>
          <w:rFonts w:ascii="Times New Roman" w:hAnsi="Times New Roman" w:eastAsia="Times New Roman" w:cs="Times New Roman"/>
          <w:color w:val="auto"/>
          <w:sz w:val="24"/>
          <w:szCs w:val="24"/>
        </w:rPr>
        <w:t xml:space="preserve"> 15 </w:t>
      </w:r>
      <w:r>
        <w:rPr>
          <w:rFonts w:ascii="宋体" w:hAnsi="宋体" w:eastAsia="宋体" w:cs="宋体"/>
          <w:color w:val="auto"/>
          <w:sz w:val="24"/>
          <w:szCs w:val="24"/>
        </w:rPr>
        <w:t>条变更合同时，我方承担本担保规定的义务不变。</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tbl>
      <w:tblPr>
        <w:tblStyle w:val="10"/>
        <w:tblW w:w="5540" w:type="dxa"/>
        <w:tblInd w:w="3700" w:type="dxa"/>
        <w:tblLayout w:type="fixed"/>
        <w:tblCellMar>
          <w:top w:w="0" w:type="dxa"/>
          <w:left w:w="0" w:type="dxa"/>
          <w:bottom w:w="0" w:type="dxa"/>
          <w:right w:w="0" w:type="dxa"/>
        </w:tblCellMar>
      </w:tblPr>
      <w:tblGrid>
        <w:gridCol w:w="480"/>
        <w:gridCol w:w="720"/>
        <w:gridCol w:w="860"/>
        <w:gridCol w:w="840"/>
        <w:gridCol w:w="220"/>
        <w:gridCol w:w="140"/>
        <w:gridCol w:w="700"/>
        <w:gridCol w:w="20"/>
        <w:gridCol w:w="360"/>
        <w:gridCol w:w="100"/>
        <w:gridCol w:w="460"/>
        <w:gridCol w:w="40"/>
        <w:gridCol w:w="100"/>
        <w:gridCol w:w="140"/>
        <w:gridCol w:w="360"/>
      </w:tblGrid>
      <w:tr>
        <w:tblPrEx>
          <w:tblCellMar>
            <w:top w:w="0" w:type="dxa"/>
            <w:left w:w="0" w:type="dxa"/>
            <w:bottom w:w="0" w:type="dxa"/>
            <w:right w:w="0" w:type="dxa"/>
          </w:tblCellMar>
        </w:tblPrEx>
        <w:trPr>
          <w:trHeight w:val="292" w:hRule="atLeast"/>
        </w:trPr>
        <w:tc>
          <w:tcPr>
            <w:tcW w:w="3960" w:type="dxa"/>
            <w:gridSpan w:val="7"/>
            <w:vAlign w:val="bottom"/>
          </w:tcPr>
          <w:p>
            <w:pPr>
              <w:spacing w:after="0" w:line="274" w:lineRule="exact"/>
              <w:rPr>
                <w:color w:val="auto"/>
                <w:sz w:val="20"/>
                <w:szCs w:val="20"/>
              </w:rPr>
            </w:pPr>
            <w:r>
              <w:rPr>
                <w:rFonts w:ascii="宋体" w:hAnsi="宋体" w:eastAsia="宋体" w:cs="宋体"/>
                <w:color w:val="auto"/>
                <w:sz w:val="24"/>
                <w:szCs w:val="24"/>
              </w:rPr>
              <w:t>担 保 人：</w:t>
            </w:r>
          </w:p>
        </w:tc>
        <w:tc>
          <w:tcPr>
            <w:tcW w:w="1220" w:type="dxa"/>
            <w:gridSpan w:val="7"/>
            <w:vAlign w:val="bottom"/>
          </w:tcPr>
          <w:p>
            <w:pPr>
              <w:spacing w:after="0" w:line="292" w:lineRule="exact"/>
              <w:ind w:right="100"/>
              <w:jc w:val="right"/>
              <w:rPr>
                <w:color w:val="auto"/>
                <w:sz w:val="20"/>
                <w:szCs w:val="20"/>
              </w:rPr>
            </w:pPr>
            <w:r>
              <w:rPr>
                <w:rFonts w:ascii="Times New Roman" w:hAnsi="Times New Roman" w:eastAsia="Times New Roman" w:cs="Times New Roman"/>
                <w:color w:val="auto"/>
                <w:w w:val="98"/>
                <w:sz w:val="24"/>
                <w:szCs w:val="24"/>
              </w:rPr>
              <w:t>(</w:t>
            </w:r>
            <w:r>
              <w:rPr>
                <w:rFonts w:ascii="宋体" w:hAnsi="宋体" w:eastAsia="宋体" w:cs="宋体"/>
                <w:color w:val="auto"/>
                <w:w w:val="98"/>
                <w:sz w:val="24"/>
                <w:szCs w:val="24"/>
              </w:rPr>
              <w:t>盖单位章</w:t>
            </w:r>
            <w:r>
              <w:rPr>
                <w:rFonts w:ascii="Times New Roman" w:hAnsi="Times New Roman" w:eastAsia="Times New Roman" w:cs="Times New Roman"/>
                <w:color w:val="auto"/>
                <w:w w:val="98"/>
                <w:sz w:val="24"/>
                <w:szCs w:val="24"/>
              </w:rPr>
              <w:t>)</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1200" w:type="dxa"/>
            <w:gridSpan w:val="2"/>
            <w:vAlign w:val="bottom"/>
          </w:tcPr>
          <w:p>
            <w:pPr>
              <w:spacing w:after="0" w:line="20" w:lineRule="exact"/>
              <w:rPr>
                <w:color w:val="auto"/>
                <w:sz w:val="1"/>
                <w:szCs w:val="1"/>
              </w:rPr>
            </w:pPr>
          </w:p>
        </w:tc>
        <w:tc>
          <w:tcPr>
            <w:tcW w:w="860" w:type="dxa"/>
            <w:shd w:val="clear" w:color="auto" w:fill="000000"/>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220" w:type="dxa"/>
            <w:shd w:val="clear" w:color="auto" w:fill="000000"/>
            <w:vAlign w:val="bottom"/>
          </w:tcPr>
          <w:p>
            <w:pPr>
              <w:spacing w:after="0" w:line="20" w:lineRule="exact"/>
              <w:rPr>
                <w:color w:val="auto"/>
                <w:sz w:val="1"/>
                <w:szCs w:val="1"/>
              </w:rPr>
            </w:pPr>
          </w:p>
        </w:tc>
        <w:tc>
          <w:tcPr>
            <w:tcW w:w="140" w:type="dxa"/>
            <w:shd w:val="clear" w:color="auto" w:fill="000000"/>
            <w:vAlign w:val="bottom"/>
          </w:tcPr>
          <w:p>
            <w:pPr>
              <w:spacing w:after="0" w:line="20" w:lineRule="exact"/>
              <w:rPr>
                <w:color w:val="auto"/>
                <w:sz w:val="1"/>
                <w:szCs w:val="1"/>
              </w:rPr>
            </w:pPr>
          </w:p>
        </w:tc>
        <w:tc>
          <w:tcPr>
            <w:tcW w:w="700" w:type="dxa"/>
            <w:shd w:val="clear" w:color="auto" w:fill="000000"/>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740" w:type="dxa"/>
            <w:gridSpan w:val="4"/>
            <w:vMerge w:val="restart"/>
            <w:vAlign w:val="bottom"/>
          </w:tcPr>
          <w:p>
            <w:pPr>
              <w:spacing w:after="0" w:line="292" w:lineRule="exact"/>
              <w:ind w:right="100"/>
              <w:jc w:val="right"/>
              <w:rPr>
                <w:color w:val="auto"/>
                <w:sz w:val="20"/>
                <w:szCs w:val="20"/>
              </w:rPr>
            </w:pPr>
            <w:r>
              <w:rPr>
                <w:rFonts w:ascii="Times New Roman" w:hAnsi="Times New Roman" w:eastAsia="Times New Roman" w:cs="Times New Roman"/>
                <w:color w:val="auto"/>
                <w:w w:val="96"/>
                <w:sz w:val="24"/>
                <w:szCs w:val="24"/>
              </w:rPr>
              <w:t>(</w:t>
            </w:r>
            <w:r>
              <w:rPr>
                <w:rFonts w:ascii="宋体" w:hAnsi="宋体" w:eastAsia="宋体" w:cs="宋体"/>
                <w:color w:val="auto"/>
                <w:w w:val="96"/>
                <w:sz w:val="24"/>
                <w:szCs w:val="24"/>
              </w:rPr>
              <w:t>签字</w:t>
            </w:r>
            <w:r>
              <w:rPr>
                <w:rFonts w:ascii="Times New Roman" w:hAnsi="Times New Roman" w:eastAsia="Times New Roman" w:cs="Times New Roman"/>
                <w:color w:val="auto"/>
                <w:w w:val="96"/>
                <w:sz w:val="24"/>
                <w:szCs w:val="24"/>
              </w:rPr>
              <w:t>)</w:t>
            </w: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80" w:hRule="atLeast"/>
        </w:trPr>
        <w:tc>
          <w:tcPr>
            <w:tcW w:w="3960" w:type="dxa"/>
            <w:gridSpan w:val="7"/>
            <w:vAlign w:val="bottom"/>
          </w:tcPr>
          <w:p>
            <w:pPr>
              <w:spacing w:after="0" w:line="274" w:lineRule="exact"/>
              <w:rPr>
                <w:color w:val="auto"/>
                <w:sz w:val="20"/>
                <w:szCs w:val="20"/>
              </w:rPr>
            </w:pPr>
            <w:r>
              <w:rPr>
                <w:rFonts w:ascii="宋体" w:hAnsi="宋体" w:eastAsia="宋体" w:cs="宋体"/>
                <w:color w:val="auto"/>
                <w:sz w:val="24"/>
                <w:szCs w:val="24"/>
              </w:rPr>
              <w:t>法定代表人或其委托代理人：</w:t>
            </w:r>
          </w:p>
        </w:tc>
        <w:tc>
          <w:tcPr>
            <w:tcW w:w="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740" w:type="dxa"/>
            <w:gridSpan w:val="4"/>
            <w:vMerge w:val="continue"/>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81" w:hRule="atLeast"/>
        </w:trPr>
        <w:tc>
          <w:tcPr>
            <w:tcW w:w="480" w:type="dxa"/>
            <w:vAlign w:val="bottom"/>
          </w:tcPr>
          <w:p>
            <w:pPr>
              <w:spacing w:after="0" w:line="274" w:lineRule="exact"/>
              <w:rPr>
                <w:color w:val="auto"/>
                <w:sz w:val="20"/>
                <w:szCs w:val="20"/>
              </w:rPr>
            </w:pPr>
            <w:r>
              <w:rPr>
                <w:rFonts w:ascii="宋体" w:hAnsi="宋体" w:eastAsia="宋体" w:cs="宋体"/>
                <w:color w:val="auto"/>
                <w:sz w:val="24"/>
                <w:szCs w:val="24"/>
              </w:rPr>
              <w:t>地</w:t>
            </w:r>
          </w:p>
        </w:tc>
        <w:tc>
          <w:tcPr>
            <w:tcW w:w="2640" w:type="dxa"/>
            <w:gridSpan w:val="4"/>
            <w:vAlign w:val="bottom"/>
          </w:tcPr>
          <w:p>
            <w:pPr>
              <w:spacing w:after="0" w:line="274" w:lineRule="exact"/>
              <w:ind w:left="240"/>
              <w:rPr>
                <w:color w:val="auto"/>
                <w:sz w:val="20"/>
                <w:szCs w:val="20"/>
              </w:rPr>
            </w:pPr>
            <w:r>
              <w:rPr>
                <w:rFonts w:ascii="宋体" w:hAnsi="宋体" w:eastAsia="宋体" w:cs="宋体"/>
                <w:color w:val="auto"/>
                <w:sz w:val="24"/>
                <w:szCs w:val="24"/>
              </w:rPr>
              <w:t>址：</w:t>
            </w:r>
          </w:p>
        </w:tc>
        <w:tc>
          <w:tcPr>
            <w:tcW w:w="840" w:type="dxa"/>
            <w:gridSpan w:val="2"/>
            <w:tcBorders>
              <w:top w:val="single" w:color="auto" w:sz="8" w:space="0"/>
            </w:tcBorders>
            <w:vAlign w:val="bottom"/>
          </w:tcPr>
          <w:p>
            <w:pPr>
              <w:spacing w:after="0"/>
              <w:rPr>
                <w:color w:val="auto"/>
                <w:sz w:val="24"/>
                <w:szCs w:val="24"/>
              </w:rPr>
            </w:pPr>
          </w:p>
        </w:tc>
        <w:tc>
          <w:tcPr>
            <w:tcW w:w="20" w:type="dxa"/>
            <w:tcBorders>
              <w:top w:val="single" w:color="auto" w:sz="8" w:space="0"/>
            </w:tcBorders>
            <w:vAlign w:val="bottom"/>
          </w:tcPr>
          <w:p>
            <w:pPr>
              <w:spacing w:after="0"/>
              <w:rPr>
                <w:color w:val="auto"/>
                <w:sz w:val="24"/>
                <w:szCs w:val="24"/>
              </w:rPr>
            </w:pPr>
          </w:p>
        </w:tc>
        <w:tc>
          <w:tcPr>
            <w:tcW w:w="360" w:type="dxa"/>
            <w:tcBorders>
              <w:top w:val="single" w:color="auto" w:sz="8" w:space="0"/>
            </w:tcBorders>
            <w:vAlign w:val="bottom"/>
          </w:tcPr>
          <w:p>
            <w:pPr>
              <w:spacing w:after="0"/>
              <w:rPr>
                <w:color w:val="auto"/>
                <w:sz w:val="24"/>
                <w:szCs w:val="24"/>
              </w:rPr>
            </w:pPr>
          </w:p>
        </w:tc>
        <w:tc>
          <w:tcPr>
            <w:tcW w:w="100" w:type="dxa"/>
            <w:tcBorders>
              <w:top w:val="single" w:color="auto" w:sz="8" w:space="0"/>
            </w:tcBorders>
            <w:vAlign w:val="bottom"/>
          </w:tcPr>
          <w:p>
            <w:pPr>
              <w:spacing w:after="0"/>
              <w:rPr>
                <w:color w:val="auto"/>
                <w:sz w:val="24"/>
                <w:szCs w:val="24"/>
              </w:rPr>
            </w:pPr>
          </w:p>
        </w:tc>
        <w:tc>
          <w:tcPr>
            <w:tcW w:w="4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1200" w:type="dxa"/>
            <w:gridSpan w:val="2"/>
            <w:vAlign w:val="bottom"/>
          </w:tcPr>
          <w:p>
            <w:pPr>
              <w:spacing w:after="0" w:line="20" w:lineRule="exact"/>
              <w:rPr>
                <w:color w:val="auto"/>
                <w:sz w:val="1"/>
                <w:szCs w:val="1"/>
              </w:rPr>
            </w:pPr>
          </w:p>
        </w:tc>
        <w:tc>
          <w:tcPr>
            <w:tcW w:w="860" w:type="dxa"/>
            <w:shd w:val="clear" w:color="auto" w:fill="000000"/>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360" w:type="dxa"/>
            <w:gridSpan w:val="2"/>
            <w:shd w:val="clear" w:color="auto" w:fill="000000"/>
            <w:vAlign w:val="bottom"/>
          </w:tcPr>
          <w:p>
            <w:pPr>
              <w:spacing w:after="0" w:line="20" w:lineRule="exact"/>
              <w:rPr>
                <w:color w:val="auto"/>
                <w:sz w:val="1"/>
                <w:szCs w:val="1"/>
              </w:rPr>
            </w:pPr>
          </w:p>
        </w:tc>
        <w:tc>
          <w:tcPr>
            <w:tcW w:w="700" w:type="dxa"/>
            <w:shd w:val="clear" w:color="auto" w:fill="000000"/>
            <w:vAlign w:val="bottom"/>
          </w:tcPr>
          <w:p>
            <w:pPr>
              <w:spacing w:after="0" w:line="20" w:lineRule="exact"/>
              <w:rPr>
                <w:color w:val="auto"/>
                <w:sz w:val="1"/>
                <w:szCs w:val="1"/>
              </w:rPr>
            </w:pPr>
          </w:p>
        </w:tc>
        <w:tc>
          <w:tcPr>
            <w:tcW w:w="20" w:type="dxa"/>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460" w:type="dxa"/>
            <w:shd w:val="clear" w:color="auto" w:fill="000000"/>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14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80" w:hRule="atLeast"/>
        </w:trPr>
        <w:tc>
          <w:tcPr>
            <w:tcW w:w="3960" w:type="dxa"/>
            <w:gridSpan w:val="7"/>
            <w:vAlign w:val="bottom"/>
          </w:tcPr>
          <w:p>
            <w:pPr>
              <w:spacing w:after="0" w:line="274" w:lineRule="exact"/>
              <w:rPr>
                <w:color w:val="auto"/>
                <w:sz w:val="20"/>
                <w:szCs w:val="20"/>
              </w:rPr>
            </w:pPr>
            <w:r>
              <w:rPr>
                <w:rFonts w:ascii="宋体" w:hAnsi="宋体" w:eastAsia="宋体" w:cs="宋体"/>
                <w:color w:val="auto"/>
                <w:sz w:val="24"/>
                <w:szCs w:val="24"/>
              </w:rPr>
              <w:t>邮政编码：</w:t>
            </w:r>
          </w:p>
        </w:tc>
        <w:tc>
          <w:tcPr>
            <w:tcW w:w="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480" w:type="dxa"/>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860" w:type="dxa"/>
            <w:shd w:val="clear" w:color="auto" w:fill="000000"/>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360" w:type="dxa"/>
            <w:gridSpan w:val="2"/>
            <w:shd w:val="clear" w:color="auto" w:fill="000000"/>
            <w:vAlign w:val="bottom"/>
          </w:tcPr>
          <w:p>
            <w:pPr>
              <w:spacing w:after="0" w:line="20" w:lineRule="exact"/>
              <w:rPr>
                <w:color w:val="auto"/>
                <w:sz w:val="1"/>
                <w:szCs w:val="1"/>
              </w:rPr>
            </w:pPr>
          </w:p>
        </w:tc>
        <w:tc>
          <w:tcPr>
            <w:tcW w:w="700" w:type="dxa"/>
            <w:shd w:val="clear" w:color="auto" w:fill="000000"/>
            <w:vAlign w:val="bottom"/>
          </w:tcPr>
          <w:p>
            <w:pPr>
              <w:spacing w:after="0" w:line="20" w:lineRule="exact"/>
              <w:rPr>
                <w:color w:val="auto"/>
                <w:sz w:val="1"/>
                <w:szCs w:val="1"/>
              </w:rPr>
            </w:pPr>
          </w:p>
        </w:tc>
        <w:tc>
          <w:tcPr>
            <w:tcW w:w="20" w:type="dxa"/>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460" w:type="dxa"/>
            <w:shd w:val="clear" w:color="auto" w:fill="000000"/>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14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80" w:hRule="atLeast"/>
        </w:trPr>
        <w:tc>
          <w:tcPr>
            <w:tcW w:w="480" w:type="dxa"/>
            <w:vAlign w:val="bottom"/>
          </w:tcPr>
          <w:p>
            <w:pPr>
              <w:spacing w:after="0" w:line="274" w:lineRule="exact"/>
              <w:rPr>
                <w:color w:val="auto"/>
                <w:sz w:val="20"/>
                <w:szCs w:val="20"/>
              </w:rPr>
            </w:pPr>
            <w:r>
              <w:rPr>
                <w:rFonts w:ascii="宋体" w:hAnsi="宋体" w:eastAsia="宋体" w:cs="宋体"/>
                <w:color w:val="auto"/>
                <w:sz w:val="24"/>
                <w:szCs w:val="24"/>
              </w:rPr>
              <w:t>电</w:t>
            </w:r>
          </w:p>
        </w:tc>
        <w:tc>
          <w:tcPr>
            <w:tcW w:w="3480" w:type="dxa"/>
            <w:gridSpan w:val="6"/>
            <w:vAlign w:val="bottom"/>
          </w:tcPr>
          <w:p>
            <w:pPr>
              <w:spacing w:after="0" w:line="274" w:lineRule="exact"/>
              <w:ind w:left="240"/>
              <w:rPr>
                <w:color w:val="auto"/>
                <w:sz w:val="20"/>
                <w:szCs w:val="20"/>
              </w:rPr>
            </w:pPr>
            <w:r>
              <w:rPr>
                <w:rFonts w:ascii="宋体" w:hAnsi="宋体" w:eastAsia="宋体" w:cs="宋体"/>
                <w:color w:val="auto"/>
                <w:sz w:val="24"/>
                <w:szCs w:val="24"/>
              </w:rPr>
              <w:t>话：</w:t>
            </w:r>
          </w:p>
        </w:tc>
        <w:tc>
          <w:tcPr>
            <w:tcW w:w="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480" w:type="dxa"/>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860" w:type="dxa"/>
            <w:shd w:val="clear" w:color="auto" w:fill="000000"/>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360" w:type="dxa"/>
            <w:gridSpan w:val="2"/>
            <w:shd w:val="clear" w:color="auto" w:fill="000000"/>
            <w:vAlign w:val="bottom"/>
          </w:tcPr>
          <w:p>
            <w:pPr>
              <w:spacing w:after="0" w:line="20" w:lineRule="exact"/>
              <w:rPr>
                <w:color w:val="auto"/>
                <w:sz w:val="1"/>
                <w:szCs w:val="1"/>
              </w:rPr>
            </w:pPr>
          </w:p>
        </w:tc>
        <w:tc>
          <w:tcPr>
            <w:tcW w:w="700" w:type="dxa"/>
            <w:shd w:val="clear" w:color="auto" w:fill="000000"/>
            <w:vAlign w:val="bottom"/>
          </w:tcPr>
          <w:p>
            <w:pPr>
              <w:spacing w:after="0" w:line="20" w:lineRule="exact"/>
              <w:rPr>
                <w:color w:val="auto"/>
                <w:sz w:val="1"/>
                <w:szCs w:val="1"/>
              </w:rPr>
            </w:pPr>
          </w:p>
        </w:tc>
        <w:tc>
          <w:tcPr>
            <w:tcW w:w="20" w:type="dxa"/>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460" w:type="dxa"/>
            <w:shd w:val="clear" w:color="auto" w:fill="000000"/>
            <w:vAlign w:val="bottom"/>
          </w:tcPr>
          <w:p>
            <w:pPr>
              <w:spacing w:after="0" w:line="20" w:lineRule="exact"/>
              <w:rPr>
                <w:color w:val="auto"/>
                <w:sz w:val="1"/>
                <w:szCs w:val="1"/>
              </w:rPr>
            </w:pPr>
          </w:p>
        </w:tc>
        <w:tc>
          <w:tcPr>
            <w:tcW w:w="4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14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81" w:hRule="atLeast"/>
        </w:trPr>
        <w:tc>
          <w:tcPr>
            <w:tcW w:w="480" w:type="dxa"/>
            <w:vAlign w:val="bottom"/>
          </w:tcPr>
          <w:p>
            <w:pPr>
              <w:spacing w:after="0" w:line="274" w:lineRule="exact"/>
              <w:rPr>
                <w:color w:val="auto"/>
                <w:sz w:val="20"/>
                <w:szCs w:val="20"/>
              </w:rPr>
            </w:pPr>
            <w:r>
              <w:rPr>
                <w:rFonts w:ascii="宋体" w:hAnsi="宋体" w:eastAsia="宋体" w:cs="宋体"/>
                <w:color w:val="auto"/>
                <w:sz w:val="24"/>
                <w:szCs w:val="24"/>
              </w:rPr>
              <w:t>传</w:t>
            </w:r>
          </w:p>
        </w:tc>
        <w:tc>
          <w:tcPr>
            <w:tcW w:w="3480" w:type="dxa"/>
            <w:gridSpan w:val="6"/>
            <w:vAlign w:val="bottom"/>
          </w:tcPr>
          <w:p>
            <w:pPr>
              <w:spacing w:after="0" w:line="274" w:lineRule="exact"/>
              <w:ind w:left="240"/>
              <w:rPr>
                <w:color w:val="auto"/>
                <w:sz w:val="20"/>
                <w:szCs w:val="20"/>
              </w:rPr>
            </w:pPr>
            <w:r>
              <w:rPr>
                <w:rFonts w:ascii="宋体" w:hAnsi="宋体" w:eastAsia="宋体" w:cs="宋体"/>
                <w:color w:val="auto"/>
                <w:sz w:val="24"/>
                <w:szCs w:val="24"/>
              </w:rPr>
              <w:t>真：</w:t>
            </w:r>
          </w:p>
        </w:tc>
        <w:tc>
          <w:tcPr>
            <w:tcW w:w="2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480" w:type="dxa"/>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860" w:type="dxa"/>
            <w:shd w:val="clear" w:color="auto" w:fill="000000"/>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360" w:type="dxa"/>
            <w:gridSpan w:val="2"/>
            <w:shd w:val="clear" w:color="auto" w:fill="000000"/>
            <w:vAlign w:val="bottom"/>
          </w:tcPr>
          <w:p>
            <w:pPr>
              <w:spacing w:after="0" w:line="20" w:lineRule="exact"/>
              <w:rPr>
                <w:color w:val="auto"/>
                <w:sz w:val="1"/>
                <w:szCs w:val="1"/>
              </w:rPr>
            </w:pPr>
          </w:p>
        </w:tc>
        <w:tc>
          <w:tcPr>
            <w:tcW w:w="700" w:type="dxa"/>
            <w:shd w:val="clear" w:color="auto" w:fill="000000"/>
            <w:vAlign w:val="bottom"/>
          </w:tcPr>
          <w:p>
            <w:pPr>
              <w:spacing w:after="0" w:line="20" w:lineRule="exact"/>
              <w:rPr>
                <w:color w:val="auto"/>
                <w:sz w:val="1"/>
                <w:szCs w:val="1"/>
              </w:rPr>
            </w:pPr>
          </w:p>
        </w:tc>
        <w:tc>
          <w:tcPr>
            <w:tcW w:w="20" w:type="dxa"/>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460" w:type="dxa"/>
            <w:shd w:val="clear" w:color="auto" w:fill="000000"/>
            <w:vAlign w:val="bottom"/>
          </w:tcPr>
          <w:p>
            <w:pPr>
              <w:spacing w:after="0" w:line="20" w:lineRule="exact"/>
              <w:rPr>
                <w:color w:val="auto"/>
                <w:sz w:val="1"/>
                <w:szCs w:val="1"/>
              </w:rPr>
            </w:pPr>
          </w:p>
        </w:tc>
        <w:tc>
          <w:tcPr>
            <w:tcW w:w="40" w:type="dxa"/>
            <w:shd w:val="clear" w:color="auto" w:fill="000000"/>
            <w:vAlign w:val="bottom"/>
          </w:tcPr>
          <w:p>
            <w:pPr>
              <w:spacing w:after="0" w:line="20" w:lineRule="exact"/>
              <w:rPr>
                <w:color w:val="auto"/>
                <w:sz w:val="1"/>
                <w:szCs w:val="1"/>
              </w:rPr>
            </w:pPr>
          </w:p>
        </w:tc>
        <w:tc>
          <w:tcPr>
            <w:tcW w:w="100" w:type="dxa"/>
            <w:shd w:val="clear" w:color="auto" w:fill="000000"/>
            <w:vAlign w:val="bottom"/>
          </w:tcPr>
          <w:p>
            <w:pPr>
              <w:spacing w:after="0" w:line="20" w:lineRule="exact"/>
              <w:rPr>
                <w:color w:val="auto"/>
                <w:sz w:val="1"/>
                <w:szCs w:val="1"/>
              </w:rPr>
            </w:pPr>
          </w:p>
        </w:tc>
        <w:tc>
          <w:tcPr>
            <w:tcW w:w="14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80" w:hRule="atLeast"/>
        </w:trPr>
        <w:tc>
          <w:tcPr>
            <w:tcW w:w="4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860" w:type="dxa"/>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360" w:type="dxa"/>
            <w:gridSpan w:val="2"/>
            <w:vAlign w:val="bottom"/>
          </w:tcPr>
          <w:p>
            <w:pPr>
              <w:spacing w:after="0" w:line="274" w:lineRule="exact"/>
              <w:ind w:left="120"/>
              <w:rPr>
                <w:color w:val="auto"/>
                <w:sz w:val="20"/>
                <w:szCs w:val="20"/>
              </w:rPr>
            </w:pPr>
            <w:r>
              <w:rPr>
                <w:rFonts w:ascii="宋体" w:hAnsi="宋体" w:eastAsia="宋体" w:cs="宋体"/>
                <w:color w:val="auto"/>
                <w:w w:val="91"/>
                <w:sz w:val="24"/>
                <w:szCs w:val="24"/>
              </w:rPr>
              <w:t>年</w:t>
            </w:r>
          </w:p>
        </w:tc>
        <w:tc>
          <w:tcPr>
            <w:tcW w:w="70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360" w:type="dxa"/>
            <w:vAlign w:val="bottom"/>
          </w:tcPr>
          <w:p>
            <w:pPr>
              <w:spacing w:after="0" w:line="274" w:lineRule="exact"/>
              <w:rPr>
                <w:color w:val="auto"/>
                <w:sz w:val="20"/>
                <w:szCs w:val="20"/>
              </w:rPr>
            </w:pPr>
            <w:r>
              <w:rPr>
                <w:rFonts w:ascii="宋体" w:hAnsi="宋体" w:eastAsia="宋体" w:cs="宋体"/>
                <w:color w:val="auto"/>
                <w:sz w:val="24"/>
                <w:szCs w:val="24"/>
              </w:rPr>
              <w:t>月</w:t>
            </w:r>
          </w:p>
        </w:tc>
        <w:tc>
          <w:tcPr>
            <w:tcW w:w="100" w:type="dxa"/>
            <w:tcBorders>
              <w:bottom w:val="single" w:color="auto" w:sz="8" w:space="0"/>
            </w:tcBorders>
            <w:vAlign w:val="bottom"/>
          </w:tcPr>
          <w:p>
            <w:pPr>
              <w:spacing w:after="0"/>
              <w:rPr>
                <w:color w:val="auto"/>
                <w:sz w:val="24"/>
                <w:szCs w:val="24"/>
              </w:rPr>
            </w:pPr>
          </w:p>
        </w:tc>
        <w:tc>
          <w:tcPr>
            <w:tcW w:w="46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240" w:type="dxa"/>
            <w:gridSpan w:val="2"/>
            <w:vAlign w:val="bottom"/>
          </w:tcPr>
          <w:p>
            <w:pPr>
              <w:spacing w:after="0" w:line="274" w:lineRule="exact"/>
              <w:jc w:val="right"/>
              <w:rPr>
                <w:color w:val="auto"/>
                <w:sz w:val="20"/>
                <w:szCs w:val="20"/>
              </w:rPr>
            </w:pPr>
            <w:r>
              <w:rPr>
                <w:rFonts w:ascii="宋体" w:hAnsi="宋体" w:eastAsia="宋体" w:cs="宋体"/>
                <w:color w:val="auto"/>
                <w:w w:val="91"/>
                <w:sz w:val="24"/>
                <w:szCs w:val="24"/>
              </w:rPr>
              <w:t>日</w:t>
            </w:r>
          </w:p>
        </w:tc>
        <w:tc>
          <w:tcPr>
            <w:tcW w:w="36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4" w:lineRule="exact"/>
        <w:ind w:left="200"/>
        <w:rPr>
          <w:rFonts w:ascii="黑体" w:hAnsi="黑体" w:eastAsia="黑体" w:cs="黑体"/>
          <w:color w:val="auto"/>
          <w:sz w:val="24"/>
          <w:szCs w:val="24"/>
        </w:rPr>
      </w:pPr>
    </w:p>
    <w:p>
      <w:pPr>
        <w:spacing w:after="0" w:line="274" w:lineRule="exact"/>
        <w:ind w:left="200"/>
        <w:rPr>
          <w:rFonts w:ascii="黑体" w:hAnsi="黑体" w:eastAsia="黑体" w:cs="黑体"/>
          <w:color w:val="auto"/>
          <w:sz w:val="24"/>
          <w:szCs w:val="24"/>
        </w:rPr>
      </w:pPr>
    </w:p>
    <w:p>
      <w:pPr>
        <w:spacing w:after="0" w:line="274" w:lineRule="exact"/>
        <w:ind w:left="200"/>
        <w:rPr>
          <w:rFonts w:ascii="黑体" w:hAnsi="黑体" w:eastAsia="黑体" w:cs="黑体"/>
          <w:color w:val="auto"/>
          <w:sz w:val="24"/>
          <w:szCs w:val="24"/>
        </w:rPr>
      </w:pPr>
    </w:p>
    <w:p>
      <w:pPr>
        <w:spacing w:after="0" w:line="274" w:lineRule="exact"/>
        <w:ind w:left="200"/>
        <w:rPr>
          <w:color w:val="auto"/>
          <w:sz w:val="20"/>
          <w:szCs w:val="20"/>
        </w:rPr>
      </w:pPr>
      <w:r>
        <w:rPr>
          <w:rFonts w:ascii="黑体" w:hAnsi="黑体" w:eastAsia="黑体" w:cs="黑体"/>
          <w:color w:val="auto"/>
          <w:sz w:val="24"/>
          <w:szCs w:val="24"/>
        </w:rPr>
        <w:t>附件八：预付款担保格式</w:t>
      </w:r>
    </w:p>
    <w:p>
      <w:pPr>
        <w:spacing w:after="0" w:line="200" w:lineRule="exact"/>
        <w:rPr>
          <w:color w:val="auto"/>
          <w:sz w:val="20"/>
          <w:szCs w:val="20"/>
        </w:rPr>
      </w:pPr>
    </w:p>
    <w:p>
      <w:pPr>
        <w:spacing w:after="0" w:line="275" w:lineRule="exact"/>
        <w:rPr>
          <w:color w:val="auto"/>
          <w:sz w:val="20"/>
          <w:szCs w:val="20"/>
        </w:rPr>
      </w:pPr>
    </w:p>
    <w:p>
      <w:pPr>
        <w:spacing w:after="0" w:line="360" w:lineRule="auto"/>
        <w:ind w:right="-55"/>
        <w:jc w:val="center"/>
        <w:rPr>
          <w:rFonts w:ascii="黑体" w:hAnsi="黑体" w:eastAsia="黑体" w:cs="黑体"/>
          <w:color w:val="auto"/>
          <w:sz w:val="28"/>
          <w:szCs w:val="28"/>
        </w:rPr>
      </w:pPr>
      <w:r>
        <w:rPr>
          <w:rFonts w:ascii="黑体" w:hAnsi="黑体" w:eastAsia="黑体" w:cs="黑体"/>
          <w:color w:val="auto"/>
          <w:sz w:val="28"/>
          <w:szCs w:val="28"/>
        </w:rPr>
        <w:t>预 付 款 担 保</w:t>
      </w:r>
    </w:p>
    <w:p>
      <w:pPr>
        <w:spacing w:after="0" w:line="360" w:lineRule="auto"/>
        <w:ind w:right="-55"/>
        <w:jc w:val="left"/>
        <w:rPr>
          <w:rFonts w:hint="eastAsia" w:ascii="宋体" w:hAnsi="宋体" w:eastAsia="宋体"/>
          <w:sz w:val="24"/>
          <w:lang w:eastAsia="zh-CN"/>
        </w:rPr>
      </w:pP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eastAsia="宋体"/>
          <w:sz w:val="24"/>
          <w:lang w:eastAsia="zh-CN"/>
        </w:rPr>
        <w:t>（发包人名称）：</w:t>
      </w:r>
    </w:p>
    <w:p>
      <w:pPr>
        <w:spacing w:after="0" w:line="360" w:lineRule="auto"/>
        <w:ind w:right="-55"/>
        <w:jc w:val="left"/>
        <w:rPr>
          <w:rFonts w:hint="eastAsia" w:ascii="宋体" w:hAnsi="宋体" w:eastAsia="宋体"/>
          <w:sz w:val="24"/>
          <w:lang w:val="en-US" w:eastAsia="zh-CN"/>
        </w:rPr>
      </w:pPr>
    </w:p>
    <w:p>
      <w:pPr>
        <w:spacing w:beforeLines="0" w:afterLines="0" w:line="360" w:lineRule="auto"/>
        <w:ind w:firstLine="720" w:firstLineChars="0"/>
        <w:jc w:val="left"/>
        <w:rPr>
          <w:color w:val="auto"/>
          <w:sz w:val="20"/>
          <w:szCs w:val="20"/>
        </w:rPr>
      </w:pPr>
      <w:r>
        <w:rPr>
          <w:rFonts w:hint="eastAsia" w:ascii="宋体" w:hAnsi="宋体" w:eastAsia="宋体"/>
          <w:sz w:val="24"/>
        </w:rPr>
        <w:t xml:space="preserve">根据 </w:t>
      </w:r>
      <w:r>
        <w:rPr>
          <w:rFonts w:hint="eastAsia" w:asciiTheme="minorEastAsia" w:hAnsiTheme="minorEastAsia" w:eastAsiaTheme="minorEastAsia" w:cstheme="minorEastAsia"/>
          <w:sz w:val="24"/>
          <w:szCs w:val="24"/>
          <w:u w:val="single"/>
          <w:lang w:val="en-US" w:eastAsia="zh-CN"/>
        </w:rPr>
        <w:t xml:space="preserve">       </w:t>
      </w:r>
      <w:r>
        <w:rPr>
          <w:rFonts w:hint="default" w:ascii="TimesNewRomanPSMT" w:hAnsi="TimesNewRomanPSMT" w:eastAsia="TimesNewRomanPSMT"/>
          <w:sz w:val="24"/>
        </w:rPr>
        <w:t>(</w:t>
      </w:r>
      <w:r>
        <w:rPr>
          <w:rFonts w:hint="eastAsia" w:ascii="宋体" w:hAnsi="宋体" w:eastAsia="宋体"/>
          <w:sz w:val="24"/>
        </w:rPr>
        <w:t>承包人名称</w:t>
      </w:r>
      <w:r>
        <w:rPr>
          <w:rFonts w:hint="default" w:ascii="TimesNewRomanPSMT" w:hAnsi="TimesNewRomanPSMT" w:eastAsia="TimesNewRomanPSMT"/>
          <w:sz w:val="24"/>
        </w:rPr>
        <w:t>)(</w:t>
      </w:r>
      <w:r>
        <w:rPr>
          <w:rFonts w:hint="eastAsia" w:ascii="宋体" w:hAnsi="宋体" w:eastAsia="宋体"/>
          <w:sz w:val="24"/>
        </w:rPr>
        <w:t>以下称</w:t>
      </w:r>
      <w:r>
        <w:rPr>
          <w:rFonts w:hint="default" w:ascii="TimesNewRomanPSMT" w:hAnsi="TimesNewRomanPSMT" w:eastAsia="TimesNewRomanPSMT"/>
          <w:sz w:val="24"/>
        </w:rPr>
        <w:t>“</w:t>
      </w:r>
      <w:r>
        <w:rPr>
          <w:rFonts w:hint="eastAsia" w:ascii="宋体" w:hAnsi="宋体" w:eastAsia="宋体"/>
          <w:sz w:val="24"/>
        </w:rPr>
        <w:t>承包人</w:t>
      </w:r>
      <w:r>
        <w:rPr>
          <w:rFonts w:hint="default" w:ascii="TimesNewRomanPSMT" w:hAnsi="TimesNewRomanPSMT" w:eastAsia="TimesNewRomanPSMT"/>
          <w:sz w:val="24"/>
        </w:rPr>
        <w:t>”)</w:t>
      </w:r>
      <w:r>
        <w:rPr>
          <w:rFonts w:hint="eastAsia" w:ascii="宋体" w:hAnsi="宋体" w:eastAsia="宋体"/>
          <w:sz w:val="24"/>
        </w:rPr>
        <w:t xml:space="preserve">与 </w:t>
      </w:r>
      <w:r>
        <w:rPr>
          <w:rFonts w:hint="eastAsia" w:asciiTheme="minorEastAsia" w:hAnsiTheme="minorEastAsia" w:eastAsiaTheme="minorEastAsia" w:cstheme="minorEastAsia"/>
          <w:sz w:val="24"/>
          <w:szCs w:val="24"/>
          <w:u w:val="single"/>
          <w:lang w:val="en-US" w:eastAsia="zh-CN"/>
        </w:rPr>
        <w:t xml:space="preserve">       </w:t>
      </w:r>
      <w:r>
        <w:rPr>
          <w:rFonts w:hint="default" w:ascii="TimesNewRomanPSMT" w:hAnsi="TimesNewRomanPSMT" w:eastAsia="TimesNewRomanPSMT"/>
          <w:sz w:val="24"/>
        </w:rPr>
        <w:t>(</w:t>
      </w:r>
      <w:r>
        <w:rPr>
          <w:rFonts w:hint="eastAsia" w:ascii="宋体" w:hAnsi="宋体" w:eastAsia="宋体"/>
          <w:sz w:val="24"/>
        </w:rPr>
        <w:t>发包人名称</w:t>
      </w:r>
      <w:r>
        <w:rPr>
          <w:rFonts w:hint="default" w:ascii="TimesNewRomanPSMT" w:hAnsi="TimesNewRomanPSMT" w:eastAsia="TimesNewRomanPSMT"/>
          <w:sz w:val="24"/>
        </w:rPr>
        <w:t>)(</w:t>
      </w:r>
      <w:r>
        <w:rPr>
          <w:rFonts w:hint="eastAsia" w:ascii="宋体" w:hAnsi="宋体" w:eastAsia="宋体"/>
          <w:sz w:val="24"/>
        </w:rPr>
        <w:t>以下简称</w:t>
      </w:r>
      <w:r>
        <w:rPr>
          <w:rFonts w:hint="default" w:ascii="TimesNewRomanPSMT" w:hAnsi="TimesNewRomanPSMT" w:eastAsia="TimesNewRomanPSMT"/>
          <w:sz w:val="24"/>
        </w:rPr>
        <w:t>“</w:t>
      </w:r>
      <w:r>
        <w:rPr>
          <w:rFonts w:hint="eastAsia" w:ascii="宋体" w:hAnsi="宋体" w:eastAsia="宋体"/>
          <w:sz w:val="24"/>
        </w:rPr>
        <w:t>发包人</w:t>
      </w:r>
      <w:r>
        <w:rPr>
          <w:rFonts w:hint="default" w:ascii="TimesNewRomanPSMT" w:hAnsi="TimesNewRomanPSMT" w:eastAsia="TimesNewRomanPSMT"/>
          <w:sz w:val="24"/>
        </w:rPr>
        <w:t>”)</w:t>
      </w:r>
      <w:r>
        <w:rPr>
          <w:rFonts w:hint="eastAsia" w:ascii="宋体" w:hAnsi="宋体" w:eastAsia="宋体"/>
          <w:sz w:val="24"/>
        </w:rPr>
        <w:t>于</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eastAsia="宋体"/>
          <w:sz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eastAsia="宋体"/>
          <w:sz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eastAsia="宋体"/>
          <w:sz w:val="24"/>
        </w:rPr>
        <w:t xml:space="preserve">日签订的 </w:t>
      </w:r>
      <w:r>
        <w:rPr>
          <w:rFonts w:hint="eastAsia" w:asciiTheme="minorEastAsia" w:hAnsiTheme="minorEastAsia" w:eastAsiaTheme="minorEastAsia" w:cstheme="minorEastAsia"/>
          <w:sz w:val="24"/>
          <w:szCs w:val="24"/>
          <w:u w:val="single"/>
          <w:lang w:val="en-US" w:eastAsia="zh-CN"/>
        </w:rPr>
        <w:t xml:space="preserve">       </w:t>
      </w:r>
      <w:r>
        <w:rPr>
          <w:rFonts w:hint="default" w:ascii="TimesNewRomanPSMT" w:hAnsi="TimesNewRomanPSMT" w:eastAsia="TimesNewRomanPSMT"/>
          <w:sz w:val="24"/>
        </w:rPr>
        <w:t>(</w:t>
      </w:r>
      <w:r>
        <w:rPr>
          <w:rFonts w:hint="eastAsia" w:ascii="宋体" w:hAnsi="宋体" w:eastAsia="宋体"/>
          <w:sz w:val="24"/>
        </w:rPr>
        <w:t>项目名称</w:t>
      </w:r>
      <w:r>
        <w:rPr>
          <w:rFonts w:hint="default" w:ascii="TimesNewRomanPSMT" w:hAnsi="TimesNewRomanPSMT" w:eastAsia="TimesNewRomanPSMT"/>
          <w:sz w:val="24"/>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宋体" w:hAnsi="宋体" w:eastAsia="宋体"/>
          <w:sz w:val="24"/>
        </w:rPr>
        <w:t>标段施工承包合同，承包人按约定的金额向发包人提交一份预付款担保，即有权得到发包人支付相等金额的预付款。我方愿意就你方提供给承包人的预付款提供担保。</w:t>
      </w:r>
    </w:p>
    <w:p>
      <w:pPr>
        <w:numPr>
          <w:ilvl w:val="0"/>
          <w:numId w:val="0"/>
        </w:numPr>
        <w:tabs>
          <w:tab w:val="left" w:pos="5320"/>
          <w:tab w:val="left" w:pos="7320"/>
        </w:tabs>
        <w:spacing w:after="0" w:line="360" w:lineRule="auto"/>
        <w:ind w:firstLine="720" w:firstLineChars="300"/>
        <w:rPr>
          <w:color w:val="auto"/>
          <w:sz w:val="20"/>
          <w:szCs w:val="20"/>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担保金额人民币</w:t>
      </w:r>
      <w:r>
        <w:rPr>
          <w:rFonts w:ascii="Times New Roman" w:hAnsi="Times New Roman" w:eastAsia="Times New Roman" w:cs="Times New Roman"/>
          <w:color w:val="auto"/>
          <w:sz w:val="24"/>
          <w:szCs w:val="24"/>
        </w:rPr>
        <w:t>(</w:t>
      </w:r>
      <w:r>
        <w:rPr>
          <w:rFonts w:ascii="宋体" w:hAnsi="宋体" w:eastAsia="宋体" w:cs="宋体"/>
          <w:color w:val="auto"/>
          <w:sz w:val="24"/>
          <w:szCs w:val="24"/>
        </w:rPr>
        <w:t>大写</w:t>
      </w:r>
      <w:r>
        <w:rPr>
          <w:rFonts w:ascii="Times New Roman" w:hAnsi="Times New Roman" w:eastAsia="Times New Roman" w:cs="Times New Roman"/>
          <w:color w:val="auto"/>
          <w:sz w:val="24"/>
          <w:szCs w:val="24"/>
        </w:rPr>
        <w:t>)</w:t>
      </w:r>
      <w:r>
        <w:rPr>
          <w:color w:val="auto"/>
          <w:sz w:val="20"/>
          <w:szCs w:val="20"/>
          <w:u w:val="single"/>
        </w:rPr>
        <w:tab/>
      </w:r>
      <w:r>
        <w:rPr>
          <w:rFonts w:ascii="宋体" w:hAnsi="宋体" w:eastAsia="宋体" w:cs="宋体"/>
          <w:color w:val="auto"/>
          <w:sz w:val="24"/>
          <w:szCs w:val="24"/>
        </w:rPr>
        <w:t>元</w:t>
      </w:r>
      <w:r>
        <w:rPr>
          <w:rFonts w:ascii="Times New Roman" w:hAnsi="Times New Roman" w:eastAsia="Times New Roman" w:cs="Times New Roman"/>
          <w:color w:val="auto"/>
          <w:sz w:val="24"/>
          <w:szCs w:val="24"/>
        </w:rPr>
        <w:t>(¥</w:t>
      </w:r>
      <w:r>
        <w:rPr>
          <w:color w:val="auto"/>
          <w:sz w:val="20"/>
          <w:szCs w:val="20"/>
          <w:u w:val="single"/>
        </w:rPr>
        <w:tab/>
      </w:r>
      <w:r>
        <w:rPr>
          <w:rFonts w:ascii="Times New Roman" w:hAnsi="Times New Roman" w:eastAsia="Times New Roman" w:cs="Times New Roman"/>
          <w:color w:val="auto"/>
          <w:sz w:val="24"/>
          <w:szCs w:val="24"/>
        </w:rPr>
        <w:t>)</w:t>
      </w:r>
      <w:r>
        <w:rPr>
          <w:rFonts w:ascii="宋体" w:hAnsi="宋体" w:eastAsia="宋体" w:cs="宋体"/>
          <w:color w:val="auto"/>
          <w:sz w:val="24"/>
          <w:szCs w:val="24"/>
        </w:rPr>
        <w:t>。</w:t>
      </w:r>
    </w:p>
    <w:p>
      <w:pPr>
        <w:numPr>
          <w:ilvl w:val="0"/>
          <w:numId w:val="85"/>
        </w:numPr>
        <w:tabs>
          <w:tab w:val="left" w:pos="980"/>
        </w:tabs>
        <w:spacing w:after="0" w:line="320" w:lineRule="exact"/>
        <w:ind w:left="200" w:right="144" w:firstLine="484"/>
        <w:rPr>
          <w:rFonts w:ascii="Times New Roman" w:hAnsi="Times New Roman" w:eastAsia="Times New Roman" w:cs="Times New Roman"/>
          <w:color w:val="auto"/>
          <w:sz w:val="24"/>
          <w:szCs w:val="24"/>
        </w:rPr>
      </w:pPr>
      <w:r>
        <w:rPr>
          <w:rFonts w:ascii="宋体" w:hAnsi="宋体" w:eastAsia="宋体" w:cs="宋体"/>
          <w:color w:val="auto"/>
          <w:sz w:val="24"/>
          <w:szCs w:val="24"/>
        </w:rPr>
        <w:t>担保有效期自预付款支付给承包人起生效，至发包人签发的进度付款证书说明已完全扣清止。</w:t>
      </w:r>
    </w:p>
    <w:p>
      <w:pPr>
        <w:spacing w:after="0" w:line="161" w:lineRule="exact"/>
        <w:rPr>
          <w:rFonts w:ascii="Times New Roman" w:hAnsi="Times New Roman" w:eastAsia="Times New Roman" w:cs="Times New Roman"/>
          <w:color w:val="auto"/>
          <w:sz w:val="24"/>
          <w:szCs w:val="24"/>
        </w:rPr>
      </w:pPr>
    </w:p>
    <w:p>
      <w:pPr>
        <w:numPr>
          <w:ilvl w:val="0"/>
          <w:numId w:val="85"/>
        </w:numPr>
        <w:tabs>
          <w:tab w:val="left" w:pos="980"/>
        </w:tabs>
        <w:spacing w:after="0" w:line="360" w:lineRule="exact"/>
        <w:ind w:left="200" w:right="24" w:firstLine="484"/>
        <w:rPr>
          <w:rFonts w:ascii="Times New Roman" w:hAnsi="Times New Roman" w:eastAsia="Times New Roman" w:cs="Times New Roman"/>
          <w:color w:val="auto"/>
          <w:sz w:val="24"/>
          <w:szCs w:val="24"/>
        </w:rPr>
      </w:pPr>
      <w:r>
        <w:rPr>
          <w:rFonts w:ascii="宋体" w:hAnsi="宋体" w:eastAsia="宋体" w:cs="宋体"/>
          <w:color w:val="auto"/>
          <w:sz w:val="24"/>
          <w:szCs w:val="24"/>
        </w:rPr>
        <w:t>在本保函有效期内，因承包人违反合同约定的义务而要求收回预付款时，我方在收到你方的书面通知后，在</w:t>
      </w:r>
      <w:r>
        <w:rPr>
          <w:rFonts w:ascii="Times New Roman" w:hAnsi="Times New Roman" w:eastAsia="Times New Roman" w:cs="Times New Roman"/>
          <w:color w:val="auto"/>
          <w:sz w:val="24"/>
          <w:szCs w:val="24"/>
        </w:rPr>
        <w:t xml:space="preserve"> 7 </w:t>
      </w:r>
      <w:r>
        <w:rPr>
          <w:rFonts w:ascii="宋体" w:hAnsi="宋体" w:eastAsia="宋体" w:cs="宋体"/>
          <w:color w:val="auto"/>
          <w:sz w:val="24"/>
          <w:szCs w:val="24"/>
        </w:rPr>
        <w:t>天内无条件支付，无须你方出具证明或陈述理由。但本保函的担保金额，在任何时候不应超过预付款金额减去发包人按合同约定在向承包人签发的进度付款证书中扣除的金额。</w:t>
      </w:r>
    </w:p>
    <w:p>
      <w:pPr>
        <w:spacing w:after="0" w:line="128" w:lineRule="exact"/>
        <w:rPr>
          <w:rFonts w:ascii="Times New Roman" w:hAnsi="Times New Roman" w:eastAsia="Times New Roman" w:cs="Times New Roman"/>
          <w:color w:val="auto"/>
          <w:sz w:val="24"/>
          <w:szCs w:val="24"/>
        </w:rPr>
      </w:pPr>
    </w:p>
    <w:p>
      <w:pPr>
        <w:numPr>
          <w:ilvl w:val="0"/>
          <w:numId w:val="85"/>
        </w:numPr>
        <w:tabs>
          <w:tab w:val="left" w:pos="980"/>
        </w:tabs>
        <w:spacing w:after="0" w:line="338" w:lineRule="exact"/>
        <w:ind w:left="200" w:right="144" w:firstLine="484"/>
        <w:rPr>
          <w:rFonts w:ascii="Times New Roman" w:hAnsi="Times New Roman" w:eastAsia="Times New Roman" w:cs="Times New Roman"/>
          <w:color w:val="auto"/>
          <w:sz w:val="24"/>
          <w:szCs w:val="24"/>
        </w:rPr>
      </w:pPr>
      <w:r>
        <w:rPr>
          <w:rFonts w:ascii="宋体" w:hAnsi="宋体" w:eastAsia="宋体" w:cs="宋体"/>
          <w:color w:val="auto"/>
          <w:sz w:val="24"/>
          <w:szCs w:val="24"/>
        </w:rPr>
        <w:t>发包人和承包人按合同条款第</w:t>
      </w:r>
      <w:r>
        <w:rPr>
          <w:rFonts w:ascii="Times New Roman" w:hAnsi="Times New Roman" w:eastAsia="Times New Roman" w:cs="Times New Roman"/>
          <w:color w:val="auto"/>
          <w:sz w:val="24"/>
          <w:szCs w:val="24"/>
        </w:rPr>
        <w:t xml:space="preserve"> 15 </w:t>
      </w:r>
      <w:r>
        <w:rPr>
          <w:rFonts w:ascii="宋体" w:hAnsi="宋体" w:eastAsia="宋体" w:cs="宋体"/>
          <w:color w:val="auto"/>
          <w:sz w:val="24"/>
          <w:szCs w:val="24"/>
        </w:rPr>
        <w:t>条变更合同时，我方承担本保函规定的义务不变。</w:t>
      </w:r>
    </w:p>
    <w:p>
      <w:pPr>
        <w:spacing w:after="0" w:line="200" w:lineRule="exact"/>
        <w:rPr>
          <w:color w:val="auto"/>
          <w:sz w:val="20"/>
          <w:szCs w:val="20"/>
        </w:rPr>
      </w:pPr>
    </w:p>
    <w:p>
      <w:pPr>
        <w:spacing w:after="0" w:line="300" w:lineRule="exact"/>
        <w:rPr>
          <w:color w:val="auto"/>
          <w:sz w:val="20"/>
          <w:szCs w:val="20"/>
        </w:rPr>
      </w:pPr>
    </w:p>
    <w:tbl>
      <w:tblPr>
        <w:tblStyle w:val="10"/>
        <w:tblW w:w="5440" w:type="dxa"/>
        <w:tblInd w:w="3800" w:type="dxa"/>
        <w:tblLayout w:type="fixed"/>
        <w:tblCellMar>
          <w:top w:w="0" w:type="dxa"/>
          <w:left w:w="0" w:type="dxa"/>
          <w:bottom w:w="0" w:type="dxa"/>
          <w:right w:w="0" w:type="dxa"/>
        </w:tblCellMar>
      </w:tblPr>
      <w:tblGrid>
        <w:gridCol w:w="480"/>
        <w:gridCol w:w="720"/>
        <w:gridCol w:w="520"/>
        <w:gridCol w:w="960"/>
        <w:gridCol w:w="240"/>
        <w:gridCol w:w="200"/>
        <w:gridCol w:w="600"/>
        <w:gridCol w:w="40"/>
        <w:gridCol w:w="360"/>
        <w:gridCol w:w="80"/>
        <w:gridCol w:w="600"/>
        <w:gridCol w:w="40"/>
        <w:gridCol w:w="240"/>
        <w:gridCol w:w="360"/>
      </w:tblGrid>
      <w:tr>
        <w:tblPrEx>
          <w:tblCellMar>
            <w:top w:w="0" w:type="dxa"/>
            <w:left w:w="0" w:type="dxa"/>
            <w:bottom w:w="0" w:type="dxa"/>
            <w:right w:w="0" w:type="dxa"/>
          </w:tblCellMar>
        </w:tblPrEx>
        <w:trPr>
          <w:trHeight w:val="292" w:hRule="atLeast"/>
        </w:trPr>
        <w:tc>
          <w:tcPr>
            <w:tcW w:w="3720" w:type="dxa"/>
            <w:gridSpan w:val="7"/>
            <w:vAlign w:val="bottom"/>
          </w:tcPr>
          <w:p>
            <w:pPr>
              <w:spacing w:after="0" w:line="274" w:lineRule="exact"/>
              <w:rPr>
                <w:color w:val="auto"/>
                <w:sz w:val="20"/>
                <w:szCs w:val="20"/>
              </w:rPr>
            </w:pPr>
            <w:r>
              <w:rPr>
                <w:rFonts w:ascii="宋体" w:hAnsi="宋体" w:eastAsia="宋体" w:cs="宋体"/>
                <w:color w:val="auto"/>
                <w:sz w:val="24"/>
                <w:szCs w:val="24"/>
              </w:rPr>
              <w:t>担 保 人：</w:t>
            </w:r>
          </w:p>
        </w:tc>
        <w:tc>
          <w:tcPr>
            <w:tcW w:w="1360" w:type="dxa"/>
            <w:gridSpan w:val="6"/>
            <w:vAlign w:val="bottom"/>
          </w:tcPr>
          <w:p>
            <w:pPr>
              <w:spacing w:after="0" w:line="292" w:lineRule="exact"/>
              <w:ind w:right="120"/>
              <w:jc w:val="right"/>
              <w:rPr>
                <w:color w:val="auto"/>
                <w:sz w:val="20"/>
                <w:szCs w:val="20"/>
              </w:rPr>
            </w:pPr>
            <w:r>
              <w:rPr>
                <w:rFonts w:ascii="Times New Roman" w:hAnsi="Times New Roman" w:eastAsia="Times New Roman" w:cs="Times New Roman"/>
                <w:color w:val="auto"/>
                <w:w w:val="98"/>
                <w:sz w:val="24"/>
                <w:szCs w:val="24"/>
              </w:rPr>
              <w:t>(</w:t>
            </w:r>
            <w:r>
              <w:rPr>
                <w:rFonts w:ascii="宋体" w:hAnsi="宋体" w:eastAsia="宋体" w:cs="宋体"/>
                <w:color w:val="auto"/>
                <w:w w:val="98"/>
                <w:sz w:val="24"/>
                <w:szCs w:val="24"/>
              </w:rPr>
              <w:t>盖单位章</w:t>
            </w:r>
            <w:r>
              <w:rPr>
                <w:rFonts w:ascii="Times New Roman" w:hAnsi="Times New Roman" w:eastAsia="Times New Roman" w:cs="Times New Roman"/>
                <w:color w:val="auto"/>
                <w:w w:val="98"/>
                <w:sz w:val="24"/>
                <w:szCs w:val="24"/>
              </w:rPr>
              <w:t>)</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1200" w:type="dxa"/>
            <w:gridSpan w:val="2"/>
            <w:vAlign w:val="bottom"/>
          </w:tcPr>
          <w:p>
            <w:pPr>
              <w:spacing w:after="0" w:line="20" w:lineRule="exact"/>
              <w:rPr>
                <w:color w:val="auto"/>
                <w:sz w:val="1"/>
                <w:szCs w:val="1"/>
              </w:rPr>
            </w:pPr>
          </w:p>
        </w:tc>
        <w:tc>
          <w:tcPr>
            <w:tcW w:w="520" w:type="dxa"/>
            <w:shd w:val="clear" w:color="auto" w:fill="000000"/>
            <w:vAlign w:val="bottom"/>
          </w:tcPr>
          <w:p>
            <w:pPr>
              <w:spacing w:after="0" w:line="20" w:lineRule="exact"/>
              <w:rPr>
                <w:color w:val="auto"/>
                <w:sz w:val="1"/>
                <w:szCs w:val="1"/>
              </w:rPr>
            </w:pPr>
          </w:p>
        </w:tc>
        <w:tc>
          <w:tcPr>
            <w:tcW w:w="960" w:type="dxa"/>
            <w:shd w:val="clear" w:color="auto" w:fill="000000"/>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200" w:type="dxa"/>
            <w:shd w:val="clear" w:color="auto" w:fill="000000"/>
            <w:vAlign w:val="bottom"/>
          </w:tcPr>
          <w:p>
            <w:pPr>
              <w:spacing w:after="0" w:line="20" w:lineRule="exact"/>
              <w:rPr>
                <w:color w:val="auto"/>
                <w:sz w:val="1"/>
                <w:szCs w:val="1"/>
              </w:rPr>
            </w:pPr>
          </w:p>
        </w:tc>
        <w:tc>
          <w:tcPr>
            <w:tcW w:w="600" w:type="dxa"/>
            <w:shd w:val="clear" w:color="auto" w:fill="000000"/>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880" w:type="dxa"/>
            <w:gridSpan w:val="3"/>
            <w:vMerge w:val="restart"/>
            <w:vAlign w:val="bottom"/>
          </w:tcPr>
          <w:p>
            <w:pPr>
              <w:spacing w:after="0" w:line="292" w:lineRule="exact"/>
              <w:ind w:right="120"/>
              <w:jc w:val="right"/>
              <w:rPr>
                <w:color w:val="auto"/>
                <w:sz w:val="20"/>
                <w:szCs w:val="20"/>
              </w:rPr>
            </w:pPr>
            <w:r>
              <w:rPr>
                <w:rFonts w:ascii="Times New Roman" w:hAnsi="Times New Roman" w:eastAsia="Times New Roman" w:cs="Times New Roman"/>
                <w:color w:val="auto"/>
                <w:w w:val="96"/>
                <w:sz w:val="24"/>
                <w:szCs w:val="24"/>
              </w:rPr>
              <w:t>(</w:t>
            </w:r>
            <w:r>
              <w:rPr>
                <w:rFonts w:ascii="宋体" w:hAnsi="宋体" w:eastAsia="宋体" w:cs="宋体"/>
                <w:color w:val="auto"/>
                <w:w w:val="96"/>
                <w:sz w:val="24"/>
                <w:szCs w:val="24"/>
              </w:rPr>
              <w:t>签字</w:t>
            </w:r>
            <w:r>
              <w:rPr>
                <w:rFonts w:ascii="Times New Roman" w:hAnsi="Times New Roman" w:eastAsia="Times New Roman" w:cs="Times New Roman"/>
                <w:color w:val="auto"/>
                <w:w w:val="96"/>
                <w:sz w:val="24"/>
                <w:szCs w:val="24"/>
              </w:rPr>
              <w:t>)</w:t>
            </w: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81" w:hRule="atLeast"/>
        </w:trPr>
        <w:tc>
          <w:tcPr>
            <w:tcW w:w="3720" w:type="dxa"/>
            <w:gridSpan w:val="7"/>
            <w:vAlign w:val="bottom"/>
          </w:tcPr>
          <w:p>
            <w:pPr>
              <w:spacing w:after="0" w:line="274" w:lineRule="exact"/>
              <w:rPr>
                <w:color w:val="auto"/>
                <w:sz w:val="20"/>
                <w:szCs w:val="20"/>
              </w:rPr>
            </w:pPr>
            <w:r>
              <w:rPr>
                <w:rFonts w:ascii="宋体" w:hAnsi="宋体" w:eastAsia="宋体" w:cs="宋体"/>
                <w:color w:val="auto"/>
                <w:sz w:val="24"/>
                <w:szCs w:val="24"/>
              </w:rPr>
              <w:t>法定代表人或其委托代理人：</w:t>
            </w:r>
          </w:p>
        </w:tc>
        <w:tc>
          <w:tcPr>
            <w:tcW w:w="4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80" w:type="dxa"/>
            <w:gridSpan w:val="3"/>
            <w:vMerge w:val="continue"/>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80" w:hRule="atLeast"/>
        </w:trPr>
        <w:tc>
          <w:tcPr>
            <w:tcW w:w="480" w:type="dxa"/>
            <w:vAlign w:val="bottom"/>
          </w:tcPr>
          <w:p>
            <w:pPr>
              <w:spacing w:after="0" w:line="274" w:lineRule="exact"/>
              <w:rPr>
                <w:color w:val="auto"/>
                <w:sz w:val="20"/>
                <w:szCs w:val="20"/>
              </w:rPr>
            </w:pPr>
            <w:r>
              <w:rPr>
                <w:rFonts w:ascii="宋体" w:hAnsi="宋体" w:eastAsia="宋体" w:cs="宋体"/>
                <w:color w:val="auto"/>
                <w:sz w:val="24"/>
                <w:szCs w:val="24"/>
              </w:rPr>
              <w:t>地</w:t>
            </w:r>
          </w:p>
        </w:tc>
        <w:tc>
          <w:tcPr>
            <w:tcW w:w="2640" w:type="dxa"/>
            <w:gridSpan w:val="5"/>
            <w:vAlign w:val="bottom"/>
          </w:tcPr>
          <w:p>
            <w:pPr>
              <w:spacing w:after="0" w:line="274" w:lineRule="exact"/>
              <w:ind w:left="240"/>
              <w:rPr>
                <w:color w:val="auto"/>
                <w:sz w:val="20"/>
                <w:szCs w:val="20"/>
              </w:rPr>
            </w:pPr>
            <w:r>
              <w:rPr>
                <w:rFonts w:ascii="宋体" w:hAnsi="宋体" w:eastAsia="宋体" w:cs="宋体"/>
                <w:color w:val="auto"/>
                <w:sz w:val="24"/>
                <w:szCs w:val="24"/>
              </w:rPr>
              <w:t>址：</w:t>
            </w:r>
          </w:p>
        </w:tc>
        <w:tc>
          <w:tcPr>
            <w:tcW w:w="600" w:type="dxa"/>
            <w:tcBorders>
              <w:top w:val="single" w:color="auto" w:sz="8" w:space="0"/>
            </w:tcBorders>
            <w:vAlign w:val="bottom"/>
          </w:tcPr>
          <w:p>
            <w:pPr>
              <w:spacing w:after="0"/>
              <w:rPr>
                <w:color w:val="auto"/>
                <w:sz w:val="24"/>
                <w:szCs w:val="24"/>
              </w:rPr>
            </w:pPr>
          </w:p>
        </w:tc>
        <w:tc>
          <w:tcPr>
            <w:tcW w:w="40" w:type="dxa"/>
            <w:tcBorders>
              <w:top w:val="single" w:color="auto" w:sz="8" w:space="0"/>
            </w:tcBorders>
            <w:vAlign w:val="bottom"/>
          </w:tcPr>
          <w:p>
            <w:pPr>
              <w:spacing w:after="0"/>
              <w:rPr>
                <w:color w:val="auto"/>
                <w:sz w:val="24"/>
                <w:szCs w:val="24"/>
              </w:rPr>
            </w:pPr>
          </w:p>
        </w:tc>
        <w:tc>
          <w:tcPr>
            <w:tcW w:w="360" w:type="dxa"/>
            <w:tcBorders>
              <w:top w:val="single" w:color="auto" w:sz="8" w:space="0"/>
            </w:tcBorders>
            <w:vAlign w:val="bottom"/>
          </w:tcPr>
          <w:p>
            <w:pPr>
              <w:spacing w:after="0"/>
              <w:rPr>
                <w:color w:val="auto"/>
                <w:sz w:val="24"/>
                <w:szCs w:val="24"/>
              </w:rPr>
            </w:pPr>
          </w:p>
        </w:tc>
        <w:tc>
          <w:tcPr>
            <w:tcW w:w="80" w:type="dxa"/>
            <w:tcBorders>
              <w:top w:val="single" w:color="auto" w:sz="8" w:space="0"/>
            </w:tcBorders>
            <w:vAlign w:val="bottom"/>
          </w:tcPr>
          <w:p>
            <w:pPr>
              <w:spacing w:after="0"/>
              <w:rPr>
                <w:color w:val="auto"/>
                <w:sz w:val="24"/>
                <w:szCs w:val="24"/>
              </w:rPr>
            </w:pPr>
          </w:p>
        </w:tc>
        <w:tc>
          <w:tcPr>
            <w:tcW w:w="60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1200" w:type="dxa"/>
            <w:gridSpan w:val="2"/>
            <w:vAlign w:val="bottom"/>
          </w:tcPr>
          <w:p>
            <w:pPr>
              <w:spacing w:after="0" w:line="20" w:lineRule="exact"/>
              <w:rPr>
                <w:color w:val="auto"/>
                <w:sz w:val="1"/>
                <w:szCs w:val="1"/>
              </w:rPr>
            </w:pPr>
          </w:p>
        </w:tc>
        <w:tc>
          <w:tcPr>
            <w:tcW w:w="520" w:type="dxa"/>
            <w:shd w:val="clear" w:color="auto" w:fill="000000"/>
            <w:vAlign w:val="bottom"/>
          </w:tcPr>
          <w:p>
            <w:pPr>
              <w:spacing w:after="0" w:line="20" w:lineRule="exact"/>
              <w:rPr>
                <w:color w:val="auto"/>
                <w:sz w:val="1"/>
                <w:szCs w:val="1"/>
              </w:rPr>
            </w:pPr>
          </w:p>
        </w:tc>
        <w:tc>
          <w:tcPr>
            <w:tcW w:w="960" w:type="dxa"/>
            <w:shd w:val="clear" w:color="auto" w:fill="000000"/>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800" w:type="dxa"/>
            <w:gridSpan w:val="2"/>
            <w:shd w:val="clear" w:color="auto" w:fill="000000"/>
            <w:vAlign w:val="bottom"/>
          </w:tcPr>
          <w:p>
            <w:pPr>
              <w:spacing w:after="0" w:line="20" w:lineRule="exact"/>
              <w:rPr>
                <w:color w:val="auto"/>
                <w:sz w:val="1"/>
                <w:szCs w:val="1"/>
              </w:rPr>
            </w:pPr>
          </w:p>
        </w:tc>
        <w:tc>
          <w:tcPr>
            <w:tcW w:w="40" w:type="dxa"/>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80" w:type="dxa"/>
            <w:shd w:val="clear" w:color="auto" w:fill="000000"/>
            <w:vAlign w:val="bottom"/>
          </w:tcPr>
          <w:p>
            <w:pPr>
              <w:spacing w:after="0" w:line="20" w:lineRule="exact"/>
              <w:rPr>
                <w:color w:val="auto"/>
                <w:sz w:val="1"/>
                <w:szCs w:val="1"/>
              </w:rPr>
            </w:pPr>
          </w:p>
        </w:tc>
        <w:tc>
          <w:tcPr>
            <w:tcW w:w="600" w:type="dxa"/>
            <w:shd w:val="clear" w:color="auto" w:fill="000000"/>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80" w:hRule="atLeast"/>
        </w:trPr>
        <w:tc>
          <w:tcPr>
            <w:tcW w:w="3720" w:type="dxa"/>
            <w:gridSpan w:val="7"/>
            <w:vAlign w:val="bottom"/>
          </w:tcPr>
          <w:p>
            <w:pPr>
              <w:spacing w:after="0" w:line="274" w:lineRule="exact"/>
              <w:rPr>
                <w:color w:val="auto"/>
                <w:sz w:val="20"/>
                <w:szCs w:val="20"/>
              </w:rPr>
            </w:pPr>
            <w:r>
              <w:rPr>
                <w:rFonts w:ascii="宋体" w:hAnsi="宋体" w:eastAsia="宋体" w:cs="宋体"/>
                <w:color w:val="auto"/>
                <w:sz w:val="24"/>
                <w:szCs w:val="24"/>
              </w:rPr>
              <w:t>邮政编码：</w:t>
            </w:r>
          </w:p>
        </w:tc>
        <w:tc>
          <w:tcPr>
            <w:tcW w:w="4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480" w:type="dxa"/>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520" w:type="dxa"/>
            <w:shd w:val="clear" w:color="auto" w:fill="000000"/>
            <w:vAlign w:val="bottom"/>
          </w:tcPr>
          <w:p>
            <w:pPr>
              <w:spacing w:after="0" w:line="20" w:lineRule="exact"/>
              <w:rPr>
                <w:color w:val="auto"/>
                <w:sz w:val="1"/>
                <w:szCs w:val="1"/>
              </w:rPr>
            </w:pPr>
          </w:p>
        </w:tc>
        <w:tc>
          <w:tcPr>
            <w:tcW w:w="960" w:type="dxa"/>
            <w:shd w:val="clear" w:color="auto" w:fill="000000"/>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800" w:type="dxa"/>
            <w:gridSpan w:val="2"/>
            <w:shd w:val="clear" w:color="auto" w:fill="000000"/>
            <w:vAlign w:val="bottom"/>
          </w:tcPr>
          <w:p>
            <w:pPr>
              <w:spacing w:after="0" w:line="20" w:lineRule="exact"/>
              <w:rPr>
                <w:color w:val="auto"/>
                <w:sz w:val="1"/>
                <w:szCs w:val="1"/>
              </w:rPr>
            </w:pPr>
          </w:p>
        </w:tc>
        <w:tc>
          <w:tcPr>
            <w:tcW w:w="40" w:type="dxa"/>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80" w:type="dxa"/>
            <w:shd w:val="clear" w:color="auto" w:fill="000000"/>
            <w:vAlign w:val="bottom"/>
          </w:tcPr>
          <w:p>
            <w:pPr>
              <w:spacing w:after="0" w:line="20" w:lineRule="exact"/>
              <w:rPr>
                <w:color w:val="auto"/>
                <w:sz w:val="1"/>
                <w:szCs w:val="1"/>
              </w:rPr>
            </w:pPr>
          </w:p>
        </w:tc>
        <w:tc>
          <w:tcPr>
            <w:tcW w:w="600" w:type="dxa"/>
            <w:shd w:val="clear" w:color="auto" w:fill="000000"/>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81" w:hRule="atLeast"/>
        </w:trPr>
        <w:tc>
          <w:tcPr>
            <w:tcW w:w="480" w:type="dxa"/>
            <w:vAlign w:val="bottom"/>
          </w:tcPr>
          <w:p>
            <w:pPr>
              <w:spacing w:after="0" w:line="274" w:lineRule="exact"/>
              <w:rPr>
                <w:color w:val="auto"/>
                <w:sz w:val="20"/>
                <w:szCs w:val="20"/>
              </w:rPr>
            </w:pPr>
            <w:r>
              <w:rPr>
                <w:rFonts w:ascii="宋体" w:hAnsi="宋体" w:eastAsia="宋体" w:cs="宋体"/>
                <w:color w:val="auto"/>
                <w:sz w:val="24"/>
                <w:szCs w:val="24"/>
              </w:rPr>
              <w:t>电</w:t>
            </w:r>
          </w:p>
        </w:tc>
        <w:tc>
          <w:tcPr>
            <w:tcW w:w="3240" w:type="dxa"/>
            <w:gridSpan w:val="6"/>
            <w:vAlign w:val="bottom"/>
          </w:tcPr>
          <w:p>
            <w:pPr>
              <w:spacing w:after="0" w:line="274" w:lineRule="exact"/>
              <w:ind w:left="240"/>
              <w:rPr>
                <w:color w:val="auto"/>
                <w:sz w:val="20"/>
                <w:szCs w:val="20"/>
              </w:rPr>
            </w:pPr>
            <w:r>
              <w:rPr>
                <w:rFonts w:ascii="宋体" w:hAnsi="宋体" w:eastAsia="宋体" w:cs="宋体"/>
                <w:color w:val="auto"/>
                <w:sz w:val="24"/>
                <w:szCs w:val="24"/>
              </w:rPr>
              <w:t>话：</w:t>
            </w:r>
          </w:p>
        </w:tc>
        <w:tc>
          <w:tcPr>
            <w:tcW w:w="4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480" w:type="dxa"/>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520" w:type="dxa"/>
            <w:shd w:val="clear" w:color="auto" w:fill="000000"/>
            <w:vAlign w:val="bottom"/>
          </w:tcPr>
          <w:p>
            <w:pPr>
              <w:spacing w:after="0" w:line="20" w:lineRule="exact"/>
              <w:rPr>
                <w:color w:val="auto"/>
                <w:sz w:val="1"/>
                <w:szCs w:val="1"/>
              </w:rPr>
            </w:pPr>
          </w:p>
        </w:tc>
        <w:tc>
          <w:tcPr>
            <w:tcW w:w="960" w:type="dxa"/>
            <w:shd w:val="clear" w:color="auto" w:fill="000000"/>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800" w:type="dxa"/>
            <w:gridSpan w:val="2"/>
            <w:shd w:val="clear" w:color="auto" w:fill="000000"/>
            <w:vAlign w:val="bottom"/>
          </w:tcPr>
          <w:p>
            <w:pPr>
              <w:spacing w:after="0" w:line="20" w:lineRule="exact"/>
              <w:rPr>
                <w:color w:val="auto"/>
                <w:sz w:val="1"/>
                <w:szCs w:val="1"/>
              </w:rPr>
            </w:pPr>
          </w:p>
        </w:tc>
        <w:tc>
          <w:tcPr>
            <w:tcW w:w="40" w:type="dxa"/>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80" w:type="dxa"/>
            <w:shd w:val="clear" w:color="auto" w:fill="000000"/>
            <w:vAlign w:val="bottom"/>
          </w:tcPr>
          <w:p>
            <w:pPr>
              <w:spacing w:after="0" w:line="20" w:lineRule="exact"/>
              <w:rPr>
                <w:color w:val="auto"/>
                <w:sz w:val="1"/>
                <w:szCs w:val="1"/>
              </w:rPr>
            </w:pPr>
          </w:p>
        </w:tc>
        <w:tc>
          <w:tcPr>
            <w:tcW w:w="600" w:type="dxa"/>
            <w:shd w:val="clear" w:color="auto" w:fill="000000"/>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80" w:hRule="atLeast"/>
        </w:trPr>
        <w:tc>
          <w:tcPr>
            <w:tcW w:w="480" w:type="dxa"/>
            <w:vAlign w:val="bottom"/>
          </w:tcPr>
          <w:p>
            <w:pPr>
              <w:spacing w:after="0" w:line="274" w:lineRule="exact"/>
              <w:rPr>
                <w:color w:val="auto"/>
                <w:sz w:val="20"/>
                <w:szCs w:val="20"/>
              </w:rPr>
            </w:pPr>
            <w:r>
              <w:rPr>
                <w:rFonts w:ascii="宋体" w:hAnsi="宋体" w:eastAsia="宋体" w:cs="宋体"/>
                <w:color w:val="auto"/>
                <w:sz w:val="24"/>
                <w:szCs w:val="24"/>
              </w:rPr>
              <w:t>传</w:t>
            </w:r>
          </w:p>
        </w:tc>
        <w:tc>
          <w:tcPr>
            <w:tcW w:w="3240" w:type="dxa"/>
            <w:gridSpan w:val="6"/>
            <w:vAlign w:val="bottom"/>
          </w:tcPr>
          <w:p>
            <w:pPr>
              <w:spacing w:after="0" w:line="274" w:lineRule="exact"/>
              <w:ind w:left="240"/>
              <w:rPr>
                <w:color w:val="auto"/>
                <w:sz w:val="20"/>
                <w:szCs w:val="20"/>
              </w:rPr>
            </w:pPr>
            <w:r>
              <w:rPr>
                <w:rFonts w:ascii="宋体" w:hAnsi="宋体" w:eastAsia="宋体" w:cs="宋体"/>
                <w:color w:val="auto"/>
                <w:sz w:val="24"/>
                <w:szCs w:val="24"/>
              </w:rPr>
              <w:t>真：</w:t>
            </w:r>
          </w:p>
        </w:tc>
        <w:tc>
          <w:tcPr>
            <w:tcW w:w="4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80" w:hRule="atLeast"/>
        </w:trPr>
        <w:tc>
          <w:tcPr>
            <w:tcW w:w="4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520" w:type="dxa"/>
            <w:tcBorders>
              <w:top w:val="single" w:color="auto" w:sz="8" w:space="0"/>
            </w:tcBorders>
            <w:vAlign w:val="bottom"/>
          </w:tcPr>
          <w:p>
            <w:pPr>
              <w:spacing w:after="0"/>
              <w:rPr>
                <w:color w:val="auto"/>
                <w:sz w:val="24"/>
                <w:szCs w:val="24"/>
              </w:rPr>
            </w:pPr>
          </w:p>
        </w:tc>
        <w:tc>
          <w:tcPr>
            <w:tcW w:w="960" w:type="dxa"/>
            <w:tcBorders>
              <w:top w:val="single" w:color="auto" w:sz="8" w:space="0"/>
              <w:bottom w:val="single" w:color="auto" w:sz="8" w:space="0"/>
            </w:tcBorders>
            <w:vAlign w:val="bottom"/>
          </w:tcPr>
          <w:p>
            <w:pPr>
              <w:spacing w:after="0"/>
              <w:rPr>
                <w:color w:val="auto"/>
                <w:sz w:val="24"/>
                <w:szCs w:val="24"/>
              </w:rPr>
            </w:pPr>
          </w:p>
        </w:tc>
        <w:tc>
          <w:tcPr>
            <w:tcW w:w="240" w:type="dxa"/>
            <w:tcBorders>
              <w:top w:val="single" w:color="auto" w:sz="8" w:space="0"/>
            </w:tcBorders>
            <w:vAlign w:val="bottom"/>
          </w:tcPr>
          <w:p>
            <w:pPr>
              <w:spacing w:after="0" w:line="274" w:lineRule="exact"/>
              <w:rPr>
                <w:color w:val="auto"/>
                <w:sz w:val="20"/>
                <w:szCs w:val="20"/>
              </w:rPr>
            </w:pPr>
            <w:r>
              <w:rPr>
                <w:rFonts w:ascii="宋体" w:hAnsi="宋体" w:eastAsia="宋体" w:cs="宋体"/>
                <w:color w:val="auto"/>
                <w:w w:val="91"/>
                <w:sz w:val="24"/>
                <w:szCs w:val="24"/>
              </w:rPr>
              <w:t>年</w:t>
            </w:r>
          </w:p>
        </w:tc>
        <w:tc>
          <w:tcPr>
            <w:tcW w:w="800" w:type="dxa"/>
            <w:gridSpan w:val="2"/>
            <w:tcBorders>
              <w:top w:val="single" w:color="auto" w:sz="8" w:space="0"/>
              <w:bottom w:val="single" w:color="auto" w:sz="8" w:space="0"/>
            </w:tcBorders>
            <w:vAlign w:val="bottom"/>
          </w:tcPr>
          <w:p>
            <w:pPr>
              <w:spacing w:after="0"/>
              <w:rPr>
                <w:color w:val="auto"/>
                <w:sz w:val="24"/>
                <w:szCs w:val="24"/>
              </w:rPr>
            </w:pPr>
          </w:p>
        </w:tc>
        <w:tc>
          <w:tcPr>
            <w:tcW w:w="40" w:type="dxa"/>
            <w:tcBorders>
              <w:top w:val="single" w:color="auto" w:sz="8" w:space="0"/>
              <w:bottom w:val="single" w:color="auto" w:sz="8" w:space="0"/>
            </w:tcBorders>
            <w:vAlign w:val="bottom"/>
          </w:tcPr>
          <w:p>
            <w:pPr>
              <w:spacing w:after="0"/>
              <w:rPr>
                <w:color w:val="auto"/>
                <w:sz w:val="24"/>
                <w:szCs w:val="24"/>
              </w:rPr>
            </w:pPr>
          </w:p>
        </w:tc>
        <w:tc>
          <w:tcPr>
            <w:tcW w:w="360" w:type="dxa"/>
            <w:tcBorders>
              <w:top w:val="single" w:color="auto" w:sz="8" w:space="0"/>
            </w:tcBorders>
            <w:vAlign w:val="bottom"/>
          </w:tcPr>
          <w:p>
            <w:pPr>
              <w:spacing w:after="0" w:line="274" w:lineRule="exact"/>
              <w:rPr>
                <w:color w:val="auto"/>
                <w:sz w:val="20"/>
                <w:szCs w:val="20"/>
              </w:rPr>
            </w:pPr>
            <w:r>
              <w:rPr>
                <w:rFonts w:ascii="宋体" w:hAnsi="宋体" w:eastAsia="宋体" w:cs="宋体"/>
                <w:color w:val="auto"/>
                <w:sz w:val="24"/>
                <w:szCs w:val="24"/>
              </w:rPr>
              <w:t>月</w:t>
            </w:r>
          </w:p>
        </w:tc>
        <w:tc>
          <w:tcPr>
            <w:tcW w:w="80" w:type="dxa"/>
            <w:tcBorders>
              <w:top w:val="single" w:color="auto" w:sz="8" w:space="0"/>
              <w:bottom w:val="single" w:color="auto" w:sz="8" w:space="0"/>
            </w:tcBorders>
            <w:vAlign w:val="bottom"/>
          </w:tcPr>
          <w:p>
            <w:pPr>
              <w:spacing w:after="0"/>
              <w:rPr>
                <w:color w:val="auto"/>
                <w:sz w:val="24"/>
                <w:szCs w:val="24"/>
              </w:rPr>
            </w:pPr>
          </w:p>
        </w:tc>
        <w:tc>
          <w:tcPr>
            <w:tcW w:w="600" w:type="dxa"/>
            <w:tcBorders>
              <w:top w:val="single" w:color="auto" w:sz="8" w:space="0"/>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240" w:type="dxa"/>
            <w:vAlign w:val="bottom"/>
          </w:tcPr>
          <w:p>
            <w:pPr>
              <w:spacing w:after="0" w:line="274" w:lineRule="exact"/>
              <w:jc w:val="right"/>
              <w:rPr>
                <w:color w:val="auto"/>
                <w:sz w:val="20"/>
                <w:szCs w:val="20"/>
              </w:rPr>
            </w:pPr>
            <w:r>
              <w:rPr>
                <w:rFonts w:ascii="宋体" w:hAnsi="宋体" w:eastAsia="宋体" w:cs="宋体"/>
                <w:color w:val="auto"/>
                <w:w w:val="91"/>
                <w:sz w:val="24"/>
                <w:szCs w:val="24"/>
              </w:rPr>
              <w:t>日</w:t>
            </w: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40"/>
          <w:pgMar w:top="1247" w:right="1247" w:bottom="1247" w:left="1361" w:header="0" w:footer="0" w:gutter="0"/>
          <w:pgBorders>
            <w:top w:val="none" w:sz="0" w:space="0"/>
            <w:left w:val="none" w:sz="0" w:space="0"/>
            <w:bottom w:val="none" w:sz="0" w:space="0"/>
            <w:right w:val="none" w:sz="0" w:space="0"/>
          </w:pgBorders>
          <w:cols w:equalWidth="0" w:num="1">
            <w:col w:w="9024"/>
          </w:cols>
          <w:rtlGutter w:val="0"/>
          <w:docGrid w:linePitch="0" w:charSpace="0"/>
        </w:sectPr>
      </w:pPr>
    </w:p>
    <w:p>
      <w:pPr>
        <w:spacing w:after="0" w:line="200" w:lineRule="exact"/>
        <w:rPr>
          <w:color w:val="auto"/>
          <w:sz w:val="20"/>
          <w:szCs w:val="20"/>
        </w:rPr>
      </w:pPr>
    </w:p>
    <w:p>
      <w:pPr>
        <w:spacing w:after="0" w:line="274" w:lineRule="exact"/>
        <w:ind w:left="200"/>
        <w:rPr>
          <w:color w:val="auto"/>
          <w:sz w:val="20"/>
          <w:szCs w:val="20"/>
        </w:rPr>
      </w:pPr>
      <w:r>
        <w:rPr>
          <w:rFonts w:ascii="黑体" w:hAnsi="黑体" w:eastAsia="黑体" w:cs="黑体"/>
          <w:color w:val="auto"/>
          <w:sz w:val="24"/>
          <w:szCs w:val="24"/>
        </w:rPr>
        <w:t>附件九：工程资金监管协议格式</w:t>
      </w:r>
    </w:p>
    <w:p>
      <w:pPr>
        <w:spacing w:after="0" w:line="138" w:lineRule="exact"/>
        <w:rPr>
          <w:color w:val="auto"/>
          <w:sz w:val="20"/>
          <w:szCs w:val="20"/>
        </w:rPr>
      </w:pPr>
    </w:p>
    <w:p>
      <w:pPr>
        <w:spacing w:after="0" w:line="310" w:lineRule="exact"/>
        <w:ind w:left="200" w:right="24" w:firstLine="480"/>
        <w:rPr>
          <w:color w:val="auto"/>
          <w:sz w:val="24"/>
          <w:szCs w:val="24"/>
        </w:rPr>
      </w:pPr>
      <w:r>
        <w:rPr>
          <w:rFonts w:ascii="宋体" w:hAnsi="宋体" w:eastAsia="宋体" w:cs="宋体"/>
          <w:color w:val="auto"/>
          <w:sz w:val="24"/>
          <w:szCs w:val="24"/>
        </w:rPr>
        <w:t>（发包人与承包人签订合同协议书时应与发包人指定的银行签署工程资金监管协议，工程资金监管协议内容在保证本项目资金有效监管的前提下由三方共同商定）</w:t>
      </w:r>
    </w:p>
    <w:p>
      <w:pPr>
        <w:spacing w:after="0" w:line="200" w:lineRule="exact"/>
        <w:rPr>
          <w:color w:val="auto"/>
          <w:sz w:val="20"/>
          <w:szCs w:val="20"/>
        </w:rPr>
      </w:pPr>
    </w:p>
    <w:p>
      <w:pPr>
        <w:spacing w:after="0" w:line="238" w:lineRule="exact"/>
        <w:rPr>
          <w:color w:val="auto"/>
          <w:sz w:val="20"/>
          <w:szCs w:val="20"/>
        </w:rPr>
      </w:pPr>
    </w:p>
    <w:p>
      <w:pPr>
        <w:spacing w:after="0" w:line="320" w:lineRule="exact"/>
        <w:ind w:right="-55"/>
        <w:jc w:val="center"/>
        <w:rPr>
          <w:color w:val="auto"/>
          <w:sz w:val="20"/>
          <w:szCs w:val="20"/>
        </w:rPr>
      </w:pPr>
      <w:r>
        <w:rPr>
          <w:rFonts w:ascii="黑体" w:hAnsi="黑体" w:eastAsia="黑体" w:cs="黑体"/>
          <w:color w:val="auto"/>
          <w:sz w:val="28"/>
          <w:szCs w:val="28"/>
        </w:rPr>
        <w:t>工程资金监管协议</w:t>
      </w:r>
    </w:p>
    <w:p>
      <w:pPr>
        <w:spacing w:after="0" w:line="200" w:lineRule="exact"/>
        <w:rPr>
          <w:color w:val="auto"/>
          <w:sz w:val="20"/>
          <w:szCs w:val="20"/>
        </w:rPr>
      </w:pPr>
    </w:p>
    <w:p>
      <w:pPr>
        <w:spacing w:beforeLines="0" w:afterLines="0"/>
        <w:jc w:val="left"/>
        <w:rPr>
          <w:rFonts w:hint="eastAsia" w:ascii="宋体" w:hAnsi="宋体" w:eastAsia="宋体"/>
          <w:sz w:val="24"/>
        </w:rPr>
      </w:pPr>
    </w:p>
    <w:p>
      <w:pPr>
        <w:spacing w:beforeLines="0" w:afterLines="0"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（以下简称“甲方”）</w:t>
      </w:r>
    </w:p>
    <w:p>
      <w:pPr>
        <w:spacing w:beforeLines="0" w:afterLines="0"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（以下简称“乙方”）</w:t>
      </w:r>
    </w:p>
    <w:p>
      <w:pPr>
        <w:spacing w:beforeLines="0" w:afterLines="0"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经办银行：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（以下简称“丙方”）</w:t>
      </w:r>
    </w:p>
    <w:p>
      <w:pPr>
        <w:spacing w:beforeLines="0" w:afterLines="0" w:line="360" w:lineRule="auto"/>
        <w:jc w:val="left"/>
        <w:rPr>
          <w:rFonts w:hint="eastAsia" w:asciiTheme="minorEastAsia" w:hAnsiTheme="minorEastAsia" w:eastAsiaTheme="minorEastAsia" w:cstheme="minorEastAsia"/>
          <w:sz w:val="24"/>
          <w:szCs w:val="24"/>
        </w:rPr>
      </w:pPr>
    </w:p>
    <w:p>
      <w:pPr>
        <w:spacing w:beforeLines="0" w:afterLines="0" w:line="360" w:lineRule="auto"/>
        <w:ind w:firstLine="72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为了促进</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(项目名称)的顺利实施，管好用好建设资金，确保工程资金专款专用，同时为承包人提供便捷有效的银行业务服务，根据</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(项目名称)合同条款有关规定，经甲、乙、丙三方协商，达成协议如下：</w:t>
      </w:r>
    </w:p>
    <w:p>
      <w:pPr>
        <w:numPr>
          <w:ilvl w:val="0"/>
          <w:numId w:val="86"/>
        </w:numPr>
        <w:tabs>
          <w:tab w:val="left" w:pos="980"/>
        </w:tabs>
        <w:spacing w:after="0" w:line="292" w:lineRule="exact"/>
        <w:ind w:left="980" w:hanging="296"/>
        <w:rPr>
          <w:rFonts w:ascii="Times New Roman" w:hAnsi="Times New Roman" w:eastAsia="Times New Roman" w:cs="Times New Roman"/>
          <w:color w:val="auto"/>
          <w:sz w:val="24"/>
          <w:szCs w:val="24"/>
        </w:rPr>
      </w:pPr>
      <w:r>
        <w:rPr>
          <w:rFonts w:ascii="宋体" w:hAnsi="宋体" w:eastAsia="宋体" w:cs="宋体"/>
          <w:color w:val="auto"/>
          <w:sz w:val="24"/>
          <w:szCs w:val="24"/>
        </w:rPr>
        <w:t>资金管理的内容</w:t>
      </w:r>
    </w:p>
    <w:p>
      <w:pPr>
        <w:spacing w:after="0" w:line="106" w:lineRule="exact"/>
        <w:rPr>
          <w:color w:val="auto"/>
          <w:sz w:val="20"/>
          <w:szCs w:val="20"/>
        </w:rPr>
      </w:pPr>
    </w:p>
    <w:p>
      <w:pPr>
        <w:spacing w:after="0" w:line="326" w:lineRule="exact"/>
        <w:ind w:left="200" w:right="144" w:firstLine="480"/>
        <w:rPr>
          <w:rFonts w:ascii="Times New Roman" w:hAnsi="Times New Roman" w:eastAsia="Times New Roman" w:cs="Times New Roman"/>
          <w:color w:val="auto"/>
          <w:sz w:val="24"/>
          <w:szCs w:val="24"/>
        </w:rPr>
      </w:pPr>
    </w:p>
    <w:p>
      <w:pPr>
        <w:spacing w:after="0" w:line="326" w:lineRule="exact"/>
        <w:ind w:left="200" w:right="144" w:firstLine="480"/>
        <w:rPr>
          <w:color w:val="auto"/>
          <w:sz w:val="20"/>
          <w:szCs w:val="20"/>
        </w:rPr>
      </w:pPr>
      <w:r>
        <w:rPr>
          <w:rFonts w:ascii="Times New Roman" w:hAnsi="Times New Roman" w:eastAsia="Times New Roman" w:cs="Times New Roman"/>
          <w:color w:val="auto"/>
          <w:sz w:val="24"/>
          <w:szCs w:val="24"/>
        </w:rPr>
        <w:t xml:space="preserve">(1) </w:t>
      </w:r>
      <w:r>
        <w:rPr>
          <w:rFonts w:ascii="宋体" w:hAnsi="宋体" w:eastAsia="宋体" w:cs="宋体"/>
          <w:color w:val="auto"/>
          <w:sz w:val="24"/>
          <w:szCs w:val="24"/>
        </w:rPr>
        <w:t>乙方为完成</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rPr>
        <w:t>（项目名称）工程成立的项目经理部在丙方开设基本结算户；</w:t>
      </w:r>
    </w:p>
    <w:p>
      <w:pPr>
        <w:spacing w:after="0" w:line="20" w:lineRule="exact"/>
        <w:rPr>
          <w:color w:val="auto"/>
          <w:sz w:val="20"/>
          <w:szCs w:val="20"/>
        </w:rPr>
      </w:pPr>
    </w:p>
    <w:p>
      <w:pPr>
        <w:numPr>
          <w:ilvl w:val="0"/>
          <w:numId w:val="87"/>
        </w:numPr>
        <w:tabs>
          <w:tab w:val="left" w:pos="1080"/>
        </w:tabs>
        <w:spacing w:after="0" w:line="292" w:lineRule="exact"/>
        <w:ind w:left="1080" w:hanging="396"/>
        <w:rPr>
          <w:rFonts w:ascii="Times New Roman" w:hAnsi="Times New Roman" w:eastAsia="Times New Roman" w:cs="Times New Roman"/>
          <w:color w:val="auto"/>
          <w:sz w:val="24"/>
          <w:szCs w:val="24"/>
        </w:rPr>
      </w:pPr>
      <w:r>
        <w:rPr>
          <w:rFonts w:ascii="宋体" w:hAnsi="宋体" w:eastAsia="宋体" w:cs="宋体"/>
          <w:color w:val="auto"/>
          <w:sz w:val="24"/>
          <w:szCs w:val="24"/>
        </w:rPr>
        <w:t>甲方应按合同规定将工程款汇入乙方在丙方开设的账户；</w:t>
      </w:r>
    </w:p>
    <w:p>
      <w:pPr>
        <w:spacing w:after="0" w:line="96" w:lineRule="exact"/>
        <w:rPr>
          <w:color w:val="auto"/>
          <w:sz w:val="24"/>
          <w:szCs w:val="24"/>
        </w:rPr>
      </w:pPr>
    </w:p>
    <w:p>
      <w:pPr>
        <w:numPr>
          <w:ilvl w:val="0"/>
          <w:numId w:val="0"/>
        </w:numPr>
        <w:tabs>
          <w:tab w:val="left" w:pos="6820"/>
        </w:tabs>
        <w:spacing w:after="0" w:line="303" w:lineRule="exact"/>
        <w:ind w:firstLine="480" w:firstLineChars="200"/>
        <w:rPr>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ascii="宋体" w:hAnsi="宋体" w:eastAsia="宋体" w:cs="宋体"/>
          <w:color w:val="auto"/>
          <w:sz w:val="24"/>
          <w:szCs w:val="24"/>
        </w:rPr>
        <w:t>乙方应将流动资金及甲方所拨付资金专项用于</w:t>
      </w:r>
      <w:r>
        <w:rPr>
          <w:rFonts w:hint="eastAsia" w:asciiTheme="minorEastAsia" w:hAnsiTheme="minorEastAsia" w:cstheme="minorEastAsia"/>
          <w:sz w:val="24"/>
          <w:szCs w:val="24"/>
          <w:u w:val="single"/>
          <w:lang w:val="en-US" w:eastAsia="zh-CN"/>
        </w:rPr>
        <w:t xml:space="preserve">          </w:t>
      </w:r>
      <w:r>
        <w:rPr>
          <w:rFonts w:ascii="宋体" w:hAnsi="宋体" w:eastAsia="宋体" w:cs="宋体"/>
          <w:color w:val="auto"/>
          <w:sz w:val="24"/>
          <w:szCs w:val="24"/>
        </w:rPr>
        <w:t>（项目名称）；</w:t>
      </w:r>
    </w:p>
    <w:p>
      <w:pPr>
        <w:spacing w:after="0" w:line="20" w:lineRule="exact"/>
        <w:rPr>
          <w:color w:val="auto"/>
          <w:sz w:val="20"/>
          <w:szCs w:val="20"/>
        </w:rPr>
      </w:pPr>
    </w:p>
    <w:p>
      <w:pPr>
        <w:spacing w:after="0" w:line="101" w:lineRule="exact"/>
        <w:rPr>
          <w:color w:val="auto"/>
          <w:sz w:val="20"/>
          <w:szCs w:val="20"/>
        </w:rPr>
      </w:pPr>
    </w:p>
    <w:p>
      <w:pPr>
        <w:numPr>
          <w:ilvl w:val="0"/>
          <w:numId w:val="88"/>
        </w:numPr>
        <w:tabs>
          <w:tab w:val="left" w:pos="1084"/>
        </w:tabs>
        <w:spacing w:after="0" w:line="310" w:lineRule="exact"/>
        <w:ind w:left="200" w:right="144" w:firstLine="484"/>
        <w:rPr>
          <w:rFonts w:ascii="Times New Roman" w:hAnsi="Times New Roman" w:eastAsia="Times New Roman" w:cs="Times New Roman"/>
          <w:color w:val="auto"/>
          <w:sz w:val="24"/>
          <w:szCs w:val="24"/>
        </w:rPr>
      </w:pPr>
      <w:r>
        <w:rPr>
          <w:rFonts w:ascii="宋体" w:hAnsi="宋体" w:eastAsia="宋体" w:cs="宋体"/>
          <w:color w:val="auto"/>
          <w:sz w:val="24"/>
          <w:szCs w:val="24"/>
        </w:rPr>
        <w:t>丙方应为乙方提供便捷有效的银行业务服务，并接受甲方委托对乙方在丙方开设的基本结算户资金使用情况进行监督。</w:t>
      </w:r>
    </w:p>
    <w:p>
      <w:pPr>
        <w:spacing w:after="0" w:line="107" w:lineRule="exact"/>
        <w:rPr>
          <w:rFonts w:ascii="Times New Roman" w:hAnsi="Times New Roman" w:eastAsia="Times New Roman" w:cs="Times New Roman"/>
          <w:color w:val="auto"/>
          <w:sz w:val="24"/>
          <w:szCs w:val="24"/>
        </w:rPr>
      </w:pPr>
    </w:p>
    <w:p>
      <w:pPr>
        <w:spacing w:after="0" w:line="292" w:lineRule="exact"/>
        <w:ind w:left="6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2. </w:t>
      </w:r>
      <w:r>
        <w:rPr>
          <w:rFonts w:ascii="宋体" w:hAnsi="宋体" w:eastAsia="宋体" w:cs="宋体"/>
          <w:color w:val="auto"/>
          <w:sz w:val="24"/>
          <w:szCs w:val="24"/>
        </w:rPr>
        <w:t>甲方的权责</w:t>
      </w:r>
    </w:p>
    <w:p>
      <w:pPr>
        <w:spacing w:after="0" w:line="87" w:lineRule="exact"/>
        <w:rPr>
          <w:color w:val="auto"/>
          <w:sz w:val="20"/>
          <w:szCs w:val="20"/>
        </w:rPr>
      </w:pPr>
    </w:p>
    <w:p>
      <w:pPr>
        <w:spacing w:after="0" w:line="328" w:lineRule="exact"/>
        <w:ind w:left="200" w:right="144" w:firstLine="480"/>
        <w:rPr>
          <w:color w:val="auto"/>
          <w:sz w:val="20"/>
          <w:szCs w:val="20"/>
        </w:rPr>
      </w:pPr>
      <w:r>
        <w:rPr>
          <w:rFonts w:ascii="Times New Roman" w:hAnsi="Times New Roman" w:eastAsia="Times New Roman" w:cs="Times New Roman"/>
          <w:color w:val="auto"/>
          <w:sz w:val="24"/>
          <w:szCs w:val="24"/>
        </w:rPr>
        <w:t xml:space="preserve">(1) </w:t>
      </w:r>
      <w:r>
        <w:rPr>
          <w:rFonts w:ascii="宋体" w:hAnsi="宋体" w:eastAsia="宋体" w:cs="宋体"/>
          <w:color w:val="auto"/>
          <w:sz w:val="24"/>
          <w:szCs w:val="24"/>
        </w:rPr>
        <w:t>按照 （项目名称）合同有关条款规定的时间和方式，向乙方支付工程款；</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999490</wp:posOffset>
                </wp:positionH>
                <wp:positionV relativeFrom="paragraph">
                  <wp:posOffset>-34290</wp:posOffset>
                </wp:positionV>
                <wp:extent cx="626110" cy="0"/>
                <wp:effectExtent l="0" t="0" r="0" b="0"/>
                <wp:wrapNone/>
                <wp:docPr id="533" name="Shape 533"/>
                <wp:cNvGraphicFramePr/>
                <a:graphic xmlns:a="http://schemas.openxmlformats.org/drawingml/2006/main">
                  <a:graphicData uri="http://schemas.microsoft.com/office/word/2010/wordprocessingShape">
                    <wps:wsp>
                      <wps:cNvCnPr/>
                      <wps:spPr>
                        <a:xfrm>
                          <a:off x="0" y="0"/>
                          <a:ext cx="626110" cy="4763"/>
                        </a:xfrm>
                        <a:prstGeom prst="line">
                          <a:avLst/>
                        </a:prstGeom>
                        <a:solidFill>
                          <a:srgbClr val="FFFFFF"/>
                        </a:solidFill>
                        <a:ln w="7620">
                          <a:solidFill>
                            <a:srgbClr val="000000"/>
                          </a:solidFill>
                          <a:miter lim="800000"/>
                        </a:ln>
                      </wps:spPr>
                      <wps:bodyPr/>
                    </wps:wsp>
                  </a:graphicData>
                </a:graphic>
              </wp:anchor>
            </w:drawing>
          </mc:Choice>
          <mc:Fallback>
            <w:pict>
              <v:line id="Shape 533" o:spid="_x0000_s1026" o:spt="20" style="position:absolute;left:0pt;margin-left:78.7pt;margin-top:-2.7pt;height:0pt;width:49.3pt;z-index:-251658240;mso-width-relative:page;mso-height-relative:page;" fillcolor="#FFFFFF" filled="t" stroked="t" coordsize="21600,21600" o:allowincell="f" o:gfxdata="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CfAu+tYA&#10;AAAJAQAADwAAAAAAAAABACAAAAA4AAAAZHJzL2Rvd25yZXYueG1sUEsBAhQAFAAAAAgAh07iQGZE&#10;c+SZAQAATgMAAA4AAAAAAAAAAQAgAAAAOwEAAGRycy9lMm9Eb2MueG1sUEsFBgAAAAAGAAYAWQEA&#10;AEYFAAAAAA==&#10;">
                <v:fill on="t" focussize="0,0"/>
                <v:stroke weight="0.6pt" color="#000000" miterlimit="8" joinstyle="miter"/>
                <v:imagedata o:title=""/>
                <o:lock v:ext="edit" aspectratio="f"/>
              </v:line>
            </w:pict>
          </mc:Fallback>
        </mc:AlternateContent>
      </w:r>
    </w:p>
    <w:p>
      <w:pPr>
        <w:spacing w:after="0" w:line="200" w:lineRule="exact"/>
        <w:rPr>
          <w:color w:val="auto"/>
          <w:sz w:val="20"/>
          <w:szCs w:val="20"/>
        </w:rPr>
      </w:pPr>
    </w:p>
    <w:p>
      <w:pPr>
        <w:spacing w:after="0" w:line="247" w:lineRule="exact"/>
        <w:rPr>
          <w:color w:val="auto"/>
          <w:sz w:val="20"/>
          <w:szCs w:val="20"/>
        </w:rPr>
      </w:pPr>
    </w:p>
    <w:p>
      <w:pPr>
        <w:numPr>
          <w:ilvl w:val="0"/>
          <w:numId w:val="89"/>
        </w:numPr>
        <w:tabs>
          <w:tab w:val="left" w:pos="1084"/>
        </w:tabs>
        <w:spacing w:after="0" w:line="309" w:lineRule="exact"/>
        <w:ind w:left="200" w:right="144" w:firstLine="484"/>
        <w:rPr>
          <w:rFonts w:ascii="Times New Roman" w:hAnsi="Times New Roman" w:eastAsia="Times New Roman" w:cs="Times New Roman"/>
          <w:color w:val="auto"/>
          <w:sz w:val="24"/>
          <w:szCs w:val="24"/>
        </w:rPr>
      </w:pPr>
      <w:r>
        <w:rPr>
          <w:rFonts w:ascii="宋体" w:hAnsi="宋体" w:eastAsia="宋体" w:cs="宋体"/>
          <w:color w:val="auto"/>
          <w:sz w:val="24"/>
          <w:szCs w:val="24"/>
        </w:rPr>
        <w:t>在发现乙方将本项目资金挪用、转移时，甲方有权中止工程支付，直至乙方改正为止；</w:t>
      </w:r>
    </w:p>
    <w:p>
      <w:pPr>
        <w:spacing w:after="0" w:line="142" w:lineRule="exact"/>
        <w:rPr>
          <w:rFonts w:ascii="Times New Roman" w:hAnsi="Times New Roman" w:eastAsia="Times New Roman" w:cs="Times New Roman"/>
          <w:color w:val="auto"/>
          <w:sz w:val="24"/>
          <w:szCs w:val="24"/>
        </w:rPr>
      </w:pPr>
    </w:p>
    <w:p>
      <w:pPr>
        <w:numPr>
          <w:ilvl w:val="0"/>
          <w:numId w:val="89"/>
        </w:numPr>
        <w:tabs>
          <w:tab w:val="left" w:pos="1084"/>
        </w:tabs>
        <w:spacing w:after="0" w:line="310" w:lineRule="exact"/>
        <w:ind w:left="200" w:right="144" w:firstLine="484"/>
        <w:rPr>
          <w:rFonts w:ascii="Times New Roman" w:hAnsi="Times New Roman" w:eastAsia="Times New Roman" w:cs="Times New Roman"/>
          <w:color w:val="auto"/>
          <w:sz w:val="24"/>
          <w:szCs w:val="24"/>
        </w:rPr>
      </w:pPr>
      <w:r>
        <w:rPr>
          <w:rFonts w:ascii="宋体" w:hAnsi="宋体" w:eastAsia="宋体" w:cs="宋体"/>
          <w:color w:val="auto"/>
          <w:sz w:val="24"/>
          <w:szCs w:val="24"/>
        </w:rPr>
        <w:t>不定期审查丙方对乙方的资金使用监督情况，如丙方不能履行其责任，甲方有权随时终止本协议；</w:t>
      </w:r>
    </w:p>
    <w:p>
      <w:pPr>
        <w:spacing w:after="0" w:line="87" w:lineRule="exact"/>
        <w:rPr>
          <w:rFonts w:ascii="Times New Roman" w:hAnsi="Times New Roman" w:eastAsia="Times New Roman" w:cs="Times New Roman"/>
          <w:color w:val="auto"/>
          <w:sz w:val="24"/>
          <w:szCs w:val="24"/>
        </w:rPr>
      </w:pPr>
    </w:p>
    <w:p>
      <w:pPr>
        <w:numPr>
          <w:ilvl w:val="0"/>
          <w:numId w:val="89"/>
        </w:numPr>
        <w:tabs>
          <w:tab w:val="left" w:pos="1080"/>
        </w:tabs>
        <w:spacing w:after="0" w:line="292" w:lineRule="exact"/>
        <w:ind w:left="1080" w:hanging="396"/>
        <w:rPr>
          <w:rFonts w:ascii="Times New Roman" w:hAnsi="Times New Roman" w:eastAsia="Times New Roman" w:cs="Times New Roman"/>
          <w:color w:val="auto"/>
          <w:sz w:val="24"/>
          <w:szCs w:val="24"/>
        </w:rPr>
      </w:pPr>
      <w:r>
        <w:rPr>
          <w:rFonts w:ascii="宋体" w:hAnsi="宋体" w:eastAsia="宋体" w:cs="宋体"/>
          <w:color w:val="auto"/>
          <w:sz w:val="24"/>
          <w:szCs w:val="24"/>
        </w:rPr>
        <w:t>在乙、丙双方发生争议时，甲方应负责协调、解决。</w:t>
      </w:r>
    </w:p>
    <w:p>
      <w:pPr>
        <w:spacing w:after="0" w:line="88" w:lineRule="exact"/>
        <w:rPr>
          <w:color w:val="auto"/>
          <w:sz w:val="20"/>
          <w:szCs w:val="20"/>
        </w:rPr>
      </w:pPr>
    </w:p>
    <w:p>
      <w:pPr>
        <w:numPr>
          <w:ilvl w:val="0"/>
          <w:numId w:val="90"/>
        </w:numPr>
        <w:tabs>
          <w:tab w:val="left" w:pos="980"/>
        </w:tabs>
        <w:spacing w:after="0" w:line="292" w:lineRule="exact"/>
        <w:ind w:left="980" w:hanging="296"/>
        <w:rPr>
          <w:rFonts w:ascii="Times New Roman" w:hAnsi="Times New Roman" w:eastAsia="Times New Roman" w:cs="Times New Roman"/>
          <w:color w:val="auto"/>
          <w:sz w:val="24"/>
          <w:szCs w:val="24"/>
        </w:rPr>
      </w:pPr>
      <w:r>
        <w:rPr>
          <w:rFonts w:ascii="宋体" w:hAnsi="宋体" w:eastAsia="宋体" w:cs="宋体"/>
          <w:color w:val="auto"/>
          <w:sz w:val="24"/>
          <w:szCs w:val="24"/>
        </w:rPr>
        <w:t>乙方的权责</w:t>
      </w:r>
    </w:p>
    <w:p>
      <w:pPr>
        <w:spacing w:after="0" w:line="88" w:lineRule="exact"/>
        <w:rPr>
          <w:color w:val="auto"/>
          <w:sz w:val="20"/>
          <w:szCs w:val="20"/>
        </w:rPr>
      </w:pPr>
    </w:p>
    <w:p>
      <w:pPr>
        <w:numPr>
          <w:ilvl w:val="0"/>
          <w:numId w:val="91"/>
        </w:numPr>
        <w:tabs>
          <w:tab w:val="left" w:pos="1080"/>
        </w:tabs>
        <w:spacing w:after="0" w:line="292" w:lineRule="exact"/>
        <w:ind w:left="1080" w:hanging="396"/>
        <w:rPr>
          <w:rFonts w:ascii="Times New Roman" w:hAnsi="Times New Roman" w:eastAsia="Times New Roman" w:cs="Times New Roman"/>
          <w:color w:val="auto"/>
          <w:sz w:val="24"/>
          <w:szCs w:val="24"/>
        </w:rPr>
      </w:pPr>
      <w:r>
        <w:rPr>
          <w:rFonts w:ascii="宋体" w:hAnsi="宋体" w:eastAsia="宋体" w:cs="宋体"/>
          <w:color w:val="auto"/>
          <w:sz w:val="24"/>
          <w:szCs w:val="24"/>
        </w:rPr>
        <w:t>项目经理部成立以后，乙方应尽快在丙方开设基本结算户；</w:t>
      </w:r>
    </w:p>
    <w:p>
      <w:pPr>
        <w:spacing w:after="0" w:line="139" w:lineRule="exact"/>
        <w:rPr>
          <w:rFonts w:ascii="Times New Roman" w:hAnsi="Times New Roman" w:eastAsia="Times New Roman" w:cs="Times New Roman"/>
          <w:color w:val="auto"/>
          <w:sz w:val="24"/>
          <w:szCs w:val="24"/>
        </w:rPr>
      </w:pPr>
    </w:p>
    <w:p>
      <w:pPr>
        <w:numPr>
          <w:ilvl w:val="0"/>
          <w:numId w:val="91"/>
        </w:numPr>
        <w:tabs>
          <w:tab w:val="left" w:pos="1084"/>
        </w:tabs>
        <w:spacing w:after="0" w:line="310" w:lineRule="exact"/>
        <w:ind w:left="200" w:right="144" w:firstLine="484"/>
        <w:rPr>
          <w:rFonts w:ascii="Times New Roman" w:hAnsi="Times New Roman" w:eastAsia="Times New Roman" w:cs="Times New Roman"/>
          <w:color w:val="auto"/>
          <w:sz w:val="24"/>
          <w:szCs w:val="24"/>
        </w:rPr>
      </w:pPr>
      <w:r>
        <w:rPr>
          <w:rFonts w:ascii="宋体" w:hAnsi="宋体" w:eastAsia="宋体" w:cs="宋体"/>
          <w:color w:val="auto"/>
          <w:sz w:val="24"/>
          <w:szCs w:val="24"/>
        </w:rPr>
        <w:t>确保本项目资金专款专用，不发生挪用、转移资金的现象；保证不通过权益转让、抵押、担保承担债务等任何其他方式使用基本结算户的资金；</w:t>
      </w:r>
    </w:p>
    <w:p>
      <w:pPr>
        <w:spacing w:after="0" w:line="140" w:lineRule="exact"/>
        <w:rPr>
          <w:rFonts w:ascii="Times New Roman" w:hAnsi="Times New Roman" w:eastAsia="Times New Roman" w:cs="Times New Roman"/>
          <w:color w:val="auto"/>
          <w:sz w:val="24"/>
          <w:szCs w:val="24"/>
        </w:rPr>
      </w:pPr>
    </w:p>
    <w:p>
      <w:pPr>
        <w:numPr>
          <w:ilvl w:val="0"/>
          <w:numId w:val="91"/>
        </w:numPr>
        <w:tabs>
          <w:tab w:val="left" w:pos="1084"/>
        </w:tabs>
        <w:spacing w:after="0" w:line="333" w:lineRule="exact"/>
        <w:ind w:left="200" w:right="24" w:firstLine="484"/>
        <w:jc w:val="both"/>
        <w:rPr>
          <w:rFonts w:ascii="Times New Roman" w:hAnsi="Times New Roman" w:eastAsia="Times New Roman" w:cs="Times New Roman"/>
          <w:color w:val="auto"/>
          <w:sz w:val="24"/>
          <w:szCs w:val="24"/>
        </w:rPr>
      </w:pPr>
      <w:r>
        <w:rPr>
          <w:rFonts w:ascii="宋体" w:hAnsi="宋体" w:eastAsia="宋体" w:cs="宋体"/>
          <w:color w:val="auto"/>
          <w:sz w:val="24"/>
          <w:szCs w:val="24"/>
        </w:rPr>
        <w:t>办理材料、设备等采购业务金额在 万元以上的，应出示购货合同、协议和发票；在办理总额超过 万元以上的采购业务时，应将合同、协议和发票复印件送丙方备案；购买应急材料、设备时可先办理支付手续，但事后必须补备有关资料；</w:t>
      </w:r>
    </w:p>
    <w:p>
      <w:pPr>
        <w:spacing w:after="0" w:line="91" w:lineRule="exact"/>
        <w:rPr>
          <w:rFonts w:ascii="Times New Roman" w:hAnsi="Times New Roman" w:eastAsia="Times New Roman" w:cs="Times New Roman"/>
          <w:color w:val="auto"/>
          <w:sz w:val="24"/>
          <w:szCs w:val="24"/>
        </w:rPr>
      </w:pPr>
    </w:p>
    <w:p>
      <w:pPr>
        <w:numPr>
          <w:ilvl w:val="0"/>
          <w:numId w:val="0"/>
        </w:numPr>
        <w:tabs>
          <w:tab w:val="left" w:pos="1080"/>
        </w:tabs>
        <w:spacing w:after="0" w:line="292" w:lineRule="exact"/>
        <w:ind w:leftChars="100" w:firstLine="240" w:firstLineChars="100"/>
        <w:rPr>
          <w:color w:val="auto"/>
          <w:sz w:val="20"/>
          <w:szCs w:val="20"/>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ascii="宋体" w:hAnsi="宋体" w:eastAsia="宋体" w:cs="宋体"/>
          <w:color w:val="auto"/>
          <w:sz w:val="24"/>
          <w:szCs w:val="24"/>
        </w:rPr>
        <w:t>用银行转账支票办理支付款项时，必须将转账支票送交丙方，由丙方负责办理支票转付手续；</w:t>
      </w:r>
    </w:p>
    <w:p>
      <w:pPr>
        <w:spacing w:after="0" w:line="88" w:lineRule="exact"/>
        <w:rPr>
          <w:color w:val="auto"/>
          <w:sz w:val="20"/>
          <w:szCs w:val="20"/>
        </w:rPr>
      </w:pPr>
    </w:p>
    <w:p>
      <w:pPr>
        <w:numPr>
          <w:ilvl w:val="0"/>
          <w:numId w:val="92"/>
        </w:numPr>
        <w:tabs>
          <w:tab w:val="left" w:pos="1080"/>
        </w:tabs>
        <w:spacing w:after="0" w:line="292" w:lineRule="exact"/>
        <w:ind w:left="1080" w:hanging="396"/>
        <w:rPr>
          <w:rFonts w:ascii="Times New Roman" w:hAnsi="Times New Roman" w:eastAsia="Times New Roman" w:cs="Times New Roman"/>
          <w:color w:val="auto"/>
          <w:sz w:val="24"/>
          <w:szCs w:val="24"/>
        </w:rPr>
      </w:pPr>
      <w:r>
        <w:rPr>
          <w:rFonts w:ascii="宋体" w:hAnsi="宋体" w:eastAsia="宋体" w:cs="宋体"/>
          <w:color w:val="auto"/>
          <w:sz w:val="24"/>
          <w:szCs w:val="24"/>
        </w:rPr>
        <w:t>向分包单位支付工程进度款时，应附甲方批准分包的文件；</w:t>
      </w:r>
    </w:p>
    <w:p>
      <w:pPr>
        <w:spacing w:after="0" w:line="140" w:lineRule="exact"/>
        <w:rPr>
          <w:rFonts w:ascii="Times New Roman" w:hAnsi="Times New Roman" w:eastAsia="Times New Roman" w:cs="Times New Roman"/>
          <w:color w:val="auto"/>
          <w:sz w:val="24"/>
          <w:szCs w:val="24"/>
        </w:rPr>
      </w:pPr>
    </w:p>
    <w:p>
      <w:pPr>
        <w:numPr>
          <w:ilvl w:val="0"/>
          <w:numId w:val="92"/>
        </w:numPr>
        <w:tabs>
          <w:tab w:val="left" w:pos="1084"/>
        </w:tabs>
        <w:spacing w:after="0" w:line="309" w:lineRule="exact"/>
        <w:ind w:left="200" w:right="144" w:firstLine="484"/>
        <w:rPr>
          <w:rFonts w:ascii="Times New Roman" w:hAnsi="Times New Roman" w:eastAsia="Times New Roman" w:cs="Times New Roman"/>
          <w:color w:val="auto"/>
          <w:sz w:val="24"/>
          <w:szCs w:val="24"/>
        </w:rPr>
      </w:pPr>
      <w:r>
        <w:rPr>
          <w:rFonts w:ascii="宋体" w:hAnsi="宋体" w:eastAsia="宋体" w:cs="宋体"/>
          <w:color w:val="auto"/>
          <w:sz w:val="24"/>
          <w:szCs w:val="24"/>
        </w:rPr>
        <w:t>向上级单位缴纳管理费、机械设备及周转材料租赁摊销费等款项时，应附上级单位出具的转账通知等有关资料，以确保资金专款专用。</w:t>
      </w:r>
    </w:p>
    <w:p>
      <w:pPr>
        <w:spacing w:after="0" w:line="108" w:lineRule="exact"/>
        <w:rPr>
          <w:rFonts w:ascii="Times New Roman" w:hAnsi="Times New Roman" w:eastAsia="Times New Roman" w:cs="Times New Roman"/>
          <w:color w:val="auto"/>
          <w:sz w:val="24"/>
          <w:szCs w:val="24"/>
        </w:rPr>
      </w:pPr>
    </w:p>
    <w:p>
      <w:pPr>
        <w:spacing w:after="0" w:line="292" w:lineRule="exact"/>
        <w:ind w:left="6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4. </w:t>
      </w:r>
      <w:r>
        <w:rPr>
          <w:rFonts w:ascii="宋体" w:hAnsi="宋体" w:eastAsia="宋体" w:cs="宋体"/>
          <w:color w:val="auto"/>
          <w:sz w:val="24"/>
          <w:szCs w:val="24"/>
        </w:rPr>
        <w:t>丙方的权责</w:t>
      </w:r>
    </w:p>
    <w:p>
      <w:pPr>
        <w:spacing w:after="0" w:line="55" w:lineRule="exact"/>
        <w:rPr>
          <w:color w:val="auto"/>
          <w:sz w:val="20"/>
          <w:szCs w:val="20"/>
        </w:rPr>
      </w:pPr>
    </w:p>
    <w:p>
      <w:pPr>
        <w:tabs>
          <w:tab w:val="left" w:pos="2540"/>
        </w:tabs>
        <w:spacing w:after="0" w:line="326" w:lineRule="exact"/>
        <w:ind w:left="680"/>
        <w:rPr>
          <w:color w:val="auto"/>
          <w:sz w:val="20"/>
          <w:szCs w:val="20"/>
        </w:rPr>
      </w:pPr>
      <w:r>
        <w:rPr>
          <w:rFonts w:ascii="Times New Roman" w:hAnsi="Times New Roman" w:eastAsia="Times New Roman" w:cs="Times New Roman"/>
          <w:color w:val="auto"/>
          <w:sz w:val="24"/>
          <w:szCs w:val="24"/>
        </w:rPr>
        <w:t xml:space="preserve">(1) </w:t>
      </w:r>
      <w:r>
        <w:rPr>
          <w:rFonts w:ascii="宋体" w:hAnsi="宋体" w:eastAsia="宋体" w:cs="宋体"/>
          <w:color w:val="auto"/>
          <w:sz w:val="24"/>
          <w:szCs w:val="24"/>
        </w:rPr>
        <w:t>成立</w:t>
      </w:r>
      <w:r>
        <w:rPr>
          <w:color w:val="auto"/>
          <w:sz w:val="20"/>
          <w:szCs w:val="20"/>
        </w:rPr>
        <w:tab/>
      </w:r>
      <w:r>
        <w:rPr>
          <w:rFonts w:ascii="宋体" w:hAnsi="宋体" w:eastAsia="宋体" w:cs="宋体"/>
          <w:color w:val="auto"/>
          <w:sz w:val="24"/>
          <w:szCs w:val="24"/>
        </w:rPr>
        <w:t>（项目名称）工程资金管理服务小组，明确业务流程，提高</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999490</wp:posOffset>
                </wp:positionH>
                <wp:positionV relativeFrom="paragraph">
                  <wp:posOffset>-12065</wp:posOffset>
                </wp:positionV>
                <wp:extent cx="626110" cy="0"/>
                <wp:effectExtent l="0" t="0" r="0" b="0"/>
                <wp:wrapNone/>
                <wp:docPr id="537" name="Shape 537"/>
                <wp:cNvGraphicFramePr/>
                <a:graphic xmlns:a="http://schemas.openxmlformats.org/drawingml/2006/main">
                  <a:graphicData uri="http://schemas.microsoft.com/office/word/2010/wordprocessingShape">
                    <wps:wsp>
                      <wps:cNvCnPr/>
                      <wps:spPr>
                        <a:xfrm>
                          <a:off x="0" y="0"/>
                          <a:ext cx="626110" cy="4763"/>
                        </a:xfrm>
                        <a:prstGeom prst="line">
                          <a:avLst/>
                        </a:prstGeom>
                        <a:solidFill>
                          <a:srgbClr val="FFFFFF"/>
                        </a:solidFill>
                        <a:ln w="7620">
                          <a:solidFill>
                            <a:srgbClr val="000000"/>
                          </a:solidFill>
                          <a:miter lim="800000"/>
                        </a:ln>
                      </wps:spPr>
                      <wps:bodyPr/>
                    </wps:wsp>
                  </a:graphicData>
                </a:graphic>
              </wp:anchor>
            </w:drawing>
          </mc:Choice>
          <mc:Fallback>
            <w:pict>
              <v:line id="Shape 537" o:spid="_x0000_s1026" o:spt="20" style="position:absolute;left:0pt;margin-left:78.7pt;margin-top:-0.95pt;height:0pt;width:49.3pt;z-index:-251658240;mso-width-relative:page;mso-height-relative:page;" fillcolor="#FFFFFF" filled="t" stroked="t" coordsize="21600,21600" o:allowincell="f" o:gfxdata="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PzgOzDWAAAA&#10;CQEAAA8AAAAAAAAAAQAgAAAAOAAAAGRycy9kb3ducmV2LnhtbFBLAQIUABQAAAAIAIdO4kCJkANZ&#10;lwEAAE4DAAAOAAAAAAAAAAEAIAAAADsBAABkcnMvZTJvRG9jLnhtbFBLBQYAAAAABgAGAFkBAABE&#10;BQAAAAA=&#10;">
                <v:fill on="t" focussize="0,0"/>
                <v:stroke weight="0.6pt" color="#000000" miterlimit="8" joinstyle="miter"/>
                <v:imagedata o:title=""/>
                <o:lock v:ext="edit" aspectratio="f"/>
              </v:line>
            </w:pict>
          </mc:Fallback>
        </mc:AlternateContent>
      </w:r>
    </w:p>
    <w:p>
      <w:pPr>
        <w:spacing w:after="0" w:line="67" w:lineRule="exact"/>
        <w:rPr>
          <w:color w:val="auto"/>
          <w:sz w:val="20"/>
          <w:szCs w:val="20"/>
        </w:rPr>
      </w:pPr>
    </w:p>
    <w:p>
      <w:pPr>
        <w:spacing w:after="0" w:line="292" w:lineRule="exact"/>
        <w:ind w:left="200"/>
        <w:rPr>
          <w:color w:val="auto"/>
          <w:sz w:val="20"/>
          <w:szCs w:val="20"/>
        </w:rPr>
      </w:pPr>
      <w:r>
        <w:rPr>
          <w:rFonts w:ascii="宋体" w:hAnsi="宋体" w:eastAsia="宋体" w:cs="宋体"/>
          <w:color w:val="auto"/>
          <w:sz w:val="24"/>
          <w:szCs w:val="24"/>
        </w:rPr>
        <w:t>工作效率，杜绝</w:t>
      </w:r>
      <w:r>
        <w:rPr>
          <w:rFonts w:ascii="Times New Roman" w:hAnsi="Times New Roman" w:eastAsia="Times New Roman" w:cs="Times New Roman"/>
          <w:color w:val="auto"/>
          <w:sz w:val="24"/>
          <w:szCs w:val="24"/>
        </w:rPr>
        <w:t>“</w:t>
      </w:r>
      <w:r>
        <w:rPr>
          <w:rFonts w:ascii="宋体" w:hAnsi="宋体" w:eastAsia="宋体" w:cs="宋体"/>
          <w:color w:val="auto"/>
          <w:sz w:val="24"/>
          <w:szCs w:val="24"/>
        </w:rPr>
        <w:t>压票</w:t>
      </w:r>
      <w:r>
        <w:rPr>
          <w:rFonts w:ascii="Times New Roman" w:hAnsi="Times New Roman" w:eastAsia="Times New Roman" w:cs="Times New Roman"/>
          <w:color w:val="auto"/>
          <w:sz w:val="24"/>
          <w:szCs w:val="24"/>
        </w:rPr>
        <w:t>”</w:t>
      </w:r>
      <w:r>
        <w:rPr>
          <w:rFonts w:ascii="宋体" w:hAnsi="宋体" w:eastAsia="宋体" w:cs="宋体"/>
          <w:color w:val="auto"/>
          <w:sz w:val="24"/>
          <w:szCs w:val="24"/>
        </w:rPr>
        <w:t>现象；</w:t>
      </w:r>
    </w:p>
    <w:p>
      <w:pPr>
        <w:spacing w:after="0" w:line="122" w:lineRule="exact"/>
        <w:rPr>
          <w:color w:val="auto"/>
          <w:sz w:val="20"/>
          <w:szCs w:val="20"/>
        </w:rPr>
      </w:pPr>
    </w:p>
    <w:p>
      <w:pPr>
        <w:numPr>
          <w:ilvl w:val="0"/>
          <w:numId w:val="93"/>
        </w:numPr>
        <w:tabs>
          <w:tab w:val="left" w:pos="1084"/>
        </w:tabs>
        <w:spacing w:after="0" w:line="333" w:lineRule="exact"/>
        <w:ind w:left="200" w:right="144" w:firstLine="484"/>
        <w:jc w:val="both"/>
        <w:rPr>
          <w:rFonts w:ascii="Times New Roman" w:hAnsi="Times New Roman" w:eastAsia="Times New Roman" w:cs="Times New Roman"/>
          <w:color w:val="auto"/>
          <w:sz w:val="24"/>
          <w:szCs w:val="24"/>
        </w:rPr>
      </w:pPr>
      <w:r>
        <w:rPr>
          <w:rFonts w:ascii="宋体" w:hAnsi="宋体" w:eastAsia="宋体" w:cs="宋体"/>
          <w:color w:val="auto"/>
          <w:sz w:val="24"/>
          <w:szCs w:val="24"/>
        </w:rPr>
        <w:t>根据乙方提供的购货合同、协议和发票，检查其所购材料、设备是否用于（项目名称）工程建设，对本标段以外的购货款项，有权拒绝办理，并及时报告甲方；</w:t>
      </w:r>
    </w:p>
    <w:p>
      <w:pPr>
        <w:spacing w:after="0" w:line="143" w:lineRule="exact"/>
        <w:rPr>
          <w:rFonts w:ascii="Times New Roman" w:hAnsi="Times New Roman" w:eastAsia="Times New Roman" w:cs="Times New Roman"/>
          <w:color w:val="auto"/>
          <w:sz w:val="24"/>
          <w:szCs w:val="24"/>
        </w:rPr>
      </w:pPr>
    </w:p>
    <w:p>
      <w:pPr>
        <w:numPr>
          <w:ilvl w:val="0"/>
          <w:numId w:val="93"/>
        </w:numPr>
        <w:tabs>
          <w:tab w:val="left" w:pos="1084"/>
        </w:tabs>
        <w:spacing w:after="0" w:line="310" w:lineRule="exact"/>
        <w:ind w:left="200" w:right="144" w:firstLine="484"/>
        <w:rPr>
          <w:rFonts w:ascii="Times New Roman" w:hAnsi="Times New Roman" w:eastAsia="Times New Roman" w:cs="Times New Roman"/>
          <w:color w:val="auto"/>
          <w:sz w:val="24"/>
          <w:szCs w:val="24"/>
        </w:rPr>
      </w:pPr>
      <w:r>
        <w:rPr>
          <w:rFonts w:ascii="宋体" w:hAnsi="宋体" w:eastAsia="宋体" w:cs="宋体"/>
          <w:color w:val="auto"/>
          <w:sz w:val="24"/>
          <w:szCs w:val="24"/>
        </w:rPr>
        <w:t>根据乙方与分包单位签订的合同及支付文件，检查其支付款项是否符合有关条件，向分包单位以外单位的支付有权拒绝办理，并及时报告甲方；</w:t>
      </w:r>
    </w:p>
    <w:p>
      <w:pPr>
        <w:spacing w:after="0" w:line="139" w:lineRule="exact"/>
        <w:rPr>
          <w:rFonts w:ascii="Times New Roman" w:hAnsi="Times New Roman" w:eastAsia="Times New Roman" w:cs="Times New Roman"/>
          <w:color w:val="auto"/>
          <w:sz w:val="24"/>
          <w:szCs w:val="24"/>
        </w:rPr>
      </w:pPr>
    </w:p>
    <w:p>
      <w:pPr>
        <w:numPr>
          <w:ilvl w:val="0"/>
          <w:numId w:val="93"/>
        </w:numPr>
        <w:tabs>
          <w:tab w:val="left" w:pos="1084"/>
        </w:tabs>
        <w:spacing w:after="0" w:line="334" w:lineRule="exact"/>
        <w:ind w:left="200" w:right="24" w:firstLine="484"/>
        <w:rPr>
          <w:rFonts w:ascii="Times New Roman" w:hAnsi="Times New Roman" w:eastAsia="Times New Roman" w:cs="Times New Roman"/>
          <w:color w:val="auto"/>
          <w:sz w:val="24"/>
          <w:szCs w:val="24"/>
        </w:rPr>
      </w:pPr>
      <w:r>
        <w:rPr>
          <w:rFonts w:ascii="宋体" w:hAnsi="宋体" w:eastAsia="宋体" w:cs="宋体"/>
          <w:color w:val="auto"/>
          <w:sz w:val="24"/>
          <w:szCs w:val="24"/>
        </w:rPr>
        <w:t>根据乙方提供的上级单位出具的转账通知等有关资料，办理管理费、机械设备及周转材料租赁摊销费等款项的支付；对超出转账通知等有关资料以外的支付，有权拒绝办理，并及时报告甲方；</w:t>
      </w:r>
    </w:p>
    <w:p>
      <w:pPr>
        <w:spacing w:after="0" w:line="139" w:lineRule="exact"/>
        <w:rPr>
          <w:rFonts w:ascii="Times New Roman" w:hAnsi="Times New Roman" w:eastAsia="Times New Roman" w:cs="Times New Roman"/>
          <w:color w:val="auto"/>
          <w:sz w:val="24"/>
          <w:szCs w:val="24"/>
        </w:rPr>
      </w:pPr>
    </w:p>
    <w:p>
      <w:pPr>
        <w:numPr>
          <w:ilvl w:val="0"/>
          <w:numId w:val="93"/>
        </w:numPr>
        <w:tabs>
          <w:tab w:val="left" w:pos="1084"/>
        </w:tabs>
        <w:spacing w:after="0" w:line="310" w:lineRule="exact"/>
        <w:ind w:left="200" w:right="144" w:firstLine="484"/>
        <w:rPr>
          <w:rFonts w:ascii="Times New Roman" w:hAnsi="Times New Roman" w:eastAsia="Times New Roman" w:cs="Times New Roman"/>
          <w:color w:val="auto"/>
          <w:sz w:val="24"/>
          <w:szCs w:val="24"/>
        </w:rPr>
      </w:pPr>
      <w:r>
        <w:rPr>
          <w:rFonts w:ascii="宋体" w:hAnsi="宋体" w:eastAsia="宋体" w:cs="宋体"/>
          <w:color w:val="auto"/>
          <w:sz w:val="24"/>
          <w:szCs w:val="24"/>
        </w:rPr>
        <w:t>定期将乙方前一个周期的支付情况，整理后书面报送甲方；乙方复印备案的材料一并送甲方。</w:t>
      </w:r>
    </w:p>
    <w:p>
      <w:pPr>
        <w:spacing w:after="0" w:line="107" w:lineRule="exact"/>
        <w:rPr>
          <w:rFonts w:ascii="Times New Roman" w:hAnsi="Times New Roman" w:eastAsia="Times New Roman" w:cs="Times New Roman"/>
          <w:color w:val="auto"/>
          <w:sz w:val="24"/>
          <w:szCs w:val="24"/>
        </w:rPr>
      </w:pPr>
    </w:p>
    <w:p>
      <w:pPr>
        <w:spacing w:after="0" w:line="327" w:lineRule="exact"/>
        <w:ind w:left="200" w:right="144" w:firstLine="4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5. </w:t>
      </w:r>
      <w:r>
        <w:rPr>
          <w:rFonts w:ascii="宋体" w:hAnsi="宋体" w:eastAsia="宋体" w:cs="宋体"/>
          <w:color w:val="auto"/>
          <w:sz w:val="24"/>
          <w:szCs w:val="24"/>
        </w:rPr>
        <w:t>甲、乙、丙三方都应履行保密责任，不得将其他两方的业务情况透露给三方以外的其他单位或个人。</w:t>
      </w:r>
    </w:p>
    <w:p>
      <w:pPr>
        <w:spacing w:after="0" w:line="106" w:lineRule="exact"/>
        <w:rPr>
          <w:rFonts w:ascii="Times New Roman" w:hAnsi="Times New Roman" w:eastAsia="Times New Roman" w:cs="Times New Roman"/>
          <w:color w:val="auto"/>
          <w:sz w:val="24"/>
          <w:szCs w:val="24"/>
        </w:rPr>
      </w:pPr>
    </w:p>
    <w:p>
      <w:pPr>
        <w:spacing w:after="0" w:line="327" w:lineRule="exact"/>
        <w:ind w:left="200" w:right="144" w:firstLine="4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6. </w:t>
      </w:r>
      <w:r>
        <w:rPr>
          <w:rFonts w:ascii="宋体" w:hAnsi="宋体" w:eastAsia="宋体" w:cs="宋体"/>
          <w:color w:val="auto"/>
          <w:sz w:val="24"/>
          <w:szCs w:val="24"/>
        </w:rPr>
        <w:t>本协议有效期自乙方在丙方开户起，至工程交工验收甲方向乙方颁发交工验收证书后结束。</w:t>
      </w:r>
    </w:p>
    <w:p>
      <w:pPr>
        <w:spacing w:after="0" w:line="106" w:lineRule="exact"/>
        <w:rPr>
          <w:rFonts w:ascii="Times New Roman" w:hAnsi="Times New Roman" w:eastAsia="Times New Roman" w:cs="Times New Roman"/>
          <w:color w:val="auto"/>
          <w:sz w:val="24"/>
          <w:szCs w:val="24"/>
        </w:rPr>
      </w:pPr>
    </w:p>
    <w:p>
      <w:pPr>
        <w:spacing w:after="0" w:line="292" w:lineRule="exact"/>
        <w:ind w:left="6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7. </w:t>
      </w:r>
      <w:r>
        <w:rPr>
          <w:rFonts w:ascii="宋体" w:hAnsi="宋体" w:eastAsia="宋体" w:cs="宋体"/>
          <w:color w:val="auto"/>
          <w:sz w:val="24"/>
          <w:szCs w:val="24"/>
        </w:rPr>
        <w:t>本协议未尽事宜，由甲方牵头，三方协商解决。</w:t>
      </w:r>
    </w:p>
    <w:p>
      <w:pPr>
        <w:spacing w:after="0" w:line="88" w:lineRule="exact"/>
        <w:rPr>
          <w:rFonts w:ascii="Times New Roman" w:hAnsi="Times New Roman" w:eastAsia="Times New Roman" w:cs="Times New Roman"/>
          <w:color w:val="auto"/>
          <w:sz w:val="24"/>
          <w:szCs w:val="24"/>
        </w:rPr>
      </w:pPr>
    </w:p>
    <w:p>
      <w:pPr>
        <w:spacing w:after="0" w:line="327" w:lineRule="exact"/>
        <w:ind w:left="200" w:right="144" w:firstLine="4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8. </w:t>
      </w:r>
      <w:r>
        <w:rPr>
          <w:rFonts w:ascii="宋体" w:hAnsi="宋体" w:eastAsia="宋体" w:cs="宋体"/>
          <w:color w:val="auto"/>
          <w:sz w:val="24"/>
          <w:szCs w:val="24"/>
        </w:rPr>
        <w:t>本协议正本三份、副本</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rPr>
        <w:t>份。合同三方各执正本一份、副本</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rPr>
        <w:t>份，当正本与副本内容不一致时，以正本为准。</w:t>
      </w:r>
    </w:p>
    <w:p>
      <w:pPr>
        <w:spacing w:after="0" w:line="20" w:lineRule="exact"/>
        <w:rPr>
          <w:color w:val="auto"/>
          <w:sz w:val="20"/>
          <w:szCs w:val="20"/>
        </w:rPr>
      </w:pPr>
    </w:p>
    <w:p>
      <w:pPr>
        <w:spacing w:after="0" w:line="362" w:lineRule="exact"/>
        <w:rPr>
          <w:color w:val="auto"/>
          <w:sz w:val="20"/>
          <w:szCs w:val="20"/>
        </w:rPr>
      </w:pPr>
    </w:p>
    <w:tbl>
      <w:tblPr>
        <w:tblStyle w:val="10"/>
        <w:tblW w:w="5640" w:type="dxa"/>
        <w:tblInd w:w="200" w:type="dxa"/>
        <w:tblLayout w:type="fixed"/>
        <w:tblCellMar>
          <w:top w:w="0" w:type="dxa"/>
          <w:left w:w="0" w:type="dxa"/>
          <w:bottom w:w="0" w:type="dxa"/>
          <w:right w:w="0" w:type="dxa"/>
        </w:tblCellMar>
      </w:tblPr>
      <w:tblGrid>
        <w:gridCol w:w="960"/>
        <w:gridCol w:w="240"/>
        <w:gridCol w:w="720"/>
        <w:gridCol w:w="1080"/>
        <w:gridCol w:w="120"/>
        <w:gridCol w:w="120"/>
        <w:gridCol w:w="840"/>
        <w:gridCol w:w="360"/>
        <w:gridCol w:w="200"/>
        <w:gridCol w:w="280"/>
        <w:gridCol w:w="360"/>
        <w:gridCol w:w="360"/>
      </w:tblGrid>
      <w:tr>
        <w:tblPrEx>
          <w:tblCellMar>
            <w:top w:w="0" w:type="dxa"/>
            <w:left w:w="0" w:type="dxa"/>
            <w:bottom w:w="0" w:type="dxa"/>
            <w:right w:w="0" w:type="dxa"/>
          </w:tblCellMar>
        </w:tblPrEx>
        <w:trPr>
          <w:trHeight w:val="292" w:hRule="atLeast"/>
        </w:trPr>
        <w:tc>
          <w:tcPr>
            <w:tcW w:w="4080" w:type="dxa"/>
            <w:gridSpan w:val="7"/>
            <w:vAlign w:val="bottom"/>
          </w:tcPr>
          <w:p>
            <w:pPr>
              <w:spacing w:after="0" w:line="274" w:lineRule="exact"/>
              <w:rPr>
                <w:color w:val="auto"/>
                <w:sz w:val="20"/>
                <w:szCs w:val="20"/>
              </w:rPr>
            </w:pPr>
            <w:r>
              <w:rPr>
                <w:rFonts w:ascii="宋体" w:hAnsi="宋体" w:eastAsia="宋体" w:cs="宋体"/>
                <w:color w:val="auto"/>
                <w:sz w:val="24"/>
                <w:szCs w:val="24"/>
              </w:rPr>
              <w:t>发包人：</w:t>
            </w:r>
          </w:p>
        </w:tc>
        <w:tc>
          <w:tcPr>
            <w:tcW w:w="1200" w:type="dxa"/>
            <w:gridSpan w:val="4"/>
            <w:vAlign w:val="bottom"/>
          </w:tcPr>
          <w:p>
            <w:pPr>
              <w:spacing w:after="0" w:line="292" w:lineRule="exact"/>
              <w:jc w:val="right"/>
              <w:rPr>
                <w:color w:val="auto"/>
                <w:sz w:val="20"/>
                <w:szCs w:val="20"/>
              </w:rPr>
            </w:pPr>
            <w:r>
              <w:rPr>
                <w:rFonts w:ascii="Times New Roman" w:hAnsi="Times New Roman" w:eastAsia="Times New Roman" w:cs="Times New Roman"/>
                <w:color w:val="auto"/>
                <w:w w:val="98"/>
                <w:sz w:val="24"/>
                <w:szCs w:val="24"/>
              </w:rPr>
              <w:t>(</w:t>
            </w:r>
            <w:r>
              <w:rPr>
                <w:rFonts w:ascii="宋体" w:hAnsi="宋体" w:eastAsia="宋体" w:cs="宋体"/>
                <w:color w:val="auto"/>
                <w:w w:val="98"/>
                <w:sz w:val="24"/>
                <w:szCs w:val="24"/>
              </w:rPr>
              <w:t>盖单位章</w:t>
            </w:r>
            <w:r>
              <w:rPr>
                <w:rFonts w:ascii="Times New Roman" w:hAnsi="Times New Roman" w:eastAsia="Times New Roman" w:cs="Times New Roman"/>
                <w:color w:val="auto"/>
                <w:w w:val="98"/>
                <w:sz w:val="24"/>
                <w:szCs w:val="24"/>
              </w:rPr>
              <w:t>)</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960" w:type="dxa"/>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720" w:type="dxa"/>
            <w:shd w:val="clear" w:color="auto" w:fill="000000"/>
            <w:vAlign w:val="bottom"/>
          </w:tcPr>
          <w:p>
            <w:pPr>
              <w:spacing w:after="0" w:line="20" w:lineRule="exact"/>
              <w:rPr>
                <w:color w:val="auto"/>
                <w:sz w:val="1"/>
                <w:szCs w:val="1"/>
              </w:rPr>
            </w:pPr>
          </w:p>
        </w:tc>
        <w:tc>
          <w:tcPr>
            <w:tcW w:w="108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840" w:type="dxa"/>
            <w:gridSpan w:val="3"/>
            <w:vMerge w:val="restart"/>
            <w:vAlign w:val="bottom"/>
          </w:tcPr>
          <w:p>
            <w:pPr>
              <w:spacing w:after="0" w:line="292" w:lineRule="exact"/>
              <w:jc w:val="right"/>
              <w:rPr>
                <w:color w:val="auto"/>
                <w:sz w:val="20"/>
                <w:szCs w:val="20"/>
              </w:rPr>
            </w:pPr>
            <w:r>
              <w:rPr>
                <w:rFonts w:ascii="Times New Roman" w:hAnsi="Times New Roman" w:eastAsia="Times New Roman" w:cs="Times New Roman"/>
                <w:color w:val="auto"/>
                <w:sz w:val="24"/>
                <w:szCs w:val="24"/>
              </w:rPr>
              <w:t>(</w:t>
            </w:r>
            <w:r>
              <w:rPr>
                <w:rFonts w:ascii="宋体" w:hAnsi="宋体" w:eastAsia="宋体" w:cs="宋体"/>
                <w:color w:val="auto"/>
                <w:sz w:val="24"/>
                <w:szCs w:val="24"/>
              </w:rPr>
              <w:t>签字</w:t>
            </w:r>
            <w:r>
              <w:rPr>
                <w:rFonts w:ascii="Times New Roman" w:hAnsi="Times New Roman" w:eastAsia="Times New Roman" w:cs="Times New Roman"/>
                <w:color w:val="auto"/>
                <w:sz w:val="24"/>
                <w:szCs w:val="24"/>
              </w:rPr>
              <w:t>)</w:t>
            </w: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20" w:hRule="atLeast"/>
        </w:trPr>
        <w:tc>
          <w:tcPr>
            <w:tcW w:w="4080" w:type="dxa"/>
            <w:gridSpan w:val="7"/>
            <w:vAlign w:val="bottom"/>
          </w:tcPr>
          <w:p>
            <w:pPr>
              <w:spacing w:after="0" w:line="274" w:lineRule="exact"/>
              <w:rPr>
                <w:color w:val="auto"/>
                <w:sz w:val="20"/>
                <w:szCs w:val="20"/>
              </w:rPr>
            </w:pPr>
            <w:r>
              <w:rPr>
                <w:rFonts w:ascii="宋体" w:hAnsi="宋体" w:eastAsia="宋体" w:cs="宋体"/>
                <w:color w:val="auto"/>
                <w:sz w:val="24"/>
                <w:szCs w:val="24"/>
              </w:rPr>
              <w:t>法定代表人或其委托代理人：</w:t>
            </w:r>
          </w:p>
        </w:tc>
        <w:tc>
          <w:tcPr>
            <w:tcW w:w="360" w:type="dxa"/>
            <w:vAlign w:val="bottom"/>
          </w:tcPr>
          <w:p>
            <w:pPr>
              <w:spacing w:after="0"/>
              <w:rPr>
                <w:color w:val="auto"/>
                <w:sz w:val="24"/>
                <w:szCs w:val="24"/>
              </w:rPr>
            </w:pPr>
          </w:p>
        </w:tc>
        <w:tc>
          <w:tcPr>
            <w:tcW w:w="840" w:type="dxa"/>
            <w:gridSpan w:val="3"/>
            <w:vMerge w:val="continue"/>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96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108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200" w:type="dxa"/>
            <w:shd w:val="clear" w:color="auto" w:fill="000000"/>
            <w:vAlign w:val="bottom"/>
          </w:tcPr>
          <w:p>
            <w:pPr>
              <w:spacing w:after="0" w:line="20" w:lineRule="exact"/>
              <w:rPr>
                <w:color w:val="auto"/>
                <w:sz w:val="1"/>
                <w:szCs w:val="1"/>
              </w:rPr>
            </w:pPr>
          </w:p>
        </w:tc>
        <w:tc>
          <w:tcPr>
            <w:tcW w:w="28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20" w:hRule="atLeast"/>
        </w:trPr>
        <w:tc>
          <w:tcPr>
            <w:tcW w:w="96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gridSpan w:val="3"/>
            <w:vAlign w:val="bottom"/>
          </w:tcPr>
          <w:p>
            <w:pPr>
              <w:spacing w:after="0" w:line="274" w:lineRule="exact"/>
              <w:rPr>
                <w:color w:val="auto"/>
                <w:sz w:val="20"/>
                <w:szCs w:val="20"/>
              </w:rPr>
            </w:pPr>
            <w:r>
              <w:rPr>
                <w:rFonts w:ascii="宋体" w:hAnsi="宋体" w:eastAsia="宋体" w:cs="宋体"/>
                <w:color w:val="auto"/>
                <w:sz w:val="24"/>
                <w:szCs w:val="24"/>
              </w:rPr>
              <w:t>年</w:t>
            </w:r>
          </w:p>
        </w:tc>
        <w:tc>
          <w:tcPr>
            <w:tcW w:w="360" w:type="dxa"/>
            <w:vAlign w:val="bottom"/>
          </w:tcPr>
          <w:p>
            <w:pPr>
              <w:spacing w:after="0" w:line="274" w:lineRule="exact"/>
              <w:rPr>
                <w:color w:val="auto"/>
                <w:sz w:val="20"/>
                <w:szCs w:val="20"/>
              </w:rPr>
            </w:pPr>
            <w:r>
              <w:rPr>
                <w:rFonts w:ascii="宋体" w:hAnsi="宋体" w:eastAsia="宋体" w:cs="宋体"/>
                <w:color w:val="auto"/>
                <w:sz w:val="24"/>
                <w:szCs w:val="24"/>
              </w:rPr>
              <w:t>月</w:t>
            </w:r>
          </w:p>
        </w:tc>
        <w:tc>
          <w:tcPr>
            <w:tcW w:w="20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360" w:type="dxa"/>
            <w:vAlign w:val="bottom"/>
          </w:tcPr>
          <w:p>
            <w:pPr>
              <w:spacing w:after="0" w:line="274" w:lineRule="exact"/>
              <w:jc w:val="right"/>
              <w:rPr>
                <w:color w:val="auto"/>
                <w:sz w:val="20"/>
                <w:szCs w:val="20"/>
              </w:rPr>
            </w:pPr>
            <w:r>
              <w:rPr>
                <w:rFonts w:ascii="宋体" w:hAnsi="宋体" w:eastAsia="宋体" w:cs="宋体"/>
                <w:color w:val="auto"/>
                <w:sz w:val="24"/>
                <w:szCs w:val="24"/>
              </w:rPr>
              <w:t>日</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1200" w:type="dxa"/>
            <w:gridSpan w:val="2"/>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1080" w:type="dxa"/>
            <w:shd w:val="clear" w:color="auto" w:fill="000000"/>
            <w:vAlign w:val="bottom"/>
          </w:tcPr>
          <w:p>
            <w:pPr>
              <w:spacing w:after="0" w:line="20" w:lineRule="exact"/>
              <w:rPr>
                <w:color w:val="auto"/>
                <w:sz w:val="1"/>
                <w:szCs w:val="1"/>
              </w:rPr>
            </w:pPr>
          </w:p>
        </w:tc>
        <w:tc>
          <w:tcPr>
            <w:tcW w:w="240" w:type="dxa"/>
            <w:gridSpan w:val="2"/>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480" w:type="dxa"/>
            <w:gridSpan w:val="2"/>
            <w:shd w:val="clear" w:color="auto" w:fill="000000"/>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660" w:hRule="atLeast"/>
        </w:trPr>
        <w:tc>
          <w:tcPr>
            <w:tcW w:w="1920" w:type="dxa"/>
            <w:gridSpan w:val="3"/>
            <w:vAlign w:val="bottom"/>
          </w:tcPr>
          <w:p>
            <w:pPr>
              <w:spacing w:after="0" w:line="274" w:lineRule="exact"/>
              <w:rPr>
                <w:color w:val="auto"/>
                <w:sz w:val="20"/>
                <w:szCs w:val="20"/>
              </w:rPr>
            </w:pPr>
            <w:r>
              <w:rPr>
                <w:rFonts w:ascii="宋体" w:hAnsi="宋体" w:eastAsia="宋体" w:cs="宋体"/>
                <w:color w:val="auto"/>
                <w:sz w:val="24"/>
                <w:szCs w:val="24"/>
              </w:rPr>
              <w:t>承包人：</w:t>
            </w:r>
          </w:p>
        </w:tc>
        <w:tc>
          <w:tcPr>
            <w:tcW w:w="1080" w:type="dxa"/>
            <w:vAlign w:val="bottom"/>
          </w:tcPr>
          <w:p>
            <w:pPr>
              <w:spacing w:after="0"/>
              <w:rPr>
                <w:color w:val="auto"/>
                <w:sz w:val="24"/>
                <w:szCs w:val="24"/>
              </w:rPr>
            </w:pPr>
          </w:p>
        </w:tc>
        <w:tc>
          <w:tcPr>
            <w:tcW w:w="240" w:type="dxa"/>
            <w:gridSpan w:val="2"/>
            <w:vAlign w:val="bottom"/>
          </w:tcPr>
          <w:p>
            <w:pPr>
              <w:spacing w:after="0"/>
              <w:rPr>
                <w:color w:val="auto"/>
                <w:sz w:val="24"/>
                <w:szCs w:val="24"/>
              </w:rPr>
            </w:pPr>
          </w:p>
        </w:tc>
        <w:tc>
          <w:tcPr>
            <w:tcW w:w="840" w:type="dxa"/>
            <w:vAlign w:val="bottom"/>
          </w:tcPr>
          <w:p>
            <w:pPr>
              <w:spacing w:after="0"/>
              <w:rPr>
                <w:color w:val="auto"/>
                <w:sz w:val="24"/>
                <w:szCs w:val="24"/>
              </w:rPr>
            </w:pPr>
          </w:p>
        </w:tc>
        <w:tc>
          <w:tcPr>
            <w:tcW w:w="1200" w:type="dxa"/>
            <w:gridSpan w:val="4"/>
            <w:vAlign w:val="bottom"/>
          </w:tcPr>
          <w:p>
            <w:pPr>
              <w:spacing w:after="0" w:line="292" w:lineRule="exact"/>
              <w:jc w:val="right"/>
              <w:rPr>
                <w:color w:val="auto"/>
                <w:sz w:val="20"/>
                <w:szCs w:val="20"/>
              </w:rPr>
            </w:pPr>
            <w:r>
              <w:rPr>
                <w:rFonts w:ascii="Times New Roman" w:hAnsi="Times New Roman" w:eastAsia="Times New Roman" w:cs="Times New Roman"/>
                <w:color w:val="auto"/>
                <w:w w:val="98"/>
                <w:sz w:val="24"/>
                <w:szCs w:val="24"/>
              </w:rPr>
              <w:t>(</w:t>
            </w:r>
            <w:r>
              <w:rPr>
                <w:rFonts w:ascii="宋体" w:hAnsi="宋体" w:eastAsia="宋体" w:cs="宋体"/>
                <w:color w:val="auto"/>
                <w:w w:val="98"/>
                <w:sz w:val="24"/>
                <w:szCs w:val="24"/>
              </w:rPr>
              <w:t>盖单位章</w:t>
            </w:r>
            <w:r>
              <w:rPr>
                <w:rFonts w:ascii="Times New Roman" w:hAnsi="Times New Roman" w:eastAsia="Times New Roman" w:cs="Times New Roman"/>
                <w:color w:val="auto"/>
                <w:w w:val="98"/>
                <w:sz w:val="24"/>
                <w:szCs w:val="24"/>
              </w:rPr>
              <w:t>)</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960" w:type="dxa"/>
            <w:vAlign w:val="bottom"/>
          </w:tcPr>
          <w:p>
            <w:pPr>
              <w:spacing w:after="0" w:line="20" w:lineRule="exact"/>
              <w:rPr>
                <w:color w:val="auto"/>
                <w:sz w:val="1"/>
                <w:szCs w:val="1"/>
              </w:rPr>
            </w:pPr>
          </w:p>
        </w:tc>
        <w:tc>
          <w:tcPr>
            <w:tcW w:w="240" w:type="dxa"/>
            <w:shd w:val="clear" w:color="auto" w:fill="000000"/>
            <w:vAlign w:val="bottom"/>
          </w:tcPr>
          <w:p>
            <w:pPr>
              <w:spacing w:after="0" w:line="20" w:lineRule="exact"/>
              <w:rPr>
                <w:color w:val="auto"/>
                <w:sz w:val="1"/>
                <w:szCs w:val="1"/>
              </w:rPr>
            </w:pPr>
          </w:p>
        </w:tc>
        <w:tc>
          <w:tcPr>
            <w:tcW w:w="2880" w:type="dxa"/>
            <w:gridSpan w:val="5"/>
            <w:shd w:val="clear" w:color="auto" w:fill="000000"/>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840" w:type="dxa"/>
            <w:gridSpan w:val="3"/>
            <w:vMerge w:val="restart"/>
            <w:vAlign w:val="bottom"/>
          </w:tcPr>
          <w:p>
            <w:pPr>
              <w:spacing w:after="0" w:line="292" w:lineRule="exact"/>
              <w:jc w:val="right"/>
              <w:rPr>
                <w:color w:val="auto"/>
                <w:sz w:val="20"/>
                <w:szCs w:val="20"/>
              </w:rPr>
            </w:pPr>
            <w:r>
              <w:rPr>
                <w:rFonts w:ascii="Times New Roman" w:hAnsi="Times New Roman" w:eastAsia="Times New Roman" w:cs="Times New Roman"/>
                <w:color w:val="auto"/>
                <w:sz w:val="24"/>
                <w:szCs w:val="24"/>
              </w:rPr>
              <w:t>(</w:t>
            </w:r>
            <w:r>
              <w:rPr>
                <w:rFonts w:ascii="宋体" w:hAnsi="宋体" w:eastAsia="宋体" w:cs="宋体"/>
                <w:color w:val="auto"/>
                <w:sz w:val="24"/>
                <w:szCs w:val="24"/>
              </w:rPr>
              <w:t>签字</w:t>
            </w:r>
            <w:r>
              <w:rPr>
                <w:rFonts w:ascii="Times New Roman" w:hAnsi="Times New Roman" w:eastAsia="Times New Roman" w:cs="Times New Roman"/>
                <w:color w:val="auto"/>
                <w:sz w:val="24"/>
                <w:szCs w:val="24"/>
              </w:rPr>
              <w:t>)</w:t>
            </w: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20" w:hRule="atLeast"/>
        </w:trPr>
        <w:tc>
          <w:tcPr>
            <w:tcW w:w="4080" w:type="dxa"/>
            <w:gridSpan w:val="7"/>
            <w:vAlign w:val="bottom"/>
          </w:tcPr>
          <w:p>
            <w:pPr>
              <w:spacing w:after="0" w:line="274" w:lineRule="exact"/>
              <w:rPr>
                <w:color w:val="auto"/>
                <w:sz w:val="20"/>
                <w:szCs w:val="20"/>
              </w:rPr>
            </w:pPr>
            <w:r>
              <w:rPr>
                <w:rFonts w:ascii="宋体" w:hAnsi="宋体" w:eastAsia="宋体" w:cs="宋体"/>
                <w:color w:val="auto"/>
                <w:sz w:val="24"/>
                <w:szCs w:val="24"/>
              </w:rPr>
              <w:t>法定代表人或其委托代理人：</w:t>
            </w:r>
          </w:p>
        </w:tc>
        <w:tc>
          <w:tcPr>
            <w:tcW w:w="360" w:type="dxa"/>
            <w:vAlign w:val="bottom"/>
          </w:tcPr>
          <w:p>
            <w:pPr>
              <w:spacing w:after="0"/>
              <w:rPr>
                <w:color w:val="auto"/>
                <w:sz w:val="24"/>
                <w:szCs w:val="24"/>
              </w:rPr>
            </w:pPr>
          </w:p>
        </w:tc>
        <w:tc>
          <w:tcPr>
            <w:tcW w:w="840" w:type="dxa"/>
            <w:gridSpan w:val="3"/>
            <w:vMerge w:val="continue"/>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96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108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960" w:type="dxa"/>
            <w:gridSpan w:val="2"/>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200" w:type="dxa"/>
            <w:shd w:val="clear" w:color="auto" w:fill="000000"/>
            <w:vAlign w:val="bottom"/>
          </w:tcPr>
          <w:p>
            <w:pPr>
              <w:spacing w:after="0" w:line="20" w:lineRule="exact"/>
              <w:rPr>
                <w:color w:val="auto"/>
                <w:sz w:val="1"/>
                <w:szCs w:val="1"/>
              </w:rPr>
            </w:pPr>
          </w:p>
        </w:tc>
        <w:tc>
          <w:tcPr>
            <w:tcW w:w="28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21" w:hRule="atLeast"/>
        </w:trPr>
        <w:tc>
          <w:tcPr>
            <w:tcW w:w="96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gridSpan w:val="3"/>
            <w:vAlign w:val="bottom"/>
          </w:tcPr>
          <w:p>
            <w:pPr>
              <w:spacing w:after="0" w:line="274" w:lineRule="exact"/>
              <w:rPr>
                <w:color w:val="auto"/>
                <w:sz w:val="20"/>
                <w:szCs w:val="20"/>
              </w:rPr>
            </w:pPr>
            <w:r>
              <w:rPr>
                <w:rFonts w:ascii="宋体" w:hAnsi="宋体" w:eastAsia="宋体" w:cs="宋体"/>
                <w:color w:val="auto"/>
                <w:sz w:val="24"/>
                <w:szCs w:val="24"/>
              </w:rPr>
              <w:t>年</w:t>
            </w:r>
          </w:p>
        </w:tc>
        <w:tc>
          <w:tcPr>
            <w:tcW w:w="360" w:type="dxa"/>
            <w:vAlign w:val="bottom"/>
          </w:tcPr>
          <w:p>
            <w:pPr>
              <w:spacing w:after="0" w:line="274" w:lineRule="exact"/>
              <w:rPr>
                <w:color w:val="auto"/>
                <w:sz w:val="20"/>
                <w:szCs w:val="20"/>
              </w:rPr>
            </w:pPr>
            <w:r>
              <w:rPr>
                <w:rFonts w:ascii="宋体" w:hAnsi="宋体" w:eastAsia="宋体" w:cs="宋体"/>
                <w:color w:val="auto"/>
                <w:sz w:val="24"/>
                <w:szCs w:val="24"/>
              </w:rPr>
              <w:t>月</w:t>
            </w:r>
          </w:p>
        </w:tc>
        <w:tc>
          <w:tcPr>
            <w:tcW w:w="20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360" w:type="dxa"/>
            <w:vAlign w:val="bottom"/>
          </w:tcPr>
          <w:p>
            <w:pPr>
              <w:spacing w:after="0" w:line="274" w:lineRule="exact"/>
              <w:jc w:val="right"/>
              <w:rPr>
                <w:color w:val="auto"/>
                <w:sz w:val="20"/>
                <w:szCs w:val="20"/>
              </w:rPr>
            </w:pPr>
            <w:r>
              <w:rPr>
                <w:rFonts w:ascii="宋体" w:hAnsi="宋体" w:eastAsia="宋体" w:cs="宋体"/>
                <w:color w:val="auto"/>
                <w:sz w:val="24"/>
                <w:szCs w:val="24"/>
              </w:rPr>
              <w:t>日</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1200" w:type="dxa"/>
            <w:gridSpan w:val="2"/>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1080" w:type="dxa"/>
            <w:shd w:val="clear" w:color="auto" w:fill="000000"/>
            <w:vAlign w:val="bottom"/>
          </w:tcPr>
          <w:p>
            <w:pPr>
              <w:spacing w:after="0" w:line="20" w:lineRule="exact"/>
              <w:rPr>
                <w:color w:val="auto"/>
                <w:sz w:val="1"/>
                <w:szCs w:val="1"/>
              </w:rPr>
            </w:pPr>
          </w:p>
        </w:tc>
        <w:tc>
          <w:tcPr>
            <w:tcW w:w="240" w:type="dxa"/>
            <w:gridSpan w:val="2"/>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480" w:type="dxa"/>
            <w:gridSpan w:val="2"/>
            <w:shd w:val="clear" w:color="auto" w:fill="000000"/>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659" w:hRule="atLeast"/>
        </w:trPr>
        <w:tc>
          <w:tcPr>
            <w:tcW w:w="1920" w:type="dxa"/>
            <w:gridSpan w:val="3"/>
            <w:vAlign w:val="bottom"/>
          </w:tcPr>
          <w:p>
            <w:pPr>
              <w:spacing w:after="0" w:line="274" w:lineRule="exact"/>
              <w:rPr>
                <w:color w:val="auto"/>
                <w:sz w:val="20"/>
                <w:szCs w:val="20"/>
              </w:rPr>
            </w:pPr>
            <w:r>
              <w:rPr>
                <w:rFonts w:ascii="宋体" w:hAnsi="宋体" w:eastAsia="宋体" w:cs="宋体"/>
                <w:color w:val="auto"/>
                <w:sz w:val="24"/>
                <w:szCs w:val="24"/>
              </w:rPr>
              <w:t>经办银行：</w:t>
            </w:r>
          </w:p>
        </w:tc>
        <w:tc>
          <w:tcPr>
            <w:tcW w:w="1080" w:type="dxa"/>
            <w:vAlign w:val="bottom"/>
          </w:tcPr>
          <w:p>
            <w:pPr>
              <w:spacing w:after="0"/>
              <w:rPr>
                <w:color w:val="auto"/>
                <w:sz w:val="24"/>
                <w:szCs w:val="24"/>
              </w:rPr>
            </w:pPr>
          </w:p>
        </w:tc>
        <w:tc>
          <w:tcPr>
            <w:tcW w:w="240" w:type="dxa"/>
            <w:gridSpan w:val="2"/>
            <w:vAlign w:val="bottom"/>
          </w:tcPr>
          <w:p>
            <w:pPr>
              <w:spacing w:after="0"/>
              <w:rPr>
                <w:color w:val="auto"/>
                <w:sz w:val="24"/>
                <w:szCs w:val="24"/>
              </w:rPr>
            </w:pPr>
          </w:p>
        </w:tc>
        <w:tc>
          <w:tcPr>
            <w:tcW w:w="840" w:type="dxa"/>
            <w:vAlign w:val="bottom"/>
          </w:tcPr>
          <w:p>
            <w:pPr>
              <w:spacing w:after="0"/>
              <w:rPr>
                <w:color w:val="auto"/>
                <w:sz w:val="24"/>
                <w:szCs w:val="24"/>
              </w:rPr>
            </w:pPr>
          </w:p>
        </w:tc>
        <w:tc>
          <w:tcPr>
            <w:tcW w:w="1200" w:type="dxa"/>
            <w:gridSpan w:val="4"/>
            <w:vAlign w:val="bottom"/>
          </w:tcPr>
          <w:p>
            <w:pPr>
              <w:spacing w:after="0" w:line="292" w:lineRule="exact"/>
              <w:jc w:val="right"/>
              <w:rPr>
                <w:color w:val="auto"/>
                <w:sz w:val="20"/>
                <w:szCs w:val="20"/>
              </w:rPr>
            </w:pPr>
            <w:r>
              <w:rPr>
                <w:rFonts w:ascii="Times New Roman" w:hAnsi="Times New Roman" w:eastAsia="Times New Roman" w:cs="Times New Roman"/>
                <w:color w:val="auto"/>
                <w:w w:val="98"/>
                <w:sz w:val="24"/>
                <w:szCs w:val="24"/>
              </w:rPr>
              <w:t>(</w:t>
            </w:r>
            <w:r>
              <w:rPr>
                <w:rFonts w:ascii="宋体" w:hAnsi="宋体" w:eastAsia="宋体" w:cs="宋体"/>
                <w:color w:val="auto"/>
                <w:w w:val="98"/>
                <w:sz w:val="24"/>
                <w:szCs w:val="24"/>
              </w:rPr>
              <w:t>盖单位章</w:t>
            </w:r>
            <w:r>
              <w:rPr>
                <w:rFonts w:ascii="Times New Roman" w:hAnsi="Times New Roman" w:eastAsia="Times New Roman" w:cs="Times New Roman"/>
                <w:color w:val="auto"/>
                <w:w w:val="98"/>
                <w:sz w:val="24"/>
                <w:szCs w:val="24"/>
              </w:rPr>
              <w:t>)</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1200" w:type="dxa"/>
            <w:gridSpan w:val="2"/>
            <w:vAlign w:val="bottom"/>
          </w:tcPr>
          <w:p>
            <w:pPr>
              <w:spacing w:after="0" w:line="20" w:lineRule="exact"/>
              <w:rPr>
                <w:color w:val="auto"/>
                <w:sz w:val="1"/>
                <w:szCs w:val="1"/>
              </w:rPr>
            </w:pPr>
          </w:p>
        </w:tc>
        <w:tc>
          <w:tcPr>
            <w:tcW w:w="2880" w:type="dxa"/>
            <w:gridSpan w:val="5"/>
            <w:shd w:val="clear" w:color="auto" w:fill="000000"/>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840" w:type="dxa"/>
            <w:gridSpan w:val="3"/>
            <w:vMerge w:val="restart"/>
            <w:vAlign w:val="bottom"/>
          </w:tcPr>
          <w:p>
            <w:pPr>
              <w:spacing w:after="0" w:line="292" w:lineRule="exact"/>
              <w:jc w:val="right"/>
              <w:rPr>
                <w:color w:val="auto"/>
                <w:sz w:val="20"/>
                <w:szCs w:val="20"/>
              </w:rPr>
            </w:pPr>
            <w:r>
              <w:rPr>
                <w:rFonts w:ascii="Times New Roman" w:hAnsi="Times New Roman" w:eastAsia="Times New Roman" w:cs="Times New Roman"/>
                <w:color w:val="auto"/>
                <w:sz w:val="24"/>
                <w:szCs w:val="24"/>
              </w:rPr>
              <w:t>(</w:t>
            </w:r>
            <w:r>
              <w:rPr>
                <w:rFonts w:ascii="宋体" w:hAnsi="宋体" w:eastAsia="宋体" w:cs="宋体"/>
                <w:color w:val="auto"/>
                <w:sz w:val="24"/>
                <w:szCs w:val="24"/>
              </w:rPr>
              <w:t>签字</w:t>
            </w:r>
            <w:r>
              <w:rPr>
                <w:rFonts w:ascii="Times New Roman" w:hAnsi="Times New Roman" w:eastAsia="Times New Roman" w:cs="Times New Roman"/>
                <w:color w:val="auto"/>
                <w:sz w:val="24"/>
                <w:szCs w:val="24"/>
              </w:rPr>
              <w:t>)</w:t>
            </w: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21" w:hRule="atLeast"/>
        </w:trPr>
        <w:tc>
          <w:tcPr>
            <w:tcW w:w="4080" w:type="dxa"/>
            <w:gridSpan w:val="7"/>
            <w:vAlign w:val="bottom"/>
          </w:tcPr>
          <w:p>
            <w:pPr>
              <w:spacing w:after="0" w:line="274" w:lineRule="exact"/>
              <w:rPr>
                <w:color w:val="auto"/>
                <w:sz w:val="20"/>
                <w:szCs w:val="20"/>
              </w:rPr>
            </w:pPr>
            <w:r>
              <w:rPr>
                <w:rFonts w:ascii="宋体" w:hAnsi="宋体" w:eastAsia="宋体" w:cs="宋体"/>
                <w:color w:val="auto"/>
                <w:sz w:val="24"/>
                <w:szCs w:val="24"/>
              </w:rPr>
              <w:t>法定代表人或其委托代理人：</w:t>
            </w:r>
          </w:p>
        </w:tc>
        <w:tc>
          <w:tcPr>
            <w:tcW w:w="360" w:type="dxa"/>
            <w:vAlign w:val="bottom"/>
          </w:tcPr>
          <w:p>
            <w:pPr>
              <w:spacing w:after="0"/>
              <w:rPr>
                <w:color w:val="auto"/>
                <w:sz w:val="24"/>
                <w:szCs w:val="24"/>
              </w:rPr>
            </w:pPr>
          </w:p>
        </w:tc>
        <w:tc>
          <w:tcPr>
            <w:tcW w:w="840" w:type="dxa"/>
            <w:gridSpan w:val="3"/>
            <w:vMerge w:val="continue"/>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96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108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960" w:type="dxa"/>
            <w:gridSpan w:val="2"/>
            <w:shd w:val="clear" w:color="auto" w:fill="000000"/>
            <w:vAlign w:val="bottom"/>
          </w:tcPr>
          <w:p>
            <w:pPr>
              <w:spacing w:after="0" w:line="20" w:lineRule="exact"/>
              <w:rPr>
                <w:color w:val="auto"/>
                <w:sz w:val="1"/>
                <w:szCs w:val="1"/>
              </w:rPr>
            </w:pPr>
          </w:p>
        </w:tc>
        <w:tc>
          <w:tcPr>
            <w:tcW w:w="360" w:type="dxa"/>
            <w:shd w:val="clear" w:color="auto" w:fill="000000"/>
            <w:vAlign w:val="bottom"/>
          </w:tcPr>
          <w:p>
            <w:pPr>
              <w:spacing w:after="0" w:line="20" w:lineRule="exact"/>
              <w:rPr>
                <w:color w:val="auto"/>
                <w:sz w:val="1"/>
                <w:szCs w:val="1"/>
              </w:rPr>
            </w:pPr>
          </w:p>
        </w:tc>
        <w:tc>
          <w:tcPr>
            <w:tcW w:w="200" w:type="dxa"/>
            <w:shd w:val="clear" w:color="auto" w:fill="000000"/>
            <w:vAlign w:val="bottom"/>
          </w:tcPr>
          <w:p>
            <w:pPr>
              <w:spacing w:after="0" w:line="20" w:lineRule="exact"/>
              <w:rPr>
                <w:color w:val="auto"/>
                <w:sz w:val="1"/>
                <w:szCs w:val="1"/>
              </w:rPr>
            </w:pPr>
          </w:p>
        </w:tc>
        <w:tc>
          <w:tcPr>
            <w:tcW w:w="28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20" w:hRule="atLeast"/>
        </w:trPr>
        <w:tc>
          <w:tcPr>
            <w:tcW w:w="96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gridSpan w:val="3"/>
            <w:vAlign w:val="bottom"/>
          </w:tcPr>
          <w:p>
            <w:pPr>
              <w:spacing w:after="0" w:line="274" w:lineRule="exact"/>
              <w:rPr>
                <w:color w:val="auto"/>
                <w:sz w:val="20"/>
                <w:szCs w:val="20"/>
              </w:rPr>
            </w:pPr>
            <w:r>
              <w:rPr>
                <w:rFonts w:ascii="宋体" w:hAnsi="宋体" w:eastAsia="宋体" w:cs="宋体"/>
                <w:color w:val="auto"/>
                <w:sz w:val="24"/>
                <w:szCs w:val="24"/>
              </w:rPr>
              <w:t>年</w:t>
            </w:r>
          </w:p>
        </w:tc>
        <w:tc>
          <w:tcPr>
            <w:tcW w:w="360" w:type="dxa"/>
            <w:vAlign w:val="bottom"/>
          </w:tcPr>
          <w:p>
            <w:pPr>
              <w:spacing w:after="0" w:line="274" w:lineRule="exact"/>
              <w:rPr>
                <w:color w:val="auto"/>
                <w:sz w:val="20"/>
                <w:szCs w:val="20"/>
              </w:rPr>
            </w:pPr>
            <w:r>
              <w:rPr>
                <w:rFonts w:ascii="宋体" w:hAnsi="宋体" w:eastAsia="宋体" w:cs="宋体"/>
                <w:color w:val="auto"/>
                <w:sz w:val="24"/>
                <w:szCs w:val="24"/>
              </w:rPr>
              <w:t>月</w:t>
            </w:r>
          </w:p>
        </w:tc>
        <w:tc>
          <w:tcPr>
            <w:tcW w:w="20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360" w:type="dxa"/>
            <w:vAlign w:val="bottom"/>
          </w:tcPr>
          <w:p>
            <w:pPr>
              <w:spacing w:after="0" w:line="274" w:lineRule="exact"/>
              <w:jc w:val="right"/>
              <w:rPr>
                <w:color w:val="auto"/>
                <w:sz w:val="20"/>
                <w:szCs w:val="20"/>
              </w:rPr>
            </w:pPr>
            <w:r>
              <w:rPr>
                <w:rFonts w:ascii="宋体" w:hAnsi="宋体" w:eastAsia="宋体" w:cs="宋体"/>
                <w:color w:val="auto"/>
                <w:sz w:val="24"/>
                <w:szCs w:val="24"/>
              </w:rPr>
              <w:t>日</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960" w:type="dxa"/>
            <w:vAlign w:val="bottom"/>
          </w:tcPr>
          <w:p>
            <w:pPr>
              <w:spacing w:after="0" w:line="20" w:lineRule="exact"/>
              <w:rPr>
                <w:color w:val="auto"/>
                <w:sz w:val="1"/>
                <w:szCs w:val="1"/>
              </w:rPr>
            </w:pPr>
          </w:p>
        </w:tc>
        <w:tc>
          <w:tcPr>
            <w:tcW w:w="240" w:type="dxa"/>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1080" w:type="dxa"/>
            <w:shd w:val="clear" w:color="auto" w:fill="000000"/>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840" w:type="dxa"/>
            <w:shd w:val="clear" w:color="auto" w:fill="000000"/>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200" w:type="dxa"/>
            <w:shd w:val="clear" w:color="auto" w:fill="000000"/>
            <w:vAlign w:val="bottom"/>
          </w:tcPr>
          <w:p>
            <w:pPr>
              <w:spacing w:after="0" w:line="20" w:lineRule="exact"/>
              <w:rPr>
                <w:color w:val="auto"/>
                <w:sz w:val="1"/>
                <w:szCs w:val="1"/>
              </w:rPr>
            </w:pPr>
          </w:p>
        </w:tc>
        <w:tc>
          <w:tcPr>
            <w:tcW w:w="280" w:type="dxa"/>
            <w:shd w:val="clear" w:color="auto" w:fill="000000"/>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c>
          <w:tcPr>
            <w:tcW w:w="360" w:type="dxa"/>
            <w:vAlign w:val="bottom"/>
          </w:tcPr>
          <w:p>
            <w:pPr>
              <w:spacing w:after="0" w:line="20" w:lineRule="exact"/>
              <w:rPr>
                <w:color w:val="auto"/>
                <w:sz w:val="1"/>
                <w:szCs w:val="1"/>
              </w:rPr>
            </w:pPr>
          </w:p>
        </w:tc>
      </w:tr>
    </w:tbl>
    <w:p>
      <w:pPr>
        <w:spacing w:after="0" w:line="200" w:lineRule="exact"/>
        <w:rPr>
          <w:color w:val="auto"/>
          <w:sz w:val="20"/>
          <w:szCs w:val="20"/>
        </w:rPr>
      </w:pPr>
    </w:p>
    <w:p>
      <w:pPr>
        <w:sectPr>
          <w:pgSz w:w="11900" w:h="16840"/>
          <w:pgMar w:top="1247" w:right="1247" w:bottom="1247" w:left="1361" w:header="0" w:footer="0" w:gutter="0"/>
          <w:pgBorders>
            <w:top w:val="none" w:sz="0" w:space="0"/>
            <w:left w:val="none" w:sz="0" w:space="0"/>
            <w:bottom w:val="none" w:sz="0" w:space="0"/>
            <w:right w:val="none" w:sz="0" w:space="0"/>
          </w:pgBorders>
          <w:cols w:equalWidth="0" w:num="1">
            <w:col w:w="9024"/>
          </w:cols>
          <w:rtlGutter w:val="0"/>
          <w:docGrid w:linePitch="0" w:charSpace="0"/>
        </w:sectPr>
      </w:pPr>
    </w:p>
    <w:p>
      <w:pPr>
        <w:spacing w:after="0" w:line="360" w:lineRule="auto"/>
        <w:jc w:val="center"/>
        <w:rPr>
          <w:rFonts w:hint="eastAsia" w:ascii="仿宋_GB2312" w:hAnsi="仿宋" w:eastAsia="仿宋_GB2312"/>
          <w:color w:val="000000"/>
          <w:sz w:val="36"/>
          <w:szCs w:val="36"/>
        </w:rPr>
      </w:pPr>
      <w:bookmarkStart w:id="60" w:name="page215"/>
      <w:bookmarkEnd w:id="60"/>
      <w:r>
        <w:rPr>
          <w:rFonts w:hint="eastAsia" w:ascii="仿宋_GB2312" w:hAnsi="仿宋" w:eastAsia="仿宋_GB2312"/>
          <w:color w:val="000000"/>
          <w:sz w:val="36"/>
          <w:szCs w:val="36"/>
        </w:rPr>
        <w:t>第五章 图纸</w:t>
      </w:r>
    </w:p>
    <w:p>
      <w:pPr>
        <w:rPr>
          <w:rFonts w:hint="eastAsia" w:ascii="仿宋_GB2312" w:hAnsi="仿宋" w:eastAsia="仿宋_GB2312"/>
          <w:color w:val="000000"/>
          <w:sz w:val="36"/>
          <w:szCs w:val="36"/>
        </w:rPr>
      </w:pPr>
    </w:p>
    <w:p>
      <w:pPr>
        <w:ind w:firstLine="3823" w:firstLineChars="1071"/>
      </w:pPr>
      <w:r>
        <w:rPr>
          <w:rFonts w:hint="eastAsia" w:ascii="仿宋_GB2312" w:hAnsi="仿宋" w:eastAsia="仿宋_GB2312"/>
          <w:color w:val="000000"/>
          <w:sz w:val="36"/>
          <w:szCs w:val="36"/>
        </w:rPr>
        <w:t>图纸另册</w:t>
      </w: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rPr>
          <w:rFonts w:hint="eastAsia" w:ascii="仿宋_GB2312" w:hAnsi="仿宋" w:eastAsia="仿宋_GB2312"/>
          <w:color w:val="000000"/>
          <w:sz w:val="36"/>
          <w:szCs w:val="36"/>
        </w:rPr>
      </w:pPr>
    </w:p>
    <w:p>
      <w:pPr>
        <w:jc w:val="center"/>
        <w:rPr>
          <w:rFonts w:hint="eastAsia" w:ascii="仿宋_GB2312" w:hAnsi="仿宋" w:eastAsia="仿宋_GB2312"/>
          <w:color w:val="000000"/>
          <w:sz w:val="36"/>
          <w:szCs w:val="36"/>
        </w:rPr>
      </w:pPr>
      <w:r>
        <w:rPr>
          <w:rFonts w:hint="eastAsia" w:ascii="仿宋_GB2312" w:hAnsi="仿宋" w:eastAsia="仿宋_GB2312"/>
          <w:color w:val="000000"/>
          <w:sz w:val="36"/>
          <w:szCs w:val="36"/>
        </w:rPr>
        <w:br w:type="page"/>
      </w:r>
      <w:r>
        <w:rPr>
          <w:rFonts w:hint="eastAsia" w:ascii="仿宋_GB2312" w:hAnsi="仿宋" w:eastAsia="仿宋_GB2312"/>
          <w:color w:val="000000"/>
          <w:sz w:val="36"/>
          <w:szCs w:val="36"/>
        </w:rPr>
        <w:t>第六章   工程量清单</w:t>
      </w:r>
    </w:p>
    <w:p>
      <w:pPr>
        <w:ind w:firstLine="2099" w:firstLineChars="588"/>
        <w:jc w:val="center"/>
        <w:rPr>
          <w:rFonts w:hint="eastAsia" w:ascii="仿宋_GB2312" w:hAnsi="仿宋" w:eastAsia="仿宋_GB2312"/>
          <w:color w:val="000000"/>
          <w:sz w:val="36"/>
          <w:szCs w:val="36"/>
        </w:rPr>
      </w:pPr>
    </w:p>
    <w:p>
      <w:pPr>
        <w:jc w:val="center"/>
        <w:rPr>
          <w:rFonts w:hint="eastAsia" w:ascii="仿宋_GB2312" w:hAnsi="仿宋" w:eastAsia="仿宋_GB2312"/>
          <w:color w:val="000000"/>
        </w:rPr>
      </w:pPr>
      <w:r>
        <w:rPr>
          <w:rFonts w:hint="eastAsia" w:ascii="仿宋_GB2312" w:hAnsi="仿宋" w:eastAsia="仿宋_GB2312"/>
          <w:color w:val="000000"/>
          <w:sz w:val="36"/>
          <w:szCs w:val="36"/>
        </w:rPr>
        <w:t>另册</w:t>
      </w:r>
    </w:p>
    <w:p>
      <w:pPr>
        <w:pStyle w:val="2"/>
        <w:jc w:val="center"/>
        <w:rPr>
          <w:rFonts w:hint="eastAsia" w:ascii="仿宋_GB2312" w:hAnsi="仿宋" w:eastAsia="仿宋_GB2312"/>
          <w:color w:val="000000"/>
          <w:sz w:val="36"/>
          <w:szCs w:val="36"/>
        </w:rPr>
      </w:pPr>
      <w:r>
        <w:rPr>
          <w:rFonts w:hint="eastAsia" w:ascii="仿宋_GB2312" w:eastAsia="仿宋_GB2312"/>
          <w:color w:val="000000"/>
          <w:sz w:val="24"/>
          <w:szCs w:val="24"/>
        </w:rPr>
        <w:br w:type="page"/>
      </w:r>
      <w:bookmarkStart w:id="61" w:name="_Toc491162069"/>
      <w:r>
        <w:rPr>
          <w:rFonts w:hint="eastAsia" w:ascii="仿宋_GB2312" w:hAnsi="仿宋" w:eastAsia="仿宋_GB2312"/>
          <w:color w:val="000000"/>
          <w:sz w:val="36"/>
          <w:szCs w:val="36"/>
        </w:rPr>
        <w:t>第七章 投标文件格式</w:t>
      </w:r>
      <w:bookmarkEnd w:id="61"/>
    </w:p>
    <w:p>
      <w:pPr>
        <w:rPr>
          <w:rFonts w:hint="eastAsia" w:ascii="仿宋_GB2312" w:eastAsia="仿宋_GB2312"/>
          <w:color w:val="000000"/>
        </w:rPr>
      </w:pPr>
    </w:p>
    <w:p>
      <w:pPr>
        <w:spacing w:line="360" w:lineRule="auto"/>
        <w:jc w:val="left"/>
        <w:rPr>
          <w:rFonts w:hint="eastAsia" w:ascii="仿宋_GB2312" w:hAnsi="宋体" w:eastAsia="仿宋_GB2312"/>
          <w:color w:val="000000"/>
          <w:sz w:val="72"/>
        </w:rPr>
      </w:pPr>
      <w:r>
        <w:rPr>
          <w:rFonts w:hint="eastAsia" w:ascii="仿宋_GB2312" w:hAnsi="宋体" w:eastAsia="仿宋_GB2312"/>
          <w:b/>
          <w:color w:val="000000"/>
          <w:sz w:val="32"/>
          <w:u w:val="single"/>
        </w:rPr>
        <w:t xml:space="preserve">                       </w:t>
      </w:r>
      <w:r>
        <w:rPr>
          <w:rFonts w:hint="eastAsia" w:ascii="仿宋_GB2312" w:hAnsi="宋体" w:eastAsia="仿宋_GB2312"/>
          <w:b/>
          <w:color w:val="000000"/>
          <w:sz w:val="32"/>
        </w:rPr>
        <w:t>（项目名称）</w:t>
      </w:r>
      <w:r>
        <w:rPr>
          <w:rFonts w:hint="eastAsia" w:ascii="仿宋_GB2312" w:hAnsi="宋体" w:eastAsia="仿宋_GB2312"/>
          <w:b/>
          <w:color w:val="000000"/>
          <w:sz w:val="32"/>
          <w:u w:val="single"/>
        </w:rPr>
        <w:t xml:space="preserve">     </w:t>
      </w:r>
      <w:r>
        <w:rPr>
          <w:rFonts w:hint="eastAsia" w:ascii="仿宋_GB2312" w:hAnsi="宋体" w:eastAsia="仿宋_GB2312"/>
          <w:b/>
          <w:color w:val="000000"/>
          <w:sz w:val="32"/>
        </w:rPr>
        <w:t>标段招标</w:t>
      </w:r>
    </w:p>
    <w:p>
      <w:pPr>
        <w:spacing w:line="360" w:lineRule="auto"/>
        <w:ind w:left="2940"/>
        <w:rPr>
          <w:rFonts w:hint="eastAsia" w:ascii="仿宋_GB2312" w:hAnsi="宋体" w:eastAsia="仿宋_GB2312"/>
          <w:color w:val="000000"/>
          <w:sz w:val="72"/>
        </w:rPr>
      </w:pPr>
    </w:p>
    <w:p>
      <w:pPr>
        <w:spacing w:line="360" w:lineRule="auto"/>
        <w:ind w:left="2940"/>
        <w:rPr>
          <w:rFonts w:hint="eastAsia" w:ascii="仿宋_GB2312" w:hAnsi="宋体" w:eastAsia="仿宋_GB2312"/>
          <w:color w:val="000000"/>
          <w:sz w:val="72"/>
        </w:rPr>
      </w:pPr>
      <w:r>
        <w:rPr>
          <w:rFonts w:hint="eastAsia" w:ascii="仿宋_GB2312" w:hAnsi="宋体" w:eastAsia="仿宋_GB2312"/>
          <w:color w:val="000000"/>
          <w:sz w:val="72"/>
        </w:rPr>
        <w:t>投 标 文 件</w:t>
      </w:r>
    </w:p>
    <w:p>
      <w:pPr>
        <w:spacing w:line="360" w:lineRule="auto"/>
        <w:ind w:firstLine="434" w:firstLineChars="200"/>
        <w:rPr>
          <w:rFonts w:hint="eastAsia" w:ascii="仿宋_GB2312" w:hAnsi="宋体" w:eastAsia="仿宋_GB2312"/>
          <w:color w:val="000000"/>
        </w:rPr>
      </w:pPr>
    </w:p>
    <w:p>
      <w:pPr>
        <w:spacing w:line="360" w:lineRule="auto"/>
        <w:ind w:firstLine="434" w:firstLineChars="200"/>
        <w:rPr>
          <w:rFonts w:hint="eastAsia" w:ascii="仿宋_GB2312" w:hAnsi="宋体" w:eastAsia="仿宋_GB2312"/>
          <w:color w:val="000000"/>
        </w:rPr>
      </w:pPr>
    </w:p>
    <w:p>
      <w:pPr>
        <w:spacing w:line="360" w:lineRule="auto"/>
        <w:jc w:val="center"/>
        <w:rPr>
          <w:rFonts w:hint="eastAsia" w:ascii="仿宋_GB2312" w:hAnsi="宋体" w:eastAsia="仿宋_GB2312"/>
          <w:b/>
          <w:color w:val="000000"/>
          <w:sz w:val="28"/>
        </w:rPr>
      </w:pPr>
      <w:r>
        <w:rPr>
          <w:rFonts w:hint="eastAsia" w:ascii="仿宋_GB2312" w:hAnsi="宋体" w:eastAsia="仿宋_GB2312"/>
          <w:b/>
          <w:color w:val="000000"/>
          <w:sz w:val="28"/>
        </w:rPr>
        <w:t>投标人：</w:t>
      </w:r>
      <w:r>
        <w:rPr>
          <w:rFonts w:hint="eastAsia" w:ascii="仿宋_GB2312" w:hAnsi="宋体" w:eastAsia="仿宋_GB2312"/>
          <w:b/>
          <w:color w:val="000000"/>
          <w:sz w:val="28"/>
          <w:u w:val="single"/>
        </w:rPr>
        <w:t xml:space="preserve">                       </w:t>
      </w:r>
      <w:r>
        <w:rPr>
          <w:rFonts w:hint="eastAsia" w:ascii="仿宋_GB2312" w:hAnsi="宋体" w:eastAsia="仿宋_GB2312"/>
          <w:b/>
          <w:color w:val="000000"/>
          <w:sz w:val="28"/>
        </w:rPr>
        <w:t>（盖单位章）</w:t>
      </w:r>
    </w:p>
    <w:p>
      <w:pPr>
        <w:spacing w:line="360" w:lineRule="auto"/>
        <w:ind w:firstLine="1385" w:firstLineChars="500"/>
        <w:rPr>
          <w:rFonts w:hint="eastAsia" w:ascii="仿宋_GB2312" w:hAnsi="宋体" w:eastAsia="仿宋_GB2312"/>
          <w:b/>
          <w:color w:val="000000"/>
          <w:sz w:val="28"/>
        </w:rPr>
      </w:pPr>
    </w:p>
    <w:p>
      <w:pPr>
        <w:spacing w:line="360" w:lineRule="auto"/>
        <w:ind w:firstLine="1385" w:firstLineChars="500"/>
        <w:rPr>
          <w:rFonts w:hint="eastAsia" w:ascii="仿宋_GB2312" w:hAnsi="宋体" w:eastAsia="仿宋_GB2312"/>
          <w:b/>
          <w:color w:val="000000"/>
          <w:sz w:val="28"/>
        </w:rPr>
      </w:pPr>
      <w:r>
        <w:rPr>
          <w:rFonts w:hint="eastAsia" w:ascii="仿宋_GB2312" w:hAnsi="宋体" w:eastAsia="仿宋_GB2312"/>
          <w:b/>
          <w:color w:val="000000"/>
          <w:sz w:val="28"/>
        </w:rPr>
        <w:t>法定代表人或其委托代理人：</w:t>
      </w:r>
      <w:r>
        <w:rPr>
          <w:rFonts w:hint="eastAsia" w:ascii="仿宋_GB2312" w:hAnsi="宋体" w:eastAsia="仿宋_GB2312"/>
          <w:b/>
          <w:color w:val="000000"/>
          <w:sz w:val="28"/>
          <w:u w:val="single"/>
        </w:rPr>
        <w:t xml:space="preserve">            </w:t>
      </w:r>
      <w:r>
        <w:rPr>
          <w:rFonts w:hint="eastAsia" w:ascii="仿宋_GB2312" w:hAnsi="宋体" w:eastAsia="仿宋_GB2312"/>
          <w:b/>
          <w:color w:val="000000"/>
          <w:sz w:val="28"/>
        </w:rPr>
        <w:t>（签字）</w:t>
      </w:r>
    </w:p>
    <w:p>
      <w:pPr>
        <w:spacing w:line="360" w:lineRule="auto"/>
        <w:jc w:val="center"/>
        <w:rPr>
          <w:rFonts w:hint="eastAsia" w:ascii="仿宋_GB2312" w:hAnsi="宋体" w:eastAsia="仿宋_GB2312"/>
          <w:b/>
          <w:color w:val="000000"/>
          <w:u w:val="single"/>
        </w:rPr>
      </w:pPr>
    </w:p>
    <w:p>
      <w:pPr>
        <w:spacing w:line="360" w:lineRule="auto"/>
        <w:jc w:val="center"/>
        <w:rPr>
          <w:rFonts w:hint="eastAsia" w:ascii="仿宋_GB2312" w:hAnsi="宋体" w:eastAsia="仿宋_GB2312"/>
          <w:b/>
          <w:color w:val="000000"/>
        </w:rPr>
        <w:sectPr>
          <w:endnotePr>
            <w:numFmt w:val="decimal"/>
          </w:endnotePr>
          <w:type w:val="continuous"/>
          <w:pgSz w:w="11906" w:h="16838"/>
          <w:pgMar w:top="1247" w:right="1247" w:bottom="1247" w:left="1361" w:header="851" w:footer="1418" w:gutter="0"/>
          <w:cols w:space="720" w:num="1"/>
          <w:rtlGutter w:val="0"/>
          <w:docGrid w:type="linesAndChars" w:linePitch="592" w:charSpace="-620"/>
        </w:sectPr>
      </w:pPr>
      <w:r>
        <w:rPr>
          <w:rFonts w:hint="eastAsia" w:ascii="仿宋_GB2312" w:hAnsi="宋体" w:eastAsia="仿宋_GB2312"/>
          <w:b/>
          <w:color w:val="000000"/>
          <w:u w:val="single"/>
        </w:rPr>
        <w:t xml:space="preserve">         </w:t>
      </w:r>
      <w:r>
        <w:rPr>
          <w:rFonts w:hint="eastAsia" w:ascii="仿宋_GB2312" w:hAnsi="宋体" w:eastAsia="仿宋_GB2312"/>
          <w:b/>
          <w:color w:val="000000"/>
          <w:sz w:val="28"/>
        </w:rPr>
        <w:t>年</w:t>
      </w:r>
      <w:r>
        <w:rPr>
          <w:rFonts w:hint="eastAsia" w:ascii="仿宋_GB2312" w:hAnsi="宋体" w:eastAsia="仿宋_GB2312"/>
          <w:b/>
          <w:color w:val="000000"/>
          <w:sz w:val="28"/>
          <w:u w:val="single"/>
        </w:rPr>
        <w:t xml:space="preserve">    </w:t>
      </w:r>
      <w:r>
        <w:rPr>
          <w:rFonts w:hint="eastAsia" w:ascii="仿宋_GB2312" w:hAnsi="宋体" w:eastAsia="仿宋_GB2312"/>
          <w:b/>
          <w:color w:val="000000"/>
          <w:sz w:val="28"/>
        </w:rPr>
        <w:t>月</w:t>
      </w:r>
      <w:r>
        <w:rPr>
          <w:rFonts w:hint="eastAsia" w:ascii="仿宋_GB2312" w:hAnsi="宋体" w:eastAsia="仿宋_GB2312"/>
          <w:b/>
          <w:color w:val="000000"/>
          <w:sz w:val="28"/>
          <w:u w:val="single"/>
        </w:rPr>
        <w:t xml:space="preserve">   </w:t>
      </w:r>
      <w:r>
        <w:rPr>
          <w:rFonts w:hint="eastAsia" w:ascii="仿宋_GB2312" w:hAnsi="宋体" w:eastAsia="仿宋_GB2312"/>
          <w:b/>
          <w:color w:val="000000"/>
          <w:sz w:val="28"/>
        </w:rPr>
        <w:t>日</w:t>
      </w:r>
    </w:p>
    <w:p>
      <w:pPr>
        <w:pStyle w:val="3"/>
        <w:spacing w:line="240" w:lineRule="auto"/>
        <w:rPr>
          <w:rFonts w:hint="eastAsia" w:ascii="仿宋_GB2312" w:hAnsi="宋体" w:eastAsia="仿宋_GB2312"/>
          <w:color w:val="000000"/>
          <w:sz w:val="28"/>
        </w:rPr>
      </w:pPr>
      <w:bookmarkStart w:id="62" w:name="_Toc225045558"/>
      <w:bookmarkStart w:id="63" w:name="_Toc185047513"/>
    </w:p>
    <w:p>
      <w:pPr>
        <w:pStyle w:val="3"/>
        <w:spacing w:line="240" w:lineRule="auto"/>
        <w:jc w:val="center"/>
        <w:rPr>
          <w:rFonts w:hint="eastAsia" w:ascii="仿宋_GB2312" w:hAnsi="宋体" w:eastAsia="仿宋_GB2312"/>
          <w:color w:val="000000"/>
          <w:sz w:val="28"/>
        </w:rPr>
      </w:pPr>
      <w:bookmarkStart w:id="64" w:name="_Toc270862427"/>
      <w:bookmarkStart w:id="65" w:name="_Toc19695"/>
      <w:r>
        <w:rPr>
          <w:rFonts w:hint="eastAsia" w:ascii="仿宋_GB2312" w:hAnsi="宋体" w:eastAsia="仿宋_GB2312"/>
          <w:color w:val="000000"/>
          <w:sz w:val="28"/>
        </w:rPr>
        <w:t>目  录</w:t>
      </w:r>
      <w:bookmarkEnd w:id="62"/>
      <w:bookmarkEnd w:id="63"/>
      <w:bookmarkEnd w:id="64"/>
      <w:bookmarkEnd w:id="65"/>
    </w:p>
    <w:p>
      <w:pPr>
        <w:ind w:firstLine="434" w:firstLineChars="200"/>
        <w:rPr>
          <w:rFonts w:hint="eastAsia" w:ascii="仿宋_GB2312" w:hAnsi="宋体" w:eastAsia="仿宋_GB2312"/>
          <w:color w:val="000000"/>
        </w:rPr>
      </w:pPr>
      <w:r>
        <w:rPr>
          <w:rFonts w:hint="eastAsia" w:ascii="仿宋_GB2312" w:hAnsi="宋体" w:eastAsia="仿宋_GB2312"/>
          <w:color w:val="000000"/>
        </w:rPr>
        <w:t>一、投标函及投标函附录……………………………………………………（   ）</w:t>
      </w:r>
    </w:p>
    <w:p>
      <w:pPr>
        <w:ind w:firstLine="434" w:firstLineChars="200"/>
        <w:rPr>
          <w:rFonts w:hint="eastAsia" w:ascii="仿宋_GB2312" w:hAnsi="宋体" w:eastAsia="仿宋_GB2312"/>
          <w:color w:val="000000"/>
        </w:rPr>
      </w:pPr>
      <w:r>
        <w:rPr>
          <w:rFonts w:hint="eastAsia" w:ascii="仿宋_GB2312" w:hAnsi="宋体" w:eastAsia="仿宋_GB2312"/>
          <w:color w:val="000000"/>
        </w:rPr>
        <w:t>二、法定代表人身份证明……………………………………………………（   ）</w:t>
      </w:r>
    </w:p>
    <w:p>
      <w:pPr>
        <w:ind w:firstLine="434" w:firstLineChars="200"/>
        <w:rPr>
          <w:rFonts w:hint="eastAsia" w:ascii="仿宋_GB2312" w:hAnsi="宋体" w:eastAsia="仿宋_GB2312"/>
          <w:color w:val="000000"/>
        </w:rPr>
      </w:pPr>
      <w:r>
        <w:rPr>
          <w:rFonts w:hint="eastAsia" w:ascii="仿宋_GB2312" w:hAnsi="宋体" w:eastAsia="仿宋_GB2312"/>
          <w:color w:val="000000"/>
        </w:rPr>
        <w:t>二、授权委托书………………………………………………………………（   ）</w:t>
      </w:r>
    </w:p>
    <w:p>
      <w:pPr>
        <w:ind w:firstLine="434" w:firstLineChars="200"/>
        <w:rPr>
          <w:rFonts w:hint="eastAsia" w:ascii="仿宋_GB2312" w:hAnsi="宋体" w:eastAsia="仿宋_GB2312"/>
          <w:color w:val="000000"/>
        </w:rPr>
      </w:pPr>
      <w:r>
        <w:rPr>
          <w:rFonts w:hint="eastAsia" w:ascii="仿宋_GB2312" w:hAnsi="宋体" w:eastAsia="仿宋_GB2312"/>
          <w:color w:val="000000"/>
        </w:rPr>
        <w:t>三、联合体协议书……………………………………………………………（   ）</w:t>
      </w:r>
    </w:p>
    <w:p>
      <w:pPr>
        <w:ind w:firstLine="434" w:firstLineChars="200"/>
        <w:rPr>
          <w:rFonts w:hint="eastAsia" w:ascii="仿宋_GB2312" w:hAnsi="宋体" w:eastAsia="仿宋_GB2312"/>
          <w:color w:val="000000"/>
        </w:rPr>
      </w:pPr>
      <w:r>
        <w:rPr>
          <w:rFonts w:hint="eastAsia" w:ascii="仿宋_GB2312" w:hAnsi="宋体" w:eastAsia="仿宋_GB2312"/>
          <w:color w:val="000000"/>
        </w:rPr>
        <w:t>四、投标保证金………………………………………………………………（   ）</w:t>
      </w:r>
    </w:p>
    <w:p>
      <w:pPr>
        <w:ind w:firstLine="434" w:firstLineChars="200"/>
        <w:rPr>
          <w:rFonts w:hint="eastAsia" w:ascii="仿宋_GB2312" w:hAnsi="宋体" w:eastAsia="仿宋_GB2312"/>
          <w:color w:val="000000"/>
        </w:rPr>
      </w:pPr>
      <w:r>
        <w:rPr>
          <w:rFonts w:hint="eastAsia" w:ascii="仿宋_GB2312" w:hAnsi="宋体" w:eastAsia="仿宋_GB2312"/>
          <w:color w:val="000000"/>
        </w:rPr>
        <w:t>五、资格审查资料……………………………………………………………（   ）</w:t>
      </w:r>
    </w:p>
    <w:p>
      <w:pPr>
        <w:ind w:firstLine="434" w:firstLineChars="200"/>
        <w:rPr>
          <w:rFonts w:hint="eastAsia" w:ascii="仿宋_GB2312" w:hAnsi="宋体" w:eastAsia="仿宋_GB2312"/>
          <w:color w:val="000000"/>
        </w:rPr>
      </w:pPr>
      <w:r>
        <w:rPr>
          <w:rFonts w:hint="eastAsia" w:ascii="仿宋_GB2312" w:hAnsi="宋体" w:eastAsia="仿宋_GB2312"/>
          <w:color w:val="000000"/>
        </w:rPr>
        <w:t>六、其他材料…………………………………………………………………（   ）</w:t>
      </w:r>
    </w:p>
    <w:p>
      <w:pPr>
        <w:ind w:firstLine="434" w:firstLineChars="200"/>
        <w:rPr>
          <w:rFonts w:hint="eastAsia" w:ascii="仿宋_GB2312" w:hAnsi="宋体" w:eastAsia="仿宋_GB2312"/>
          <w:color w:val="000000"/>
        </w:rPr>
      </w:pPr>
    </w:p>
    <w:p>
      <w:pPr>
        <w:spacing w:line="360" w:lineRule="auto"/>
        <w:ind w:firstLine="434" w:firstLineChars="200"/>
        <w:rPr>
          <w:rFonts w:hint="eastAsia" w:ascii="仿宋_GB2312" w:hAnsi="宋体" w:eastAsia="仿宋_GB2312"/>
          <w:color w:val="000000"/>
        </w:rPr>
      </w:pPr>
    </w:p>
    <w:p>
      <w:pPr>
        <w:spacing w:line="400" w:lineRule="exact"/>
        <w:ind w:firstLine="434" w:firstLineChars="200"/>
        <w:rPr>
          <w:rFonts w:hint="eastAsia" w:ascii="仿宋_GB2312" w:hAnsi="宋体" w:eastAsia="仿宋_GB2312"/>
          <w:color w:val="000000"/>
        </w:rPr>
      </w:pPr>
      <w:r>
        <w:rPr>
          <w:rFonts w:hint="eastAsia" w:ascii="仿宋_GB2312" w:hAnsi="宋体" w:eastAsia="仿宋_GB2312"/>
          <w:color w:val="000000"/>
        </w:rPr>
        <w:t xml:space="preserve">    注：（1）（  ）内应标注每部分的起始页码。</w:t>
      </w:r>
    </w:p>
    <w:p>
      <w:pPr>
        <w:spacing w:line="400" w:lineRule="exact"/>
        <w:ind w:firstLine="434" w:firstLineChars="200"/>
        <w:rPr>
          <w:rFonts w:hint="eastAsia" w:ascii="仿宋_GB2312" w:hAnsi="宋体" w:eastAsia="仿宋_GB2312"/>
          <w:color w:val="000000"/>
        </w:rPr>
      </w:pPr>
      <w:r>
        <w:rPr>
          <w:rFonts w:hint="eastAsia" w:ascii="仿宋_GB2312" w:hAnsi="宋体" w:eastAsia="仿宋_GB2312"/>
          <w:color w:val="000000"/>
        </w:rPr>
        <w:t xml:space="preserve">    </w:t>
      </w:r>
    </w:p>
    <w:p>
      <w:pPr>
        <w:spacing w:line="360" w:lineRule="auto"/>
        <w:ind w:firstLine="434" w:firstLineChars="200"/>
        <w:rPr>
          <w:rFonts w:hint="eastAsia" w:ascii="仿宋_GB2312" w:hAnsi="宋体" w:eastAsia="仿宋_GB2312"/>
          <w:color w:val="000000"/>
        </w:rPr>
        <w:sectPr>
          <w:endnotePr>
            <w:numFmt w:val="decimal"/>
          </w:endnotePr>
          <w:pgSz w:w="11906" w:h="16838"/>
          <w:pgMar w:top="1247" w:right="1247" w:bottom="1247" w:left="1361" w:header="851" w:footer="1418" w:gutter="0"/>
          <w:cols w:space="720" w:num="1"/>
          <w:rtlGutter w:val="0"/>
          <w:docGrid w:type="linesAndChars" w:linePitch="592" w:charSpace="-620"/>
        </w:sectPr>
      </w:pPr>
    </w:p>
    <w:p>
      <w:pPr>
        <w:pStyle w:val="3"/>
        <w:spacing w:line="240" w:lineRule="auto"/>
        <w:jc w:val="center"/>
        <w:rPr>
          <w:rFonts w:hint="eastAsia" w:ascii="仿宋_GB2312" w:hAnsi="宋体" w:eastAsia="仿宋_GB2312"/>
          <w:color w:val="000000"/>
        </w:rPr>
      </w:pPr>
      <w:bookmarkStart w:id="66" w:name="_Toc225045559"/>
      <w:bookmarkStart w:id="67" w:name="_Toc15170"/>
      <w:bookmarkStart w:id="68" w:name="_Toc270862428"/>
      <w:bookmarkStart w:id="69" w:name="_Toc185047514"/>
      <w:bookmarkStart w:id="70" w:name="_Toc185047516"/>
      <w:r>
        <w:rPr>
          <w:rFonts w:hint="eastAsia" w:ascii="仿宋_GB2312" w:hAnsi="宋体" w:eastAsia="仿宋_GB2312"/>
          <w:color w:val="000000"/>
        </w:rPr>
        <w:t>一、投标函及投标函附录</w:t>
      </w:r>
      <w:bookmarkEnd w:id="66"/>
      <w:bookmarkEnd w:id="67"/>
      <w:bookmarkEnd w:id="68"/>
      <w:bookmarkEnd w:id="69"/>
    </w:p>
    <w:p>
      <w:pPr>
        <w:pStyle w:val="4"/>
        <w:spacing w:line="240" w:lineRule="auto"/>
        <w:jc w:val="center"/>
        <w:rPr>
          <w:rFonts w:hint="eastAsia" w:ascii="仿宋_GB2312" w:hAnsi="宋体" w:eastAsia="仿宋_GB2312"/>
          <w:color w:val="000000"/>
          <w:sz w:val="24"/>
        </w:rPr>
      </w:pPr>
      <w:bookmarkStart w:id="71" w:name="_Toc185047515"/>
      <w:r>
        <w:rPr>
          <w:rFonts w:hint="eastAsia" w:ascii="仿宋_GB2312" w:hAnsi="宋体" w:eastAsia="仿宋_GB2312"/>
          <w:color w:val="000000"/>
          <w:sz w:val="24"/>
        </w:rPr>
        <w:t>（一）投标函</w:t>
      </w:r>
      <w:bookmarkEnd w:id="71"/>
    </w:p>
    <w:p>
      <w:pPr>
        <w:spacing w:line="500" w:lineRule="exact"/>
        <w:jc w:val="left"/>
        <w:rPr>
          <w:rFonts w:hint="eastAsia" w:ascii="仿宋_GB2312" w:hAnsi="宋体" w:eastAsia="仿宋_GB2312"/>
          <w:color w:val="000000"/>
          <w:szCs w:val="21"/>
        </w:rPr>
      </w:pPr>
      <w:r>
        <w:rPr>
          <w:rFonts w:hint="eastAsia" w:ascii="仿宋_GB2312" w:hAnsi="宋体" w:eastAsia="仿宋_GB2312"/>
          <w:color w:val="000000"/>
          <w:szCs w:val="21"/>
        </w:rPr>
        <w:t>致：</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（招标人名称）</w:t>
      </w:r>
    </w:p>
    <w:p>
      <w:pPr>
        <w:numPr>
          <w:ilvl w:val="0"/>
          <w:numId w:val="0"/>
        </w:numPr>
        <w:spacing w:line="500" w:lineRule="exact"/>
        <w:ind w:firstLine="420" w:firstLineChars="0"/>
        <w:jc w:val="left"/>
        <w:rPr>
          <w:rFonts w:hint="eastAsia" w:ascii="仿宋_GB2312" w:hAnsi="宋体" w:eastAsia="仿宋_GB2312"/>
          <w:color w:val="000000"/>
          <w:szCs w:val="21"/>
        </w:rPr>
      </w:pPr>
      <w:r>
        <w:rPr>
          <w:rFonts w:hint="eastAsia" w:ascii="仿宋_GB2312" w:hAnsi="宋体" w:eastAsia="仿宋_GB2312"/>
          <w:color w:val="000000"/>
          <w:szCs w:val="21"/>
          <w:lang w:val="en-US" w:eastAsia="zh-CN"/>
        </w:rPr>
        <w:t>1、</w:t>
      </w:r>
      <w:r>
        <w:rPr>
          <w:rFonts w:hint="eastAsia" w:ascii="仿宋_GB2312" w:hAnsi="宋体" w:eastAsia="仿宋_GB2312"/>
          <w:color w:val="000000"/>
          <w:szCs w:val="21"/>
        </w:rPr>
        <w:t>我单位全面研究了</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招标文件及招标补充文件(如有时)，我们将遵照招标文件的要求承担本合同工程的</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工作。</w:t>
      </w:r>
    </w:p>
    <w:p>
      <w:pPr>
        <w:numPr>
          <w:ilvl w:val="0"/>
          <w:numId w:val="0"/>
        </w:numPr>
        <w:spacing w:line="500" w:lineRule="exact"/>
        <w:ind w:firstLine="420" w:firstLineChars="0"/>
        <w:jc w:val="left"/>
        <w:rPr>
          <w:rFonts w:hint="eastAsia" w:ascii="仿宋_GB2312" w:hAnsi="宋体" w:eastAsia="仿宋_GB2312"/>
          <w:color w:val="000000"/>
          <w:szCs w:val="21"/>
        </w:rPr>
      </w:pPr>
      <w:r>
        <w:rPr>
          <w:rFonts w:hint="eastAsia" w:ascii="仿宋_GB2312" w:hAnsi="宋体" w:eastAsia="仿宋_GB2312"/>
          <w:color w:val="000000"/>
          <w:szCs w:val="21"/>
          <w:lang w:val="en-US" w:eastAsia="zh-CN"/>
        </w:rPr>
        <w:t>2、</w:t>
      </w:r>
      <w:r>
        <w:rPr>
          <w:rFonts w:hint="eastAsia" w:ascii="仿宋_GB2312" w:hAnsi="宋体" w:eastAsia="仿宋_GB2312"/>
          <w:color w:val="000000"/>
          <w:szCs w:val="21"/>
          <w:lang w:eastAsia="zh-CN"/>
        </w:rPr>
        <w:t>我单位</w:t>
      </w:r>
      <w:r>
        <w:rPr>
          <w:rFonts w:hint="eastAsia" w:ascii="仿宋_GB2312" w:hAnsi="宋体" w:eastAsia="仿宋_GB2312"/>
          <w:color w:val="000000"/>
          <w:szCs w:val="21"/>
        </w:rPr>
        <w:t>投标报价按施工招标控制价中可竞争性费用（不含安全文明施工费、规费、专业工程暂估价、暂列金等不可竞争性费用）下浮一定比例报价</w:t>
      </w:r>
      <w:r>
        <w:rPr>
          <w:rFonts w:hint="eastAsia" w:ascii="仿宋_GB2312" w:hAnsi="宋体" w:eastAsia="仿宋_GB2312"/>
          <w:color w:val="000000"/>
          <w:szCs w:val="21"/>
          <w:lang w:eastAsia="zh-CN"/>
        </w:rPr>
        <w:t>，下浮比例为</w:t>
      </w:r>
      <w:r>
        <w:rPr>
          <w:rFonts w:hint="eastAsia" w:ascii="仿宋_GB2312" w:hAnsi="宋体" w:eastAsia="仿宋_GB2312"/>
          <w:color w:val="000000"/>
          <w:szCs w:val="21"/>
          <w:u w:val="single"/>
          <w:lang w:val="en-US" w:eastAsia="zh-CN"/>
        </w:rPr>
        <w:t xml:space="preserve">     </w:t>
      </w:r>
      <w:r>
        <w:rPr>
          <w:rFonts w:hint="eastAsia" w:ascii="仿宋_GB2312" w:hAnsi="宋体" w:eastAsia="仿宋_GB2312"/>
          <w:color w:val="000000"/>
          <w:szCs w:val="21"/>
          <w:lang w:val="en-US" w:eastAsia="zh-CN"/>
        </w:rPr>
        <w:t>% 。</w:t>
      </w:r>
    </w:p>
    <w:p>
      <w:pPr>
        <w:spacing w:line="500" w:lineRule="exact"/>
        <w:ind w:firstLine="434" w:firstLineChars="200"/>
        <w:jc w:val="left"/>
        <w:rPr>
          <w:rFonts w:hint="eastAsia" w:ascii="仿宋_GB2312" w:hAnsi="宋体" w:eastAsia="仿宋_GB2312"/>
          <w:color w:val="000000"/>
          <w:szCs w:val="21"/>
        </w:rPr>
      </w:pPr>
      <w:r>
        <w:rPr>
          <w:rFonts w:hint="eastAsia" w:ascii="仿宋_GB2312" w:hAnsi="宋体" w:eastAsia="仿宋_GB2312"/>
          <w:color w:val="000000"/>
          <w:szCs w:val="21"/>
          <w:lang w:val="en-US" w:eastAsia="zh-CN"/>
        </w:rPr>
        <w:t>3</w:t>
      </w:r>
      <w:r>
        <w:rPr>
          <w:rFonts w:hint="eastAsia" w:ascii="仿宋_GB2312" w:hAnsi="宋体" w:eastAsia="仿宋_GB2312"/>
          <w:color w:val="000000"/>
          <w:szCs w:val="21"/>
        </w:rPr>
        <w:t>、现递交我单位投标文件正本</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份，副本</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份，电子光盘</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份。</w:t>
      </w:r>
    </w:p>
    <w:p>
      <w:pPr>
        <w:spacing w:line="50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lang w:val="en-US" w:eastAsia="zh-CN"/>
        </w:rPr>
        <w:t>4</w:t>
      </w:r>
      <w:r>
        <w:rPr>
          <w:rFonts w:hint="eastAsia" w:ascii="仿宋_GB2312" w:hAnsi="宋体" w:eastAsia="仿宋_GB2312"/>
          <w:color w:val="000000"/>
          <w:szCs w:val="21"/>
        </w:rPr>
        <w:t>、随同本投标函，我们出具金额为人民币</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元的投标保证金或银行保函。如果我们在本投标文件有效期内撤回投标文件；或在接到中标通知书后的规定时间内未能或拒绝签订合同协议书；你单位有权不退还我单位的投标保证金，并另选中标单位。</w:t>
      </w:r>
    </w:p>
    <w:p>
      <w:pPr>
        <w:spacing w:line="500" w:lineRule="exact"/>
        <w:ind w:firstLine="434" w:firstLineChars="200"/>
        <w:jc w:val="left"/>
        <w:rPr>
          <w:rFonts w:hint="eastAsia" w:ascii="仿宋_GB2312" w:hAnsi="宋体" w:eastAsia="仿宋_GB2312"/>
          <w:color w:val="000000"/>
          <w:szCs w:val="21"/>
        </w:rPr>
      </w:pPr>
      <w:r>
        <w:rPr>
          <w:rFonts w:hint="eastAsia" w:ascii="仿宋_GB2312" w:hAnsi="宋体" w:eastAsia="仿宋_GB2312"/>
          <w:color w:val="000000"/>
          <w:szCs w:val="21"/>
          <w:lang w:val="en-US" w:eastAsia="zh-CN"/>
        </w:rPr>
        <w:t>5</w:t>
      </w:r>
      <w:r>
        <w:rPr>
          <w:rFonts w:hint="eastAsia" w:ascii="仿宋_GB2312" w:hAnsi="宋体" w:eastAsia="仿宋_GB2312"/>
          <w:color w:val="000000"/>
          <w:szCs w:val="21"/>
        </w:rPr>
        <w:t>、在合同协议书正式签署生效之前，本投标函连同你单位的中标通知书将构成我们双方之间共同遵守的条件，对双方具有约束力。</w:t>
      </w:r>
    </w:p>
    <w:p>
      <w:pPr>
        <w:spacing w:line="500" w:lineRule="exact"/>
        <w:ind w:firstLine="434" w:firstLineChars="200"/>
        <w:jc w:val="left"/>
        <w:rPr>
          <w:rFonts w:hint="eastAsia" w:ascii="仿宋_GB2312" w:hAnsi="宋体" w:eastAsia="仿宋_GB2312"/>
          <w:color w:val="000000"/>
          <w:szCs w:val="21"/>
        </w:rPr>
      </w:pPr>
      <w:r>
        <w:rPr>
          <w:rFonts w:hint="eastAsia" w:ascii="仿宋_GB2312" w:hAnsi="宋体" w:eastAsia="仿宋_GB2312"/>
          <w:color w:val="000000"/>
          <w:szCs w:val="21"/>
          <w:lang w:val="en-US" w:eastAsia="zh-CN"/>
        </w:rPr>
        <w:t>6</w:t>
      </w:r>
      <w:r>
        <w:rPr>
          <w:rFonts w:hint="eastAsia" w:ascii="仿宋_GB2312" w:hAnsi="宋体" w:eastAsia="仿宋_GB2312"/>
          <w:color w:val="000000"/>
          <w:szCs w:val="21"/>
        </w:rPr>
        <w:t>、我单位此次投标的全部费用由我们自行承担。</w:t>
      </w:r>
    </w:p>
    <w:p>
      <w:pPr>
        <w:spacing w:line="500" w:lineRule="exact"/>
        <w:ind w:firstLine="434" w:firstLineChars="200"/>
        <w:jc w:val="left"/>
        <w:rPr>
          <w:rFonts w:hint="eastAsia" w:ascii="仿宋_GB2312" w:hAnsi="宋体" w:eastAsia="仿宋_GB2312"/>
          <w:color w:val="000000"/>
        </w:rPr>
      </w:pPr>
      <w:r>
        <w:rPr>
          <w:rFonts w:hint="eastAsia" w:ascii="仿宋_GB2312" w:hAnsi="宋体" w:eastAsia="仿宋_GB2312"/>
          <w:color w:val="000000"/>
          <w:lang w:val="en-US" w:eastAsia="zh-CN"/>
        </w:rPr>
        <w:t>7</w:t>
      </w:r>
      <w:r>
        <w:rPr>
          <w:rFonts w:hint="eastAsia" w:ascii="仿宋_GB2312" w:hAnsi="宋体" w:eastAsia="仿宋_GB2312"/>
          <w:color w:val="000000"/>
        </w:rPr>
        <w:t>、</w:t>
      </w:r>
      <w:r>
        <w:rPr>
          <w:rFonts w:hint="eastAsia" w:ascii="仿宋_GB2312" w:hAnsi="宋体" w:eastAsia="仿宋_GB2312"/>
          <w:color w:val="000000"/>
          <w:szCs w:val="21"/>
        </w:rPr>
        <w:t>我方承诺在投标有效期（即从投标截止之日算起</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日历天）内不修改、撤销投标文件。</w:t>
      </w:r>
    </w:p>
    <w:p>
      <w:pPr>
        <w:spacing w:line="500" w:lineRule="exact"/>
        <w:ind w:left="2" w:firstLine="434" w:firstLineChars="200"/>
        <w:jc w:val="left"/>
        <w:rPr>
          <w:rFonts w:hint="eastAsia" w:ascii="仿宋_GB2312" w:hAnsi="宋体" w:eastAsia="仿宋_GB2312"/>
          <w:color w:val="000000"/>
          <w:szCs w:val="21"/>
        </w:rPr>
      </w:pPr>
      <w:r>
        <w:rPr>
          <w:rFonts w:hint="eastAsia" w:ascii="仿宋_GB2312" w:hAnsi="宋体" w:eastAsia="仿宋_GB2312"/>
          <w:color w:val="000000"/>
          <w:szCs w:val="21"/>
          <w:lang w:val="en-US" w:eastAsia="zh-CN"/>
        </w:rPr>
        <w:t>8</w:t>
      </w:r>
      <w:r>
        <w:rPr>
          <w:rFonts w:hint="eastAsia" w:ascii="仿宋_GB2312" w:hAnsi="宋体" w:eastAsia="仿宋_GB2312"/>
          <w:color w:val="000000"/>
          <w:szCs w:val="21"/>
        </w:rPr>
        <w:t>、如果我单位中标，我单位承诺在招标文件规定的时间内，提交中标价的</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%的履约保证金。</w:t>
      </w:r>
    </w:p>
    <w:p>
      <w:pPr>
        <w:spacing w:line="500" w:lineRule="exact"/>
        <w:ind w:left="2" w:leftChars="1" w:firstLine="434" w:firstLineChars="200"/>
        <w:jc w:val="left"/>
        <w:rPr>
          <w:rFonts w:hint="eastAsia" w:ascii="仿宋_GB2312" w:hAnsi="宋体" w:eastAsia="仿宋_GB2312"/>
          <w:color w:val="000000"/>
          <w:szCs w:val="21"/>
        </w:rPr>
      </w:pPr>
      <w:r>
        <w:rPr>
          <w:rFonts w:hint="eastAsia" w:ascii="仿宋_GB2312" w:hAnsi="宋体" w:eastAsia="仿宋_GB2312"/>
          <w:color w:val="000000"/>
          <w:szCs w:val="21"/>
          <w:lang w:val="en-US" w:eastAsia="zh-CN"/>
        </w:rPr>
        <w:t>9</w:t>
      </w:r>
      <w:r>
        <w:rPr>
          <w:rFonts w:hint="eastAsia" w:ascii="仿宋_GB2312" w:hAnsi="宋体" w:eastAsia="仿宋_GB2312"/>
          <w:color w:val="000000"/>
          <w:szCs w:val="21"/>
        </w:rPr>
        <w:t>、其他承诺(如有时)：</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w:t>
      </w:r>
    </w:p>
    <w:p>
      <w:pPr>
        <w:spacing w:line="500" w:lineRule="exact"/>
        <w:ind w:left="2" w:leftChars="1" w:firstLine="434" w:firstLineChars="200"/>
        <w:jc w:val="left"/>
        <w:rPr>
          <w:rFonts w:hint="eastAsia" w:ascii="仿宋_GB2312" w:hAnsi="宋体" w:eastAsia="仿宋_GB2312"/>
          <w:color w:val="000000"/>
          <w:szCs w:val="21"/>
        </w:rPr>
      </w:pPr>
    </w:p>
    <w:p>
      <w:pPr>
        <w:spacing w:line="440" w:lineRule="exact"/>
        <w:ind w:firstLine="434" w:firstLineChars="200"/>
        <w:rPr>
          <w:rFonts w:hint="eastAsia" w:ascii="仿宋_GB2312" w:hAnsi="宋体" w:eastAsia="仿宋_GB2312"/>
          <w:color w:val="000000"/>
          <w:szCs w:val="21"/>
        </w:rPr>
      </w:pPr>
    </w:p>
    <w:p>
      <w:pPr>
        <w:spacing w:line="600" w:lineRule="exact"/>
        <w:ind w:firstLine="5100" w:firstLineChars="2350"/>
        <w:rPr>
          <w:rFonts w:hint="eastAsia" w:ascii="仿宋_GB2312" w:hAnsi="宋体" w:eastAsia="仿宋_GB2312"/>
          <w:color w:val="000000"/>
          <w:szCs w:val="21"/>
          <w:u w:val="single"/>
        </w:rPr>
      </w:pPr>
      <w:r>
        <w:rPr>
          <w:rFonts w:hint="eastAsia" w:ascii="仿宋_GB2312" w:hAnsi="宋体" w:eastAsia="仿宋_GB2312"/>
          <w:color w:val="000000"/>
          <w:szCs w:val="21"/>
        </w:rPr>
        <w:t>投  标  人：</w:t>
      </w:r>
      <w:r>
        <w:rPr>
          <w:rFonts w:hint="eastAsia" w:ascii="仿宋_GB2312" w:hAnsi="宋体" w:eastAsia="仿宋_GB2312"/>
          <w:color w:val="000000"/>
          <w:szCs w:val="21"/>
          <w:u w:val="single"/>
        </w:rPr>
        <w:t xml:space="preserve">    (盖公章)       </w:t>
      </w:r>
    </w:p>
    <w:p>
      <w:pPr>
        <w:spacing w:line="600" w:lineRule="exact"/>
        <w:ind w:firstLine="3364" w:firstLineChars="1550"/>
        <w:rPr>
          <w:rFonts w:hint="eastAsia" w:ascii="仿宋_GB2312" w:hAnsi="宋体" w:eastAsia="仿宋_GB2312"/>
          <w:color w:val="000000"/>
          <w:szCs w:val="21"/>
        </w:rPr>
      </w:pPr>
      <w:r>
        <w:rPr>
          <w:rFonts w:hint="eastAsia" w:ascii="仿宋_GB2312" w:hAnsi="宋体" w:eastAsia="仿宋_GB2312"/>
          <w:color w:val="000000"/>
          <w:szCs w:val="21"/>
        </w:rPr>
        <w:t>法定代表人或其委托代理人(签字)：</w:t>
      </w:r>
      <w:r>
        <w:rPr>
          <w:rFonts w:hint="eastAsia" w:ascii="仿宋_GB2312" w:hAnsi="宋体" w:eastAsia="仿宋_GB2312"/>
          <w:color w:val="000000"/>
          <w:szCs w:val="21"/>
          <w:u w:val="single"/>
        </w:rPr>
        <w:t xml:space="preserve">               </w:t>
      </w:r>
    </w:p>
    <w:p>
      <w:pPr>
        <w:spacing w:line="600" w:lineRule="exact"/>
        <w:ind w:firstLine="480"/>
        <w:jc w:val="left"/>
        <w:rPr>
          <w:rFonts w:hint="eastAsia" w:ascii="仿宋_GB2312" w:hAnsi="宋体" w:eastAsia="仿宋_GB2312"/>
          <w:color w:val="000000"/>
          <w:szCs w:val="21"/>
        </w:rPr>
      </w:pPr>
      <w:r>
        <w:rPr>
          <w:rFonts w:hint="eastAsia" w:ascii="仿宋_GB2312" w:hAnsi="宋体" w:eastAsia="仿宋_GB2312"/>
          <w:color w:val="000000"/>
          <w:szCs w:val="21"/>
        </w:rPr>
        <w:t xml:space="preserve">                                                         </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年</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月</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color w:val="auto"/>
          <w:sz w:val="20"/>
          <w:szCs w:val="2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color w:val="auto"/>
          <w:sz w:val="20"/>
          <w:szCs w:val="20"/>
        </w:rPr>
      </w:pPr>
    </w:p>
    <w:p>
      <w:pPr>
        <w:pStyle w:val="4"/>
        <w:jc w:val="center"/>
        <w:rPr>
          <w:rFonts w:hint="eastAsia" w:ascii="仿宋_GB2312" w:hAnsi="宋体" w:eastAsia="仿宋_GB2312"/>
          <w:color w:val="000000"/>
        </w:rPr>
      </w:pPr>
      <w:r>
        <w:rPr>
          <w:rFonts w:hint="eastAsia" w:ascii="仿宋_GB2312" w:hAnsi="宋体" w:eastAsia="仿宋_GB2312"/>
          <w:color w:val="000000"/>
        </w:rPr>
        <w:br w:type="page"/>
      </w:r>
      <w:r>
        <w:rPr>
          <w:rFonts w:hint="eastAsia" w:ascii="仿宋_GB2312" w:hAnsi="宋体" w:eastAsia="仿宋_GB2312"/>
          <w:color w:val="000000"/>
        </w:rPr>
        <w:t>（二）投标文件真实性和不存在限制投标情形声明</w:t>
      </w:r>
    </w:p>
    <w:p>
      <w:pPr>
        <w:spacing w:line="460" w:lineRule="exact"/>
        <w:rPr>
          <w:rFonts w:hint="eastAsia" w:ascii="仿宋_GB2312" w:hAnsi="宋体" w:eastAsia="仿宋_GB2312"/>
          <w:color w:val="000000"/>
          <w:szCs w:val="21"/>
        </w:rPr>
      </w:pPr>
    </w:p>
    <w:p>
      <w:pPr>
        <w:spacing w:line="460" w:lineRule="exact"/>
        <w:rPr>
          <w:rFonts w:hint="eastAsia" w:ascii="仿宋_GB2312" w:hAnsi="宋体" w:eastAsia="仿宋_GB2312"/>
          <w:color w:val="000000"/>
          <w:szCs w:val="21"/>
        </w:rPr>
      </w:pP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（招标人名称）：</w:t>
      </w:r>
    </w:p>
    <w:p>
      <w:pPr>
        <w:spacing w:line="460" w:lineRule="exact"/>
        <w:rPr>
          <w:rFonts w:hint="eastAsia" w:ascii="仿宋_GB2312" w:hAnsi="宋体" w:eastAsia="仿宋_GB2312"/>
          <w:color w:val="000000"/>
          <w:szCs w:val="21"/>
        </w:rPr>
      </w:pPr>
      <w:r>
        <w:rPr>
          <w:rFonts w:hint="eastAsia" w:ascii="仿宋_GB2312" w:hAnsi="宋体" w:eastAsia="仿宋_GB2312"/>
          <w:color w:val="000000"/>
          <w:szCs w:val="21"/>
        </w:rPr>
        <w:t xml:space="preserve">    我方在此声明，所递交的投标文件（包括有关资料、澄清）真实可信，不存在虚假（包括隐瞒）。</w:t>
      </w:r>
    </w:p>
    <w:p>
      <w:pPr>
        <w:spacing w:line="460" w:lineRule="exact"/>
        <w:ind w:firstLine="437"/>
        <w:rPr>
          <w:rFonts w:hint="eastAsia" w:ascii="仿宋_GB2312" w:hAnsi="宋体" w:eastAsia="仿宋_GB2312"/>
          <w:color w:val="000000"/>
          <w:szCs w:val="21"/>
        </w:rPr>
      </w:pPr>
      <w:r>
        <w:rPr>
          <w:rFonts w:hint="eastAsia" w:ascii="仿宋_GB2312" w:hAnsi="宋体" w:eastAsia="仿宋_GB2312"/>
          <w:color w:val="000000"/>
          <w:szCs w:val="21"/>
        </w:rPr>
        <w:t>经我方认真核查，本投标人不存在第二章“投标人须知”第1.4.3项规定的任何一种情形。</w:t>
      </w:r>
    </w:p>
    <w:p>
      <w:pPr>
        <w:spacing w:line="460" w:lineRule="exact"/>
        <w:ind w:firstLine="437"/>
        <w:rPr>
          <w:rFonts w:hint="eastAsia" w:ascii="仿宋_GB2312" w:hAnsi="宋体" w:eastAsia="仿宋_GB2312"/>
          <w:color w:val="000000"/>
          <w:szCs w:val="21"/>
        </w:rPr>
      </w:pPr>
      <w:r>
        <w:rPr>
          <w:rFonts w:hint="eastAsia" w:ascii="仿宋_GB2312" w:hAnsi="宋体" w:eastAsia="仿宋_GB2312"/>
          <w:color w:val="000000"/>
          <w:szCs w:val="21"/>
        </w:rPr>
        <w:t>我方承诺，如存在以上两种虚假投标行为，我方自愿按第二章“投标人须知”8.9和其他有关规定承担责任。</w:t>
      </w:r>
    </w:p>
    <w:p>
      <w:pPr>
        <w:spacing w:line="460" w:lineRule="exact"/>
        <w:ind w:firstLine="435"/>
        <w:rPr>
          <w:rFonts w:hint="eastAsia" w:ascii="仿宋_GB2312" w:hAnsi="宋体" w:eastAsia="仿宋_GB2312"/>
          <w:color w:val="000000"/>
          <w:szCs w:val="21"/>
        </w:rPr>
      </w:pPr>
    </w:p>
    <w:p>
      <w:pPr>
        <w:spacing w:line="460" w:lineRule="exact"/>
        <w:ind w:firstLine="435"/>
        <w:rPr>
          <w:rFonts w:hint="eastAsia" w:ascii="仿宋_GB2312" w:hAnsi="宋体" w:eastAsia="仿宋_GB2312"/>
          <w:color w:val="000000"/>
          <w:szCs w:val="21"/>
        </w:rPr>
      </w:pPr>
    </w:p>
    <w:p>
      <w:pPr>
        <w:spacing w:line="460" w:lineRule="exact"/>
        <w:ind w:firstLine="435"/>
        <w:rPr>
          <w:rFonts w:hint="eastAsia" w:ascii="仿宋_GB2312" w:hAnsi="宋体" w:eastAsia="仿宋_GB2312"/>
          <w:color w:val="000000"/>
          <w:szCs w:val="21"/>
        </w:rPr>
      </w:pPr>
    </w:p>
    <w:p>
      <w:pPr>
        <w:spacing w:line="460" w:lineRule="exact"/>
        <w:ind w:firstLine="435"/>
        <w:rPr>
          <w:rFonts w:hint="eastAsia" w:ascii="仿宋_GB2312" w:hAnsi="宋体" w:eastAsia="仿宋_GB2312"/>
          <w:color w:val="000000"/>
          <w:szCs w:val="21"/>
        </w:rPr>
      </w:pPr>
      <w:r>
        <w:rPr>
          <w:rFonts w:hint="eastAsia" w:ascii="仿宋_GB2312" w:hAnsi="宋体" w:eastAsia="仿宋_GB2312"/>
          <w:color w:val="000000"/>
          <w:szCs w:val="21"/>
        </w:rPr>
        <w:t>投标人</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（盖单位章）</w:t>
      </w:r>
    </w:p>
    <w:p>
      <w:pPr>
        <w:spacing w:line="460" w:lineRule="exact"/>
        <w:ind w:firstLine="435"/>
        <w:rPr>
          <w:rFonts w:hint="eastAsia" w:ascii="仿宋_GB2312" w:hAnsi="宋体" w:eastAsia="仿宋_GB2312"/>
          <w:color w:val="000000"/>
          <w:szCs w:val="21"/>
        </w:rPr>
      </w:pPr>
    </w:p>
    <w:p>
      <w:pPr>
        <w:spacing w:line="460" w:lineRule="exact"/>
        <w:ind w:firstLine="435"/>
        <w:rPr>
          <w:rFonts w:hint="eastAsia" w:ascii="仿宋_GB2312" w:hAnsi="宋体" w:eastAsia="仿宋_GB2312"/>
          <w:color w:val="000000"/>
          <w:szCs w:val="21"/>
        </w:rPr>
      </w:pPr>
    </w:p>
    <w:p>
      <w:pPr>
        <w:spacing w:line="460" w:lineRule="exact"/>
        <w:ind w:firstLine="435"/>
        <w:rPr>
          <w:rFonts w:hint="eastAsia" w:ascii="仿宋_GB2312" w:hAnsi="宋体" w:eastAsia="仿宋_GB2312"/>
          <w:color w:val="000000"/>
          <w:szCs w:val="21"/>
        </w:rPr>
      </w:pPr>
    </w:p>
    <w:p>
      <w:pPr>
        <w:spacing w:line="460" w:lineRule="exact"/>
        <w:ind w:firstLine="435"/>
        <w:rPr>
          <w:rFonts w:hint="eastAsia" w:ascii="仿宋_GB2312" w:hAnsi="宋体" w:eastAsia="仿宋_GB2312"/>
          <w:color w:val="000000"/>
          <w:szCs w:val="21"/>
        </w:rPr>
      </w:pPr>
      <w:r>
        <w:rPr>
          <w:rFonts w:hint="eastAsia" w:ascii="仿宋_GB2312" w:hAnsi="宋体" w:eastAsia="仿宋_GB2312"/>
          <w:color w:val="000000"/>
          <w:szCs w:val="21"/>
        </w:rPr>
        <w:t>法定代表人或其委托代理人：</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（签字）</w:t>
      </w:r>
    </w:p>
    <w:p>
      <w:pPr>
        <w:spacing w:line="460" w:lineRule="exact"/>
        <w:ind w:firstLine="435"/>
        <w:rPr>
          <w:rFonts w:hint="eastAsia" w:ascii="仿宋_GB2312" w:hAnsi="宋体" w:eastAsia="仿宋_GB2312"/>
          <w:color w:val="000000"/>
          <w:szCs w:val="21"/>
        </w:rPr>
      </w:pPr>
    </w:p>
    <w:p>
      <w:pPr>
        <w:spacing w:line="460" w:lineRule="exact"/>
        <w:ind w:firstLine="435"/>
        <w:rPr>
          <w:rFonts w:hint="eastAsia" w:ascii="仿宋_GB2312" w:hAnsi="宋体" w:eastAsia="仿宋_GB2312"/>
          <w:color w:val="000000"/>
          <w:szCs w:val="21"/>
        </w:rPr>
      </w:pPr>
    </w:p>
    <w:p>
      <w:pPr>
        <w:spacing w:line="460" w:lineRule="exact"/>
        <w:ind w:firstLine="4681" w:firstLineChars="2157"/>
        <w:rPr>
          <w:rFonts w:hint="eastAsia" w:ascii="仿宋_GB2312" w:hAnsi="宋体" w:eastAsia="仿宋_GB2312"/>
          <w:color w:val="000000"/>
          <w:szCs w:val="21"/>
        </w:rPr>
      </w:pP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年</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月</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日</w:t>
      </w:r>
    </w:p>
    <w:p>
      <w:pPr>
        <w:spacing w:line="460" w:lineRule="exact"/>
        <w:ind w:firstLine="4681" w:firstLineChars="2157"/>
        <w:rPr>
          <w:rFonts w:hint="eastAsia" w:ascii="仿宋_GB2312" w:hAnsi="宋体" w:eastAsia="仿宋_GB2312"/>
          <w:color w:val="000000"/>
          <w:szCs w:val="21"/>
        </w:rPr>
      </w:pPr>
    </w:p>
    <w:p>
      <w:pPr>
        <w:jc w:val="center"/>
        <w:rPr>
          <w:rFonts w:hint="eastAsia" w:ascii="仿宋_GB2312" w:hAnsi="宋体" w:eastAsia="仿宋_GB2312"/>
          <w:b/>
          <w:bCs/>
          <w:color w:val="000000"/>
        </w:rPr>
      </w:pPr>
      <w:r>
        <w:rPr>
          <w:rFonts w:hint="eastAsia" w:ascii="仿宋_GB2312" w:eastAsia="仿宋_GB2312"/>
          <w:color w:val="000000"/>
        </w:rPr>
        <w:br w:type="page"/>
      </w:r>
      <w:r>
        <w:rPr>
          <w:rFonts w:hint="eastAsia" w:ascii="仿宋_GB2312" w:hAnsi="宋体" w:eastAsia="仿宋_GB2312"/>
          <w:b/>
          <w:bCs/>
          <w:color w:val="000000"/>
        </w:rPr>
        <w:t>（三）投标函附录</w:t>
      </w:r>
    </w:p>
    <w:p>
      <w:pPr>
        <w:spacing w:line="360" w:lineRule="auto"/>
        <w:ind w:right="124"/>
        <w:rPr>
          <w:rFonts w:hint="eastAsia" w:ascii="仿宋_GB2312" w:eastAsia="仿宋_GB2312"/>
          <w:color w:val="000000"/>
          <w:sz w:val="24"/>
          <w:szCs w:val="24"/>
        </w:rPr>
      </w:pPr>
      <w:r>
        <w:rPr>
          <w:rFonts w:hint="eastAsia" w:ascii="仿宋_GB2312" w:eastAsia="仿宋_GB2312"/>
          <w:color w:val="000000"/>
          <w:sz w:val="24"/>
          <w:szCs w:val="24"/>
        </w:rPr>
        <w:t xml:space="preserve"> </w:t>
      </w:r>
    </w:p>
    <w:tbl>
      <w:tblPr>
        <w:tblStyle w:val="10"/>
        <w:tblW w:w="8568" w:type="dxa"/>
        <w:jc w:val="center"/>
        <w:tblLayout w:type="fixed"/>
        <w:tblCellMar>
          <w:top w:w="0" w:type="dxa"/>
          <w:left w:w="0" w:type="dxa"/>
          <w:bottom w:w="0" w:type="dxa"/>
          <w:right w:w="0" w:type="dxa"/>
        </w:tblCellMar>
      </w:tblPr>
      <w:tblGrid>
        <w:gridCol w:w="1008"/>
        <w:gridCol w:w="3060"/>
        <w:gridCol w:w="4500"/>
      </w:tblGrid>
      <w:tr>
        <w:tblPrEx>
          <w:tblCellMar>
            <w:top w:w="0" w:type="dxa"/>
            <w:left w:w="0" w:type="dxa"/>
            <w:bottom w:w="0" w:type="dxa"/>
            <w:right w:w="0"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ind w:right="124"/>
              <w:jc w:val="center"/>
              <w:rPr>
                <w:rFonts w:hint="eastAsia" w:ascii="仿宋_GB2312" w:eastAsia="仿宋_GB2312"/>
                <w:b/>
                <w:bCs/>
                <w:color w:val="000000"/>
                <w:sz w:val="24"/>
                <w:szCs w:val="24"/>
              </w:rPr>
            </w:pPr>
            <w:r>
              <w:rPr>
                <w:rFonts w:hint="eastAsia" w:ascii="仿宋_GB2312" w:eastAsia="仿宋_GB2312"/>
                <w:b/>
                <w:bCs/>
                <w:color w:val="000000"/>
                <w:sz w:val="24"/>
                <w:szCs w:val="24"/>
              </w:rPr>
              <w:t>序号</w:t>
            </w:r>
          </w:p>
        </w:tc>
        <w:tc>
          <w:tcPr>
            <w:tcW w:w="3060" w:type="dxa"/>
            <w:tcBorders>
              <w:top w:val="single" w:color="auto" w:sz="4" w:space="0"/>
              <w:left w:val="nil"/>
              <w:bottom w:val="single" w:color="auto" w:sz="4" w:space="0"/>
              <w:right w:val="single" w:color="auto" w:sz="4" w:space="0"/>
            </w:tcBorders>
            <w:vAlign w:val="center"/>
          </w:tcPr>
          <w:p>
            <w:pPr>
              <w:spacing w:line="360" w:lineRule="auto"/>
              <w:ind w:right="124"/>
              <w:jc w:val="center"/>
              <w:rPr>
                <w:rFonts w:hint="eastAsia" w:ascii="仿宋_GB2312" w:eastAsia="仿宋_GB2312"/>
                <w:b/>
                <w:bCs/>
                <w:color w:val="000000"/>
                <w:sz w:val="24"/>
                <w:szCs w:val="24"/>
              </w:rPr>
            </w:pPr>
            <w:r>
              <w:rPr>
                <w:rFonts w:hint="eastAsia" w:ascii="仿宋_GB2312" w:eastAsia="仿宋_GB2312"/>
                <w:b/>
                <w:bCs/>
                <w:color w:val="000000"/>
                <w:sz w:val="24"/>
                <w:szCs w:val="24"/>
              </w:rPr>
              <w:t>项 目</w:t>
            </w:r>
          </w:p>
        </w:tc>
        <w:tc>
          <w:tcPr>
            <w:tcW w:w="4500" w:type="dxa"/>
            <w:tcBorders>
              <w:top w:val="single" w:color="auto" w:sz="4" w:space="0"/>
              <w:left w:val="nil"/>
              <w:bottom w:val="single" w:color="auto" w:sz="4" w:space="0"/>
              <w:right w:val="single" w:color="auto" w:sz="4" w:space="0"/>
            </w:tcBorders>
            <w:vAlign w:val="center"/>
          </w:tcPr>
          <w:p>
            <w:pPr>
              <w:spacing w:line="360" w:lineRule="auto"/>
              <w:ind w:right="124"/>
              <w:jc w:val="center"/>
              <w:rPr>
                <w:rFonts w:hint="eastAsia" w:ascii="仿宋_GB2312" w:eastAsia="仿宋_GB2312"/>
                <w:b/>
                <w:bCs/>
                <w:color w:val="000000"/>
                <w:sz w:val="24"/>
                <w:szCs w:val="24"/>
              </w:rPr>
            </w:pPr>
            <w:r>
              <w:rPr>
                <w:rFonts w:hint="eastAsia" w:ascii="仿宋_GB2312" w:eastAsia="仿宋_GB2312"/>
                <w:b/>
                <w:bCs/>
                <w:color w:val="000000"/>
                <w:sz w:val="24"/>
                <w:szCs w:val="24"/>
              </w:rPr>
              <w:t>内 容</w:t>
            </w:r>
          </w:p>
        </w:tc>
      </w:tr>
      <w:tr>
        <w:tblPrEx>
          <w:tblCellMar>
            <w:top w:w="0" w:type="dxa"/>
            <w:left w:w="0" w:type="dxa"/>
            <w:bottom w:w="0" w:type="dxa"/>
            <w:right w:w="0"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ind w:right="124"/>
              <w:jc w:val="center"/>
              <w:rPr>
                <w:rFonts w:hint="eastAsia" w:ascii="仿宋_GB2312" w:eastAsia="仿宋_GB2312"/>
                <w:b/>
                <w:bCs/>
                <w:color w:val="000000"/>
                <w:sz w:val="24"/>
                <w:szCs w:val="24"/>
              </w:rPr>
            </w:pPr>
            <w:r>
              <w:rPr>
                <w:rFonts w:hint="eastAsia" w:ascii="仿宋_GB2312" w:eastAsia="仿宋_GB2312"/>
                <w:b/>
                <w:bCs/>
                <w:color w:val="000000"/>
                <w:sz w:val="24"/>
                <w:szCs w:val="24"/>
              </w:rPr>
              <w:t>1</w:t>
            </w:r>
          </w:p>
        </w:tc>
        <w:tc>
          <w:tcPr>
            <w:tcW w:w="3060" w:type="dxa"/>
            <w:tcBorders>
              <w:top w:val="single" w:color="auto" w:sz="4" w:space="0"/>
              <w:left w:val="nil"/>
              <w:bottom w:val="single" w:color="auto" w:sz="4" w:space="0"/>
              <w:right w:val="single" w:color="auto" w:sz="4" w:space="0"/>
            </w:tcBorders>
            <w:vAlign w:val="center"/>
          </w:tcPr>
          <w:p>
            <w:pPr>
              <w:spacing w:line="360" w:lineRule="auto"/>
              <w:ind w:right="124"/>
              <w:jc w:val="center"/>
              <w:rPr>
                <w:rFonts w:hint="eastAsia" w:ascii="仿宋_GB2312" w:eastAsia="仿宋_GB2312"/>
                <w:b/>
                <w:bCs/>
                <w:color w:val="000000"/>
                <w:sz w:val="24"/>
                <w:szCs w:val="24"/>
              </w:rPr>
            </w:pPr>
            <w:r>
              <w:rPr>
                <w:rFonts w:hint="eastAsia" w:ascii="仿宋_GB2312" w:eastAsia="仿宋_GB2312"/>
                <w:b/>
                <w:bCs/>
                <w:color w:val="000000"/>
                <w:sz w:val="24"/>
                <w:szCs w:val="24"/>
              </w:rPr>
              <w:t>项目负责人</w:t>
            </w:r>
          </w:p>
        </w:tc>
        <w:tc>
          <w:tcPr>
            <w:tcW w:w="4500" w:type="dxa"/>
            <w:tcBorders>
              <w:top w:val="single" w:color="auto" w:sz="4" w:space="0"/>
              <w:left w:val="nil"/>
              <w:bottom w:val="single" w:color="auto" w:sz="4" w:space="0"/>
              <w:right w:val="single" w:color="auto" w:sz="4" w:space="0"/>
            </w:tcBorders>
            <w:vAlign w:val="center"/>
          </w:tcPr>
          <w:p>
            <w:pPr>
              <w:wordWrap w:val="0"/>
              <w:spacing w:line="360" w:lineRule="auto"/>
              <w:ind w:right="124"/>
              <w:jc w:val="left"/>
              <w:rPr>
                <w:rFonts w:hint="eastAsia" w:ascii="仿宋_GB2312" w:eastAsia="仿宋_GB2312"/>
                <w:b/>
                <w:bCs/>
                <w:color w:val="000000"/>
                <w:sz w:val="24"/>
                <w:szCs w:val="24"/>
              </w:rPr>
            </w:pPr>
            <w:r>
              <w:rPr>
                <w:rFonts w:hint="eastAsia" w:ascii="仿宋_GB2312" w:eastAsia="仿宋_GB2312"/>
                <w:b/>
                <w:bCs/>
                <w:color w:val="000000"/>
                <w:sz w:val="24"/>
                <w:szCs w:val="24"/>
              </w:rPr>
              <w:t xml:space="preserve"> </w:t>
            </w:r>
            <w:r>
              <w:rPr>
                <w:rFonts w:hint="eastAsia" w:ascii="仿宋_GB2312" w:eastAsia="仿宋_GB2312"/>
                <w:b/>
                <w:bCs/>
                <w:color w:val="000000"/>
                <w:sz w:val="24"/>
                <w:szCs w:val="24"/>
                <w:u w:val="single"/>
              </w:rPr>
              <w:t xml:space="preserve">              </w:t>
            </w:r>
          </w:p>
        </w:tc>
      </w:tr>
      <w:tr>
        <w:tblPrEx>
          <w:tblCellMar>
            <w:top w:w="0" w:type="dxa"/>
            <w:left w:w="0" w:type="dxa"/>
            <w:bottom w:w="0" w:type="dxa"/>
            <w:right w:w="0"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ind w:right="124"/>
              <w:jc w:val="center"/>
              <w:rPr>
                <w:rFonts w:hint="eastAsia" w:ascii="仿宋_GB2312" w:eastAsia="仿宋_GB2312"/>
                <w:color w:val="000000"/>
                <w:sz w:val="24"/>
                <w:szCs w:val="24"/>
              </w:rPr>
            </w:pPr>
            <w:r>
              <w:rPr>
                <w:rFonts w:hint="eastAsia" w:ascii="仿宋_GB2312" w:eastAsia="仿宋_GB2312"/>
                <w:color w:val="000000"/>
                <w:sz w:val="24"/>
                <w:szCs w:val="24"/>
              </w:rPr>
              <w:t>2</w:t>
            </w:r>
          </w:p>
        </w:tc>
        <w:tc>
          <w:tcPr>
            <w:tcW w:w="3060" w:type="dxa"/>
            <w:tcBorders>
              <w:top w:val="single" w:color="auto" w:sz="4" w:space="0"/>
              <w:left w:val="nil"/>
              <w:bottom w:val="single" w:color="auto" w:sz="4" w:space="0"/>
              <w:right w:val="single" w:color="auto" w:sz="4" w:space="0"/>
            </w:tcBorders>
            <w:vAlign w:val="center"/>
          </w:tcPr>
          <w:p>
            <w:pPr>
              <w:spacing w:line="360" w:lineRule="auto"/>
              <w:ind w:right="124"/>
              <w:jc w:val="center"/>
              <w:rPr>
                <w:rFonts w:hint="eastAsia" w:ascii="仿宋_GB2312" w:eastAsia="仿宋_GB2312"/>
                <w:color w:val="000000"/>
                <w:sz w:val="24"/>
                <w:szCs w:val="24"/>
              </w:rPr>
            </w:pPr>
            <w:r>
              <w:rPr>
                <w:rFonts w:hint="eastAsia" w:ascii="仿宋_GB2312" w:eastAsia="仿宋_GB2312"/>
                <w:color w:val="000000"/>
                <w:sz w:val="24"/>
                <w:szCs w:val="24"/>
              </w:rPr>
              <w:t>工期</w:t>
            </w:r>
          </w:p>
        </w:tc>
        <w:tc>
          <w:tcPr>
            <w:tcW w:w="4500" w:type="dxa"/>
            <w:tcBorders>
              <w:top w:val="single" w:color="auto" w:sz="4" w:space="0"/>
              <w:left w:val="nil"/>
              <w:bottom w:val="single" w:color="auto" w:sz="4" w:space="0"/>
              <w:right w:val="single" w:color="auto" w:sz="4" w:space="0"/>
            </w:tcBorders>
            <w:vAlign w:val="center"/>
          </w:tcPr>
          <w:p>
            <w:pPr>
              <w:spacing w:line="360" w:lineRule="auto"/>
              <w:ind w:right="124"/>
              <w:rPr>
                <w:rFonts w:hint="eastAsia" w:ascii="仿宋_GB2312" w:eastAsia="仿宋_GB2312"/>
                <w:color w:val="000000"/>
                <w:sz w:val="24"/>
                <w:szCs w:val="24"/>
              </w:rPr>
            </w:pPr>
            <w:r>
              <w:rPr>
                <w:rFonts w:hint="eastAsia" w:ascii="仿宋_GB2312" w:eastAsia="仿宋_GB2312"/>
                <w:color w:val="000000"/>
                <w:sz w:val="24"/>
                <w:szCs w:val="24"/>
              </w:rPr>
              <w:t xml:space="preserve">      </w:t>
            </w:r>
            <w:r>
              <w:rPr>
                <w:rFonts w:hint="eastAsia" w:ascii="仿宋_GB2312" w:eastAsia="仿宋_GB2312"/>
                <w:b/>
                <w:bCs/>
                <w:color w:val="000000"/>
                <w:sz w:val="24"/>
                <w:szCs w:val="24"/>
                <w:u w:val="single"/>
              </w:rPr>
              <w:t xml:space="preserve">     </w:t>
            </w:r>
            <w:r>
              <w:rPr>
                <w:rFonts w:hint="eastAsia" w:ascii="仿宋_GB2312" w:eastAsia="仿宋_GB2312"/>
                <w:color w:val="000000"/>
                <w:sz w:val="24"/>
                <w:szCs w:val="24"/>
              </w:rPr>
              <w:t>日历天</w:t>
            </w:r>
          </w:p>
        </w:tc>
      </w:tr>
      <w:tr>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ind w:right="124"/>
              <w:jc w:val="center"/>
              <w:rPr>
                <w:rFonts w:hint="eastAsia" w:ascii="仿宋_GB2312" w:eastAsia="仿宋_GB2312"/>
                <w:color w:val="000000"/>
                <w:sz w:val="24"/>
                <w:szCs w:val="24"/>
              </w:rPr>
            </w:pPr>
            <w:r>
              <w:rPr>
                <w:rFonts w:hint="eastAsia" w:ascii="仿宋_GB2312" w:eastAsia="仿宋_GB2312"/>
                <w:color w:val="000000"/>
                <w:sz w:val="24"/>
                <w:szCs w:val="24"/>
              </w:rPr>
              <w:t>3</w:t>
            </w:r>
          </w:p>
        </w:tc>
        <w:tc>
          <w:tcPr>
            <w:tcW w:w="3060" w:type="dxa"/>
            <w:tcBorders>
              <w:top w:val="single" w:color="auto" w:sz="4" w:space="0"/>
              <w:left w:val="nil"/>
              <w:bottom w:val="single" w:color="auto" w:sz="4" w:space="0"/>
              <w:right w:val="single" w:color="auto" w:sz="4" w:space="0"/>
            </w:tcBorders>
            <w:vAlign w:val="center"/>
          </w:tcPr>
          <w:p>
            <w:pPr>
              <w:spacing w:line="360" w:lineRule="auto"/>
              <w:ind w:right="124"/>
              <w:jc w:val="center"/>
              <w:rPr>
                <w:rFonts w:hint="eastAsia" w:ascii="仿宋_GB2312" w:eastAsia="仿宋_GB2312"/>
                <w:color w:val="000000"/>
                <w:sz w:val="24"/>
                <w:szCs w:val="24"/>
              </w:rPr>
            </w:pPr>
            <w:r>
              <w:rPr>
                <w:rFonts w:hint="eastAsia" w:ascii="仿宋_GB2312" w:eastAsia="仿宋_GB2312"/>
                <w:color w:val="000000"/>
                <w:sz w:val="24"/>
                <w:szCs w:val="24"/>
              </w:rPr>
              <w:t>权利义务</w:t>
            </w:r>
          </w:p>
        </w:tc>
        <w:tc>
          <w:tcPr>
            <w:tcW w:w="4500" w:type="dxa"/>
            <w:tcBorders>
              <w:top w:val="single" w:color="auto" w:sz="4" w:space="0"/>
              <w:left w:val="nil"/>
              <w:bottom w:val="single" w:color="auto" w:sz="4" w:space="0"/>
              <w:right w:val="single" w:color="auto" w:sz="4" w:space="0"/>
            </w:tcBorders>
            <w:vAlign w:val="center"/>
          </w:tcPr>
          <w:p>
            <w:pPr>
              <w:ind w:right="125"/>
              <w:rPr>
                <w:rFonts w:hint="eastAsia" w:ascii="仿宋_GB2312" w:eastAsia="仿宋_GB2312"/>
                <w:color w:val="000000"/>
                <w:sz w:val="24"/>
                <w:szCs w:val="24"/>
              </w:rPr>
            </w:pPr>
            <w:r>
              <w:rPr>
                <w:rFonts w:hint="eastAsia" w:ascii="仿宋_GB2312" w:eastAsia="仿宋_GB2312"/>
                <w:color w:val="000000"/>
                <w:sz w:val="24"/>
                <w:szCs w:val="24"/>
              </w:rPr>
              <w:t>完全同意和响应招标文件的规定</w:t>
            </w:r>
          </w:p>
        </w:tc>
      </w:tr>
    </w:tbl>
    <w:p>
      <w:pPr>
        <w:ind w:firstLine="435"/>
        <w:rPr>
          <w:rFonts w:hint="eastAsia" w:ascii="仿宋_GB2312" w:hAnsi="宋体" w:eastAsia="仿宋_GB2312"/>
          <w:color w:val="000000"/>
        </w:rPr>
      </w:pPr>
    </w:p>
    <w:p>
      <w:pPr>
        <w:ind w:firstLine="435"/>
        <w:rPr>
          <w:rFonts w:hint="eastAsia" w:ascii="仿宋_GB2312" w:hAnsi="宋体" w:eastAsia="仿宋_GB2312"/>
          <w:color w:val="000000"/>
        </w:rPr>
      </w:pPr>
      <w:r>
        <w:rPr>
          <w:rFonts w:hint="eastAsia" w:ascii="仿宋_GB2312" w:hAnsi="宋体" w:eastAsia="仿宋_GB2312"/>
          <w:color w:val="000000"/>
        </w:rPr>
        <w:t>投标人：</w:t>
      </w:r>
      <w:r>
        <w:rPr>
          <w:rFonts w:hint="eastAsia" w:ascii="仿宋_GB2312" w:hAnsi="宋体" w:eastAsia="仿宋_GB2312"/>
          <w:color w:val="000000"/>
          <w:u w:val="single"/>
        </w:rPr>
        <w:t xml:space="preserve">                   </w:t>
      </w:r>
      <w:r>
        <w:rPr>
          <w:rFonts w:hint="eastAsia" w:ascii="仿宋_GB2312" w:hAnsi="宋体" w:eastAsia="仿宋_GB2312"/>
          <w:color w:val="000000"/>
        </w:rPr>
        <w:t>（盖单位章）</w:t>
      </w:r>
    </w:p>
    <w:p>
      <w:pPr>
        <w:ind w:firstLine="435"/>
        <w:rPr>
          <w:rFonts w:hint="eastAsia" w:ascii="仿宋_GB2312" w:hAnsi="宋体" w:eastAsia="仿宋_GB2312"/>
          <w:color w:val="000000"/>
        </w:rPr>
      </w:pPr>
      <w:r>
        <w:rPr>
          <w:rFonts w:hint="eastAsia" w:ascii="仿宋_GB2312" w:hAnsi="宋体" w:eastAsia="仿宋_GB2312"/>
          <w:color w:val="000000"/>
        </w:rPr>
        <w:t xml:space="preserve"> 法定代表人或其委托代理人：</w:t>
      </w:r>
      <w:r>
        <w:rPr>
          <w:rFonts w:hint="eastAsia" w:ascii="仿宋_GB2312" w:hAnsi="宋体" w:eastAsia="仿宋_GB2312"/>
          <w:color w:val="000000"/>
          <w:u w:val="single"/>
        </w:rPr>
        <w:t xml:space="preserve">                     </w:t>
      </w:r>
      <w:r>
        <w:rPr>
          <w:rFonts w:hint="eastAsia" w:ascii="仿宋_GB2312" w:hAnsi="宋体" w:eastAsia="仿宋_GB2312"/>
          <w:color w:val="000000"/>
        </w:rPr>
        <w:t>（签字）</w:t>
      </w:r>
    </w:p>
    <w:p>
      <w:pPr>
        <w:ind w:firstLine="435"/>
        <w:rPr>
          <w:rFonts w:hint="eastAsia" w:ascii="仿宋_GB2312" w:hAnsi="宋体" w:eastAsia="仿宋_GB2312"/>
          <w:color w:val="000000"/>
        </w:rPr>
      </w:pPr>
      <w:r>
        <w:rPr>
          <w:rFonts w:hint="eastAsia" w:ascii="仿宋_GB2312" w:hAnsi="宋体" w:eastAsia="仿宋_GB2312"/>
          <w:color w:val="000000"/>
        </w:rPr>
        <w:t xml:space="preserve"> </w:t>
      </w:r>
    </w:p>
    <w:p>
      <w:pPr>
        <w:ind w:firstLine="435"/>
        <w:rPr>
          <w:rFonts w:hint="eastAsia" w:ascii="仿宋_GB2312" w:hAnsi="宋体" w:eastAsia="仿宋_GB2312"/>
          <w:color w:val="000000"/>
        </w:rPr>
      </w:pPr>
      <w:r>
        <w:rPr>
          <w:rFonts w:hint="eastAsia" w:ascii="仿宋_GB2312" w:hAnsi="宋体" w:eastAsia="仿宋_GB2312"/>
          <w:color w:val="000000"/>
        </w:rPr>
        <w:t xml:space="preserve"> </w:t>
      </w:r>
    </w:p>
    <w:p>
      <w:pPr>
        <w:ind w:firstLine="4681" w:firstLineChars="2157"/>
        <w:rPr>
          <w:rFonts w:hint="eastAsia" w:ascii="仿宋_GB2312" w:hAnsi="宋体" w:eastAsia="仿宋_GB2312"/>
          <w:color w:val="000000"/>
        </w:rPr>
      </w:pPr>
      <w:r>
        <w:rPr>
          <w:rFonts w:hint="eastAsia" w:ascii="仿宋_GB2312" w:hAnsi="宋体" w:eastAsia="仿宋_GB2312"/>
          <w:color w:val="000000"/>
          <w:u w:val="single"/>
        </w:rPr>
        <w:t xml:space="preserve">    </w:t>
      </w:r>
      <w:r>
        <w:rPr>
          <w:rFonts w:hint="eastAsia" w:ascii="仿宋_GB2312" w:hAnsi="宋体" w:eastAsia="仿宋_GB2312"/>
          <w:color w:val="000000"/>
        </w:rPr>
        <w:t>年</w:t>
      </w:r>
      <w:r>
        <w:rPr>
          <w:rFonts w:hint="eastAsia" w:ascii="仿宋_GB2312" w:hAnsi="宋体" w:eastAsia="仿宋_GB2312"/>
          <w:color w:val="000000"/>
          <w:u w:val="single"/>
        </w:rPr>
        <w:t xml:space="preserve">    </w:t>
      </w:r>
      <w:r>
        <w:rPr>
          <w:rFonts w:hint="eastAsia" w:ascii="仿宋_GB2312" w:hAnsi="宋体" w:eastAsia="仿宋_GB2312"/>
          <w:color w:val="000000"/>
        </w:rPr>
        <w:t>月</w:t>
      </w:r>
      <w:r>
        <w:rPr>
          <w:rFonts w:hint="eastAsia" w:ascii="仿宋_GB2312" w:hAnsi="宋体" w:eastAsia="仿宋_GB2312"/>
          <w:color w:val="000000"/>
          <w:u w:val="single"/>
        </w:rPr>
        <w:t xml:space="preserve">    </w:t>
      </w:r>
      <w:r>
        <w:rPr>
          <w:rFonts w:hint="eastAsia" w:ascii="仿宋_GB2312" w:hAnsi="宋体" w:eastAsia="仿宋_GB2312"/>
          <w:color w:val="000000"/>
        </w:rPr>
        <w:t>日</w:t>
      </w:r>
    </w:p>
    <w:p>
      <w:pPr>
        <w:spacing w:after="0" w:line="200" w:lineRule="exact"/>
        <w:rPr>
          <w:color w:val="auto"/>
          <w:sz w:val="20"/>
          <w:szCs w:val="20"/>
        </w:rPr>
      </w:pPr>
      <w:r>
        <w:rPr>
          <w:rFonts w:hint="eastAsia" w:ascii="仿宋_GB2312" w:eastAsia="仿宋_GB2312"/>
          <w:color w:val="000000"/>
        </w:rPr>
        <w:br w:type="page"/>
      </w:r>
    </w:p>
    <w:bookmarkEnd w:id="70"/>
    <w:p>
      <w:pPr>
        <w:pStyle w:val="3"/>
        <w:jc w:val="center"/>
        <w:rPr>
          <w:rFonts w:hint="eastAsia" w:ascii="仿宋_GB2312" w:hAnsi="宋体" w:eastAsia="仿宋_GB2312"/>
          <w:color w:val="000000"/>
        </w:rPr>
      </w:pPr>
      <w:bookmarkStart w:id="72" w:name="_Toc30787"/>
      <w:bookmarkStart w:id="73" w:name="_Toc270862429"/>
      <w:bookmarkStart w:id="74" w:name="_Toc225045560"/>
      <w:bookmarkStart w:id="75" w:name="_Toc185047517"/>
      <w:r>
        <w:rPr>
          <w:rFonts w:hint="eastAsia" w:ascii="仿宋_GB2312" w:hAnsi="宋体" w:eastAsia="仿宋_GB2312"/>
          <w:color w:val="000000"/>
        </w:rPr>
        <w:t>二、法定代表人身份证明</w:t>
      </w:r>
      <w:bookmarkEnd w:id="72"/>
      <w:bookmarkEnd w:id="73"/>
      <w:bookmarkEnd w:id="74"/>
      <w:bookmarkEnd w:id="75"/>
    </w:p>
    <w:p>
      <w:pPr>
        <w:spacing w:line="460" w:lineRule="exact"/>
        <w:ind w:firstLine="434" w:firstLineChars="200"/>
        <w:rPr>
          <w:rFonts w:hint="eastAsia" w:ascii="仿宋_GB2312" w:hAnsi="宋体" w:eastAsia="仿宋_GB2312"/>
          <w:color w:val="000000"/>
          <w:szCs w:val="21"/>
        </w:rPr>
      </w:pPr>
    </w:p>
    <w:p>
      <w:pPr>
        <w:spacing w:line="46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投标人名称：</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pPr>
        <w:spacing w:line="46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单位性质：</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pPr>
        <w:spacing w:line="46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地址：</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pPr>
        <w:spacing w:line="46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成立时间：</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年</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月</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日</w:t>
      </w:r>
    </w:p>
    <w:p>
      <w:pPr>
        <w:spacing w:line="46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经营期限：</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 xml:space="preserve"> </w:t>
      </w:r>
    </w:p>
    <w:p>
      <w:pPr>
        <w:spacing w:line="46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姓名：</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系</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（投标人名称）</w:t>
      </w:r>
    </w:p>
    <w:p>
      <w:pPr>
        <w:spacing w:line="46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的法定代表人。（职务：</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电话</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w:t>
      </w:r>
    </w:p>
    <w:p>
      <w:pPr>
        <w:spacing w:line="460" w:lineRule="exact"/>
        <w:ind w:firstLine="426" w:firstLineChars="196"/>
        <w:rPr>
          <w:rFonts w:hint="eastAsia" w:ascii="仿宋_GB2312" w:hAnsi="宋体" w:eastAsia="仿宋_GB2312"/>
          <w:color w:val="000000"/>
          <w:szCs w:val="21"/>
        </w:rPr>
      </w:pPr>
      <w:r>
        <w:rPr>
          <w:rFonts w:hint="eastAsia" w:ascii="仿宋_GB2312" w:hAnsi="宋体" w:eastAsia="仿宋_GB2312"/>
          <w:color w:val="000000"/>
          <w:szCs w:val="21"/>
        </w:rPr>
        <w:t>特此证明。</w:t>
      </w:r>
    </w:p>
    <w:p>
      <w:pPr>
        <w:spacing w:line="460" w:lineRule="exact"/>
        <w:ind w:firstLine="434" w:firstLineChars="200"/>
        <w:rPr>
          <w:rFonts w:hint="eastAsia" w:ascii="仿宋_GB2312" w:hAnsi="宋体" w:eastAsia="仿宋_GB2312"/>
          <w:color w:val="000000"/>
          <w:szCs w:val="21"/>
        </w:rPr>
      </w:pPr>
    </w:p>
    <w:p>
      <w:pPr>
        <w:spacing w:line="46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附：法定代表人身份证复印件</w:t>
      </w:r>
    </w:p>
    <w:p>
      <w:pPr>
        <w:spacing w:line="460" w:lineRule="exact"/>
        <w:ind w:firstLine="434" w:firstLineChars="200"/>
        <w:rPr>
          <w:rFonts w:hint="eastAsia" w:ascii="仿宋_GB2312" w:hAnsi="宋体" w:eastAsia="仿宋_GB2312"/>
          <w:color w:val="000000"/>
          <w:szCs w:val="21"/>
        </w:rPr>
      </w:pPr>
    </w:p>
    <w:p>
      <w:pPr>
        <w:spacing w:line="460" w:lineRule="exact"/>
        <w:rPr>
          <w:rFonts w:hint="eastAsia" w:ascii="仿宋_GB2312" w:hAnsi="宋体" w:eastAsia="仿宋_GB2312"/>
          <w:color w:val="000000"/>
          <w:szCs w:val="21"/>
        </w:rPr>
      </w:pPr>
      <w:r>
        <w:rPr>
          <w:rFonts w:hint="eastAsia" w:ascii="仿宋_GB2312" w:hAnsi="宋体" w:eastAsia="仿宋_GB2312"/>
          <w:color w:val="000000"/>
          <w:szCs w:val="21"/>
        </w:rPr>
        <w:t>　　　　　　　　　　　　　　　　投标人：</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（盖单位章）</w:t>
      </w:r>
    </w:p>
    <w:p>
      <w:pPr>
        <w:spacing w:line="460" w:lineRule="exact"/>
        <w:ind w:firstLine="4666" w:firstLineChars="2150"/>
        <w:rPr>
          <w:rFonts w:hint="eastAsia" w:ascii="仿宋_GB2312" w:hAnsi="宋体" w:eastAsia="仿宋_GB2312"/>
          <w:color w:val="000000"/>
          <w:szCs w:val="21"/>
          <w:u w:val="single"/>
        </w:rPr>
      </w:pPr>
    </w:p>
    <w:p>
      <w:pPr>
        <w:spacing w:line="460" w:lineRule="exact"/>
        <w:ind w:firstLine="4666" w:firstLineChars="2150"/>
        <w:rPr>
          <w:rFonts w:hint="eastAsia" w:ascii="仿宋_GB2312" w:hAnsi="宋体" w:eastAsia="仿宋_GB2312"/>
          <w:color w:val="000000"/>
          <w:szCs w:val="21"/>
        </w:rPr>
      </w:pP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年</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月</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日</w:t>
      </w:r>
    </w:p>
    <w:p>
      <w:pPr>
        <w:spacing w:line="460" w:lineRule="exact"/>
        <w:rPr>
          <w:rFonts w:hint="eastAsia" w:ascii="仿宋_GB2312" w:hAnsi="宋体" w:eastAsia="仿宋_GB2312"/>
          <w:color w:val="000000"/>
          <w:szCs w:val="21"/>
        </w:rPr>
      </w:pPr>
    </w:p>
    <w:p>
      <w:pPr>
        <w:tabs>
          <w:tab w:val="left" w:pos="6510"/>
        </w:tabs>
        <w:spacing w:line="460" w:lineRule="exact"/>
        <w:ind w:firstLine="420"/>
        <w:rPr>
          <w:rFonts w:hint="eastAsia" w:ascii="仿宋_GB2312" w:hAnsi="宋体" w:eastAsia="仿宋_GB2312"/>
          <w:color w:val="000000"/>
          <w:szCs w:val="21"/>
        </w:rPr>
      </w:pPr>
      <w:r>
        <w:rPr>
          <w:rFonts w:hint="eastAsia" w:ascii="仿宋_GB2312" w:hAnsi="宋体" w:eastAsia="仿宋_GB2312"/>
          <w:color w:val="000000"/>
          <w:szCs w:val="21"/>
        </w:rPr>
        <w:t>注：（1）法定代表人亲自投标而不委托代理人投标适用。</w:t>
      </w:r>
      <w:r>
        <w:rPr>
          <w:rFonts w:hint="eastAsia" w:ascii="仿宋_GB2312" w:hAnsi="宋体" w:eastAsia="仿宋_GB2312"/>
          <w:color w:val="000000"/>
          <w:szCs w:val="21"/>
        </w:rPr>
        <w:tab/>
      </w:r>
    </w:p>
    <w:p>
      <w:pPr>
        <w:spacing w:line="460" w:lineRule="exact"/>
        <w:ind w:firstLine="420"/>
        <w:rPr>
          <w:rFonts w:hint="eastAsia" w:ascii="仿宋_GB2312" w:hAnsi="宋体" w:eastAsia="仿宋_GB2312"/>
          <w:color w:val="000000"/>
          <w:szCs w:val="21"/>
        </w:rPr>
      </w:pPr>
      <w:r>
        <w:rPr>
          <w:rFonts w:hint="eastAsia" w:ascii="仿宋_GB2312" w:hAnsi="宋体" w:eastAsia="仿宋_GB2312"/>
          <w:color w:val="000000"/>
          <w:szCs w:val="21"/>
        </w:rPr>
        <w:t>（2）法定代表人在递交投标文件时，应携带投标人企业法人营业执照副本原件、法定代表人身份证原件备查。</w:t>
      </w:r>
    </w:p>
    <w:p>
      <w:pPr>
        <w:spacing w:line="460" w:lineRule="exact"/>
        <w:ind w:firstLine="420"/>
        <w:rPr>
          <w:rFonts w:hint="eastAsia" w:ascii="仿宋_GB2312" w:hAnsi="宋体" w:eastAsia="仿宋_GB2312"/>
          <w:color w:val="000000"/>
          <w:szCs w:val="21"/>
        </w:rPr>
      </w:pPr>
      <w:r>
        <w:rPr>
          <w:rFonts w:hint="eastAsia" w:ascii="仿宋_GB2312" w:hAnsi="宋体" w:eastAsia="仿宋_GB2312"/>
          <w:color w:val="000000"/>
          <w:szCs w:val="21"/>
        </w:rPr>
        <w:t>（3）法定代表人提供的证件、证明不齐或不符合要求的，投标文件不予接收。</w:t>
      </w:r>
    </w:p>
    <w:p>
      <w:pPr>
        <w:ind w:firstLine="434" w:firstLineChars="200"/>
        <w:rPr>
          <w:rFonts w:hint="eastAsia" w:ascii="仿宋_GB2312" w:hAnsi="宋体" w:eastAsia="仿宋_GB2312"/>
          <w:color w:val="000000"/>
        </w:rPr>
        <w:sectPr>
          <w:endnotePr>
            <w:numFmt w:val="decimal"/>
          </w:endnotePr>
          <w:pgSz w:w="11906" w:h="16838"/>
          <w:pgMar w:top="1247" w:right="1247" w:bottom="1247" w:left="1361" w:header="851" w:footer="1418" w:gutter="0"/>
          <w:cols w:space="720" w:num="1"/>
          <w:rtlGutter w:val="0"/>
          <w:docGrid w:type="linesAndChars" w:linePitch="592" w:charSpace="-620"/>
        </w:sectPr>
      </w:pPr>
    </w:p>
    <w:p>
      <w:pPr>
        <w:pStyle w:val="3"/>
        <w:jc w:val="center"/>
        <w:rPr>
          <w:rFonts w:hint="eastAsia" w:ascii="仿宋_GB2312" w:hAnsi="宋体" w:eastAsia="仿宋_GB2312"/>
          <w:color w:val="000000"/>
        </w:rPr>
      </w:pPr>
      <w:bookmarkStart w:id="76" w:name="_Toc270862430"/>
      <w:bookmarkStart w:id="77" w:name="_Toc225045561"/>
      <w:bookmarkStart w:id="78" w:name="_Toc185047518"/>
      <w:bookmarkStart w:id="79" w:name="_Toc3776"/>
      <w:r>
        <w:rPr>
          <w:rFonts w:hint="eastAsia" w:ascii="仿宋_GB2312" w:hAnsi="宋体" w:eastAsia="仿宋_GB2312"/>
          <w:color w:val="000000"/>
        </w:rPr>
        <w:t>二、授权委托书</w:t>
      </w:r>
      <w:bookmarkEnd w:id="76"/>
      <w:bookmarkEnd w:id="77"/>
      <w:bookmarkEnd w:id="78"/>
      <w:bookmarkEnd w:id="79"/>
    </w:p>
    <w:p>
      <w:pPr>
        <w:spacing w:line="44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本人</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（姓名）系</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（投标人名称）的法定代表人，现委托本单位人员</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（姓名）为我方代理人</w:t>
      </w:r>
      <w:r>
        <w:rPr>
          <w:rFonts w:hint="eastAsia" w:ascii="仿宋_GB2312" w:hAnsi="宋体" w:eastAsia="仿宋_GB2312"/>
          <w:color w:val="000000"/>
          <w:szCs w:val="21"/>
          <w:lang w:eastAsia="zh-CN"/>
        </w:rPr>
        <w:t>，并拟任该项目的项目负责人</w:t>
      </w:r>
      <w:r>
        <w:rPr>
          <w:rFonts w:hint="eastAsia" w:ascii="仿宋_GB2312" w:hAnsi="宋体" w:eastAsia="仿宋_GB2312"/>
          <w:color w:val="000000"/>
          <w:szCs w:val="21"/>
        </w:rPr>
        <w:t>。代理人根据授权，以我方名义签署、澄清、说明、补正、递交、撤回、修改</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（项目名称）</w:t>
      </w:r>
      <w:r>
        <w:rPr>
          <w:rFonts w:hint="eastAsia" w:ascii="仿宋_GB2312" w:hAnsi="宋体" w:eastAsia="仿宋_GB2312"/>
          <w:b/>
          <w:color w:val="000000"/>
          <w:szCs w:val="21"/>
          <w:u w:val="single"/>
        </w:rPr>
        <w:t xml:space="preserve">     </w:t>
      </w:r>
      <w:r>
        <w:rPr>
          <w:rFonts w:hint="eastAsia" w:ascii="仿宋_GB2312" w:hAnsi="宋体" w:eastAsia="仿宋_GB2312"/>
          <w:color w:val="000000"/>
          <w:szCs w:val="21"/>
        </w:rPr>
        <w:t>标段投标文件、签订合同和处理有关事宜（向有关行政监督部门投诉另行授权），其法律后果由我方承担。</w:t>
      </w:r>
    </w:p>
    <w:p>
      <w:pPr>
        <w:spacing w:line="440" w:lineRule="exact"/>
        <w:ind w:firstLine="434" w:firstLineChars="200"/>
        <w:rPr>
          <w:rFonts w:hint="eastAsia" w:ascii="仿宋_GB2312" w:hAnsi="宋体" w:eastAsia="仿宋_GB2312"/>
          <w:color w:val="000000"/>
          <w:szCs w:val="21"/>
          <w:u w:val="single"/>
        </w:rPr>
      </w:pPr>
      <w:r>
        <w:rPr>
          <w:rFonts w:hint="eastAsia" w:ascii="仿宋_GB2312" w:hAnsi="宋体" w:eastAsia="仿宋_GB2312"/>
          <w:color w:val="000000"/>
          <w:szCs w:val="21"/>
        </w:rPr>
        <w:t>委托期限：</w:t>
      </w:r>
      <w:r>
        <w:rPr>
          <w:rFonts w:hint="eastAsia" w:ascii="仿宋_GB2312" w:hAnsi="宋体" w:eastAsia="仿宋_GB2312"/>
          <w:color w:val="000000"/>
          <w:szCs w:val="21"/>
          <w:u w:val="single"/>
        </w:rPr>
        <w:t>自本授权委托书签署之日起至招标文件约定的“投标有效期”结束为止。</w:t>
      </w:r>
    </w:p>
    <w:p>
      <w:pPr>
        <w:spacing w:line="44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代理人无转委托权。</w:t>
      </w:r>
    </w:p>
    <w:p>
      <w:pPr>
        <w:spacing w:line="44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附：（1）法定代表人身份证明原件和法定代表人身份证复印件</w:t>
      </w:r>
    </w:p>
    <w:p>
      <w:pPr>
        <w:spacing w:line="44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 xml:space="preserve">   （2）委托代理人身份证复印件、投标人为其缴纳的养老保险（提供最近6个月连续缴费证明）复印件</w:t>
      </w:r>
    </w:p>
    <w:p>
      <w:pPr>
        <w:spacing w:line="440" w:lineRule="exact"/>
        <w:ind w:firstLine="434" w:firstLineChars="200"/>
        <w:rPr>
          <w:rFonts w:hint="eastAsia" w:ascii="仿宋_GB2312" w:hAnsi="宋体" w:eastAsia="仿宋_GB2312"/>
          <w:color w:val="000000"/>
          <w:szCs w:val="21"/>
        </w:rPr>
      </w:pPr>
    </w:p>
    <w:p>
      <w:pPr>
        <w:spacing w:line="440" w:lineRule="exact"/>
        <w:ind w:firstLine="2930" w:firstLineChars="1350"/>
        <w:rPr>
          <w:rFonts w:hint="eastAsia" w:ascii="仿宋_GB2312" w:hAnsi="宋体" w:eastAsia="仿宋_GB2312"/>
          <w:color w:val="000000"/>
          <w:szCs w:val="21"/>
        </w:rPr>
      </w:pPr>
      <w:r>
        <w:rPr>
          <w:rFonts w:hint="eastAsia" w:ascii="仿宋_GB2312" w:hAnsi="宋体" w:eastAsia="仿宋_GB2312"/>
          <w:color w:val="000000"/>
          <w:szCs w:val="21"/>
        </w:rPr>
        <w:t>投标人：</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（盖单位章）</w:t>
      </w:r>
    </w:p>
    <w:p>
      <w:pPr>
        <w:spacing w:line="440" w:lineRule="exact"/>
        <w:ind w:firstLine="2930" w:firstLineChars="1350"/>
        <w:rPr>
          <w:rFonts w:hint="eastAsia" w:ascii="仿宋_GB2312" w:hAnsi="宋体" w:eastAsia="仿宋_GB2312"/>
          <w:color w:val="000000"/>
          <w:szCs w:val="21"/>
        </w:rPr>
      </w:pPr>
      <w:r>
        <w:rPr>
          <w:rFonts w:hint="eastAsia" w:ascii="仿宋_GB2312" w:hAnsi="宋体" w:eastAsia="仿宋_GB2312"/>
          <w:color w:val="000000"/>
          <w:szCs w:val="21"/>
        </w:rPr>
        <w:t>法定代表人：</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（签字）</w:t>
      </w:r>
    </w:p>
    <w:p>
      <w:pPr>
        <w:spacing w:line="440" w:lineRule="exact"/>
        <w:ind w:firstLine="434" w:firstLineChars="200"/>
        <w:rPr>
          <w:rFonts w:hint="eastAsia" w:ascii="仿宋_GB2312" w:hAnsi="宋体" w:eastAsia="仿宋_GB2312"/>
          <w:color w:val="000000"/>
          <w:szCs w:val="21"/>
        </w:rPr>
      </w:pPr>
    </w:p>
    <w:p>
      <w:pPr>
        <w:spacing w:line="440" w:lineRule="exact"/>
        <w:ind w:firstLine="2930" w:firstLineChars="1350"/>
        <w:rPr>
          <w:rFonts w:hint="eastAsia" w:ascii="仿宋_GB2312" w:hAnsi="宋体" w:eastAsia="仿宋_GB2312"/>
          <w:color w:val="000000"/>
          <w:szCs w:val="21"/>
        </w:rPr>
      </w:pPr>
      <w:r>
        <w:rPr>
          <w:rFonts w:hint="eastAsia" w:ascii="仿宋_GB2312" w:hAnsi="宋体" w:eastAsia="仿宋_GB2312"/>
          <w:color w:val="000000"/>
          <w:szCs w:val="21"/>
        </w:rPr>
        <w:t>委托代理人：</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（签字）</w:t>
      </w:r>
    </w:p>
    <w:p>
      <w:pPr>
        <w:spacing w:line="440" w:lineRule="exact"/>
        <w:ind w:firstLine="2930" w:firstLineChars="1350"/>
        <w:rPr>
          <w:rFonts w:hint="eastAsia" w:ascii="仿宋_GB2312" w:hAnsi="宋体" w:eastAsia="仿宋_GB2312"/>
          <w:color w:val="000000"/>
          <w:szCs w:val="21"/>
        </w:rPr>
      </w:pPr>
      <w:r>
        <w:rPr>
          <w:rFonts w:hint="eastAsia" w:ascii="仿宋_GB2312" w:hAnsi="宋体" w:eastAsia="仿宋_GB2312"/>
          <w:color w:val="000000"/>
          <w:szCs w:val="21"/>
        </w:rPr>
        <w:t>联系电话：</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（固定电话）</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移动电话）</w:t>
      </w:r>
    </w:p>
    <w:p>
      <w:pPr>
        <w:spacing w:line="440" w:lineRule="exact"/>
        <w:ind w:firstLine="5534" w:firstLineChars="2550"/>
        <w:rPr>
          <w:rFonts w:hint="eastAsia" w:ascii="仿宋_GB2312" w:hAnsi="宋体" w:eastAsia="仿宋_GB2312"/>
          <w:color w:val="000000"/>
          <w:szCs w:val="21"/>
        </w:rPr>
      </w:pPr>
    </w:p>
    <w:p>
      <w:pPr>
        <w:spacing w:line="440" w:lineRule="exact"/>
        <w:ind w:firstLine="5208" w:firstLineChars="2400"/>
        <w:rPr>
          <w:rFonts w:hint="eastAsia" w:ascii="仿宋_GB2312" w:hAnsi="宋体" w:eastAsia="仿宋_GB2312"/>
          <w:color w:val="000000"/>
          <w:szCs w:val="21"/>
        </w:rPr>
      </w:pP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年</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月</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日</w:t>
      </w:r>
    </w:p>
    <w:p>
      <w:pPr>
        <w:spacing w:line="44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注：（1）法定代表不亲自投标而委托代理人投标适用。</w:t>
      </w:r>
    </w:p>
    <w:p>
      <w:pPr>
        <w:spacing w:line="44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（2）法定代表人委托他人投标的，委托代理人应是投标人本单位的人员。</w:t>
      </w:r>
    </w:p>
    <w:p>
      <w:pPr>
        <w:spacing w:line="44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（3）最近6个月（企业设立不足6个月，从设立时起，下同）连续缴费的养老保险是指从购买招标文件时间的上一个月或上上个月起算，往前推6个月的连续、不间断，每个月都缴纳了养老保险费。</w:t>
      </w:r>
    </w:p>
    <w:p>
      <w:pPr>
        <w:spacing w:line="44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4）委托代理人在递交投标文件时，应携带投标人企业法人营业执照副本原件、委托代理人身份证原件、委托代理人连续6个月在该投标人单位的养老保险缴纳凭证原件或提供由社保部门出具的委托代理人在该投标单位连续6个月参保的证明原件备查。</w:t>
      </w:r>
    </w:p>
    <w:p>
      <w:pPr>
        <w:spacing w:line="440" w:lineRule="exact"/>
        <w:ind w:firstLine="434" w:firstLineChars="200"/>
        <w:rPr>
          <w:rFonts w:hint="eastAsia" w:ascii="仿宋_GB2312" w:hAnsi="宋体" w:eastAsia="仿宋_GB2312"/>
          <w:color w:val="000000"/>
          <w:szCs w:val="21"/>
        </w:rPr>
      </w:pPr>
      <w:r>
        <w:rPr>
          <w:rFonts w:hint="eastAsia" w:ascii="仿宋_GB2312" w:hAnsi="宋体" w:eastAsia="仿宋_GB2312"/>
          <w:color w:val="000000"/>
          <w:szCs w:val="21"/>
        </w:rPr>
        <w:t>（5）委托代理人提供的证件、证明不齐或不符合要求的，投标文件不予接收。</w:t>
      </w:r>
    </w:p>
    <w:p>
      <w:pPr>
        <w:spacing w:line="360" w:lineRule="auto"/>
        <w:ind w:firstLine="434" w:firstLineChars="200"/>
        <w:rPr>
          <w:rFonts w:hint="eastAsia" w:ascii="仿宋_GB2312" w:hAnsi="宋体" w:eastAsia="仿宋_GB2312"/>
          <w:color w:val="000000"/>
        </w:rPr>
        <w:sectPr>
          <w:endnotePr>
            <w:numFmt w:val="decimal"/>
          </w:endnotePr>
          <w:pgSz w:w="11906" w:h="16838"/>
          <w:pgMar w:top="1247" w:right="1247" w:bottom="1247" w:left="1361" w:header="851" w:footer="1418" w:gutter="0"/>
          <w:cols w:space="720" w:num="1"/>
          <w:rtlGutter w:val="0"/>
          <w:docGrid w:type="linesAndChars" w:linePitch="592" w:charSpace="-620"/>
        </w:sectPr>
      </w:pPr>
    </w:p>
    <w:p>
      <w:pPr>
        <w:pStyle w:val="3"/>
        <w:spacing w:line="240" w:lineRule="auto"/>
        <w:jc w:val="center"/>
        <w:rPr>
          <w:rFonts w:hint="eastAsia" w:ascii="仿宋_GB2312" w:hAnsi="宋体" w:eastAsia="仿宋_GB2312"/>
          <w:color w:val="000000"/>
        </w:rPr>
      </w:pPr>
      <w:bookmarkStart w:id="80" w:name="_Toc15352"/>
      <w:bookmarkStart w:id="81" w:name="_Toc26097"/>
      <w:bookmarkStart w:id="82" w:name="_Toc3732"/>
      <w:bookmarkStart w:id="83" w:name="_Toc15732"/>
      <w:bookmarkStart w:id="84" w:name="_Toc13434"/>
      <w:bookmarkStart w:id="85" w:name="_Toc28634"/>
      <w:bookmarkStart w:id="86" w:name="_Toc29305"/>
      <w:bookmarkStart w:id="87" w:name="_Toc185047520"/>
      <w:bookmarkStart w:id="88" w:name="_Toc270862431"/>
      <w:bookmarkStart w:id="89" w:name="_Toc225045563"/>
      <w:r>
        <w:rPr>
          <w:rFonts w:hint="eastAsia" w:ascii="仿宋_GB2312" w:hAnsi="宋体" w:eastAsia="仿宋_GB2312"/>
          <w:color w:val="000000"/>
        </w:rPr>
        <w:t>三、联合体协议书</w:t>
      </w:r>
      <w:bookmarkEnd w:id="80"/>
      <w:bookmarkEnd w:id="81"/>
      <w:bookmarkEnd w:id="82"/>
      <w:bookmarkEnd w:id="83"/>
      <w:bookmarkEnd w:id="84"/>
      <w:bookmarkEnd w:id="85"/>
      <w:bookmarkEnd w:id="86"/>
    </w:p>
    <w:p>
      <w:pPr>
        <w:spacing w:line="400" w:lineRule="exact"/>
        <w:rPr>
          <w:rFonts w:hint="eastAsia" w:ascii="仿宋_GB2312" w:hAnsi="仿宋_GB2312" w:eastAsia="仿宋_GB2312"/>
          <w:color w:val="000000"/>
          <w:szCs w:val="21"/>
          <w:u w:val="single"/>
        </w:rPr>
      </w:pPr>
      <w:r>
        <w:rPr>
          <w:rFonts w:hint="eastAsia" w:ascii="仿宋_GB2312" w:hAnsi="华文中宋" w:eastAsia="仿宋_GB2312"/>
          <w:color w:val="000000"/>
          <w:szCs w:val="21"/>
        </w:rPr>
        <w:t xml:space="preserve">   </w:t>
      </w:r>
      <w:r>
        <w:rPr>
          <w:rFonts w:hint="eastAsia" w:ascii="仿宋_GB2312" w:hAnsi="仿宋_GB2312" w:eastAsia="仿宋_GB2312"/>
          <w:color w:val="000000"/>
          <w:szCs w:val="21"/>
        </w:rPr>
        <w:t xml:space="preserve">  </w:t>
      </w:r>
      <w:r>
        <w:rPr>
          <w:rFonts w:hint="eastAsia" w:ascii="仿宋_GB2312" w:hAnsi="仿宋_GB2312" w:eastAsia="仿宋_GB2312"/>
          <w:color w:val="000000"/>
          <w:szCs w:val="21"/>
          <w:u w:val="single"/>
        </w:rPr>
        <w:t xml:space="preserve">                                         　　　　　　　　　　　　　　　             </w:t>
      </w:r>
    </w:p>
    <w:p>
      <w:pPr>
        <w:spacing w:line="400" w:lineRule="exact"/>
        <w:rPr>
          <w:rFonts w:hint="eastAsia" w:ascii="仿宋_GB2312" w:hAnsi="仿宋_GB2312" w:eastAsia="仿宋_GB2312"/>
          <w:color w:val="000000"/>
          <w:szCs w:val="21"/>
          <w:u w:val="single"/>
        </w:rPr>
      </w:pPr>
      <w:r>
        <w:rPr>
          <w:rFonts w:hint="eastAsia" w:ascii="仿宋_GB2312" w:hAnsi="仿宋_GB2312" w:eastAsia="仿宋_GB2312"/>
          <w:color w:val="000000"/>
          <w:szCs w:val="21"/>
          <w:u w:val="single"/>
        </w:rPr>
        <w:t xml:space="preserve">                                              　　　　　　　　　　　　　　　             </w:t>
      </w: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rPr>
        <w:t>（所有成员单位名称）自愿组成</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 xml:space="preserve"> （联合体名称）联合体，共同参加</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（项目名称）</w:t>
      </w: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标段投标。现就联合体投标事宜订立如下协议。</w:t>
      </w: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1、</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 xml:space="preserve"> （某成员单位名称）为</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（联合体名称）牵头人。</w:t>
      </w: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3、联合体将严格按照招标文件的各项要求，递交投标文件，履行合同，并对外承担连带责任。</w:t>
      </w: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4、联合体各成员单位内部的职责分工如下：</w:t>
      </w:r>
    </w:p>
    <w:p>
      <w:pPr>
        <w:spacing w:line="400" w:lineRule="exact"/>
        <w:rPr>
          <w:rFonts w:hint="eastAsia" w:ascii="仿宋_GB2312" w:hAnsi="仿宋_GB2312" w:eastAsia="仿宋_GB2312"/>
          <w:color w:val="000000"/>
          <w:szCs w:val="21"/>
          <w:u w:val="single"/>
        </w:rPr>
      </w:pPr>
      <w:r>
        <w:rPr>
          <w:rFonts w:hint="eastAsia" w:ascii="仿宋_GB2312" w:hAnsi="仿宋_GB2312" w:eastAsia="仿宋_GB2312"/>
          <w:color w:val="000000"/>
          <w:szCs w:val="21"/>
        </w:rPr>
        <w:t xml:space="preserve">     </w:t>
      </w:r>
      <w:r>
        <w:rPr>
          <w:rFonts w:hint="eastAsia" w:ascii="仿宋_GB2312" w:hAnsi="仿宋_GB2312" w:eastAsia="仿宋_GB2312"/>
          <w:color w:val="000000"/>
          <w:szCs w:val="21"/>
          <w:u w:val="single"/>
        </w:rPr>
        <w:t xml:space="preserve">                                              　　　　　　　　　　　　　　　        </w:t>
      </w:r>
    </w:p>
    <w:p>
      <w:pPr>
        <w:spacing w:line="400" w:lineRule="exact"/>
        <w:rPr>
          <w:rFonts w:hint="eastAsia" w:ascii="仿宋_GB2312" w:hAnsi="仿宋_GB2312" w:eastAsia="仿宋_GB2312"/>
          <w:color w:val="000000"/>
          <w:szCs w:val="21"/>
          <w:u w:val="single"/>
        </w:rPr>
      </w:pPr>
      <w:r>
        <w:rPr>
          <w:rFonts w:hint="eastAsia" w:ascii="仿宋_GB2312" w:hAnsi="仿宋_GB2312" w:eastAsia="仿宋_GB2312"/>
          <w:color w:val="000000"/>
          <w:szCs w:val="21"/>
          <w:u w:val="single"/>
        </w:rPr>
        <w:t xml:space="preserve">                                                  　　　　　　　　　　　　　　　         </w:t>
      </w: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 xml:space="preserve"> 。</w:t>
      </w: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5、本协议书自签署之日起生效，合同履行完毕后自动失效。</w:t>
      </w: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6、本协议书一式</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份，联合体成员和招标人各执一份。</w:t>
      </w: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牵头人名称：</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（盖单位章）</w:t>
      </w: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法定代表人或其委托代理人：</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（签字）</w:t>
      </w:r>
    </w:p>
    <w:p>
      <w:pPr>
        <w:spacing w:line="400" w:lineRule="exact"/>
        <w:rPr>
          <w:rFonts w:hint="eastAsia" w:ascii="仿宋_GB2312" w:hAnsi="仿宋_GB2312" w:eastAsia="仿宋_GB2312"/>
          <w:color w:val="000000"/>
          <w:szCs w:val="21"/>
        </w:rPr>
      </w:pP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成员一名称：</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（盖单位章）</w:t>
      </w: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法定代表人或其委托代理人：</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（签字）</w:t>
      </w:r>
    </w:p>
    <w:p>
      <w:pPr>
        <w:spacing w:line="400" w:lineRule="exact"/>
        <w:rPr>
          <w:rFonts w:hint="eastAsia" w:ascii="仿宋_GB2312" w:hAnsi="仿宋_GB2312" w:eastAsia="仿宋_GB2312"/>
          <w:color w:val="000000"/>
          <w:szCs w:val="21"/>
        </w:rPr>
      </w:pP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成员二名称：</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（盖单位章）</w:t>
      </w: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法定代表人或其委托代理人：</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（签字）</w:t>
      </w: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w:t>
      </w: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 </w:t>
      </w:r>
    </w:p>
    <w:p>
      <w:pPr>
        <w:spacing w:line="400" w:lineRule="exact"/>
        <w:rPr>
          <w:rFonts w:hint="eastAsia" w:ascii="仿宋_GB2312" w:hAnsi="仿宋_GB2312" w:eastAsia="仿宋_GB2312"/>
          <w:color w:val="000000"/>
          <w:szCs w:val="21"/>
        </w:rPr>
      </w:pPr>
      <w:r>
        <w:rPr>
          <w:rFonts w:hint="eastAsia" w:ascii="仿宋_GB2312" w:hAnsi="仿宋_GB2312" w:eastAsia="仿宋_GB2312"/>
          <w:color w:val="000000"/>
          <w:szCs w:val="21"/>
        </w:rPr>
        <w:t xml:space="preserve">                           </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年</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 xml:space="preserve"> 月</w:t>
      </w:r>
      <w:r>
        <w:rPr>
          <w:rFonts w:hint="eastAsia" w:ascii="仿宋_GB2312" w:hAnsi="仿宋_GB2312" w:eastAsia="仿宋_GB2312"/>
          <w:color w:val="000000"/>
          <w:szCs w:val="21"/>
          <w:u w:val="single"/>
        </w:rPr>
        <w:t xml:space="preserve">      </w:t>
      </w:r>
      <w:r>
        <w:rPr>
          <w:rFonts w:hint="eastAsia" w:ascii="仿宋_GB2312" w:hAnsi="仿宋_GB2312" w:eastAsia="仿宋_GB2312"/>
          <w:color w:val="000000"/>
          <w:szCs w:val="21"/>
        </w:rPr>
        <w:t>日</w:t>
      </w:r>
    </w:p>
    <w:p>
      <w:pPr>
        <w:spacing w:line="400" w:lineRule="exact"/>
        <w:ind w:firstLine="480"/>
        <w:rPr>
          <w:rFonts w:hint="eastAsia" w:ascii="仿宋_GB2312" w:hAnsi="仿宋_GB2312" w:eastAsia="仿宋_GB2312"/>
          <w:color w:val="000000"/>
          <w:szCs w:val="21"/>
        </w:rPr>
      </w:pPr>
      <w:r>
        <w:rPr>
          <w:rFonts w:hint="eastAsia" w:ascii="仿宋_GB2312" w:hAnsi="仿宋_GB2312" w:eastAsia="仿宋_GB2312"/>
          <w:color w:val="000000"/>
          <w:szCs w:val="21"/>
        </w:rPr>
        <w:t>注：（1）由委托代理人投标的，每个联合体成员都应按“二、授权委托书”的格式和要求由法定代表人签署授权委托书并附有关证明。</w:t>
      </w:r>
    </w:p>
    <w:p>
      <w:pPr>
        <w:spacing w:line="400" w:lineRule="exact"/>
        <w:ind w:firstLine="480" w:firstLineChars="200"/>
        <w:rPr>
          <w:rFonts w:hint="eastAsia" w:ascii="仿宋_GB2312" w:hAnsi="仿宋_GB2312" w:eastAsia="仿宋_GB2312"/>
          <w:color w:val="000000"/>
          <w:szCs w:val="21"/>
        </w:rPr>
      </w:pPr>
      <w:r>
        <w:rPr>
          <w:rFonts w:hint="eastAsia" w:ascii="仿宋_GB2312" w:hAnsi="仿宋_GB2312" w:eastAsia="仿宋_GB2312"/>
          <w:color w:val="000000"/>
          <w:sz w:val="24"/>
          <w:szCs w:val="24"/>
        </w:rPr>
        <w:t>（2）</w:t>
      </w:r>
      <w:r>
        <w:rPr>
          <w:rFonts w:hint="eastAsia" w:ascii="仿宋_GB2312" w:hAnsi="仿宋_GB2312" w:eastAsia="仿宋_GB2312"/>
          <w:color w:val="000000"/>
          <w:szCs w:val="21"/>
        </w:rPr>
        <w:t>联合体所有成员均必须为进入 “广元市交通建设项目预选承包商库 ”的单位。在进入项目抽取环节时只抽牵头人作为中标人。</w:t>
      </w:r>
    </w:p>
    <w:p>
      <w:pPr>
        <w:spacing w:line="400" w:lineRule="exact"/>
        <w:ind w:firstLine="440" w:firstLineChars="200"/>
        <w:rPr>
          <w:rFonts w:hint="eastAsia" w:ascii="仿宋_GB2312" w:hAnsi="仿宋_GB2312" w:eastAsia="仿宋_GB2312"/>
          <w:color w:val="000000"/>
          <w:szCs w:val="21"/>
        </w:rPr>
      </w:pPr>
    </w:p>
    <w:p>
      <w:pPr>
        <w:spacing w:line="400" w:lineRule="exact"/>
        <w:ind w:firstLine="440" w:firstLineChars="200"/>
        <w:rPr>
          <w:rFonts w:hint="eastAsia" w:ascii="仿宋_GB2312" w:hAnsi="仿宋_GB2312" w:eastAsia="仿宋_GB2312"/>
          <w:color w:val="000000"/>
          <w:szCs w:val="21"/>
        </w:rPr>
      </w:pPr>
    </w:p>
    <w:p>
      <w:pPr>
        <w:spacing w:line="400" w:lineRule="exact"/>
        <w:ind w:firstLine="440" w:firstLineChars="200"/>
        <w:rPr>
          <w:rFonts w:hint="eastAsia" w:ascii="仿宋_GB2312" w:hAnsi="仿宋_GB2312" w:eastAsia="仿宋_GB2312"/>
          <w:color w:val="000000"/>
          <w:szCs w:val="21"/>
        </w:rPr>
      </w:pPr>
    </w:p>
    <w:bookmarkEnd w:id="87"/>
    <w:bookmarkEnd w:id="88"/>
    <w:bookmarkEnd w:id="89"/>
    <w:p>
      <w:pPr>
        <w:adjustRightInd w:val="0"/>
        <w:snapToGrid w:val="0"/>
        <w:spacing w:line="360" w:lineRule="auto"/>
        <w:jc w:val="center"/>
        <w:outlineLvl w:val="2"/>
        <w:rPr>
          <w:rFonts w:hint="eastAsia" w:ascii="仿宋_GB2312" w:hAnsi="仿宋" w:eastAsia="仿宋_GB2312" w:cs="仿宋"/>
          <w:color w:val="000000"/>
          <w:sz w:val="32"/>
        </w:rPr>
      </w:pPr>
      <w:r>
        <w:rPr>
          <w:rFonts w:hint="eastAsia" w:ascii="仿宋_GB2312" w:hAnsi="仿宋" w:eastAsia="仿宋_GB2312" w:cs="仿宋"/>
          <w:b/>
          <w:color w:val="000000"/>
          <w:sz w:val="32"/>
        </w:rPr>
        <w:br w:type="page"/>
      </w:r>
      <w:r>
        <w:rPr>
          <w:rFonts w:hint="eastAsia" w:ascii="仿宋_GB2312" w:hAnsi="仿宋" w:eastAsia="仿宋_GB2312" w:cs="仿宋"/>
          <w:b/>
          <w:color w:val="000000"/>
          <w:sz w:val="32"/>
        </w:rPr>
        <w:t>四、投标保证金</w:t>
      </w:r>
    </w:p>
    <w:p>
      <w:pPr>
        <w:adjustRightInd w:val="0"/>
        <w:snapToGrid w:val="0"/>
        <w:spacing w:line="360" w:lineRule="auto"/>
        <w:rPr>
          <w:rFonts w:hint="eastAsia" w:ascii="仿宋_GB2312" w:hAnsi="仿宋" w:eastAsia="仿宋_GB2312" w:cs="仿宋"/>
          <w:color w:val="000000"/>
          <w:szCs w:val="21"/>
        </w:rPr>
      </w:pPr>
    </w:p>
    <w:p>
      <w:pPr>
        <w:adjustRightInd w:val="0"/>
        <w:snapToGrid w:val="0"/>
        <w:spacing w:line="360" w:lineRule="auto"/>
        <w:rPr>
          <w:rFonts w:hint="eastAsia" w:ascii="仿宋_GB2312" w:hAnsi="仿宋" w:eastAsia="仿宋_GB2312" w:cs="仿宋"/>
          <w:color w:val="000000"/>
          <w:szCs w:val="21"/>
        </w:rPr>
      </w:pPr>
      <w:r>
        <w:rPr>
          <w:rFonts w:hint="eastAsia" w:ascii="仿宋_GB2312" w:hAnsi="仿宋" w:eastAsia="仿宋_GB2312" w:cs="仿宋"/>
          <w:color w:val="000000"/>
          <w:szCs w:val="21"/>
        </w:rPr>
        <w:t>_______（招标人名称）：</w:t>
      </w:r>
    </w:p>
    <w:p>
      <w:pPr>
        <w:adjustRightInd w:val="0"/>
        <w:snapToGrid w:val="0"/>
        <w:spacing w:line="360" w:lineRule="auto"/>
        <w:ind w:firstLine="440" w:firstLineChars="200"/>
        <w:rPr>
          <w:rFonts w:hint="eastAsia" w:ascii="仿宋_GB2312" w:hAnsi="仿宋" w:eastAsia="仿宋_GB2312" w:cs="仿宋"/>
          <w:color w:val="000000"/>
          <w:szCs w:val="21"/>
        </w:rPr>
      </w:pPr>
      <w:r>
        <w:rPr>
          <w:rFonts w:hint="eastAsia" w:ascii="仿宋_GB2312" w:hAnsi="仿宋" w:eastAsia="仿宋_GB2312" w:cs="仿宋"/>
          <w:color w:val="000000"/>
          <w:szCs w:val="21"/>
        </w:rPr>
        <w:t>本投标人自愿参加_____________________（项目名称）_______标段的投标，并按招标文件要求交纳投标保证金，金额为人民币（大写）_______元（¥_______）。</w:t>
      </w:r>
    </w:p>
    <w:p>
      <w:pPr>
        <w:adjustRightInd w:val="0"/>
        <w:snapToGrid w:val="0"/>
        <w:spacing w:line="360" w:lineRule="auto"/>
        <w:rPr>
          <w:rFonts w:hint="eastAsia" w:ascii="仿宋_GB2312" w:hAnsi="仿宋" w:eastAsia="仿宋_GB2312" w:cs="仿宋"/>
          <w:color w:val="000000"/>
          <w:szCs w:val="21"/>
        </w:rPr>
      </w:pPr>
      <w:r>
        <w:rPr>
          <w:rFonts w:hint="eastAsia" w:ascii="仿宋_GB2312" w:hAnsi="仿宋" w:eastAsia="仿宋_GB2312" w:cs="仿宋"/>
          <w:color w:val="000000"/>
          <w:szCs w:val="21"/>
        </w:rPr>
        <w:t>本投标人承诺所交纳投标保证金是按照招标文件中“投标人须知前附表”3.4.1项要求交纳的，若有虚假，由此引起的一切责任均由我公司承担。</w:t>
      </w:r>
    </w:p>
    <w:p>
      <w:pPr>
        <w:adjustRightInd w:val="0"/>
        <w:snapToGrid w:val="0"/>
        <w:spacing w:line="360" w:lineRule="auto"/>
        <w:rPr>
          <w:rFonts w:hint="eastAsia" w:ascii="仿宋_GB2312" w:hAnsi="仿宋" w:eastAsia="仿宋_GB2312" w:cs="仿宋"/>
          <w:color w:val="000000"/>
          <w:szCs w:val="21"/>
        </w:rPr>
      </w:pPr>
      <w:r>
        <w:rPr>
          <w:rFonts w:hint="eastAsia" w:ascii="仿宋_GB2312" w:hAnsi="仿宋" w:eastAsia="仿宋_GB2312" w:cs="仿宋"/>
          <w:color w:val="000000"/>
          <w:szCs w:val="21"/>
        </w:rPr>
        <w:t>附：(1)银行给投标人的转账回单复印件</w:t>
      </w:r>
    </w:p>
    <w:p>
      <w:pPr>
        <w:adjustRightInd w:val="0"/>
        <w:snapToGrid w:val="0"/>
        <w:spacing w:line="360" w:lineRule="auto"/>
        <w:ind w:firstLine="440" w:firstLineChars="200"/>
        <w:rPr>
          <w:rFonts w:hint="eastAsia" w:ascii="仿宋_GB2312" w:hAnsi="仿宋" w:eastAsia="仿宋_GB2312" w:cs="仿宋"/>
          <w:color w:val="000000"/>
          <w:szCs w:val="21"/>
        </w:rPr>
      </w:pPr>
      <w:r>
        <w:rPr>
          <w:rFonts w:hint="eastAsia" w:ascii="仿宋_GB2312" w:hAnsi="仿宋" w:eastAsia="仿宋_GB2312" w:cs="仿宋"/>
          <w:color w:val="000000"/>
          <w:szCs w:val="21"/>
        </w:rPr>
        <w:t>(2)银行颁发的基本存款账户开户许可证复印件</w:t>
      </w:r>
    </w:p>
    <w:p>
      <w:pPr>
        <w:adjustRightInd w:val="0"/>
        <w:snapToGrid w:val="0"/>
        <w:spacing w:line="360" w:lineRule="auto"/>
        <w:ind w:firstLine="440" w:firstLineChars="200"/>
        <w:rPr>
          <w:rFonts w:hint="eastAsia" w:ascii="仿宋_GB2312" w:hAnsi="仿宋" w:eastAsia="仿宋_GB2312" w:cs="仿宋"/>
          <w:color w:val="000000"/>
          <w:szCs w:val="21"/>
        </w:rPr>
      </w:pPr>
      <w:r>
        <w:rPr>
          <w:rFonts w:hint="eastAsia" w:ascii="仿宋_GB2312" w:hAnsi="仿宋" w:eastAsia="仿宋_GB2312" w:cs="仿宋"/>
          <w:color w:val="000000"/>
          <w:szCs w:val="21"/>
        </w:rPr>
        <w:t>(3)保函扫描件</w:t>
      </w:r>
    </w:p>
    <w:p>
      <w:pPr>
        <w:adjustRightInd w:val="0"/>
        <w:snapToGrid w:val="0"/>
        <w:spacing w:line="360" w:lineRule="auto"/>
        <w:rPr>
          <w:rFonts w:hint="eastAsia" w:ascii="仿宋_GB2312" w:hAnsi="仿宋" w:eastAsia="仿宋_GB2312" w:cs="仿宋"/>
          <w:color w:val="000000"/>
          <w:szCs w:val="21"/>
        </w:rPr>
      </w:pPr>
    </w:p>
    <w:p>
      <w:pPr>
        <w:adjustRightInd w:val="0"/>
        <w:snapToGrid w:val="0"/>
        <w:spacing w:line="360" w:lineRule="auto"/>
        <w:rPr>
          <w:rFonts w:hint="eastAsia" w:ascii="仿宋_GB2312" w:hAnsi="仿宋" w:eastAsia="仿宋_GB2312" w:cs="仿宋"/>
          <w:color w:val="000000"/>
          <w:szCs w:val="21"/>
        </w:rPr>
      </w:pPr>
    </w:p>
    <w:p>
      <w:pPr>
        <w:adjustRightInd w:val="0"/>
        <w:snapToGrid w:val="0"/>
        <w:spacing w:line="360" w:lineRule="auto"/>
        <w:rPr>
          <w:rFonts w:hint="eastAsia" w:ascii="仿宋_GB2312" w:hAnsi="仿宋" w:eastAsia="仿宋_GB2312" w:cs="仿宋"/>
          <w:color w:val="000000"/>
          <w:szCs w:val="21"/>
        </w:rPr>
      </w:pPr>
      <w:r>
        <w:rPr>
          <w:rFonts w:hint="eastAsia" w:ascii="仿宋_GB2312" w:hAnsi="仿宋" w:eastAsia="仿宋_GB2312" w:cs="仿宋"/>
          <w:color w:val="000000"/>
          <w:szCs w:val="21"/>
        </w:rPr>
        <w:t>注：采用转账方式递交投标保证金的，仅需提供第(1)、(2)项资料。采用保函递交投标保证金的，仅需提供第(3)项资料，并在开标现场递交保函原件。</w:t>
      </w:r>
    </w:p>
    <w:p>
      <w:pPr>
        <w:adjustRightInd w:val="0"/>
        <w:snapToGrid w:val="0"/>
        <w:spacing w:line="360" w:lineRule="auto"/>
        <w:rPr>
          <w:rFonts w:hint="eastAsia" w:ascii="仿宋_GB2312" w:hAnsi="仿宋" w:eastAsia="仿宋_GB2312" w:cs="仿宋"/>
          <w:color w:val="000000"/>
          <w:szCs w:val="21"/>
        </w:rPr>
      </w:pPr>
    </w:p>
    <w:p>
      <w:pPr>
        <w:adjustRightInd w:val="0"/>
        <w:snapToGrid w:val="0"/>
        <w:spacing w:line="360" w:lineRule="auto"/>
        <w:rPr>
          <w:rFonts w:hint="eastAsia" w:ascii="仿宋_GB2312" w:hAnsi="仿宋" w:eastAsia="仿宋_GB2312" w:cs="仿宋"/>
          <w:color w:val="000000"/>
          <w:szCs w:val="21"/>
        </w:rPr>
      </w:pPr>
    </w:p>
    <w:p>
      <w:pPr>
        <w:adjustRightInd w:val="0"/>
        <w:snapToGrid w:val="0"/>
        <w:spacing w:line="360" w:lineRule="auto"/>
        <w:rPr>
          <w:rFonts w:hint="eastAsia" w:ascii="仿宋_GB2312" w:hAnsi="仿宋" w:eastAsia="仿宋_GB2312" w:cs="仿宋"/>
          <w:color w:val="000000"/>
          <w:szCs w:val="21"/>
        </w:rPr>
      </w:pPr>
    </w:p>
    <w:p>
      <w:pPr>
        <w:adjustRightInd w:val="0"/>
        <w:snapToGrid w:val="0"/>
        <w:spacing w:line="360" w:lineRule="auto"/>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投 标 人：_______（盖单位章）</w:t>
      </w:r>
    </w:p>
    <w:p>
      <w:pPr>
        <w:adjustRightInd w:val="0"/>
        <w:snapToGrid w:val="0"/>
        <w:spacing w:line="360" w:lineRule="auto"/>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法定代表人或其委托代理人：_______（签字）</w:t>
      </w:r>
    </w:p>
    <w:p>
      <w:pPr>
        <w:adjustRightInd w:val="0"/>
        <w:snapToGrid w:val="0"/>
        <w:spacing w:line="360" w:lineRule="auto"/>
        <w:jc w:val="center"/>
        <w:rPr>
          <w:rFonts w:hint="eastAsia" w:ascii="仿宋_GB2312" w:hAnsi="仿宋" w:eastAsia="仿宋_GB2312" w:cs="仿宋"/>
          <w:color w:val="000000"/>
          <w:szCs w:val="21"/>
        </w:rPr>
      </w:pPr>
    </w:p>
    <w:p>
      <w:pPr>
        <w:adjustRightInd w:val="0"/>
        <w:snapToGrid w:val="0"/>
        <w:spacing w:line="360" w:lineRule="auto"/>
        <w:jc w:val="center"/>
        <w:rPr>
          <w:rFonts w:hint="eastAsia" w:ascii="仿宋_GB2312" w:hAnsi="仿宋" w:eastAsia="仿宋_GB2312" w:cs="仿宋"/>
          <w:color w:val="000000"/>
          <w:szCs w:val="21"/>
        </w:rPr>
      </w:pPr>
      <w:r>
        <w:rPr>
          <w:rFonts w:hint="eastAsia" w:ascii="仿宋_GB2312" w:hAnsi="仿宋" w:eastAsia="仿宋_GB2312" w:cs="仿宋"/>
          <w:color w:val="000000"/>
          <w:szCs w:val="21"/>
        </w:rPr>
        <w:t>_______年_______月_______日</w:t>
      </w:r>
    </w:p>
    <w:p>
      <w:pPr>
        <w:spacing w:line="360" w:lineRule="auto"/>
        <w:rPr>
          <w:rFonts w:hint="eastAsia" w:ascii="仿宋_GB2312" w:hAnsi="仿宋" w:eastAsia="仿宋_GB2312" w:cs="仿宋"/>
          <w:color w:val="000000"/>
          <w:sz w:val="24"/>
        </w:rPr>
      </w:pPr>
      <w:r>
        <w:rPr>
          <w:rStyle w:val="20"/>
          <w:rFonts w:hint="eastAsia" w:ascii="仿宋_GB2312" w:hAnsi="仿宋" w:eastAsia="仿宋_GB2312" w:cs="仿宋"/>
          <w:b w:val="0"/>
          <w:color w:val="000000"/>
          <w:sz w:val="24"/>
        </w:rPr>
        <w:t>　　</w:t>
      </w:r>
    </w:p>
    <w:p>
      <w:pPr>
        <w:rPr>
          <w:rFonts w:hint="eastAsia" w:ascii="仿宋_GB2312" w:hAnsi="仿宋" w:eastAsia="仿宋_GB2312" w:cs="仿宋"/>
          <w:color w:val="000000"/>
        </w:rPr>
      </w:pPr>
    </w:p>
    <w:p>
      <w:pPr>
        <w:spacing w:line="360" w:lineRule="auto"/>
        <w:ind w:firstLine="440" w:firstLineChars="200"/>
        <w:rPr>
          <w:rFonts w:hint="eastAsia" w:ascii="仿宋_GB2312" w:hAnsi="仿宋" w:eastAsia="仿宋_GB2312" w:cs="仿宋"/>
          <w:color w:val="000000"/>
        </w:rPr>
        <w:sectPr>
          <w:endnotePr>
            <w:numFmt w:val="decimal"/>
          </w:endnotePr>
          <w:pgSz w:w="11906" w:h="16838"/>
          <w:pgMar w:top="1247" w:right="1247" w:bottom="1247" w:left="1361" w:header="851" w:footer="992" w:gutter="0"/>
          <w:cols w:space="720" w:num="1"/>
          <w:rtlGutter w:val="0"/>
          <w:docGrid w:type="linesAndChars" w:linePitch="312" w:charSpace="0"/>
        </w:sectPr>
      </w:pPr>
    </w:p>
    <w:p>
      <w:pPr>
        <w:pStyle w:val="3"/>
        <w:jc w:val="center"/>
        <w:rPr>
          <w:rFonts w:hint="eastAsia" w:ascii="仿宋_GB2312" w:hAnsi="宋体" w:eastAsia="仿宋_GB2312"/>
          <w:color w:val="000000"/>
        </w:rPr>
      </w:pPr>
      <w:bookmarkStart w:id="90" w:name="_Toc185047529"/>
      <w:bookmarkStart w:id="91" w:name="_Toc225045566"/>
      <w:bookmarkStart w:id="92" w:name="_Toc270862434"/>
      <w:bookmarkStart w:id="93" w:name="_Toc29989"/>
      <w:r>
        <w:rPr>
          <w:rFonts w:hint="eastAsia" w:ascii="仿宋_GB2312" w:hAnsi="宋体" w:eastAsia="仿宋_GB2312"/>
          <w:color w:val="000000"/>
          <w:lang w:eastAsia="zh-CN"/>
        </w:rPr>
        <w:t>五</w:t>
      </w:r>
      <w:r>
        <w:rPr>
          <w:rFonts w:hint="eastAsia" w:ascii="仿宋_GB2312" w:hAnsi="宋体" w:eastAsia="仿宋_GB2312"/>
          <w:color w:val="000000"/>
        </w:rPr>
        <w:t>、</w:t>
      </w:r>
      <w:bookmarkEnd w:id="90"/>
      <w:bookmarkEnd w:id="91"/>
      <w:bookmarkEnd w:id="92"/>
      <w:bookmarkStart w:id="94" w:name="_Toc185047533"/>
      <w:bookmarkStart w:id="95" w:name="_Toc225045568"/>
      <w:bookmarkStart w:id="96" w:name="_Toc270862436"/>
      <w:r>
        <w:rPr>
          <w:rFonts w:hint="eastAsia" w:ascii="仿宋_GB2312" w:hAnsi="宋体" w:eastAsia="仿宋_GB2312"/>
          <w:color w:val="000000"/>
        </w:rPr>
        <w:t>资格审查资料</w:t>
      </w:r>
      <w:bookmarkEnd w:id="93"/>
      <w:bookmarkEnd w:id="94"/>
      <w:bookmarkEnd w:id="95"/>
      <w:bookmarkEnd w:id="96"/>
    </w:p>
    <w:p>
      <w:pPr>
        <w:ind w:firstLine="440" w:firstLineChars="200"/>
        <w:rPr>
          <w:rFonts w:hint="eastAsia" w:ascii="仿宋_GB2312" w:hAnsi="宋体" w:eastAsia="仿宋_GB2312"/>
          <w:color w:val="000000"/>
        </w:rPr>
      </w:pPr>
    </w:p>
    <w:p>
      <w:pPr>
        <w:pStyle w:val="4"/>
        <w:jc w:val="center"/>
        <w:rPr>
          <w:rFonts w:hint="eastAsia" w:ascii="仿宋_GB2312" w:hAnsi="宋体" w:eastAsia="仿宋_GB2312"/>
          <w:color w:val="000000"/>
        </w:rPr>
      </w:pPr>
      <w:bookmarkStart w:id="97" w:name="_Toc185047534"/>
      <w:r>
        <w:rPr>
          <w:rFonts w:hint="eastAsia" w:ascii="仿宋_GB2312" w:hAnsi="宋体" w:eastAsia="仿宋_GB2312"/>
          <w:color w:val="000000"/>
        </w:rPr>
        <w:t>（一）投标人基本情况表</w:t>
      </w:r>
      <w:bookmarkEnd w:id="97"/>
    </w:p>
    <w:p>
      <w:pPr>
        <w:spacing w:line="360" w:lineRule="auto"/>
        <w:rPr>
          <w:rFonts w:hint="eastAsia" w:ascii="仿宋_GB2312" w:hAnsi="宋体" w:eastAsia="仿宋_GB2312"/>
          <w:color w:val="000000"/>
        </w:rPr>
      </w:pPr>
    </w:p>
    <w:tbl>
      <w:tblPr>
        <w:tblStyle w:val="10"/>
        <w:tblW w:w="95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投标人名称</w:t>
            </w:r>
          </w:p>
        </w:tc>
        <w:tc>
          <w:tcPr>
            <w:tcW w:w="7550" w:type="dxa"/>
            <w:gridSpan w:val="8"/>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注册地址</w:t>
            </w:r>
          </w:p>
        </w:tc>
        <w:tc>
          <w:tcPr>
            <w:tcW w:w="4132" w:type="dxa"/>
            <w:gridSpan w:val="4"/>
            <w:vAlign w:val="top"/>
          </w:tcPr>
          <w:p>
            <w:pPr>
              <w:spacing w:line="360" w:lineRule="auto"/>
              <w:rPr>
                <w:rFonts w:hint="eastAsia" w:ascii="仿宋_GB2312" w:hAnsi="宋体" w:eastAsia="仿宋_GB2312"/>
                <w:color w:val="000000"/>
              </w:rPr>
            </w:pPr>
          </w:p>
        </w:tc>
        <w:tc>
          <w:tcPr>
            <w:tcW w:w="1089"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邮政编码</w:t>
            </w:r>
          </w:p>
        </w:tc>
        <w:tc>
          <w:tcPr>
            <w:tcW w:w="2329" w:type="dxa"/>
            <w:gridSpan w:val="3"/>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980" w:type="dxa"/>
            <w:vMerge w:val="restart"/>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联系方式</w:t>
            </w:r>
          </w:p>
        </w:tc>
        <w:tc>
          <w:tcPr>
            <w:tcW w:w="1077"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联系人</w:t>
            </w:r>
          </w:p>
        </w:tc>
        <w:tc>
          <w:tcPr>
            <w:tcW w:w="3055" w:type="dxa"/>
            <w:gridSpan w:val="3"/>
            <w:vAlign w:val="top"/>
          </w:tcPr>
          <w:p>
            <w:pPr>
              <w:spacing w:line="360" w:lineRule="auto"/>
              <w:rPr>
                <w:rFonts w:hint="eastAsia" w:ascii="仿宋_GB2312" w:hAnsi="宋体" w:eastAsia="仿宋_GB2312"/>
                <w:color w:val="000000"/>
              </w:rPr>
            </w:pPr>
          </w:p>
        </w:tc>
        <w:tc>
          <w:tcPr>
            <w:tcW w:w="1089"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电话</w:t>
            </w:r>
          </w:p>
        </w:tc>
        <w:tc>
          <w:tcPr>
            <w:tcW w:w="2329" w:type="dxa"/>
            <w:gridSpan w:val="3"/>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980" w:type="dxa"/>
            <w:vMerge w:val="continue"/>
            <w:vAlign w:val="top"/>
          </w:tcPr>
          <w:p>
            <w:pPr>
              <w:spacing w:line="360" w:lineRule="auto"/>
              <w:rPr>
                <w:rFonts w:hint="eastAsia" w:ascii="仿宋_GB2312" w:hAnsi="宋体" w:eastAsia="仿宋_GB2312"/>
                <w:color w:val="000000"/>
              </w:rPr>
            </w:pPr>
          </w:p>
        </w:tc>
        <w:tc>
          <w:tcPr>
            <w:tcW w:w="1077"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传真</w:t>
            </w:r>
          </w:p>
        </w:tc>
        <w:tc>
          <w:tcPr>
            <w:tcW w:w="3055" w:type="dxa"/>
            <w:gridSpan w:val="3"/>
            <w:vAlign w:val="top"/>
          </w:tcPr>
          <w:p>
            <w:pPr>
              <w:spacing w:line="360" w:lineRule="auto"/>
              <w:rPr>
                <w:rFonts w:hint="eastAsia" w:ascii="仿宋_GB2312" w:hAnsi="宋体" w:eastAsia="仿宋_GB2312"/>
                <w:color w:val="000000"/>
              </w:rPr>
            </w:pPr>
          </w:p>
        </w:tc>
        <w:tc>
          <w:tcPr>
            <w:tcW w:w="1089"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网址</w:t>
            </w:r>
          </w:p>
        </w:tc>
        <w:tc>
          <w:tcPr>
            <w:tcW w:w="2329" w:type="dxa"/>
            <w:gridSpan w:val="3"/>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组织结构</w:t>
            </w:r>
          </w:p>
        </w:tc>
        <w:tc>
          <w:tcPr>
            <w:tcW w:w="7550" w:type="dxa"/>
            <w:gridSpan w:val="8"/>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法定代表人</w:t>
            </w:r>
          </w:p>
        </w:tc>
        <w:tc>
          <w:tcPr>
            <w:tcW w:w="1077"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姓名</w:t>
            </w:r>
          </w:p>
        </w:tc>
        <w:tc>
          <w:tcPr>
            <w:tcW w:w="1803" w:type="dxa"/>
            <w:vAlign w:val="top"/>
          </w:tcPr>
          <w:p>
            <w:pPr>
              <w:spacing w:line="360" w:lineRule="auto"/>
              <w:rPr>
                <w:rFonts w:hint="eastAsia" w:ascii="仿宋_GB2312" w:hAnsi="宋体" w:eastAsia="仿宋_GB2312"/>
                <w:color w:val="000000"/>
              </w:rPr>
            </w:pPr>
          </w:p>
        </w:tc>
        <w:tc>
          <w:tcPr>
            <w:tcW w:w="1252" w:type="dxa"/>
            <w:gridSpan w:val="2"/>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技术职称</w:t>
            </w:r>
          </w:p>
        </w:tc>
        <w:tc>
          <w:tcPr>
            <w:tcW w:w="1265" w:type="dxa"/>
            <w:gridSpan w:val="2"/>
            <w:vAlign w:val="top"/>
          </w:tcPr>
          <w:p>
            <w:pPr>
              <w:spacing w:line="360" w:lineRule="auto"/>
              <w:rPr>
                <w:rFonts w:hint="eastAsia" w:ascii="仿宋_GB2312" w:hAnsi="宋体" w:eastAsia="仿宋_GB2312"/>
                <w:color w:val="000000"/>
              </w:rPr>
            </w:pPr>
          </w:p>
        </w:tc>
        <w:tc>
          <w:tcPr>
            <w:tcW w:w="723"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电话</w:t>
            </w:r>
          </w:p>
        </w:tc>
        <w:tc>
          <w:tcPr>
            <w:tcW w:w="1430" w:type="dxa"/>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技术负责人</w:t>
            </w:r>
          </w:p>
        </w:tc>
        <w:tc>
          <w:tcPr>
            <w:tcW w:w="1077"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姓名</w:t>
            </w:r>
          </w:p>
        </w:tc>
        <w:tc>
          <w:tcPr>
            <w:tcW w:w="1803" w:type="dxa"/>
            <w:vAlign w:val="top"/>
          </w:tcPr>
          <w:p>
            <w:pPr>
              <w:spacing w:line="360" w:lineRule="auto"/>
              <w:rPr>
                <w:rFonts w:hint="eastAsia" w:ascii="仿宋_GB2312" w:hAnsi="宋体" w:eastAsia="仿宋_GB2312"/>
                <w:color w:val="000000"/>
              </w:rPr>
            </w:pPr>
          </w:p>
        </w:tc>
        <w:tc>
          <w:tcPr>
            <w:tcW w:w="1252" w:type="dxa"/>
            <w:gridSpan w:val="2"/>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技术职称</w:t>
            </w:r>
          </w:p>
        </w:tc>
        <w:tc>
          <w:tcPr>
            <w:tcW w:w="1265" w:type="dxa"/>
            <w:gridSpan w:val="2"/>
            <w:vAlign w:val="top"/>
          </w:tcPr>
          <w:p>
            <w:pPr>
              <w:spacing w:line="360" w:lineRule="auto"/>
              <w:rPr>
                <w:rFonts w:hint="eastAsia" w:ascii="仿宋_GB2312" w:hAnsi="宋体" w:eastAsia="仿宋_GB2312"/>
                <w:color w:val="000000"/>
              </w:rPr>
            </w:pPr>
          </w:p>
        </w:tc>
        <w:tc>
          <w:tcPr>
            <w:tcW w:w="723"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电话</w:t>
            </w:r>
          </w:p>
        </w:tc>
        <w:tc>
          <w:tcPr>
            <w:tcW w:w="1430" w:type="dxa"/>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成立时间</w:t>
            </w:r>
          </w:p>
        </w:tc>
        <w:tc>
          <w:tcPr>
            <w:tcW w:w="2880" w:type="dxa"/>
            <w:gridSpan w:val="2"/>
            <w:vAlign w:val="top"/>
          </w:tcPr>
          <w:p>
            <w:pPr>
              <w:spacing w:line="360" w:lineRule="auto"/>
              <w:rPr>
                <w:rFonts w:hint="eastAsia" w:ascii="仿宋_GB2312" w:hAnsi="宋体" w:eastAsia="仿宋_GB2312"/>
                <w:color w:val="000000"/>
              </w:rPr>
            </w:pPr>
          </w:p>
        </w:tc>
        <w:tc>
          <w:tcPr>
            <w:tcW w:w="4670" w:type="dxa"/>
            <w:gridSpan w:val="6"/>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980"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企业资质等级</w:t>
            </w:r>
          </w:p>
        </w:tc>
        <w:tc>
          <w:tcPr>
            <w:tcW w:w="2880" w:type="dxa"/>
            <w:gridSpan w:val="2"/>
            <w:vAlign w:val="top"/>
          </w:tcPr>
          <w:p>
            <w:pPr>
              <w:spacing w:line="360" w:lineRule="auto"/>
              <w:rPr>
                <w:rFonts w:hint="eastAsia" w:ascii="仿宋_GB2312" w:hAnsi="宋体" w:eastAsia="仿宋_GB2312"/>
                <w:color w:val="000000"/>
              </w:rPr>
            </w:pPr>
          </w:p>
        </w:tc>
        <w:tc>
          <w:tcPr>
            <w:tcW w:w="714" w:type="dxa"/>
            <w:vMerge w:val="restart"/>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其中</w:t>
            </w:r>
          </w:p>
        </w:tc>
        <w:tc>
          <w:tcPr>
            <w:tcW w:w="1803" w:type="dxa"/>
            <w:gridSpan w:val="3"/>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项目负责人</w:t>
            </w:r>
          </w:p>
        </w:tc>
        <w:tc>
          <w:tcPr>
            <w:tcW w:w="2153" w:type="dxa"/>
            <w:gridSpan w:val="2"/>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980"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营业执照号</w:t>
            </w:r>
          </w:p>
        </w:tc>
        <w:tc>
          <w:tcPr>
            <w:tcW w:w="2880" w:type="dxa"/>
            <w:gridSpan w:val="2"/>
            <w:vAlign w:val="top"/>
          </w:tcPr>
          <w:p>
            <w:pPr>
              <w:spacing w:line="360" w:lineRule="auto"/>
              <w:rPr>
                <w:rFonts w:hint="eastAsia" w:ascii="仿宋_GB2312" w:hAnsi="宋体" w:eastAsia="仿宋_GB2312"/>
                <w:color w:val="000000"/>
              </w:rPr>
            </w:pPr>
          </w:p>
        </w:tc>
        <w:tc>
          <w:tcPr>
            <w:tcW w:w="714" w:type="dxa"/>
            <w:vMerge w:val="continue"/>
            <w:vAlign w:val="top"/>
          </w:tcPr>
          <w:p>
            <w:pPr>
              <w:spacing w:line="360" w:lineRule="auto"/>
              <w:rPr>
                <w:rFonts w:hint="eastAsia" w:ascii="仿宋_GB2312" w:hAnsi="宋体" w:eastAsia="仿宋_GB2312"/>
                <w:color w:val="000000"/>
              </w:rPr>
            </w:pPr>
          </w:p>
        </w:tc>
        <w:tc>
          <w:tcPr>
            <w:tcW w:w="1803" w:type="dxa"/>
            <w:gridSpan w:val="3"/>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高级职称人员</w:t>
            </w:r>
          </w:p>
        </w:tc>
        <w:tc>
          <w:tcPr>
            <w:tcW w:w="2153" w:type="dxa"/>
            <w:gridSpan w:val="2"/>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980"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注册资金</w:t>
            </w:r>
          </w:p>
        </w:tc>
        <w:tc>
          <w:tcPr>
            <w:tcW w:w="2880" w:type="dxa"/>
            <w:gridSpan w:val="2"/>
            <w:vAlign w:val="top"/>
          </w:tcPr>
          <w:p>
            <w:pPr>
              <w:spacing w:line="360" w:lineRule="auto"/>
              <w:rPr>
                <w:rFonts w:hint="eastAsia" w:ascii="仿宋_GB2312" w:hAnsi="宋体" w:eastAsia="仿宋_GB2312"/>
                <w:color w:val="000000"/>
              </w:rPr>
            </w:pPr>
          </w:p>
        </w:tc>
        <w:tc>
          <w:tcPr>
            <w:tcW w:w="714" w:type="dxa"/>
            <w:vMerge w:val="continue"/>
            <w:vAlign w:val="top"/>
          </w:tcPr>
          <w:p>
            <w:pPr>
              <w:spacing w:line="360" w:lineRule="auto"/>
              <w:rPr>
                <w:rFonts w:hint="eastAsia" w:ascii="仿宋_GB2312" w:hAnsi="宋体" w:eastAsia="仿宋_GB2312"/>
                <w:color w:val="000000"/>
              </w:rPr>
            </w:pPr>
          </w:p>
        </w:tc>
        <w:tc>
          <w:tcPr>
            <w:tcW w:w="1803" w:type="dxa"/>
            <w:gridSpan w:val="3"/>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中级职称人员</w:t>
            </w:r>
          </w:p>
        </w:tc>
        <w:tc>
          <w:tcPr>
            <w:tcW w:w="2153" w:type="dxa"/>
            <w:gridSpan w:val="2"/>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980"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开户银行</w:t>
            </w:r>
          </w:p>
        </w:tc>
        <w:tc>
          <w:tcPr>
            <w:tcW w:w="2880" w:type="dxa"/>
            <w:gridSpan w:val="2"/>
            <w:vAlign w:val="top"/>
          </w:tcPr>
          <w:p>
            <w:pPr>
              <w:spacing w:line="360" w:lineRule="auto"/>
              <w:rPr>
                <w:rFonts w:hint="eastAsia" w:ascii="仿宋_GB2312" w:hAnsi="宋体" w:eastAsia="仿宋_GB2312"/>
                <w:color w:val="000000"/>
              </w:rPr>
            </w:pPr>
          </w:p>
        </w:tc>
        <w:tc>
          <w:tcPr>
            <w:tcW w:w="714" w:type="dxa"/>
            <w:vMerge w:val="continue"/>
            <w:vAlign w:val="top"/>
          </w:tcPr>
          <w:p>
            <w:pPr>
              <w:spacing w:line="360" w:lineRule="auto"/>
              <w:rPr>
                <w:rFonts w:hint="eastAsia" w:ascii="仿宋_GB2312" w:hAnsi="宋体" w:eastAsia="仿宋_GB2312"/>
                <w:color w:val="000000"/>
              </w:rPr>
            </w:pPr>
          </w:p>
        </w:tc>
        <w:tc>
          <w:tcPr>
            <w:tcW w:w="1803" w:type="dxa"/>
            <w:gridSpan w:val="3"/>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初级职称人员</w:t>
            </w:r>
          </w:p>
        </w:tc>
        <w:tc>
          <w:tcPr>
            <w:tcW w:w="2153" w:type="dxa"/>
            <w:gridSpan w:val="2"/>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980"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账号</w:t>
            </w:r>
          </w:p>
        </w:tc>
        <w:tc>
          <w:tcPr>
            <w:tcW w:w="2880" w:type="dxa"/>
            <w:gridSpan w:val="2"/>
            <w:vAlign w:val="top"/>
          </w:tcPr>
          <w:p>
            <w:pPr>
              <w:spacing w:line="360" w:lineRule="auto"/>
              <w:rPr>
                <w:rFonts w:hint="eastAsia" w:ascii="仿宋_GB2312" w:hAnsi="宋体" w:eastAsia="仿宋_GB2312"/>
                <w:color w:val="000000"/>
              </w:rPr>
            </w:pPr>
          </w:p>
        </w:tc>
        <w:tc>
          <w:tcPr>
            <w:tcW w:w="714" w:type="dxa"/>
            <w:vMerge w:val="continue"/>
            <w:vAlign w:val="top"/>
          </w:tcPr>
          <w:p>
            <w:pPr>
              <w:spacing w:line="360" w:lineRule="auto"/>
              <w:rPr>
                <w:rFonts w:hint="eastAsia" w:ascii="仿宋_GB2312" w:hAnsi="宋体" w:eastAsia="仿宋_GB2312"/>
                <w:color w:val="000000"/>
              </w:rPr>
            </w:pPr>
          </w:p>
        </w:tc>
        <w:tc>
          <w:tcPr>
            <w:tcW w:w="1803" w:type="dxa"/>
            <w:gridSpan w:val="3"/>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技术员</w:t>
            </w:r>
          </w:p>
        </w:tc>
        <w:tc>
          <w:tcPr>
            <w:tcW w:w="2153" w:type="dxa"/>
            <w:gridSpan w:val="2"/>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980" w:type="dxa"/>
            <w:vAlign w:val="top"/>
          </w:tcPr>
          <w:p>
            <w:pPr>
              <w:spacing w:line="360" w:lineRule="auto"/>
              <w:rPr>
                <w:rFonts w:hint="eastAsia" w:ascii="仿宋_GB2312" w:hAnsi="宋体" w:eastAsia="仿宋_GB2312"/>
                <w:color w:val="000000"/>
              </w:rPr>
            </w:pPr>
            <w:r>
              <w:rPr>
                <w:rFonts w:hint="eastAsia" w:ascii="仿宋_GB2312" w:hAnsi="宋体" w:eastAsia="仿宋_GB2312"/>
                <w:color w:val="000000"/>
              </w:rPr>
              <w:t>经营范围备注</w:t>
            </w:r>
          </w:p>
        </w:tc>
        <w:tc>
          <w:tcPr>
            <w:tcW w:w="7550" w:type="dxa"/>
            <w:gridSpan w:val="8"/>
            <w:vAlign w:val="top"/>
          </w:tcPr>
          <w:p>
            <w:pPr>
              <w:spacing w:line="360" w:lineRule="auto"/>
              <w:ind w:firstLine="440" w:firstLineChars="200"/>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80" w:type="dxa"/>
            <w:vAlign w:val="top"/>
          </w:tcPr>
          <w:p>
            <w:pPr>
              <w:spacing w:line="360" w:lineRule="auto"/>
              <w:ind w:firstLine="440" w:firstLineChars="200"/>
              <w:rPr>
                <w:rFonts w:hint="eastAsia" w:ascii="仿宋_GB2312" w:hAnsi="宋体" w:eastAsia="仿宋_GB2312"/>
                <w:color w:val="000000"/>
              </w:rPr>
            </w:pPr>
            <w:r>
              <w:rPr>
                <w:rFonts w:hint="eastAsia" w:ascii="仿宋_GB2312" w:hAnsi="宋体" w:eastAsia="仿宋_GB2312"/>
                <w:color w:val="000000"/>
              </w:rPr>
              <w:t>备注</w:t>
            </w:r>
          </w:p>
        </w:tc>
        <w:tc>
          <w:tcPr>
            <w:tcW w:w="7550" w:type="dxa"/>
            <w:gridSpan w:val="8"/>
            <w:vAlign w:val="top"/>
          </w:tcPr>
          <w:p>
            <w:pPr>
              <w:spacing w:line="360" w:lineRule="auto"/>
              <w:ind w:firstLine="440" w:firstLineChars="200"/>
              <w:rPr>
                <w:rFonts w:hint="eastAsia" w:ascii="仿宋_GB2312" w:hAnsi="宋体" w:eastAsia="仿宋_GB2312"/>
                <w:color w:val="000000"/>
              </w:rPr>
            </w:pPr>
          </w:p>
        </w:tc>
      </w:tr>
    </w:tbl>
    <w:p>
      <w:pPr>
        <w:spacing w:line="360" w:lineRule="auto"/>
        <w:rPr>
          <w:rFonts w:hint="eastAsia" w:ascii="仿宋_GB2312" w:hAnsi="宋体" w:eastAsia="仿宋_GB2312"/>
          <w:color w:val="000000"/>
          <w:sz w:val="18"/>
        </w:rPr>
      </w:pPr>
    </w:p>
    <w:p>
      <w:pPr>
        <w:pStyle w:val="4"/>
        <w:jc w:val="center"/>
        <w:rPr>
          <w:rFonts w:hint="eastAsia" w:ascii="仿宋_GB2312" w:hAnsi="宋体" w:eastAsia="仿宋_GB2312"/>
          <w:color w:val="000000"/>
        </w:rPr>
      </w:pPr>
      <w:bookmarkStart w:id="98" w:name="_Toc185047535"/>
      <w:r>
        <w:rPr>
          <w:rFonts w:hint="eastAsia" w:ascii="仿宋_GB2312" w:hAnsi="宋体" w:eastAsia="仿宋_GB2312"/>
          <w:color w:val="000000"/>
        </w:rPr>
        <w:t xml:space="preserve"> </w:t>
      </w:r>
    </w:p>
    <w:p>
      <w:pPr>
        <w:pStyle w:val="4"/>
        <w:jc w:val="center"/>
        <w:rPr>
          <w:rFonts w:hint="eastAsia" w:ascii="仿宋_GB2312" w:hAnsi="宋体" w:eastAsia="仿宋_GB2312"/>
          <w:color w:val="000000"/>
        </w:rPr>
      </w:pPr>
    </w:p>
    <w:p>
      <w:pPr>
        <w:pStyle w:val="4"/>
        <w:jc w:val="center"/>
        <w:rPr>
          <w:rFonts w:hint="eastAsia" w:ascii="仿宋_GB2312" w:hAnsi="宋体" w:eastAsia="仿宋_GB2312"/>
          <w:color w:val="000000"/>
        </w:rPr>
      </w:pPr>
      <w:r>
        <w:rPr>
          <w:rFonts w:hint="eastAsia" w:ascii="仿宋_GB2312" w:hAnsi="宋体" w:eastAsia="仿宋_GB2312"/>
          <w:color w:val="000000"/>
        </w:rPr>
        <w:t>（二）近3年财务状况表</w:t>
      </w:r>
      <w:bookmarkEnd w:id="98"/>
    </w:p>
    <w:p>
      <w:pPr>
        <w:spacing w:line="360" w:lineRule="auto"/>
        <w:jc w:val="center"/>
        <w:rPr>
          <w:rFonts w:hint="eastAsia" w:ascii="仿宋_GB2312" w:hAnsi="宋体" w:eastAsia="仿宋_GB2312"/>
          <w:color w:val="000000"/>
        </w:rPr>
      </w:pPr>
    </w:p>
    <w:p>
      <w:pPr>
        <w:spacing w:line="360" w:lineRule="auto"/>
        <w:rPr>
          <w:rFonts w:hint="eastAsia" w:ascii="仿宋_GB2312" w:hAnsi="宋体" w:eastAsia="仿宋_GB2312"/>
          <w:color w:val="000000"/>
          <w:sz w:val="24"/>
        </w:rPr>
      </w:pPr>
      <w:r>
        <w:rPr>
          <w:rFonts w:hint="eastAsia" w:ascii="仿宋_GB2312" w:hAnsi="宋体" w:eastAsia="仿宋_GB2312"/>
          <w:color w:val="000000"/>
          <w:sz w:val="24"/>
        </w:rPr>
        <w:t>对财务状况的要求为：</w:t>
      </w:r>
      <w:r>
        <w:rPr>
          <w:rFonts w:hint="eastAsia" w:ascii="仿宋_GB2312" w:hAnsi="华文中宋" w:eastAsia="仿宋_GB2312"/>
          <w:color w:val="000000"/>
          <w:sz w:val="24"/>
        </w:rPr>
        <w:t>最</w:t>
      </w:r>
      <w:r>
        <w:rPr>
          <w:rFonts w:hint="eastAsia" w:ascii="仿宋_GB2312" w:hAnsi="华文中宋" w:eastAsia="仿宋_GB2312"/>
          <w:color w:val="000000"/>
          <w:sz w:val="24"/>
          <w:u w:val="single"/>
        </w:rPr>
        <w:t>近3个财务年度无亏损（</w:t>
      </w:r>
      <w:r>
        <w:rPr>
          <w:rFonts w:hint="eastAsia" w:ascii="仿宋_GB2312" w:eastAsia="仿宋_GB2312"/>
          <w:color w:val="000000"/>
          <w:sz w:val="24"/>
          <w:u w:val="single"/>
        </w:rPr>
        <w:t>经会计事务所或审计机构审计的财务会计报表等</w:t>
      </w:r>
      <w:r>
        <w:rPr>
          <w:rFonts w:hint="eastAsia" w:ascii="仿宋_GB2312" w:hAnsi="华文中宋" w:eastAsia="仿宋_GB2312"/>
          <w:color w:val="000000"/>
          <w:sz w:val="24"/>
          <w:u w:val="single"/>
        </w:rPr>
        <w:t>）</w:t>
      </w:r>
      <w:r>
        <w:rPr>
          <w:rFonts w:hint="eastAsia" w:ascii="仿宋_GB2312" w:hAnsi="宋体" w:eastAsia="仿宋_GB2312"/>
          <w:color w:val="000000"/>
          <w:sz w:val="24"/>
        </w:rPr>
        <w:t>。</w:t>
      </w:r>
    </w:p>
    <w:p>
      <w:pPr>
        <w:spacing w:line="360" w:lineRule="auto"/>
        <w:rPr>
          <w:rFonts w:hint="eastAsia" w:ascii="仿宋_GB2312" w:hAnsi="宋体" w:eastAsia="仿宋_GB2312"/>
          <w:color w:val="000000"/>
          <w:u w:val="single"/>
        </w:rPr>
      </w:pPr>
    </w:p>
    <w:p>
      <w:pPr>
        <w:spacing w:line="360" w:lineRule="auto"/>
        <w:rPr>
          <w:rFonts w:hint="eastAsia" w:ascii="仿宋_GB2312" w:hAnsi="宋体" w:eastAsia="仿宋_GB2312"/>
          <w:color w:val="000000"/>
          <w:u w:val="single"/>
        </w:rPr>
      </w:pPr>
    </w:p>
    <w:p>
      <w:pPr>
        <w:spacing w:line="360" w:lineRule="auto"/>
        <w:rPr>
          <w:rFonts w:hint="eastAsia" w:ascii="仿宋_GB2312" w:hAnsi="宋体" w:eastAsia="仿宋_GB2312"/>
          <w:color w:val="000000"/>
          <w:u w:val="single"/>
        </w:rPr>
      </w:pPr>
    </w:p>
    <w:p>
      <w:pPr>
        <w:spacing w:line="360" w:lineRule="auto"/>
        <w:rPr>
          <w:rFonts w:hint="eastAsia" w:ascii="仿宋_GB2312" w:hAnsi="宋体" w:eastAsia="仿宋_GB2312"/>
          <w:color w:val="000000"/>
          <w:u w:val="single"/>
        </w:rPr>
      </w:pPr>
    </w:p>
    <w:p>
      <w:pPr>
        <w:spacing w:line="360" w:lineRule="auto"/>
        <w:rPr>
          <w:rFonts w:hint="eastAsia" w:ascii="仿宋_GB2312" w:hAnsi="宋体" w:eastAsia="仿宋_GB2312"/>
          <w:color w:val="000000"/>
          <w:u w:val="single"/>
        </w:rPr>
      </w:pPr>
    </w:p>
    <w:p>
      <w:pPr>
        <w:spacing w:line="360" w:lineRule="auto"/>
        <w:rPr>
          <w:rFonts w:hint="eastAsia" w:ascii="仿宋_GB2312" w:hAnsi="宋体" w:eastAsia="仿宋_GB2312"/>
          <w:color w:val="000000"/>
          <w:u w:val="single"/>
        </w:rPr>
      </w:pPr>
    </w:p>
    <w:p>
      <w:pPr>
        <w:spacing w:line="360" w:lineRule="auto"/>
        <w:rPr>
          <w:rFonts w:hint="eastAsia" w:ascii="仿宋_GB2312" w:hAnsi="宋体" w:eastAsia="仿宋_GB2312"/>
          <w:color w:val="000000"/>
          <w:u w:val="single"/>
        </w:rPr>
      </w:pPr>
    </w:p>
    <w:p>
      <w:pPr>
        <w:spacing w:line="400" w:lineRule="exact"/>
        <w:ind w:firstLine="440" w:firstLineChars="200"/>
        <w:rPr>
          <w:rFonts w:hint="eastAsia" w:ascii="仿宋_GB2312" w:hAnsi="宋体" w:eastAsia="仿宋_GB2312"/>
          <w:color w:val="000000"/>
        </w:rPr>
      </w:pPr>
      <w:r>
        <w:rPr>
          <w:rFonts w:hint="eastAsia" w:ascii="仿宋_GB2312" w:hAnsi="宋体" w:eastAsia="仿宋_GB2312"/>
          <w:color w:val="000000"/>
        </w:rPr>
        <w:t>注：（1）投标人应提供近3年的财务状况表。</w:t>
      </w:r>
    </w:p>
    <w:p>
      <w:pPr>
        <w:spacing w:line="400" w:lineRule="exact"/>
        <w:ind w:firstLine="440" w:firstLineChars="200"/>
        <w:rPr>
          <w:rFonts w:hint="eastAsia" w:ascii="仿宋_GB2312" w:hAnsi="宋体" w:eastAsia="仿宋_GB2312"/>
          <w:color w:val="000000"/>
        </w:rPr>
      </w:pPr>
      <w:r>
        <w:rPr>
          <w:rFonts w:hint="eastAsia" w:ascii="仿宋_GB2312" w:hAnsi="宋体" w:eastAsia="仿宋_GB2312"/>
          <w:color w:val="000000"/>
        </w:rPr>
        <w:t>“近3个年度财务状况表”分两种情况。招标文件发售之日在5月1日以前的，“近3个年度”是指当年之前的3个年度或当年的上一年之前的3个年度，如某项目招标，发售招标文件的时间是2008年4月1日，“近3个年度财务状况表”是指2005年、2006年、2007年的财务状况，或2004年、2005年、2006年的财务状况，采用哪3个年度，由投标选择；招标文件发售之日在5月1日以后的，“近3个年度”是指当年之前的3个年度，如某项目招标，发售招标文件的时间是2008年5月5日，“近3个年度财务状况表”是指2005年、2006年、2007年的财务状况。</w:t>
      </w:r>
    </w:p>
    <w:p>
      <w:pPr>
        <w:spacing w:line="400" w:lineRule="exact"/>
        <w:ind w:firstLine="440" w:firstLineChars="200"/>
        <w:rPr>
          <w:rFonts w:hint="eastAsia" w:ascii="仿宋_GB2312" w:hAnsi="宋体" w:eastAsia="仿宋_GB2312"/>
          <w:color w:val="000000"/>
        </w:rPr>
      </w:pPr>
      <w:r>
        <w:rPr>
          <w:rFonts w:hint="eastAsia" w:ascii="仿宋_GB2312" w:hAnsi="宋体" w:eastAsia="仿宋_GB2312"/>
          <w:color w:val="000000"/>
        </w:rPr>
        <w:t>（2）财务状况表应附材料见第二章“投标人须知”3.5.2。</w:t>
      </w:r>
    </w:p>
    <w:p>
      <w:pPr>
        <w:spacing w:line="360" w:lineRule="auto"/>
        <w:rPr>
          <w:rFonts w:hint="eastAsia" w:ascii="仿宋_GB2312" w:hAnsi="宋体" w:eastAsia="仿宋_GB2312"/>
          <w:color w:val="000000"/>
          <w:u w:val="single"/>
        </w:rPr>
        <w:sectPr>
          <w:endnotePr>
            <w:numFmt w:val="decimal"/>
          </w:endnotePr>
          <w:pgSz w:w="11906" w:h="16838"/>
          <w:pgMar w:top="1247" w:right="1247" w:bottom="1247" w:left="1361" w:header="851" w:footer="992" w:gutter="0"/>
          <w:cols w:space="720" w:num="1"/>
          <w:rtlGutter w:val="0"/>
          <w:docGrid w:type="linesAndChars" w:linePitch="312" w:charSpace="0"/>
        </w:sectPr>
      </w:pPr>
    </w:p>
    <w:p>
      <w:pPr>
        <w:pStyle w:val="4"/>
        <w:jc w:val="center"/>
        <w:rPr>
          <w:rFonts w:hint="eastAsia" w:ascii="仿宋_GB2312" w:hAnsi="宋体" w:eastAsia="仿宋_GB2312"/>
          <w:color w:val="000000"/>
          <w:sz w:val="24"/>
        </w:rPr>
      </w:pPr>
      <w:bookmarkStart w:id="99" w:name="_Toc185047530"/>
      <w:bookmarkStart w:id="100" w:name="_Toc185047536"/>
      <w:r>
        <w:rPr>
          <w:rFonts w:hint="eastAsia" w:ascii="仿宋_GB2312" w:hAnsi="宋体" w:eastAsia="仿宋_GB2312"/>
          <w:color w:val="000000"/>
        </w:rPr>
        <w:t>（三）</w:t>
      </w:r>
      <w:bookmarkEnd w:id="99"/>
      <w:r>
        <w:rPr>
          <w:rFonts w:hint="eastAsia" w:ascii="仿宋_GB2312" w:hAnsi="宋体" w:eastAsia="仿宋_GB2312"/>
          <w:color w:val="000000"/>
        </w:rPr>
        <w:t>项目管理机构组成表</w:t>
      </w:r>
    </w:p>
    <w:p>
      <w:pPr>
        <w:spacing w:line="360" w:lineRule="auto"/>
        <w:rPr>
          <w:rFonts w:hint="eastAsia" w:ascii="仿宋_GB2312" w:hAnsi="宋体" w:eastAsia="仿宋_GB2312"/>
          <w:color w:val="000000"/>
        </w:rPr>
      </w:pPr>
    </w:p>
    <w:tbl>
      <w:tblPr>
        <w:tblStyle w:val="10"/>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079"/>
        <w:gridCol w:w="123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4" w:type="dxa"/>
            <w:vMerge w:val="restart"/>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职务</w:t>
            </w:r>
          </w:p>
        </w:tc>
        <w:tc>
          <w:tcPr>
            <w:tcW w:w="726" w:type="dxa"/>
            <w:vMerge w:val="restart"/>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姓名</w:t>
            </w:r>
          </w:p>
        </w:tc>
        <w:tc>
          <w:tcPr>
            <w:tcW w:w="889" w:type="dxa"/>
            <w:vMerge w:val="restart"/>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职称</w:t>
            </w:r>
          </w:p>
        </w:tc>
        <w:tc>
          <w:tcPr>
            <w:tcW w:w="5740" w:type="dxa"/>
            <w:gridSpan w:val="5"/>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执业或职业资格证明</w:t>
            </w:r>
          </w:p>
        </w:tc>
        <w:tc>
          <w:tcPr>
            <w:tcW w:w="1374" w:type="dxa"/>
            <w:vMerge w:val="restart"/>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拟担任职务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714" w:type="dxa"/>
            <w:vMerge w:val="continue"/>
            <w:vAlign w:val="top"/>
          </w:tcPr>
          <w:p>
            <w:pPr>
              <w:spacing w:line="360" w:lineRule="auto"/>
              <w:rPr>
                <w:rFonts w:hint="eastAsia" w:ascii="仿宋_GB2312" w:hAnsi="宋体" w:eastAsia="仿宋_GB2312"/>
                <w:color w:val="000000"/>
              </w:rPr>
            </w:pPr>
          </w:p>
        </w:tc>
        <w:tc>
          <w:tcPr>
            <w:tcW w:w="726" w:type="dxa"/>
            <w:vMerge w:val="continue"/>
            <w:vAlign w:val="top"/>
          </w:tcPr>
          <w:p>
            <w:pPr>
              <w:spacing w:line="360" w:lineRule="auto"/>
              <w:rPr>
                <w:rFonts w:hint="eastAsia" w:ascii="仿宋_GB2312" w:hAnsi="宋体" w:eastAsia="仿宋_GB2312"/>
                <w:color w:val="000000"/>
              </w:rPr>
            </w:pPr>
          </w:p>
        </w:tc>
        <w:tc>
          <w:tcPr>
            <w:tcW w:w="889" w:type="dxa"/>
            <w:vMerge w:val="continue"/>
            <w:vAlign w:val="top"/>
          </w:tcPr>
          <w:p>
            <w:pPr>
              <w:spacing w:line="360" w:lineRule="auto"/>
              <w:rPr>
                <w:rFonts w:hint="eastAsia" w:ascii="仿宋_GB2312" w:hAnsi="宋体" w:eastAsia="仿宋_GB2312"/>
                <w:color w:val="000000"/>
              </w:rPr>
            </w:pPr>
          </w:p>
        </w:tc>
        <w:tc>
          <w:tcPr>
            <w:tcW w:w="1451" w:type="dxa"/>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证书名称</w:t>
            </w:r>
          </w:p>
        </w:tc>
        <w:tc>
          <w:tcPr>
            <w:tcW w:w="900" w:type="dxa"/>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级别</w:t>
            </w:r>
          </w:p>
        </w:tc>
        <w:tc>
          <w:tcPr>
            <w:tcW w:w="1080" w:type="dxa"/>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证号</w:t>
            </w:r>
          </w:p>
        </w:tc>
        <w:tc>
          <w:tcPr>
            <w:tcW w:w="1079" w:type="dxa"/>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专业</w:t>
            </w:r>
          </w:p>
        </w:tc>
        <w:tc>
          <w:tcPr>
            <w:tcW w:w="1230" w:type="dxa"/>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养老保险</w:t>
            </w:r>
          </w:p>
        </w:tc>
        <w:tc>
          <w:tcPr>
            <w:tcW w:w="1374" w:type="dxa"/>
            <w:vMerge w:val="continue"/>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vAlign w:val="top"/>
          </w:tcPr>
          <w:p>
            <w:pPr>
              <w:spacing w:line="360" w:lineRule="auto"/>
              <w:rPr>
                <w:rFonts w:hint="eastAsia" w:ascii="仿宋_GB2312" w:hAnsi="宋体" w:eastAsia="仿宋_GB2312"/>
                <w:color w:val="000000"/>
              </w:rPr>
            </w:pPr>
          </w:p>
        </w:tc>
        <w:tc>
          <w:tcPr>
            <w:tcW w:w="726" w:type="dxa"/>
            <w:vAlign w:val="top"/>
          </w:tcPr>
          <w:p>
            <w:pPr>
              <w:spacing w:line="360" w:lineRule="auto"/>
              <w:rPr>
                <w:rFonts w:hint="eastAsia" w:ascii="仿宋_GB2312" w:hAnsi="宋体" w:eastAsia="仿宋_GB2312"/>
                <w:color w:val="000000"/>
              </w:rPr>
            </w:pPr>
          </w:p>
        </w:tc>
        <w:tc>
          <w:tcPr>
            <w:tcW w:w="889" w:type="dxa"/>
            <w:vAlign w:val="top"/>
          </w:tcPr>
          <w:p>
            <w:pPr>
              <w:spacing w:line="360" w:lineRule="auto"/>
              <w:rPr>
                <w:rFonts w:hint="eastAsia" w:ascii="仿宋_GB2312" w:hAnsi="宋体" w:eastAsia="仿宋_GB2312"/>
                <w:color w:val="000000"/>
              </w:rPr>
            </w:pPr>
          </w:p>
        </w:tc>
        <w:tc>
          <w:tcPr>
            <w:tcW w:w="1451" w:type="dxa"/>
            <w:vAlign w:val="top"/>
          </w:tcPr>
          <w:p>
            <w:pPr>
              <w:spacing w:line="360" w:lineRule="auto"/>
              <w:rPr>
                <w:rFonts w:hint="eastAsia" w:ascii="仿宋_GB2312" w:hAnsi="宋体" w:eastAsia="仿宋_GB2312"/>
                <w:color w:val="000000"/>
              </w:rPr>
            </w:pPr>
          </w:p>
        </w:tc>
        <w:tc>
          <w:tcPr>
            <w:tcW w:w="900" w:type="dxa"/>
            <w:vAlign w:val="top"/>
          </w:tcPr>
          <w:p>
            <w:pPr>
              <w:spacing w:line="360" w:lineRule="auto"/>
              <w:rPr>
                <w:rFonts w:hint="eastAsia" w:ascii="仿宋_GB2312" w:hAnsi="宋体" w:eastAsia="仿宋_GB2312"/>
                <w:color w:val="000000"/>
              </w:rPr>
            </w:pPr>
          </w:p>
        </w:tc>
        <w:tc>
          <w:tcPr>
            <w:tcW w:w="1080" w:type="dxa"/>
            <w:vAlign w:val="top"/>
          </w:tcPr>
          <w:p>
            <w:pPr>
              <w:spacing w:line="360" w:lineRule="auto"/>
              <w:rPr>
                <w:rFonts w:hint="eastAsia" w:ascii="仿宋_GB2312" w:hAnsi="宋体" w:eastAsia="仿宋_GB2312"/>
                <w:color w:val="000000"/>
              </w:rPr>
            </w:pPr>
          </w:p>
        </w:tc>
        <w:tc>
          <w:tcPr>
            <w:tcW w:w="1079" w:type="dxa"/>
            <w:vAlign w:val="top"/>
          </w:tcPr>
          <w:p>
            <w:pPr>
              <w:spacing w:line="360" w:lineRule="auto"/>
              <w:rPr>
                <w:rFonts w:hint="eastAsia" w:ascii="仿宋_GB2312" w:hAnsi="宋体" w:eastAsia="仿宋_GB2312"/>
                <w:color w:val="000000"/>
              </w:rPr>
            </w:pPr>
          </w:p>
        </w:tc>
        <w:tc>
          <w:tcPr>
            <w:tcW w:w="1230" w:type="dxa"/>
            <w:vAlign w:val="top"/>
          </w:tcPr>
          <w:p>
            <w:pPr>
              <w:spacing w:line="360" w:lineRule="auto"/>
              <w:ind w:firstLine="440" w:firstLineChars="200"/>
              <w:rPr>
                <w:rFonts w:hint="eastAsia" w:ascii="仿宋_GB2312" w:hAnsi="宋体" w:eastAsia="仿宋_GB2312"/>
                <w:color w:val="000000"/>
              </w:rPr>
            </w:pPr>
          </w:p>
        </w:tc>
        <w:tc>
          <w:tcPr>
            <w:tcW w:w="1374" w:type="dxa"/>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vAlign w:val="top"/>
          </w:tcPr>
          <w:p>
            <w:pPr>
              <w:spacing w:line="360" w:lineRule="auto"/>
              <w:rPr>
                <w:rFonts w:hint="eastAsia" w:ascii="仿宋_GB2312" w:hAnsi="宋体" w:eastAsia="仿宋_GB2312"/>
                <w:color w:val="000000"/>
              </w:rPr>
            </w:pPr>
          </w:p>
        </w:tc>
        <w:tc>
          <w:tcPr>
            <w:tcW w:w="726" w:type="dxa"/>
            <w:vAlign w:val="top"/>
          </w:tcPr>
          <w:p>
            <w:pPr>
              <w:spacing w:line="360" w:lineRule="auto"/>
              <w:rPr>
                <w:rFonts w:hint="eastAsia" w:ascii="仿宋_GB2312" w:hAnsi="宋体" w:eastAsia="仿宋_GB2312"/>
                <w:color w:val="000000"/>
              </w:rPr>
            </w:pPr>
          </w:p>
        </w:tc>
        <w:tc>
          <w:tcPr>
            <w:tcW w:w="889" w:type="dxa"/>
            <w:vAlign w:val="top"/>
          </w:tcPr>
          <w:p>
            <w:pPr>
              <w:spacing w:line="360" w:lineRule="auto"/>
              <w:rPr>
                <w:rFonts w:hint="eastAsia" w:ascii="仿宋_GB2312" w:hAnsi="宋体" w:eastAsia="仿宋_GB2312"/>
                <w:color w:val="000000"/>
              </w:rPr>
            </w:pPr>
          </w:p>
        </w:tc>
        <w:tc>
          <w:tcPr>
            <w:tcW w:w="1451" w:type="dxa"/>
            <w:vAlign w:val="top"/>
          </w:tcPr>
          <w:p>
            <w:pPr>
              <w:spacing w:line="360" w:lineRule="auto"/>
              <w:rPr>
                <w:rFonts w:hint="eastAsia" w:ascii="仿宋_GB2312" w:hAnsi="宋体" w:eastAsia="仿宋_GB2312"/>
                <w:color w:val="000000"/>
              </w:rPr>
            </w:pPr>
          </w:p>
        </w:tc>
        <w:tc>
          <w:tcPr>
            <w:tcW w:w="900" w:type="dxa"/>
            <w:vAlign w:val="top"/>
          </w:tcPr>
          <w:p>
            <w:pPr>
              <w:spacing w:line="360" w:lineRule="auto"/>
              <w:rPr>
                <w:rFonts w:hint="eastAsia" w:ascii="仿宋_GB2312" w:hAnsi="宋体" w:eastAsia="仿宋_GB2312"/>
                <w:color w:val="000000"/>
              </w:rPr>
            </w:pPr>
          </w:p>
        </w:tc>
        <w:tc>
          <w:tcPr>
            <w:tcW w:w="1080" w:type="dxa"/>
            <w:vAlign w:val="top"/>
          </w:tcPr>
          <w:p>
            <w:pPr>
              <w:spacing w:line="360" w:lineRule="auto"/>
              <w:rPr>
                <w:rFonts w:hint="eastAsia" w:ascii="仿宋_GB2312" w:hAnsi="宋体" w:eastAsia="仿宋_GB2312"/>
                <w:color w:val="000000"/>
              </w:rPr>
            </w:pPr>
          </w:p>
        </w:tc>
        <w:tc>
          <w:tcPr>
            <w:tcW w:w="1079" w:type="dxa"/>
            <w:vAlign w:val="top"/>
          </w:tcPr>
          <w:p>
            <w:pPr>
              <w:spacing w:line="360" w:lineRule="auto"/>
              <w:rPr>
                <w:rFonts w:hint="eastAsia" w:ascii="仿宋_GB2312" w:hAnsi="宋体" w:eastAsia="仿宋_GB2312"/>
                <w:color w:val="000000"/>
              </w:rPr>
            </w:pPr>
          </w:p>
        </w:tc>
        <w:tc>
          <w:tcPr>
            <w:tcW w:w="1230" w:type="dxa"/>
            <w:vAlign w:val="top"/>
          </w:tcPr>
          <w:p>
            <w:pPr>
              <w:spacing w:line="360" w:lineRule="auto"/>
              <w:rPr>
                <w:rFonts w:hint="eastAsia" w:ascii="仿宋_GB2312" w:hAnsi="宋体" w:eastAsia="仿宋_GB2312"/>
                <w:color w:val="000000"/>
              </w:rPr>
            </w:pPr>
          </w:p>
        </w:tc>
        <w:tc>
          <w:tcPr>
            <w:tcW w:w="1374" w:type="dxa"/>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vAlign w:val="top"/>
          </w:tcPr>
          <w:p>
            <w:pPr>
              <w:spacing w:line="360" w:lineRule="auto"/>
              <w:rPr>
                <w:rFonts w:hint="eastAsia" w:ascii="仿宋_GB2312" w:hAnsi="宋体" w:eastAsia="仿宋_GB2312"/>
                <w:color w:val="000000"/>
              </w:rPr>
            </w:pPr>
          </w:p>
        </w:tc>
        <w:tc>
          <w:tcPr>
            <w:tcW w:w="726" w:type="dxa"/>
            <w:vAlign w:val="top"/>
          </w:tcPr>
          <w:p>
            <w:pPr>
              <w:spacing w:line="360" w:lineRule="auto"/>
              <w:rPr>
                <w:rFonts w:hint="eastAsia" w:ascii="仿宋_GB2312" w:hAnsi="宋体" w:eastAsia="仿宋_GB2312"/>
                <w:color w:val="000000"/>
              </w:rPr>
            </w:pPr>
          </w:p>
        </w:tc>
        <w:tc>
          <w:tcPr>
            <w:tcW w:w="889" w:type="dxa"/>
            <w:vAlign w:val="top"/>
          </w:tcPr>
          <w:p>
            <w:pPr>
              <w:spacing w:line="360" w:lineRule="auto"/>
              <w:rPr>
                <w:rFonts w:hint="eastAsia" w:ascii="仿宋_GB2312" w:hAnsi="宋体" w:eastAsia="仿宋_GB2312"/>
                <w:color w:val="000000"/>
              </w:rPr>
            </w:pPr>
          </w:p>
        </w:tc>
        <w:tc>
          <w:tcPr>
            <w:tcW w:w="1451" w:type="dxa"/>
            <w:vAlign w:val="top"/>
          </w:tcPr>
          <w:p>
            <w:pPr>
              <w:spacing w:line="360" w:lineRule="auto"/>
              <w:rPr>
                <w:rFonts w:hint="eastAsia" w:ascii="仿宋_GB2312" w:hAnsi="宋体" w:eastAsia="仿宋_GB2312"/>
                <w:color w:val="000000"/>
              </w:rPr>
            </w:pPr>
          </w:p>
        </w:tc>
        <w:tc>
          <w:tcPr>
            <w:tcW w:w="900" w:type="dxa"/>
            <w:vAlign w:val="top"/>
          </w:tcPr>
          <w:p>
            <w:pPr>
              <w:spacing w:line="360" w:lineRule="auto"/>
              <w:rPr>
                <w:rFonts w:hint="eastAsia" w:ascii="仿宋_GB2312" w:hAnsi="宋体" w:eastAsia="仿宋_GB2312"/>
                <w:color w:val="000000"/>
              </w:rPr>
            </w:pPr>
          </w:p>
        </w:tc>
        <w:tc>
          <w:tcPr>
            <w:tcW w:w="1080" w:type="dxa"/>
            <w:vAlign w:val="top"/>
          </w:tcPr>
          <w:p>
            <w:pPr>
              <w:spacing w:line="360" w:lineRule="auto"/>
              <w:rPr>
                <w:rFonts w:hint="eastAsia" w:ascii="仿宋_GB2312" w:hAnsi="宋体" w:eastAsia="仿宋_GB2312"/>
                <w:color w:val="000000"/>
              </w:rPr>
            </w:pPr>
          </w:p>
        </w:tc>
        <w:tc>
          <w:tcPr>
            <w:tcW w:w="1079" w:type="dxa"/>
            <w:vAlign w:val="top"/>
          </w:tcPr>
          <w:p>
            <w:pPr>
              <w:spacing w:line="360" w:lineRule="auto"/>
              <w:rPr>
                <w:rFonts w:hint="eastAsia" w:ascii="仿宋_GB2312" w:hAnsi="宋体" w:eastAsia="仿宋_GB2312"/>
                <w:color w:val="000000"/>
              </w:rPr>
            </w:pPr>
          </w:p>
        </w:tc>
        <w:tc>
          <w:tcPr>
            <w:tcW w:w="1230" w:type="dxa"/>
            <w:vAlign w:val="top"/>
          </w:tcPr>
          <w:p>
            <w:pPr>
              <w:spacing w:line="360" w:lineRule="auto"/>
              <w:rPr>
                <w:rFonts w:hint="eastAsia" w:ascii="仿宋_GB2312" w:hAnsi="宋体" w:eastAsia="仿宋_GB2312"/>
                <w:color w:val="000000"/>
              </w:rPr>
            </w:pPr>
          </w:p>
        </w:tc>
        <w:tc>
          <w:tcPr>
            <w:tcW w:w="1374" w:type="dxa"/>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vAlign w:val="top"/>
          </w:tcPr>
          <w:p>
            <w:pPr>
              <w:spacing w:line="360" w:lineRule="auto"/>
              <w:rPr>
                <w:rFonts w:hint="eastAsia" w:ascii="仿宋_GB2312" w:hAnsi="宋体" w:eastAsia="仿宋_GB2312"/>
                <w:color w:val="000000"/>
              </w:rPr>
            </w:pPr>
          </w:p>
        </w:tc>
        <w:tc>
          <w:tcPr>
            <w:tcW w:w="726" w:type="dxa"/>
            <w:vAlign w:val="top"/>
          </w:tcPr>
          <w:p>
            <w:pPr>
              <w:spacing w:line="360" w:lineRule="auto"/>
              <w:rPr>
                <w:rFonts w:hint="eastAsia" w:ascii="仿宋_GB2312" w:hAnsi="宋体" w:eastAsia="仿宋_GB2312"/>
                <w:color w:val="000000"/>
              </w:rPr>
            </w:pPr>
          </w:p>
        </w:tc>
        <w:tc>
          <w:tcPr>
            <w:tcW w:w="889" w:type="dxa"/>
            <w:vAlign w:val="top"/>
          </w:tcPr>
          <w:p>
            <w:pPr>
              <w:spacing w:line="360" w:lineRule="auto"/>
              <w:rPr>
                <w:rFonts w:hint="eastAsia" w:ascii="仿宋_GB2312" w:hAnsi="宋体" w:eastAsia="仿宋_GB2312"/>
                <w:color w:val="000000"/>
              </w:rPr>
            </w:pPr>
          </w:p>
        </w:tc>
        <w:tc>
          <w:tcPr>
            <w:tcW w:w="1451" w:type="dxa"/>
            <w:vAlign w:val="top"/>
          </w:tcPr>
          <w:p>
            <w:pPr>
              <w:spacing w:line="360" w:lineRule="auto"/>
              <w:rPr>
                <w:rFonts w:hint="eastAsia" w:ascii="仿宋_GB2312" w:hAnsi="宋体" w:eastAsia="仿宋_GB2312"/>
                <w:color w:val="000000"/>
              </w:rPr>
            </w:pPr>
          </w:p>
        </w:tc>
        <w:tc>
          <w:tcPr>
            <w:tcW w:w="900" w:type="dxa"/>
            <w:vAlign w:val="top"/>
          </w:tcPr>
          <w:p>
            <w:pPr>
              <w:spacing w:line="360" w:lineRule="auto"/>
              <w:rPr>
                <w:rFonts w:hint="eastAsia" w:ascii="仿宋_GB2312" w:hAnsi="宋体" w:eastAsia="仿宋_GB2312"/>
                <w:color w:val="000000"/>
              </w:rPr>
            </w:pPr>
          </w:p>
        </w:tc>
        <w:tc>
          <w:tcPr>
            <w:tcW w:w="1080" w:type="dxa"/>
            <w:vAlign w:val="top"/>
          </w:tcPr>
          <w:p>
            <w:pPr>
              <w:spacing w:line="360" w:lineRule="auto"/>
              <w:rPr>
                <w:rFonts w:hint="eastAsia" w:ascii="仿宋_GB2312" w:hAnsi="宋体" w:eastAsia="仿宋_GB2312"/>
                <w:color w:val="000000"/>
              </w:rPr>
            </w:pPr>
          </w:p>
        </w:tc>
        <w:tc>
          <w:tcPr>
            <w:tcW w:w="1079" w:type="dxa"/>
            <w:vAlign w:val="top"/>
          </w:tcPr>
          <w:p>
            <w:pPr>
              <w:spacing w:line="360" w:lineRule="auto"/>
              <w:rPr>
                <w:rFonts w:hint="eastAsia" w:ascii="仿宋_GB2312" w:hAnsi="宋体" w:eastAsia="仿宋_GB2312"/>
                <w:color w:val="000000"/>
              </w:rPr>
            </w:pPr>
          </w:p>
        </w:tc>
        <w:tc>
          <w:tcPr>
            <w:tcW w:w="1230" w:type="dxa"/>
            <w:vAlign w:val="top"/>
          </w:tcPr>
          <w:p>
            <w:pPr>
              <w:spacing w:line="360" w:lineRule="auto"/>
              <w:rPr>
                <w:rFonts w:hint="eastAsia" w:ascii="仿宋_GB2312" w:hAnsi="宋体" w:eastAsia="仿宋_GB2312"/>
                <w:color w:val="000000"/>
              </w:rPr>
            </w:pPr>
          </w:p>
        </w:tc>
        <w:tc>
          <w:tcPr>
            <w:tcW w:w="1374" w:type="dxa"/>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vAlign w:val="top"/>
          </w:tcPr>
          <w:p>
            <w:pPr>
              <w:spacing w:line="360" w:lineRule="auto"/>
              <w:rPr>
                <w:rFonts w:hint="eastAsia" w:ascii="仿宋_GB2312" w:hAnsi="宋体" w:eastAsia="仿宋_GB2312"/>
                <w:color w:val="000000"/>
              </w:rPr>
            </w:pPr>
          </w:p>
        </w:tc>
        <w:tc>
          <w:tcPr>
            <w:tcW w:w="726" w:type="dxa"/>
            <w:vAlign w:val="top"/>
          </w:tcPr>
          <w:p>
            <w:pPr>
              <w:spacing w:line="360" w:lineRule="auto"/>
              <w:rPr>
                <w:rFonts w:hint="eastAsia" w:ascii="仿宋_GB2312" w:hAnsi="宋体" w:eastAsia="仿宋_GB2312"/>
                <w:color w:val="000000"/>
              </w:rPr>
            </w:pPr>
          </w:p>
        </w:tc>
        <w:tc>
          <w:tcPr>
            <w:tcW w:w="889" w:type="dxa"/>
            <w:vAlign w:val="top"/>
          </w:tcPr>
          <w:p>
            <w:pPr>
              <w:spacing w:line="360" w:lineRule="auto"/>
              <w:rPr>
                <w:rFonts w:hint="eastAsia" w:ascii="仿宋_GB2312" w:hAnsi="宋体" w:eastAsia="仿宋_GB2312"/>
                <w:color w:val="000000"/>
              </w:rPr>
            </w:pPr>
          </w:p>
        </w:tc>
        <w:tc>
          <w:tcPr>
            <w:tcW w:w="1451" w:type="dxa"/>
            <w:vAlign w:val="top"/>
          </w:tcPr>
          <w:p>
            <w:pPr>
              <w:spacing w:line="360" w:lineRule="auto"/>
              <w:rPr>
                <w:rFonts w:hint="eastAsia" w:ascii="仿宋_GB2312" w:hAnsi="宋体" w:eastAsia="仿宋_GB2312"/>
                <w:color w:val="000000"/>
              </w:rPr>
            </w:pPr>
          </w:p>
        </w:tc>
        <w:tc>
          <w:tcPr>
            <w:tcW w:w="900" w:type="dxa"/>
            <w:vAlign w:val="top"/>
          </w:tcPr>
          <w:p>
            <w:pPr>
              <w:spacing w:line="360" w:lineRule="auto"/>
              <w:rPr>
                <w:rFonts w:hint="eastAsia" w:ascii="仿宋_GB2312" w:hAnsi="宋体" w:eastAsia="仿宋_GB2312"/>
                <w:color w:val="000000"/>
              </w:rPr>
            </w:pPr>
          </w:p>
        </w:tc>
        <w:tc>
          <w:tcPr>
            <w:tcW w:w="1080" w:type="dxa"/>
            <w:vAlign w:val="top"/>
          </w:tcPr>
          <w:p>
            <w:pPr>
              <w:spacing w:line="360" w:lineRule="auto"/>
              <w:rPr>
                <w:rFonts w:hint="eastAsia" w:ascii="仿宋_GB2312" w:hAnsi="宋体" w:eastAsia="仿宋_GB2312"/>
                <w:color w:val="000000"/>
              </w:rPr>
            </w:pPr>
          </w:p>
        </w:tc>
        <w:tc>
          <w:tcPr>
            <w:tcW w:w="1079" w:type="dxa"/>
            <w:vAlign w:val="top"/>
          </w:tcPr>
          <w:p>
            <w:pPr>
              <w:spacing w:line="360" w:lineRule="auto"/>
              <w:rPr>
                <w:rFonts w:hint="eastAsia" w:ascii="仿宋_GB2312" w:hAnsi="宋体" w:eastAsia="仿宋_GB2312"/>
                <w:color w:val="000000"/>
              </w:rPr>
            </w:pPr>
          </w:p>
        </w:tc>
        <w:tc>
          <w:tcPr>
            <w:tcW w:w="1230" w:type="dxa"/>
            <w:vAlign w:val="top"/>
          </w:tcPr>
          <w:p>
            <w:pPr>
              <w:spacing w:line="360" w:lineRule="auto"/>
              <w:rPr>
                <w:rFonts w:hint="eastAsia" w:ascii="仿宋_GB2312" w:hAnsi="宋体" w:eastAsia="仿宋_GB2312"/>
                <w:color w:val="000000"/>
              </w:rPr>
            </w:pPr>
          </w:p>
        </w:tc>
        <w:tc>
          <w:tcPr>
            <w:tcW w:w="1374" w:type="dxa"/>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vAlign w:val="top"/>
          </w:tcPr>
          <w:p>
            <w:pPr>
              <w:spacing w:line="360" w:lineRule="auto"/>
              <w:rPr>
                <w:rFonts w:hint="eastAsia" w:ascii="仿宋_GB2312" w:hAnsi="宋体" w:eastAsia="仿宋_GB2312"/>
                <w:color w:val="000000"/>
              </w:rPr>
            </w:pPr>
          </w:p>
        </w:tc>
        <w:tc>
          <w:tcPr>
            <w:tcW w:w="726" w:type="dxa"/>
            <w:vAlign w:val="top"/>
          </w:tcPr>
          <w:p>
            <w:pPr>
              <w:spacing w:line="360" w:lineRule="auto"/>
              <w:rPr>
                <w:rFonts w:hint="eastAsia" w:ascii="仿宋_GB2312" w:hAnsi="宋体" w:eastAsia="仿宋_GB2312"/>
                <w:color w:val="000000"/>
              </w:rPr>
            </w:pPr>
          </w:p>
        </w:tc>
        <w:tc>
          <w:tcPr>
            <w:tcW w:w="889" w:type="dxa"/>
            <w:vAlign w:val="top"/>
          </w:tcPr>
          <w:p>
            <w:pPr>
              <w:spacing w:line="360" w:lineRule="auto"/>
              <w:rPr>
                <w:rFonts w:hint="eastAsia" w:ascii="仿宋_GB2312" w:hAnsi="宋体" w:eastAsia="仿宋_GB2312"/>
                <w:color w:val="000000"/>
              </w:rPr>
            </w:pPr>
          </w:p>
        </w:tc>
        <w:tc>
          <w:tcPr>
            <w:tcW w:w="1451" w:type="dxa"/>
            <w:vAlign w:val="top"/>
          </w:tcPr>
          <w:p>
            <w:pPr>
              <w:spacing w:line="360" w:lineRule="auto"/>
              <w:rPr>
                <w:rFonts w:hint="eastAsia" w:ascii="仿宋_GB2312" w:hAnsi="宋体" w:eastAsia="仿宋_GB2312"/>
                <w:color w:val="000000"/>
              </w:rPr>
            </w:pPr>
          </w:p>
        </w:tc>
        <w:tc>
          <w:tcPr>
            <w:tcW w:w="900" w:type="dxa"/>
            <w:vAlign w:val="top"/>
          </w:tcPr>
          <w:p>
            <w:pPr>
              <w:spacing w:line="360" w:lineRule="auto"/>
              <w:rPr>
                <w:rFonts w:hint="eastAsia" w:ascii="仿宋_GB2312" w:hAnsi="宋体" w:eastAsia="仿宋_GB2312"/>
                <w:color w:val="000000"/>
              </w:rPr>
            </w:pPr>
          </w:p>
        </w:tc>
        <w:tc>
          <w:tcPr>
            <w:tcW w:w="1080" w:type="dxa"/>
            <w:vAlign w:val="top"/>
          </w:tcPr>
          <w:p>
            <w:pPr>
              <w:spacing w:line="360" w:lineRule="auto"/>
              <w:rPr>
                <w:rFonts w:hint="eastAsia" w:ascii="仿宋_GB2312" w:hAnsi="宋体" w:eastAsia="仿宋_GB2312"/>
                <w:color w:val="000000"/>
              </w:rPr>
            </w:pPr>
          </w:p>
        </w:tc>
        <w:tc>
          <w:tcPr>
            <w:tcW w:w="1079" w:type="dxa"/>
            <w:vAlign w:val="top"/>
          </w:tcPr>
          <w:p>
            <w:pPr>
              <w:spacing w:line="360" w:lineRule="auto"/>
              <w:rPr>
                <w:rFonts w:hint="eastAsia" w:ascii="仿宋_GB2312" w:hAnsi="宋体" w:eastAsia="仿宋_GB2312"/>
                <w:color w:val="000000"/>
              </w:rPr>
            </w:pPr>
          </w:p>
        </w:tc>
        <w:tc>
          <w:tcPr>
            <w:tcW w:w="1230" w:type="dxa"/>
            <w:vAlign w:val="top"/>
          </w:tcPr>
          <w:p>
            <w:pPr>
              <w:spacing w:line="360" w:lineRule="auto"/>
              <w:rPr>
                <w:rFonts w:hint="eastAsia" w:ascii="仿宋_GB2312" w:hAnsi="宋体" w:eastAsia="仿宋_GB2312"/>
                <w:color w:val="000000"/>
              </w:rPr>
            </w:pPr>
          </w:p>
        </w:tc>
        <w:tc>
          <w:tcPr>
            <w:tcW w:w="1374" w:type="dxa"/>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vAlign w:val="top"/>
          </w:tcPr>
          <w:p>
            <w:pPr>
              <w:spacing w:line="360" w:lineRule="auto"/>
              <w:rPr>
                <w:rFonts w:hint="eastAsia" w:ascii="仿宋_GB2312" w:hAnsi="宋体" w:eastAsia="仿宋_GB2312"/>
                <w:color w:val="000000"/>
              </w:rPr>
            </w:pPr>
          </w:p>
        </w:tc>
        <w:tc>
          <w:tcPr>
            <w:tcW w:w="726" w:type="dxa"/>
            <w:vAlign w:val="top"/>
          </w:tcPr>
          <w:p>
            <w:pPr>
              <w:spacing w:line="360" w:lineRule="auto"/>
              <w:rPr>
                <w:rFonts w:hint="eastAsia" w:ascii="仿宋_GB2312" w:hAnsi="宋体" w:eastAsia="仿宋_GB2312"/>
                <w:color w:val="000000"/>
              </w:rPr>
            </w:pPr>
          </w:p>
        </w:tc>
        <w:tc>
          <w:tcPr>
            <w:tcW w:w="889" w:type="dxa"/>
            <w:vAlign w:val="top"/>
          </w:tcPr>
          <w:p>
            <w:pPr>
              <w:spacing w:line="360" w:lineRule="auto"/>
              <w:rPr>
                <w:rFonts w:hint="eastAsia" w:ascii="仿宋_GB2312" w:hAnsi="宋体" w:eastAsia="仿宋_GB2312"/>
                <w:color w:val="000000"/>
              </w:rPr>
            </w:pPr>
          </w:p>
        </w:tc>
        <w:tc>
          <w:tcPr>
            <w:tcW w:w="1451" w:type="dxa"/>
            <w:vAlign w:val="top"/>
          </w:tcPr>
          <w:p>
            <w:pPr>
              <w:spacing w:line="360" w:lineRule="auto"/>
              <w:rPr>
                <w:rFonts w:hint="eastAsia" w:ascii="仿宋_GB2312" w:hAnsi="宋体" w:eastAsia="仿宋_GB2312"/>
                <w:color w:val="000000"/>
              </w:rPr>
            </w:pPr>
          </w:p>
        </w:tc>
        <w:tc>
          <w:tcPr>
            <w:tcW w:w="900" w:type="dxa"/>
            <w:vAlign w:val="top"/>
          </w:tcPr>
          <w:p>
            <w:pPr>
              <w:spacing w:line="360" w:lineRule="auto"/>
              <w:rPr>
                <w:rFonts w:hint="eastAsia" w:ascii="仿宋_GB2312" w:hAnsi="宋体" w:eastAsia="仿宋_GB2312"/>
                <w:color w:val="000000"/>
              </w:rPr>
            </w:pPr>
          </w:p>
        </w:tc>
        <w:tc>
          <w:tcPr>
            <w:tcW w:w="1080" w:type="dxa"/>
            <w:vAlign w:val="top"/>
          </w:tcPr>
          <w:p>
            <w:pPr>
              <w:spacing w:line="360" w:lineRule="auto"/>
              <w:rPr>
                <w:rFonts w:hint="eastAsia" w:ascii="仿宋_GB2312" w:hAnsi="宋体" w:eastAsia="仿宋_GB2312"/>
                <w:color w:val="000000"/>
              </w:rPr>
            </w:pPr>
          </w:p>
        </w:tc>
        <w:tc>
          <w:tcPr>
            <w:tcW w:w="1079" w:type="dxa"/>
            <w:vAlign w:val="top"/>
          </w:tcPr>
          <w:p>
            <w:pPr>
              <w:spacing w:line="360" w:lineRule="auto"/>
              <w:rPr>
                <w:rFonts w:hint="eastAsia" w:ascii="仿宋_GB2312" w:hAnsi="宋体" w:eastAsia="仿宋_GB2312"/>
                <w:color w:val="000000"/>
              </w:rPr>
            </w:pPr>
          </w:p>
        </w:tc>
        <w:tc>
          <w:tcPr>
            <w:tcW w:w="1230" w:type="dxa"/>
            <w:vAlign w:val="top"/>
          </w:tcPr>
          <w:p>
            <w:pPr>
              <w:spacing w:line="360" w:lineRule="auto"/>
              <w:rPr>
                <w:rFonts w:hint="eastAsia" w:ascii="仿宋_GB2312" w:hAnsi="宋体" w:eastAsia="仿宋_GB2312"/>
                <w:color w:val="000000"/>
              </w:rPr>
            </w:pPr>
          </w:p>
        </w:tc>
        <w:tc>
          <w:tcPr>
            <w:tcW w:w="1374" w:type="dxa"/>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vAlign w:val="top"/>
          </w:tcPr>
          <w:p>
            <w:pPr>
              <w:spacing w:line="360" w:lineRule="auto"/>
              <w:rPr>
                <w:rFonts w:hint="eastAsia" w:ascii="仿宋_GB2312" w:hAnsi="宋体" w:eastAsia="仿宋_GB2312"/>
                <w:color w:val="000000"/>
              </w:rPr>
            </w:pPr>
          </w:p>
        </w:tc>
        <w:tc>
          <w:tcPr>
            <w:tcW w:w="726" w:type="dxa"/>
            <w:vAlign w:val="top"/>
          </w:tcPr>
          <w:p>
            <w:pPr>
              <w:spacing w:line="360" w:lineRule="auto"/>
              <w:rPr>
                <w:rFonts w:hint="eastAsia" w:ascii="仿宋_GB2312" w:hAnsi="宋体" w:eastAsia="仿宋_GB2312"/>
                <w:color w:val="000000"/>
              </w:rPr>
            </w:pPr>
          </w:p>
        </w:tc>
        <w:tc>
          <w:tcPr>
            <w:tcW w:w="889" w:type="dxa"/>
            <w:vAlign w:val="top"/>
          </w:tcPr>
          <w:p>
            <w:pPr>
              <w:spacing w:line="360" w:lineRule="auto"/>
              <w:rPr>
                <w:rFonts w:hint="eastAsia" w:ascii="仿宋_GB2312" w:hAnsi="宋体" w:eastAsia="仿宋_GB2312"/>
                <w:color w:val="000000"/>
              </w:rPr>
            </w:pPr>
          </w:p>
        </w:tc>
        <w:tc>
          <w:tcPr>
            <w:tcW w:w="1451" w:type="dxa"/>
            <w:vAlign w:val="top"/>
          </w:tcPr>
          <w:p>
            <w:pPr>
              <w:spacing w:line="360" w:lineRule="auto"/>
              <w:rPr>
                <w:rFonts w:hint="eastAsia" w:ascii="仿宋_GB2312" w:hAnsi="宋体" w:eastAsia="仿宋_GB2312"/>
                <w:color w:val="000000"/>
              </w:rPr>
            </w:pPr>
          </w:p>
        </w:tc>
        <w:tc>
          <w:tcPr>
            <w:tcW w:w="900" w:type="dxa"/>
            <w:vAlign w:val="top"/>
          </w:tcPr>
          <w:p>
            <w:pPr>
              <w:spacing w:line="360" w:lineRule="auto"/>
              <w:rPr>
                <w:rFonts w:hint="eastAsia" w:ascii="仿宋_GB2312" w:hAnsi="宋体" w:eastAsia="仿宋_GB2312"/>
                <w:color w:val="000000"/>
              </w:rPr>
            </w:pPr>
          </w:p>
        </w:tc>
        <w:tc>
          <w:tcPr>
            <w:tcW w:w="1080" w:type="dxa"/>
            <w:vAlign w:val="top"/>
          </w:tcPr>
          <w:p>
            <w:pPr>
              <w:spacing w:line="360" w:lineRule="auto"/>
              <w:rPr>
                <w:rFonts w:hint="eastAsia" w:ascii="仿宋_GB2312" w:hAnsi="宋体" w:eastAsia="仿宋_GB2312"/>
                <w:color w:val="000000"/>
              </w:rPr>
            </w:pPr>
          </w:p>
        </w:tc>
        <w:tc>
          <w:tcPr>
            <w:tcW w:w="1079" w:type="dxa"/>
            <w:vAlign w:val="top"/>
          </w:tcPr>
          <w:p>
            <w:pPr>
              <w:spacing w:line="360" w:lineRule="auto"/>
              <w:rPr>
                <w:rFonts w:hint="eastAsia" w:ascii="仿宋_GB2312" w:hAnsi="宋体" w:eastAsia="仿宋_GB2312"/>
                <w:color w:val="000000"/>
              </w:rPr>
            </w:pPr>
          </w:p>
        </w:tc>
        <w:tc>
          <w:tcPr>
            <w:tcW w:w="1230" w:type="dxa"/>
            <w:vAlign w:val="top"/>
          </w:tcPr>
          <w:p>
            <w:pPr>
              <w:spacing w:line="360" w:lineRule="auto"/>
              <w:rPr>
                <w:rFonts w:hint="eastAsia" w:ascii="仿宋_GB2312" w:hAnsi="宋体" w:eastAsia="仿宋_GB2312"/>
                <w:color w:val="000000"/>
              </w:rPr>
            </w:pPr>
          </w:p>
        </w:tc>
        <w:tc>
          <w:tcPr>
            <w:tcW w:w="1374" w:type="dxa"/>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vAlign w:val="top"/>
          </w:tcPr>
          <w:p>
            <w:pPr>
              <w:spacing w:line="360" w:lineRule="auto"/>
              <w:rPr>
                <w:rFonts w:hint="eastAsia" w:ascii="仿宋_GB2312" w:hAnsi="宋体" w:eastAsia="仿宋_GB2312"/>
                <w:color w:val="000000"/>
              </w:rPr>
            </w:pPr>
          </w:p>
        </w:tc>
        <w:tc>
          <w:tcPr>
            <w:tcW w:w="726" w:type="dxa"/>
            <w:vAlign w:val="top"/>
          </w:tcPr>
          <w:p>
            <w:pPr>
              <w:spacing w:line="360" w:lineRule="auto"/>
              <w:rPr>
                <w:rFonts w:hint="eastAsia" w:ascii="仿宋_GB2312" w:hAnsi="宋体" w:eastAsia="仿宋_GB2312"/>
                <w:color w:val="000000"/>
              </w:rPr>
            </w:pPr>
          </w:p>
        </w:tc>
        <w:tc>
          <w:tcPr>
            <w:tcW w:w="889" w:type="dxa"/>
            <w:vAlign w:val="top"/>
          </w:tcPr>
          <w:p>
            <w:pPr>
              <w:spacing w:line="360" w:lineRule="auto"/>
              <w:rPr>
                <w:rFonts w:hint="eastAsia" w:ascii="仿宋_GB2312" w:hAnsi="宋体" w:eastAsia="仿宋_GB2312"/>
                <w:color w:val="000000"/>
              </w:rPr>
            </w:pPr>
          </w:p>
        </w:tc>
        <w:tc>
          <w:tcPr>
            <w:tcW w:w="1451" w:type="dxa"/>
            <w:vAlign w:val="top"/>
          </w:tcPr>
          <w:p>
            <w:pPr>
              <w:spacing w:line="360" w:lineRule="auto"/>
              <w:rPr>
                <w:rFonts w:hint="eastAsia" w:ascii="仿宋_GB2312" w:hAnsi="宋体" w:eastAsia="仿宋_GB2312"/>
                <w:color w:val="000000"/>
              </w:rPr>
            </w:pPr>
          </w:p>
        </w:tc>
        <w:tc>
          <w:tcPr>
            <w:tcW w:w="900" w:type="dxa"/>
            <w:vAlign w:val="top"/>
          </w:tcPr>
          <w:p>
            <w:pPr>
              <w:spacing w:line="360" w:lineRule="auto"/>
              <w:rPr>
                <w:rFonts w:hint="eastAsia" w:ascii="仿宋_GB2312" w:hAnsi="宋体" w:eastAsia="仿宋_GB2312"/>
                <w:color w:val="000000"/>
              </w:rPr>
            </w:pPr>
          </w:p>
        </w:tc>
        <w:tc>
          <w:tcPr>
            <w:tcW w:w="1080" w:type="dxa"/>
            <w:vAlign w:val="top"/>
          </w:tcPr>
          <w:p>
            <w:pPr>
              <w:spacing w:line="360" w:lineRule="auto"/>
              <w:rPr>
                <w:rFonts w:hint="eastAsia" w:ascii="仿宋_GB2312" w:hAnsi="宋体" w:eastAsia="仿宋_GB2312"/>
                <w:color w:val="000000"/>
              </w:rPr>
            </w:pPr>
          </w:p>
        </w:tc>
        <w:tc>
          <w:tcPr>
            <w:tcW w:w="1079" w:type="dxa"/>
            <w:vAlign w:val="top"/>
          </w:tcPr>
          <w:p>
            <w:pPr>
              <w:spacing w:line="360" w:lineRule="auto"/>
              <w:rPr>
                <w:rFonts w:hint="eastAsia" w:ascii="仿宋_GB2312" w:hAnsi="宋体" w:eastAsia="仿宋_GB2312"/>
                <w:color w:val="000000"/>
              </w:rPr>
            </w:pPr>
          </w:p>
        </w:tc>
        <w:tc>
          <w:tcPr>
            <w:tcW w:w="1230" w:type="dxa"/>
            <w:vAlign w:val="top"/>
          </w:tcPr>
          <w:p>
            <w:pPr>
              <w:spacing w:line="360" w:lineRule="auto"/>
              <w:rPr>
                <w:rFonts w:hint="eastAsia" w:ascii="仿宋_GB2312" w:hAnsi="宋体" w:eastAsia="仿宋_GB2312"/>
                <w:color w:val="000000"/>
              </w:rPr>
            </w:pPr>
          </w:p>
        </w:tc>
        <w:tc>
          <w:tcPr>
            <w:tcW w:w="1374" w:type="dxa"/>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vAlign w:val="top"/>
          </w:tcPr>
          <w:p>
            <w:pPr>
              <w:spacing w:line="360" w:lineRule="auto"/>
              <w:rPr>
                <w:rFonts w:hint="eastAsia" w:ascii="仿宋_GB2312" w:hAnsi="宋体" w:eastAsia="仿宋_GB2312"/>
                <w:color w:val="000000"/>
              </w:rPr>
            </w:pPr>
          </w:p>
        </w:tc>
        <w:tc>
          <w:tcPr>
            <w:tcW w:w="726" w:type="dxa"/>
            <w:vAlign w:val="top"/>
          </w:tcPr>
          <w:p>
            <w:pPr>
              <w:spacing w:line="360" w:lineRule="auto"/>
              <w:rPr>
                <w:rFonts w:hint="eastAsia" w:ascii="仿宋_GB2312" w:hAnsi="宋体" w:eastAsia="仿宋_GB2312"/>
                <w:color w:val="000000"/>
              </w:rPr>
            </w:pPr>
          </w:p>
        </w:tc>
        <w:tc>
          <w:tcPr>
            <w:tcW w:w="889" w:type="dxa"/>
            <w:vAlign w:val="top"/>
          </w:tcPr>
          <w:p>
            <w:pPr>
              <w:spacing w:line="360" w:lineRule="auto"/>
              <w:rPr>
                <w:rFonts w:hint="eastAsia" w:ascii="仿宋_GB2312" w:hAnsi="宋体" w:eastAsia="仿宋_GB2312"/>
                <w:color w:val="000000"/>
              </w:rPr>
            </w:pPr>
          </w:p>
        </w:tc>
        <w:tc>
          <w:tcPr>
            <w:tcW w:w="1451" w:type="dxa"/>
            <w:vAlign w:val="top"/>
          </w:tcPr>
          <w:p>
            <w:pPr>
              <w:spacing w:line="360" w:lineRule="auto"/>
              <w:rPr>
                <w:rFonts w:hint="eastAsia" w:ascii="仿宋_GB2312" w:hAnsi="宋体" w:eastAsia="仿宋_GB2312"/>
                <w:color w:val="000000"/>
              </w:rPr>
            </w:pPr>
          </w:p>
        </w:tc>
        <w:tc>
          <w:tcPr>
            <w:tcW w:w="900" w:type="dxa"/>
            <w:vAlign w:val="top"/>
          </w:tcPr>
          <w:p>
            <w:pPr>
              <w:spacing w:line="360" w:lineRule="auto"/>
              <w:rPr>
                <w:rFonts w:hint="eastAsia" w:ascii="仿宋_GB2312" w:hAnsi="宋体" w:eastAsia="仿宋_GB2312"/>
                <w:color w:val="000000"/>
              </w:rPr>
            </w:pPr>
          </w:p>
        </w:tc>
        <w:tc>
          <w:tcPr>
            <w:tcW w:w="1080" w:type="dxa"/>
            <w:vAlign w:val="top"/>
          </w:tcPr>
          <w:p>
            <w:pPr>
              <w:spacing w:line="360" w:lineRule="auto"/>
              <w:rPr>
                <w:rFonts w:hint="eastAsia" w:ascii="仿宋_GB2312" w:hAnsi="宋体" w:eastAsia="仿宋_GB2312"/>
                <w:color w:val="000000"/>
              </w:rPr>
            </w:pPr>
          </w:p>
        </w:tc>
        <w:tc>
          <w:tcPr>
            <w:tcW w:w="1079" w:type="dxa"/>
            <w:vAlign w:val="top"/>
          </w:tcPr>
          <w:p>
            <w:pPr>
              <w:spacing w:line="360" w:lineRule="auto"/>
              <w:rPr>
                <w:rFonts w:hint="eastAsia" w:ascii="仿宋_GB2312" w:hAnsi="宋体" w:eastAsia="仿宋_GB2312"/>
                <w:color w:val="000000"/>
              </w:rPr>
            </w:pPr>
          </w:p>
        </w:tc>
        <w:tc>
          <w:tcPr>
            <w:tcW w:w="1230" w:type="dxa"/>
            <w:vAlign w:val="top"/>
          </w:tcPr>
          <w:p>
            <w:pPr>
              <w:spacing w:line="360" w:lineRule="auto"/>
              <w:rPr>
                <w:rFonts w:hint="eastAsia" w:ascii="仿宋_GB2312" w:hAnsi="宋体" w:eastAsia="仿宋_GB2312"/>
                <w:color w:val="000000"/>
              </w:rPr>
            </w:pPr>
          </w:p>
        </w:tc>
        <w:tc>
          <w:tcPr>
            <w:tcW w:w="1374" w:type="dxa"/>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vAlign w:val="top"/>
          </w:tcPr>
          <w:p>
            <w:pPr>
              <w:spacing w:line="360" w:lineRule="auto"/>
              <w:rPr>
                <w:rFonts w:hint="eastAsia" w:ascii="仿宋_GB2312" w:hAnsi="宋体" w:eastAsia="仿宋_GB2312"/>
                <w:color w:val="000000"/>
              </w:rPr>
            </w:pPr>
          </w:p>
        </w:tc>
        <w:tc>
          <w:tcPr>
            <w:tcW w:w="726" w:type="dxa"/>
            <w:vAlign w:val="top"/>
          </w:tcPr>
          <w:p>
            <w:pPr>
              <w:spacing w:line="360" w:lineRule="auto"/>
              <w:rPr>
                <w:rFonts w:hint="eastAsia" w:ascii="仿宋_GB2312" w:hAnsi="宋体" w:eastAsia="仿宋_GB2312"/>
                <w:color w:val="000000"/>
              </w:rPr>
            </w:pPr>
          </w:p>
        </w:tc>
        <w:tc>
          <w:tcPr>
            <w:tcW w:w="889" w:type="dxa"/>
            <w:vAlign w:val="top"/>
          </w:tcPr>
          <w:p>
            <w:pPr>
              <w:spacing w:line="360" w:lineRule="auto"/>
              <w:rPr>
                <w:rFonts w:hint="eastAsia" w:ascii="仿宋_GB2312" w:hAnsi="宋体" w:eastAsia="仿宋_GB2312"/>
                <w:color w:val="000000"/>
              </w:rPr>
            </w:pPr>
          </w:p>
        </w:tc>
        <w:tc>
          <w:tcPr>
            <w:tcW w:w="1451" w:type="dxa"/>
            <w:vAlign w:val="top"/>
          </w:tcPr>
          <w:p>
            <w:pPr>
              <w:spacing w:line="360" w:lineRule="auto"/>
              <w:rPr>
                <w:rFonts w:hint="eastAsia" w:ascii="仿宋_GB2312" w:hAnsi="宋体" w:eastAsia="仿宋_GB2312"/>
                <w:color w:val="000000"/>
              </w:rPr>
            </w:pPr>
          </w:p>
        </w:tc>
        <w:tc>
          <w:tcPr>
            <w:tcW w:w="900" w:type="dxa"/>
            <w:vAlign w:val="top"/>
          </w:tcPr>
          <w:p>
            <w:pPr>
              <w:spacing w:line="360" w:lineRule="auto"/>
              <w:rPr>
                <w:rFonts w:hint="eastAsia" w:ascii="仿宋_GB2312" w:hAnsi="宋体" w:eastAsia="仿宋_GB2312"/>
                <w:color w:val="000000"/>
              </w:rPr>
            </w:pPr>
          </w:p>
        </w:tc>
        <w:tc>
          <w:tcPr>
            <w:tcW w:w="1080" w:type="dxa"/>
            <w:vAlign w:val="top"/>
          </w:tcPr>
          <w:p>
            <w:pPr>
              <w:spacing w:line="360" w:lineRule="auto"/>
              <w:rPr>
                <w:rFonts w:hint="eastAsia" w:ascii="仿宋_GB2312" w:hAnsi="宋体" w:eastAsia="仿宋_GB2312"/>
                <w:color w:val="000000"/>
              </w:rPr>
            </w:pPr>
          </w:p>
        </w:tc>
        <w:tc>
          <w:tcPr>
            <w:tcW w:w="1079" w:type="dxa"/>
            <w:vAlign w:val="top"/>
          </w:tcPr>
          <w:p>
            <w:pPr>
              <w:spacing w:line="360" w:lineRule="auto"/>
              <w:rPr>
                <w:rFonts w:hint="eastAsia" w:ascii="仿宋_GB2312" w:hAnsi="宋体" w:eastAsia="仿宋_GB2312"/>
                <w:color w:val="000000"/>
              </w:rPr>
            </w:pPr>
          </w:p>
        </w:tc>
        <w:tc>
          <w:tcPr>
            <w:tcW w:w="1230" w:type="dxa"/>
            <w:vAlign w:val="top"/>
          </w:tcPr>
          <w:p>
            <w:pPr>
              <w:spacing w:line="360" w:lineRule="auto"/>
              <w:rPr>
                <w:rFonts w:hint="eastAsia" w:ascii="仿宋_GB2312" w:hAnsi="宋体" w:eastAsia="仿宋_GB2312"/>
                <w:color w:val="000000"/>
              </w:rPr>
            </w:pPr>
          </w:p>
        </w:tc>
        <w:tc>
          <w:tcPr>
            <w:tcW w:w="1374" w:type="dxa"/>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vAlign w:val="top"/>
          </w:tcPr>
          <w:p>
            <w:pPr>
              <w:spacing w:line="360" w:lineRule="auto"/>
              <w:rPr>
                <w:rFonts w:hint="eastAsia" w:ascii="仿宋_GB2312" w:hAnsi="宋体" w:eastAsia="仿宋_GB2312"/>
                <w:color w:val="000000"/>
              </w:rPr>
            </w:pPr>
          </w:p>
        </w:tc>
        <w:tc>
          <w:tcPr>
            <w:tcW w:w="726" w:type="dxa"/>
            <w:vAlign w:val="top"/>
          </w:tcPr>
          <w:p>
            <w:pPr>
              <w:spacing w:line="360" w:lineRule="auto"/>
              <w:rPr>
                <w:rFonts w:hint="eastAsia" w:ascii="仿宋_GB2312" w:hAnsi="宋体" w:eastAsia="仿宋_GB2312"/>
                <w:color w:val="000000"/>
              </w:rPr>
            </w:pPr>
          </w:p>
        </w:tc>
        <w:tc>
          <w:tcPr>
            <w:tcW w:w="889" w:type="dxa"/>
            <w:vAlign w:val="top"/>
          </w:tcPr>
          <w:p>
            <w:pPr>
              <w:spacing w:line="360" w:lineRule="auto"/>
              <w:rPr>
                <w:rFonts w:hint="eastAsia" w:ascii="仿宋_GB2312" w:hAnsi="宋体" w:eastAsia="仿宋_GB2312"/>
                <w:color w:val="000000"/>
              </w:rPr>
            </w:pPr>
          </w:p>
        </w:tc>
        <w:tc>
          <w:tcPr>
            <w:tcW w:w="1451" w:type="dxa"/>
            <w:vAlign w:val="top"/>
          </w:tcPr>
          <w:p>
            <w:pPr>
              <w:spacing w:line="360" w:lineRule="auto"/>
              <w:rPr>
                <w:rFonts w:hint="eastAsia" w:ascii="仿宋_GB2312" w:hAnsi="宋体" w:eastAsia="仿宋_GB2312"/>
                <w:color w:val="000000"/>
              </w:rPr>
            </w:pPr>
          </w:p>
        </w:tc>
        <w:tc>
          <w:tcPr>
            <w:tcW w:w="900" w:type="dxa"/>
            <w:vAlign w:val="top"/>
          </w:tcPr>
          <w:p>
            <w:pPr>
              <w:spacing w:line="360" w:lineRule="auto"/>
              <w:rPr>
                <w:rFonts w:hint="eastAsia" w:ascii="仿宋_GB2312" w:hAnsi="宋体" w:eastAsia="仿宋_GB2312"/>
                <w:color w:val="000000"/>
              </w:rPr>
            </w:pPr>
          </w:p>
        </w:tc>
        <w:tc>
          <w:tcPr>
            <w:tcW w:w="1080" w:type="dxa"/>
            <w:vAlign w:val="top"/>
          </w:tcPr>
          <w:p>
            <w:pPr>
              <w:spacing w:line="360" w:lineRule="auto"/>
              <w:rPr>
                <w:rFonts w:hint="eastAsia" w:ascii="仿宋_GB2312" w:hAnsi="宋体" w:eastAsia="仿宋_GB2312"/>
                <w:color w:val="000000"/>
              </w:rPr>
            </w:pPr>
          </w:p>
        </w:tc>
        <w:tc>
          <w:tcPr>
            <w:tcW w:w="1079" w:type="dxa"/>
            <w:vAlign w:val="top"/>
          </w:tcPr>
          <w:p>
            <w:pPr>
              <w:spacing w:line="360" w:lineRule="auto"/>
              <w:rPr>
                <w:rFonts w:hint="eastAsia" w:ascii="仿宋_GB2312" w:hAnsi="宋体" w:eastAsia="仿宋_GB2312"/>
                <w:color w:val="000000"/>
              </w:rPr>
            </w:pPr>
          </w:p>
        </w:tc>
        <w:tc>
          <w:tcPr>
            <w:tcW w:w="1230" w:type="dxa"/>
            <w:vAlign w:val="top"/>
          </w:tcPr>
          <w:p>
            <w:pPr>
              <w:spacing w:line="360" w:lineRule="auto"/>
              <w:rPr>
                <w:rFonts w:hint="eastAsia" w:ascii="仿宋_GB2312" w:hAnsi="宋体" w:eastAsia="仿宋_GB2312"/>
                <w:color w:val="000000"/>
              </w:rPr>
            </w:pPr>
          </w:p>
        </w:tc>
        <w:tc>
          <w:tcPr>
            <w:tcW w:w="1374" w:type="dxa"/>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vAlign w:val="top"/>
          </w:tcPr>
          <w:p>
            <w:pPr>
              <w:spacing w:line="360" w:lineRule="auto"/>
              <w:rPr>
                <w:rFonts w:hint="eastAsia" w:ascii="仿宋_GB2312" w:hAnsi="宋体" w:eastAsia="仿宋_GB2312"/>
                <w:color w:val="000000"/>
              </w:rPr>
            </w:pPr>
          </w:p>
        </w:tc>
        <w:tc>
          <w:tcPr>
            <w:tcW w:w="726" w:type="dxa"/>
            <w:vAlign w:val="top"/>
          </w:tcPr>
          <w:p>
            <w:pPr>
              <w:spacing w:line="360" w:lineRule="auto"/>
              <w:rPr>
                <w:rFonts w:hint="eastAsia" w:ascii="仿宋_GB2312" w:hAnsi="宋体" w:eastAsia="仿宋_GB2312"/>
                <w:color w:val="000000"/>
              </w:rPr>
            </w:pPr>
          </w:p>
        </w:tc>
        <w:tc>
          <w:tcPr>
            <w:tcW w:w="889" w:type="dxa"/>
            <w:vAlign w:val="top"/>
          </w:tcPr>
          <w:p>
            <w:pPr>
              <w:spacing w:line="360" w:lineRule="auto"/>
              <w:rPr>
                <w:rFonts w:hint="eastAsia" w:ascii="仿宋_GB2312" w:hAnsi="宋体" w:eastAsia="仿宋_GB2312"/>
                <w:color w:val="000000"/>
              </w:rPr>
            </w:pPr>
          </w:p>
        </w:tc>
        <w:tc>
          <w:tcPr>
            <w:tcW w:w="1451" w:type="dxa"/>
            <w:vAlign w:val="top"/>
          </w:tcPr>
          <w:p>
            <w:pPr>
              <w:spacing w:line="360" w:lineRule="auto"/>
              <w:rPr>
                <w:rFonts w:hint="eastAsia" w:ascii="仿宋_GB2312" w:hAnsi="宋体" w:eastAsia="仿宋_GB2312"/>
                <w:color w:val="000000"/>
              </w:rPr>
            </w:pPr>
          </w:p>
        </w:tc>
        <w:tc>
          <w:tcPr>
            <w:tcW w:w="900" w:type="dxa"/>
            <w:vAlign w:val="top"/>
          </w:tcPr>
          <w:p>
            <w:pPr>
              <w:spacing w:line="360" w:lineRule="auto"/>
              <w:rPr>
                <w:rFonts w:hint="eastAsia" w:ascii="仿宋_GB2312" w:hAnsi="宋体" w:eastAsia="仿宋_GB2312"/>
                <w:color w:val="000000"/>
              </w:rPr>
            </w:pPr>
          </w:p>
        </w:tc>
        <w:tc>
          <w:tcPr>
            <w:tcW w:w="1080" w:type="dxa"/>
            <w:vAlign w:val="top"/>
          </w:tcPr>
          <w:p>
            <w:pPr>
              <w:spacing w:line="360" w:lineRule="auto"/>
              <w:rPr>
                <w:rFonts w:hint="eastAsia" w:ascii="仿宋_GB2312" w:hAnsi="宋体" w:eastAsia="仿宋_GB2312"/>
                <w:color w:val="000000"/>
              </w:rPr>
            </w:pPr>
          </w:p>
        </w:tc>
        <w:tc>
          <w:tcPr>
            <w:tcW w:w="1079" w:type="dxa"/>
            <w:vAlign w:val="top"/>
          </w:tcPr>
          <w:p>
            <w:pPr>
              <w:spacing w:line="360" w:lineRule="auto"/>
              <w:rPr>
                <w:rFonts w:hint="eastAsia" w:ascii="仿宋_GB2312" w:hAnsi="宋体" w:eastAsia="仿宋_GB2312"/>
                <w:color w:val="000000"/>
              </w:rPr>
            </w:pPr>
          </w:p>
        </w:tc>
        <w:tc>
          <w:tcPr>
            <w:tcW w:w="1230" w:type="dxa"/>
            <w:vAlign w:val="top"/>
          </w:tcPr>
          <w:p>
            <w:pPr>
              <w:spacing w:line="360" w:lineRule="auto"/>
              <w:rPr>
                <w:rFonts w:hint="eastAsia" w:ascii="仿宋_GB2312" w:hAnsi="宋体" w:eastAsia="仿宋_GB2312"/>
                <w:color w:val="000000"/>
              </w:rPr>
            </w:pPr>
          </w:p>
        </w:tc>
        <w:tc>
          <w:tcPr>
            <w:tcW w:w="1374" w:type="dxa"/>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vAlign w:val="top"/>
          </w:tcPr>
          <w:p>
            <w:pPr>
              <w:spacing w:line="360" w:lineRule="auto"/>
              <w:rPr>
                <w:rFonts w:hint="eastAsia" w:ascii="仿宋_GB2312" w:hAnsi="宋体" w:eastAsia="仿宋_GB2312"/>
                <w:color w:val="000000"/>
              </w:rPr>
            </w:pPr>
          </w:p>
        </w:tc>
        <w:tc>
          <w:tcPr>
            <w:tcW w:w="726" w:type="dxa"/>
            <w:vAlign w:val="top"/>
          </w:tcPr>
          <w:p>
            <w:pPr>
              <w:spacing w:line="360" w:lineRule="auto"/>
              <w:rPr>
                <w:rFonts w:hint="eastAsia" w:ascii="仿宋_GB2312" w:hAnsi="宋体" w:eastAsia="仿宋_GB2312"/>
                <w:color w:val="000000"/>
              </w:rPr>
            </w:pPr>
          </w:p>
        </w:tc>
        <w:tc>
          <w:tcPr>
            <w:tcW w:w="889" w:type="dxa"/>
            <w:vAlign w:val="top"/>
          </w:tcPr>
          <w:p>
            <w:pPr>
              <w:spacing w:line="360" w:lineRule="auto"/>
              <w:rPr>
                <w:rFonts w:hint="eastAsia" w:ascii="仿宋_GB2312" w:hAnsi="宋体" w:eastAsia="仿宋_GB2312"/>
                <w:color w:val="000000"/>
              </w:rPr>
            </w:pPr>
          </w:p>
        </w:tc>
        <w:tc>
          <w:tcPr>
            <w:tcW w:w="1451" w:type="dxa"/>
            <w:vAlign w:val="top"/>
          </w:tcPr>
          <w:p>
            <w:pPr>
              <w:spacing w:line="360" w:lineRule="auto"/>
              <w:rPr>
                <w:rFonts w:hint="eastAsia" w:ascii="仿宋_GB2312" w:hAnsi="宋体" w:eastAsia="仿宋_GB2312"/>
                <w:color w:val="000000"/>
              </w:rPr>
            </w:pPr>
          </w:p>
        </w:tc>
        <w:tc>
          <w:tcPr>
            <w:tcW w:w="900" w:type="dxa"/>
            <w:vAlign w:val="top"/>
          </w:tcPr>
          <w:p>
            <w:pPr>
              <w:spacing w:line="360" w:lineRule="auto"/>
              <w:rPr>
                <w:rFonts w:hint="eastAsia" w:ascii="仿宋_GB2312" w:hAnsi="宋体" w:eastAsia="仿宋_GB2312"/>
                <w:color w:val="000000"/>
              </w:rPr>
            </w:pPr>
          </w:p>
        </w:tc>
        <w:tc>
          <w:tcPr>
            <w:tcW w:w="1080" w:type="dxa"/>
            <w:vAlign w:val="top"/>
          </w:tcPr>
          <w:p>
            <w:pPr>
              <w:spacing w:line="360" w:lineRule="auto"/>
              <w:rPr>
                <w:rFonts w:hint="eastAsia" w:ascii="仿宋_GB2312" w:hAnsi="宋体" w:eastAsia="仿宋_GB2312"/>
                <w:color w:val="000000"/>
              </w:rPr>
            </w:pPr>
          </w:p>
        </w:tc>
        <w:tc>
          <w:tcPr>
            <w:tcW w:w="1079" w:type="dxa"/>
            <w:vAlign w:val="top"/>
          </w:tcPr>
          <w:p>
            <w:pPr>
              <w:spacing w:line="360" w:lineRule="auto"/>
              <w:rPr>
                <w:rFonts w:hint="eastAsia" w:ascii="仿宋_GB2312" w:hAnsi="宋体" w:eastAsia="仿宋_GB2312"/>
                <w:color w:val="000000"/>
              </w:rPr>
            </w:pPr>
          </w:p>
        </w:tc>
        <w:tc>
          <w:tcPr>
            <w:tcW w:w="1230" w:type="dxa"/>
            <w:vAlign w:val="top"/>
          </w:tcPr>
          <w:p>
            <w:pPr>
              <w:spacing w:line="360" w:lineRule="auto"/>
              <w:rPr>
                <w:rFonts w:hint="eastAsia" w:ascii="仿宋_GB2312" w:hAnsi="宋体" w:eastAsia="仿宋_GB2312"/>
                <w:color w:val="000000"/>
              </w:rPr>
            </w:pPr>
          </w:p>
        </w:tc>
        <w:tc>
          <w:tcPr>
            <w:tcW w:w="1374" w:type="dxa"/>
            <w:vAlign w:val="top"/>
          </w:tcPr>
          <w:p>
            <w:pPr>
              <w:spacing w:line="360" w:lineRule="auto"/>
              <w:rPr>
                <w:rFonts w:hint="eastAsia" w:ascii="仿宋_GB2312" w:hAnsi="宋体" w:eastAsia="仿宋_GB2312"/>
                <w:color w:val="000000"/>
              </w:rPr>
            </w:pPr>
          </w:p>
        </w:tc>
      </w:tr>
    </w:tbl>
    <w:p>
      <w:pPr>
        <w:spacing w:line="360" w:lineRule="auto"/>
        <w:rPr>
          <w:rFonts w:hint="eastAsia" w:ascii="仿宋_GB2312" w:hAnsi="宋体" w:eastAsia="仿宋_GB2312"/>
          <w:color w:val="000000"/>
        </w:rPr>
      </w:pPr>
    </w:p>
    <w:p>
      <w:pPr>
        <w:spacing w:line="400" w:lineRule="exact"/>
        <w:ind w:firstLine="440" w:firstLineChars="200"/>
        <w:rPr>
          <w:rFonts w:hint="eastAsia" w:ascii="仿宋_GB2312" w:hAnsi="宋体" w:eastAsia="仿宋_GB2312"/>
          <w:color w:val="000000"/>
        </w:rPr>
      </w:pPr>
      <w:r>
        <w:rPr>
          <w:rFonts w:hint="eastAsia" w:ascii="仿宋_GB2312" w:hAnsi="宋体" w:eastAsia="仿宋_GB2312"/>
          <w:color w:val="000000"/>
        </w:rPr>
        <w:t>注：1、该表应包含派往本工程的项目负责人、 专业负责人等主要人员。</w:t>
      </w:r>
    </w:p>
    <w:p>
      <w:pPr>
        <w:spacing w:line="400" w:lineRule="exact"/>
        <w:ind w:firstLine="440" w:firstLineChars="200"/>
        <w:rPr>
          <w:rFonts w:hint="eastAsia" w:ascii="仿宋_GB2312" w:hAnsi="宋体" w:eastAsia="仿宋_GB2312"/>
          <w:color w:val="000000"/>
        </w:rPr>
      </w:pPr>
      <w:r>
        <w:rPr>
          <w:rFonts w:hint="eastAsia" w:ascii="仿宋_GB2312" w:hAnsi="宋体" w:eastAsia="仿宋_GB2312"/>
          <w:color w:val="000000"/>
        </w:rPr>
        <w:t xml:space="preserve">    2、投标人应充分考虑项目实际情况配备足够的专业人员，在合同实施过程中，人员有增加时，不另行增加费用。</w:t>
      </w:r>
    </w:p>
    <w:p>
      <w:pPr>
        <w:spacing w:line="360" w:lineRule="auto"/>
        <w:ind w:firstLine="440" w:firstLineChars="200"/>
        <w:rPr>
          <w:rFonts w:hint="eastAsia" w:ascii="仿宋_GB2312" w:hAnsi="宋体" w:eastAsia="仿宋_GB2312"/>
          <w:color w:val="000000"/>
        </w:rPr>
        <w:sectPr>
          <w:endnotePr>
            <w:numFmt w:val="decimal"/>
          </w:endnotePr>
          <w:pgSz w:w="11906" w:h="16838"/>
          <w:pgMar w:top="1247" w:right="1247" w:bottom="1247" w:left="1361" w:header="851" w:footer="992" w:gutter="0"/>
          <w:cols w:space="720" w:num="1"/>
          <w:rtlGutter w:val="0"/>
          <w:docGrid w:type="linesAndChars" w:linePitch="312" w:charSpace="0"/>
        </w:sectPr>
      </w:pPr>
    </w:p>
    <w:p>
      <w:pPr>
        <w:pStyle w:val="4"/>
        <w:jc w:val="center"/>
        <w:rPr>
          <w:rFonts w:hint="eastAsia" w:ascii="仿宋_GB2312" w:hAnsi="宋体" w:eastAsia="仿宋_GB2312"/>
          <w:color w:val="000000"/>
        </w:rPr>
      </w:pPr>
      <w:bookmarkStart w:id="101" w:name="_Toc185047531"/>
      <w:r>
        <w:rPr>
          <w:rFonts w:hint="eastAsia" w:ascii="仿宋_GB2312" w:hAnsi="宋体" w:eastAsia="仿宋_GB2312"/>
          <w:color w:val="000000"/>
        </w:rPr>
        <w:t>（四）主要人员简历表</w:t>
      </w:r>
      <w:bookmarkEnd w:id="101"/>
    </w:p>
    <w:p>
      <w:pPr>
        <w:spacing w:line="360" w:lineRule="auto"/>
        <w:rPr>
          <w:rFonts w:hint="eastAsia" w:ascii="仿宋_GB2312" w:hAnsi="宋体" w:eastAsia="仿宋_GB2312"/>
          <w:color w:val="000000"/>
        </w:rPr>
      </w:pPr>
    </w:p>
    <w:tbl>
      <w:tblPr>
        <w:tblStyle w:val="10"/>
        <w:tblW w:w="95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615" w:type="dxa"/>
            <w:gridSpan w:val="2"/>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姓名</w:t>
            </w:r>
          </w:p>
        </w:tc>
        <w:tc>
          <w:tcPr>
            <w:tcW w:w="1625" w:type="dxa"/>
            <w:vAlign w:val="top"/>
          </w:tcPr>
          <w:p>
            <w:pPr>
              <w:spacing w:line="360" w:lineRule="auto"/>
              <w:rPr>
                <w:rFonts w:hint="eastAsia" w:ascii="仿宋_GB2312" w:hAnsi="宋体" w:eastAsia="仿宋_GB2312"/>
                <w:color w:val="000000"/>
              </w:rPr>
            </w:pPr>
          </w:p>
        </w:tc>
        <w:tc>
          <w:tcPr>
            <w:tcW w:w="1080" w:type="dxa"/>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年龄</w:t>
            </w:r>
          </w:p>
        </w:tc>
        <w:tc>
          <w:tcPr>
            <w:tcW w:w="1440" w:type="dxa"/>
            <w:gridSpan w:val="2"/>
            <w:vAlign w:val="top"/>
          </w:tcPr>
          <w:p>
            <w:pPr>
              <w:spacing w:line="360" w:lineRule="auto"/>
              <w:rPr>
                <w:rFonts w:hint="eastAsia" w:ascii="仿宋_GB2312" w:hAnsi="宋体" w:eastAsia="仿宋_GB2312"/>
                <w:color w:val="000000"/>
              </w:rPr>
            </w:pPr>
          </w:p>
        </w:tc>
        <w:tc>
          <w:tcPr>
            <w:tcW w:w="1980" w:type="dxa"/>
            <w:gridSpan w:val="2"/>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学          历</w:t>
            </w:r>
          </w:p>
        </w:tc>
        <w:tc>
          <w:tcPr>
            <w:tcW w:w="1789" w:type="dxa"/>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5" w:type="dxa"/>
            <w:gridSpan w:val="2"/>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职称</w:t>
            </w:r>
          </w:p>
        </w:tc>
        <w:tc>
          <w:tcPr>
            <w:tcW w:w="1625" w:type="dxa"/>
            <w:vAlign w:val="top"/>
          </w:tcPr>
          <w:p>
            <w:pPr>
              <w:spacing w:line="360" w:lineRule="auto"/>
              <w:rPr>
                <w:rFonts w:hint="eastAsia" w:ascii="仿宋_GB2312" w:hAnsi="宋体" w:eastAsia="仿宋_GB2312"/>
                <w:color w:val="000000"/>
              </w:rPr>
            </w:pPr>
          </w:p>
        </w:tc>
        <w:tc>
          <w:tcPr>
            <w:tcW w:w="1080" w:type="dxa"/>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职务</w:t>
            </w:r>
          </w:p>
        </w:tc>
        <w:tc>
          <w:tcPr>
            <w:tcW w:w="1440" w:type="dxa"/>
            <w:gridSpan w:val="2"/>
            <w:vAlign w:val="top"/>
          </w:tcPr>
          <w:p>
            <w:pPr>
              <w:spacing w:line="360" w:lineRule="auto"/>
              <w:rPr>
                <w:rFonts w:hint="eastAsia" w:ascii="仿宋_GB2312" w:hAnsi="宋体" w:eastAsia="仿宋_GB2312"/>
                <w:color w:val="000000"/>
              </w:rPr>
            </w:pPr>
          </w:p>
        </w:tc>
        <w:tc>
          <w:tcPr>
            <w:tcW w:w="1980" w:type="dxa"/>
            <w:gridSpan w:val="2"/>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拟在本合同工程</w:t>
            </w:r>
          </w:p>
          <w:p>
            <w:pPr>
              <w:spacing w:line="360" w:lineRule="auto"/>
              <w:jc w:val="center"/>
              <w:rPr>
                <w:rFonts w:hint="eastAsia" w:ascii="仿宋_GB2312" w:hAnsi="宋体" w:eastAsia="仿宋_GB2312"/>
                <w:color w:val="000000"/>
              </w:rPr>
            </w:pPr>
            <w:r>
              <w:rPr>
                <w:rFonts w:hint="eastAsia" w:ascii="仿宋_GB2312" w:hAnsi="宋体" w:eastAsia="仿宋_GB2312"/>
                <w:color w:val="000000"/>
              </w:rPr>
              <w:t>设计中担任职务</w:t>
            </w:r>
          </w:p>
        </w:tc>
        <w:tc>
          <w:tcPr>
            <w:tcW w:w="1789" w:type="dxa"/>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毕业学校</w:t>
            </w:r>
          </w:p>
        </w:tc>
        <w:tc>
          <w:tcPr>
            <w:tcW w:w="7914" w:type="dxa"/>
            <w:gridSpan w:val="7"/>
            <w:vAlign w:val="top"/>
          </w:tcPr>
          <w:p>
            <w:pPr>
              <w:spacing w:line="360" w:lineRule="auto"/>
              <w:ind w:firstLine="550" w:firstLineChars="250"/>
              <w:rPr>
                <w:rFonts w:hint="eastAsia" w:ascii="仿宋_GB2312" w:hAnsi="宋体" w:eastAsia="仿宋_GB2312"/>
                <w:color w:val="000000"/>
              </w:rPr>
            </w:pPr>
            <w:r>
              <w:rPr>
                <w:rFonts w:hint="eastAsia" w:ascii="仿宋_GB2312" w:hAnsi="宋体" w:eastAsia="仿宋_GB2312"/>
                <w:color w:val="000000"/>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9" w:type="dxa"/>
            <w:gridSpan w:val="9"/>
            <w:vAlign w:val="top"/>
          </w:tcPr>
          <w:p>
            <w:pPr>
              <w:spacing w:line="360" w:lineRule="auto"/>
              <w:ind w:firstLine="4400" w:firstLineChars="2000"/>
              <w:rPr>
                <w:rFonts w:hint="eastAsia" w:ascii="仿宋_GB2312" w:hAnsi="宋体" w:eastAsia="仿宋_GB2312"/>
                <w:color w:val="000000"/>
              </w:rPr>
            </w:pPr>
            <w:r>
              <w:rPr>
                <w:rFonts w:hint="eastAsia" w:ascii="仿宋_GB2312" w:hAnsi="宋体" w:eastAsia="仿宋_GB2312"/>
                <w:color w:val="000000"/>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时间</w:t>
            </w:r>
          </w:p>
        </w:tc>
        <w:tc>
          <w:tcPr>
            <w:tcW w:w="3960" w:type="dxa"/>
            <w:gridSpan w:val="4"/>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参加过的类似项目</w:t>
            </w:r>
          </w:p>
        </w:tc>
        <w:tc>
          <w:tcPr>
            <w:tcW w:w="1792" w:type="dxa"/>
            <w:gridSpan w:val="2"/>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担任职务</w:t>
            </w:r>
          </w:p>
        </w:tc>
        <w:tc>
          <w:tcPr>
            <w:tcW w:w="2517" w:type="dxa"/>
            <w:gridSpan w:val="2"/>
            <w:vAlign w:val="center"/>
          </w:tcPr>
          <w:p>
            <w:pPr>
              <w:spacing w:line="360" w:lineRule="auto"/>
              <w:jc w:val="center"/>
              <w:rPr>
                <w:rFonts w:hint="eastAsia" w:ascii="仿宋_GB2312" w:hAnsi="宋体" w:eastAsia="仿宋_GB2312"/>
                <w:color w:val="000000"/>
              </w:rPr>
            </w:pPr>
            <w:r>
              <w:rPr>
                <w:rFonts w:hint="eastAsia" w:ascii="仿宋_GB2312" w:hAnsi="宋体" w:eastAsia="仿宋_GB2312"/>
                <w:color w:val="000000"/>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Align w:val="top"/>
          </w:tcPr>
          <w:p>
            <w:pPr>
              <w:spacing w:line="360" w:lineRule="auto"/>
              <w:rPr>
                <w:rFonts w:hint="eastAsia" w:ascii="仿宋_GB2312" w:hAnsi="宋体" w:eastAsia="仿宋_GB2312"/>
                <w:color w:val="000000"/>
              </w:rPr>
            </w:pPr>
          </w:p>
        </w:tc>
        <w:tc>
          <w:tcPr>
            <w:tcW w:w="3960" w:type="dxa"/>
            <w:gridSpan w:val="4"/>
            <w:vAlign w:val="top"/>
          </w:tcPr>
          <w:p>
            <w:pPr>
              <w:spacing w:line="360" w:lineRule="auto"/>
              <w:rPr>
                <w:rFonts w:hint="eastAsia" w:ascii="仿宋_GB2312" w:hAnsi="宋体" w:eastAsia="仿宋_GB2312"/>
                <w:color w:val="000000"/>
              </w:rPr>
            </w:pPr>
          </w:p>
        </w:tc>
        <w:tc>
          <w:tcPr>
            <w:tcW w:w="1792" w:type="dxa"/>
            <w:gridSpan w:val="2"/>
            <w:vAlign w:val="top"/>
          </w:tcPr>
          <w:p>
            <w:pPr>
              <w:spacing w:line="360" w:lineRule="auto"/>
              <w:rPr>
                <w:rFonts w:hint="eastAsia" w:ascii="仿宋_GB2312" w:hAnsi="宋体" w:eastAsia="仿宋_GB2312"/>
                <w:color w:val="000000"/>
              </w:rPr>
            </w:pPr>
          </w:p>
        </w:tc>
        <w:tc>
          <w:tcPr>
            <w:tcW w:w="2517" w:type="dxa"/>
            <w:gridSpan w:val="2"/>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vAlign w:val="top"/>
          </w:tcPr>
          <w:p>
            <w:pPr>
              <w:spacing w:line="360" w:lineRule="auto"/>
              <w:rPr>
                <w:rFonts w:hint="eastAsia" w:ascii="仿宋_GB2312" w:hAnsi="宋体" w:eastAsia="仿宋_GB2312"/>
                <w:color w:val="000000"/>
              </w:rPr>
            </w:pPr>
          </w:p>
        </w:tc>
        <w:tc>
          <w:tcPr>
            <w:tcW w:w="3960" w:type="dxa"/>
            <w:gridSpan w:val="4"/>
            <w:vAlign w:val="top"/>
          </w:tcPr>
          <w:p>
            <w:pPr>
              <w:spacing w:line="360" w:lineRule="auto"/>
              <w:rPr>
                <w:rFonts w:hint="eastAsia" w:ascii="仿宋_GB2312" w:hAnsi="宋体" w:eastAsia="仿宋_GB2312"/>
                <w:color w:val="000000"/>
              </w:rPr>
            </w:pPr>
          </w:p>
        </w:tc>
        <w:tc>
          <w:tcPr>
            <w:tcW w:w="1792" w:type="dxa"/>
            <w:gridSpan w:val="2"/>
            <w:vAlign w:val="top"/>
          </w:tcPr>
          <w:p>
            <w:pPr>
              <w:spacing w:line="360" w:lineRule="auto"/>
              <w:rPr>
                <w:rFonts w:hint="eastAsia" w:ascii="仿宋_GB2312" w:hAnsi="宋体" w:eastAsia="仿宋_GB2312"/>
                <w:color w:val="000000"/>
              </w:rPr>
            </w:pPr>
          </w:p>
        </w:tc>
        <w:tc>
          <w:tcPr>
            <w:tcW w:w="2517" w:type="dxa"/>
            <w:gridSpan w:val="2"/>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0" w:type="dxa"/>
            <w:vAlign w:val="top"/>
          </w:tcPr>
          <w:p>
            <w:pPr>
              <w:spacing w:line="360" w:lineRule="auto"/>
              <w:rPr>
                <w:rFonts w:hint="eastAsia" w:ascii="仿宋_GB2312" w:hAnsi="宋体" w:eastAsia="仿宋_GB2312"/>
                <w:color w:val="000000"/>
              </w:rPr>
            </w:pPr>
          </w:p>
        </w:tc>
        <w:tc>
          <w:tcPr>
            <w:tcW w:w="3960" w:type="dxa"/>
            <w:gridSpan w:val="4"/>
            <w:vAlign w:val="top"/>
          </w:tcPr>
          <w:p>
            <w:pPr>
              <w:spacing w:line="360" w:lineRule="auto"/>
              <w:rPr>
                <w:rFonts w:hint="eastAsia" w:ascii="仿宋_GB2312" w:hAnsi="宋体" w:eastAsia="仿宋_GB2312"/>
                <w:color w:val="000000"/>
              </w:rPr>
            </w:pPr>
          </w:p>
        </w:tc>
        <w:tc>
          <w:tcPr>
            <w:tcW w:w="1792" w:type="dxa"/>
            <w:gridSpan w:val="2"/>
            <w:vAlign w:val="top"/>
          </w:tcPr>
          <w:p>
            <w:pPr>
              <w:spacing w:line="360" w:lineRule="auto"/>
              <w:rPr>
                <w:rFonts w:hint="eastAsia" w:ascii="仿宋_GB2312" w:hAnsi="宋体" w:eastAsia="仿宋_GB2312"/>
                <w:color w:val="000000"/>
              </w:rPr>
            </w:pPr>
          </w:p>
        </w:tc>
        <w:tc>
          <w:tcPr>
            <w:tcW w:w="2517" w:type="dxa"/>
            <w:gridSpan w:val="2"/>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vAlign w:val="top"/>
          </w:tcPr>
          <w:p>
            <w:pPr>
              <w:spacing w:line="360" w:lineRule="auto"/>
              <w:rPr>
                <w:rFonts w:hint="eastAsia" w:ascii="仿宋_GB2312" w:hAnsi="宋体" w:eastAsia="仿宋_GB2312"/>
                <w:color w:val="000000"/>
              </w:rPr>
            </w:pPr>
          </w:p>
        </w:tc>
        <w:tc>
          <w:tcPr>
            <w:tcW w:w="3960" w:type="dxa"/>
            <w:gridSpan w:val="4"/>
            <w:vAlign w:val="top"/>
          </w:tcPr>
          <w:p>
            <w:pPr>
              <w:spacing w:line="360" w:lineRule="auto"/>
              <w:rPr>
                <w:rFonts w:hint="eastAsia" w:ascii="仿宋_GB2312" w:hAnsi="宋体" w:eastAsia="仿宋_GB2312"/>
                <w:color w:val="000000"/>
              </w:rPr>
            </w:pPr>
          </w:p>
        </w:tc>
        <w:tc>
          <w:tcPr>
            <w:tcW w:w="1792" w:type="dxa"/>
            <w:gridSpan w:val="2"/>
            <w:vAlign w:val="top"/>
          </w:tcPr>
          <w:p>
            <w:pPr>
              <w:spacing w:line="360" w:lineRule="auto"/>
              <w:rPr>
                <w:rFonts w:hint="eastAsia" w:ascii="仿宋_GB2312" w:hAnsi="宋体" w:eastAsia="仿宋_GB2312"/>
                <w:color w:val="000000"/>
              </w:rPr>
            </w:pPr>
          </w:p>
        </w:tc>
        <w:tc>
          <w:tcPr>
            <w:tcW w:w="2517" w:type="dxa"/>
            <w:gridSpan w:val="2"/>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Align w:val="top"/>
          </w:tcPr>
          <w:p>
            <w:pPr>
              <w:spacing w:line="360" w:lineRule="auto"/>
              <w:rPr>
                <w:rFonts w:hint="eastAsia" w:ascii="仿宋_GB2312" w:hAnsi="宋体" w:eastAsia="仿宋_GB2312"/>
                <w:color w:val="000000"/>
              </w:rPr>
            </w:pPr>
          </w:p>
        </w:tc>
        <w:tc>
          <w:tcPr>
            <w:tcW w:w="3960" w:type="dxa"/>
            <w:gridSpan w:val="4"/>
            <w:vAlign w:val="top"/>
          </w:tcPr>
          <w:p>
            <w:pPr>
              <w:spacing w:line="360" w:lineRule="auto"/>
              <w:rPr>
                <w:rFonts w:hint="eastAsia" w:ascii="仿宋_GB2312" w:hAnsi="宋体" w:eastAsia="仿宋_GB2312"/>
                <w:color w:val="000000"/>
              </w:rPr>
            </w:pPr>
          </w:p>
        </w:tc>
        <w:tc>
          <w:tcPr>
            <w:tcW w:w="1792" w:type="dxa"/>
            <w:gridSpan w:val="2"/>
            <w:vAlign w:val="top"/>
          </w:tcPr>
          <w:p>
            <w:pPr>
              <w:spacing w:line="360" w:lineRule="auto"/>
              <w:rPr>
                <w:rFonts w:hint="eastAsia" w:ascii="仿宋_GB2312" w:hAnsi="宋体" w:eastAsia="仿宋_GB2312"/>
                <w:color w:val="000000"/>
              </w:rPr>
            </w:pPr>
          </w:p>
        </w:tc>
        <w:tc>
          <w:tcPr>
            <w:tcW w:w="2517" w:type="dxa"/>
            <w:gridSpan w:val="2"/>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vAlign w:val="top"/>
          </w:tcPr>
          <w:p>
            <w:pPr>
              <w:spacing w:line="360" w:lineRule="auto"/>
              <w:rPr>
                <w:rFonts w:hint="eastAsia" w:ascii="仿宋_GB2312" w:hAnsi="宋体" w:eastAsia="仿宋_GB2312"/>
                <w:color w:val="000000"/>
              </w:rPr>
            </w:pPr>
          </w:p>
        </w:tc>
        <w:tc>
          <w:tcPr>
            <w:tcW w:w="3960" w:type="dxa"/>
            <w:gridSpan w:val="4"/>
            <w:vAlign w:val="top"/>
          </w:tcPr>
          <w:p>
            <w:pPr>
              <w:spacing w:line="360" w:lineRule="auto"/>
              <w:rPr>
                <w:rFonts w:hint="eastAsia" w:ascii="仿宋_GB2312" w:hAnsi="宋体" w:eastAsia="仿宋_GB2312"/>
                <w:color w:val="000000"/>
              </w:rPr>
            </w:pPr>
          </w:p>
        </w:tc>
        <w:tc>
          <w:tcPr>
            <w:tcW w:w="1792" w:type="dxa"/>
            <w:gridSpan w:val="2"/>
            <w:vAlign w:val="top"/>
          </w:tcPr>
          <w:p>
            <w:pPr>
              <w:spacing w:line="360" w:lineRule="auto"/>
              <w:rPr>
                <w:rFonts w:hint="eastAsia" w:ascii="仿宋_GB2312" w:hAnsi="宋体" w:eastAsia="仿宋_GB2312"/>
                <w:color w:val="000000"/>
              </w:rPr>
            </w:pPr>
          </w:p>
        </w:tc>
        <w:tc>
          <w:tcPr>
            <w:tcW w:w="2517" w:type="dxa"/>
            <w:gridSpan w:val="2"/>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vAlign w:val="top"/>
          </w:tcPr>
          <w:p>
            <w:pPr>
              <w:spacing w:line="360" w:lineRule="auto"/>
              <w:rPr>
                <w:rFonts w:hint="eastAsia" w:ascii="仿宋_GB2312" w:hAnsi="宋体" w:eastAsia="仿宋_GB2312"/>
                <w:color w:val="000000"/>
              </w:rPr>
            </w:pPr>
          </w:p>
        </w:tc>
        <w:tc>
          <w:tcPr>
            <w:tcW w:w="3960" w:type="dxa"/>
            <w:gridSpan w:val="4"/>
            <w:vAlign w:val="top"/>
          </w:tcPr>
          <w:p>
            <w:pPr>
              <w:spacing w:line="360" w:lineRule="auto"/>
              <w:rPr>
                <w:rFonts w:hint="eastAsia" w:ascii="仿宋_GB2312" w:hAnsi="宋体" w:eastAsia="仿宋_GB2312"/>
                <w:color w:val="000000"/>
              </w:rPr>
            </w:pPr>
          </w:p>
        </w:tc>
        <w:tc>
          <w:tcPr>
            <w:tcW w:w="1792" w:type="dxa"/>
            <w:gridSpan w:val="2"/>
            <w:vAlign w:val="top"/>
          </w:tcPr>
          <w:p>
            <w:pPr>
              <w:spacing w:line="360" w:lineRule="auto"/>
              <w:rPr>
                <w:rFonts w:hint="eastAsia" w:ascii="仿宋_GB2312" w:hAnsi="宋体" w:eastAsia="仿宋_GB2312"/>
                <w:color w:val="000000"/>
              </w:rPr>
            </w:pPr>
          </w:p>
        </w:tc>
        <w:tc>
          <w:tcPr>
            <w:tcW w:w="2517" w:type="dxa"/>
            <w:gridSpan w:val="2"/>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vAlign w:val="top"/>
          </w:tcPr>
          <w:p>
            <w:pPr>
              <w:spacing w:line="360" w:lineRule="auto"/>
              <w:rPr>
                <w:rFonts w:hint="eastAsia" w:ascii="仿宋_GB2312" w:hAnsi="宋体" w:eastAsia="仿宋_GB2312"/>
                <w:color w:val="000000"/>
              </w:rPr>
            </w:pPr>
          </w:p>
        </w:tc>
        <w:tc>
          <w:tcPr>
            <w:tcW w:w="3960" w:type="dxa"/>
            <w:gridSpan w:val="4"/>
            <w:vAlign w:val="top"/>
          </w:tcPr>
          <w:p>
            <w:pPr>
              <w:spacing w:line="360" w:lineRule="auto"/>
              <w:rPr>
                <w:rFonts w:hint="eastAsia" w:ascii="仿宋_GB2312" w:hAnsi="宋体" w:eastAsia="仿宋_GB2312"/>
                <w:color w:val="000000"/>
              </w:rPr>
            </w:pPr>
          </w:p>
        </w:tc>
        <w:tc>
          <w:tcPr>
            <w:tcW w:w="1792" w:type="dxa"/>
            <w:gridSpan w:val="2"/>
            <w:vAlign w:val="top"/>
          </w:tcPr>
          <w:p>
            <w:pPr>
              <w:spacing w:line="360" w:lineRule="auto"/>
              <w:rPr>
                <w:rFonts w:hint="eastAsia" w:ascii="仿宋_GB2312" w:hAnsi="宋体" w:eastAsia="仿宋_GB2312"/>
                <w:color w:val="000000"/>
              </w:rPr>
            </w:pPr>
          </w:p>
        </w:tc>
        <w:tc>
          <w:tcPr>
            <w:tcW w:w="2517" w:type="dxa"/>
            <w:gridSpan w:val="2"/>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vAlign w:val="top"/>
          </w:tcPr>
          <w:p>
            <w:pPr>
              <w:spacing w:line="360" w:lineRule="auto"/>
              <w:rPr>
                <w:rFonts w:hint="eastAsia" w:ascii="仿宋_GB2312" w:hAnsi="宋体" w:eastAsia="仿宋_GB2312"/>
                <w:color w:val="000000"/>
              </w:rPr>
            </w:pPr>
          </w:p>
        </w:tc>
        <w:tc>
          <w:tcPr>
            <w:tcW w:w="3960" w:type="dxa"/>
            <w:gridSpan w:val="4"/>
            <w:vAlign w:val="top"/>
          </w:tcPr>
          <w:p>
            <w:pPr>
              <w:spacing w:line="360" w:lineRule="auto"/>
              <w:rPr>
                <w:rFonts w:hint="eastAsia" w:ascii="仿宋_GB2312" w:hAnsi="宋体" w:eastAsia="仿宋_GB2312"/>
                <w:color w:val="000000"/>
              </w:rPr>
            </w:pPr>
          </w:p>
        </w:tc>
        <w:tc>
          <w:tcPr>
            <w:tcW w:w="1792" w:type="dxa"/>
            <w:gridSpan w:val="2"/>
            <w:vAlign w:val="top"/>
          </w:tcPr>
          <w:p>
            <w:pPr>
              <w:spacing w:line="360" w:lineRule="auto"/>
              <w:rPr>
                <w:rFonts w:hint="eastAsia" w:ascii="仿宋_GB2312" w:hAnsi="宋体" w:eastAsia="仿宋_GB2312"/>
                <w:color w:val="000000"/>
              </w:rPr>
            </w:pPr>
          </w:p>
        </w:tc>
        <w:tc>
          <w:tcPr>
            <w:tcW w:w="2517" w:type="dxa"/>
            <w:gridSpan w:val="2"/>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vAlign w:val="top"/>
          </w:tcPr>
          <w:p>
            <w:pPr>
              <w:spacing w:line="360" w:lineRule="auto"/>
              <w:rPr>
                <w:rFonts w:hint="eastAsia" w:ascii="仿宋_GB2312" w:hAnsi="宋体" w:eastAsia="仿宋_GB2312"/>
                <w:color w:val="000000"/>
              </w:rPr>
            </w:pPr>
          </w:p>
        </w:tc>
        <w:tc>
          <w:tcPr>
            <w:tcW w:w="3960" w:type="dxa"/>
            <w:gridSpan w:val="4"/>
            <w:vAlign w:val="top"/>
          </w:tcPr>
          <w:p>
            <w:pPr>
              <w:spacing w:line="360" w:lineRule="auto"/>
              <w:rPr>
                <w:rFonts w:hint="eastAsia" w:ascii="仿宋_GB2312" w:hAnsi="宋体" w:eastAsia="仿宋_GB2312"/>
                <w:color w:val="000000"/>
              </w:rPr>
            </w:pPr>
          </w:p>
        </w:tc>
        <w:tc>
          <w:tcPr>
            <w:tcW w:w="1792" w:type="dxa"/>
            <w:gridSpan w:val="2"/>
            <w:vAlign w:val="top"/>
          </w:tcPr>
          <w:p>
            <w:pPr>
              <w:spacing w:line="360" w:lineRule="auto"/>
              <w:rPr>
                <w:rFonts w:hint="eastAsia" w:ascii="仿宋_GB2312" w:hAnsi="宋体" w:eastAsia="仿宋_GB2312"/>
                <w:color w:val="000000"/>
              </w:rPr>
            </w:pPr>
          </w:p>
        </w:tc>
        <w:tc>
          <w:tcPr>
            <w:tcW w:w="2517" w:type="dxa"/>
            <w:gridSpan w:val="2"/>
            <w:vAlign w:val="top"/>
          </w:tcPr>
          <w:p>
            <w:pPr>
              <w:spacing w:line="360" w:lineRule="auto"/>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vAlign w:val="top"/>
          </w:tcPr>
          <w:p>
            <w:pPr>
              <w:spacing w:line="360" w:lineRule="auto"/>
              <w:rPr>
                <w:rFonts w:hint="eastAsia" w:ascii="仿宋_GB2312" w:hAnsi="宋体" w:eastAsia="仿宋_GB2312"/>
                <w:color w:val="000000"/>
              </w:rPr>
            </w:pPr>
          </w:p>
        </w:tc>
        <w:tc>
          <w:tcPr>
            <w:tcW w:w="3960" w:type="dxa"/>
            <w:gridSpan w:val="4"/>
            <w:vAlign w:val="top"/>
          </w:tcPr>
          <w:p>
            <w:pPr>
              <w:spacing w:line="360" w:lineRule="auto"/>
              <w:rPr>
                <w:rFonts w:hint="eastAsia" w:ascii="仿宋_GB2312" w:hAnsi="宋体" w:eastAsia="仿宋_GB2312"/>
                <w:color w:val="000000"/>
              </w:rPr>
            </w:pPr>
          </w:p>
        </w:tc>
        <w:tc>
          <w:tcPr>
            <w:tcW w:w="1792" w:type="dxa"/>
            <w:gridSpan w:val="2"/>
            <w:vAlign w:val="top"/>
          </w:tcPr>
          <w:p>
            <w:pPr>
              <w:spacing w:line="360" w:lineRule="auto"/>
              <w:rPr>
                <w:rFonts w:hint="eastAsia" w:ascii="仿宋_GB2312" w:hAnsi="宋体" w:eastAsia="仿宋_GB2312"/>
                <w:color w:val="000000"/>
              </w:rPr>
            </w:pPr>
          </w:p>
        </w:tc>
        <w:tc>
          <w:tcPr>
            <w:tcW w:w="2517" w:type="dxa"/>
            <w:gridSpan w:val="2"/>
            <w:vAlign w:val="top"/>
          </w:tcPr>
          <w:p>
            <w:pPr>
              <w:spacing w:line="360" w:lineRule="auto"/>
              <w:rPr>
                <w:rFonts w:hint="eastAsia" w:ascii="仿宋_GB2312" w:hAnsi="宋体" w:eastAsia="仿宋_GB2312"/>
                <w:color w:val="000000"/>
              </w:rPr>
            </w:pPr>
          </w:p>
        </w:tc>
      </w:tr>
    </w:tbl>
    <w:p>
      <w:pPr>
        <w:spacing w:line="400" w:lineRule="exact"/>
        <w:ind w:firstLine="440" w:firstLineChars="200"/>
        <w:rPr>
          <w:rFonts w:hint="eastAsia" w:ascii="仿宋_GB2312" w:hAnsi="宋体" w:eastAsia="仿宋_GB2312"/>
          <w:color w:val="000000"/>
        </w:rPr>
      </w:pPr>
      <w:r>
        <w:rPr>
          <w:rFonts w:hint="eastAsia" w:ascii="仿宋_GB2312" w:hAnsi="宋体" w:eastAsia="仿宋_GB2312"/>
          <w:color w:val="000000"/>
        </w:rPr>
        <w:t>注：（1）“主要人员简历表”中的项目负责人身份证、职称证、养老保险复印件等，管理过的项目业绩须附中标通知书或合同协议书复印件；</w:t>
      </w:r>
      <w:r>
        <w:rPr>
          <w:rFonts w:hint="eastAsia" w:ascii="仿宋_GB2312" w:hAnsi="宋体" w:eastAsia="仿宋_GB2312"/>
          <w:color w:val="000000"/>
          <w:lang w:eastAsia="zh-CN"/>
        </w:rPr>
        <w:t>技术负责人应附身份证、职称证、养老保险复印件；</w:t>
      </w:r>
      <w:r>
        <w:rPr>
          <w:rFonts w:hint="eastAsia" w:ascii="仿宋_GB2312" w:hAnsi="宋体" w:eastAsia="仿宋_GB2312"/>
          <w:color w:val="000000"/>
        </w:rPr>
        <w:t>其它主要人员应附上岗证（如有）、身份证、职称证、养老保险复印件等。如不实，属于弄虚作假，取消中标资格。</w:t>
      </w:r>
    </w:p>
    <w:p>
      <w:pPr>
        <w:spacing w:line="440" w:lineRule="exact"/>
        <w:ind w:firstLine="440" w:firstLineChars="200"/>
        <w:rPr>
          <w:rFonts w:hint="eastAsia" w:ascii="仿宋_GB2312" w:hAnsi="宋体" w:eastAsia="仿宋_GB2312"/>
          <w:color w:val="000000"/>
          <w:szCs w:val="21"/>
        </w:rPr>
      </w:pPr>
      <w:r>
        <w:rPr>
          <w:rFonts w:hint="eastAsia" w:ascii="仿宋_GB2312" w:hAnsi="宋体" w:eastAsia="仿宋_GB2312"/>
          <w:color w:val="000000"/>
        </w:rPr>
        <w:t>（2）养老保险是指，</w:t>
      </w:r>
      <w:r>
        <w:rPr>
          <w:rFonts w:hint="eastAsia" w:ascii="仿宋_GB2312" w:hAnsi="宋体" w:eastAsia="仿宋_GB2312"/>
          <w:color w:val="000000"/>
          <w:szCs w:val="21"/>
        </w:rPr>
        <w:t>投标人为其缴纳的最近6个月连续缴费</w:t>
      </w:r>
      <w:r>
        <w:rPr>
          <w:rFonts w:hint="eastAsia" w:ascii="仿宋_GB2312" w:hAnsi="宋体" w:eastAsia="仿宋_GB2312"/>
          <w:color w:val="000000"/>
        </w:rPr>
        <w:t>的养老保险缴纳凭证或由社保部门出具的在该投标人单位参保的</w:t>
      </w:r>
      <w:r>
        <w:rPr>
          <w:rFonts w:hint="eastAsia" w:ascii="仿宋_GB2312" w:hAnsi="宋体" w:eastAsia="仿宋_GB2312"/>
          <w:color w:val="000000"/>
          <w:szCs w:val="21"/>
        </w:rPr>
        <w:t>证明。最近6个月（企业设立不足6个月，从设立时起，下同）连续缴费的养老保险是指从购买招标文件时间的上一个月或上上个月起算，往前推6个月的连续、不间断，每个月都缴纳了养老保险费。</w:t>
      </w:r>
    </w:p>
    <w:p>
      <w:pPr>
        <w:rPr>
          <w:rFonts w:hint="eastAsia" w:ascii="仿宋_GB2312" w:hAnsi="宋体" w:eastAsia="仿宋_GB2312"/>
          <w:color w:val="000000"/>
        </w:rPr>
      </w:pPr>
    </w:p>
    <w:p>
      <w:pPr>
        <w:pStyle w:val="4"/>
        <w:jc w:val="center"/>
        <w:rPr>
          <w:rFonts w:hint="eastAsia" w:ascii="仿宋_GB2312" w:hAnsi="仿宋_GB2312" w:eastAsia="仿宋_GB2312"/>
          <w:color w:val="000000"/>
        </w:rPr>
      </w:pPr>
      <w:r>
        <w:rPr>
          <w:rFonts w:hint="eastAsia" w:ascii="仿宋_GB2312" w:hAnsi="仿宋_GB2312" w:eastAsia="仿宋_GB2312"/>
          <w:color w:val="000000"/>
        </w:rPr>
        <w:t>（五）</w:t>
      </w:r>
      <w:bookmarkEnd w:id="100"/>
      <w:bookmarkStart w:id="102" w:name="_Toc185047537"/>
      <w:r>
        <w:rPr>
          <w:rFonts w:hint="eastAsia" w:ascii="仿宋_GB2312" w:hAnsi="仿宋_GB2312" w:eastAsia="仿宋_GB2312"/>
          <w:color w:val="000000"/>
        </w:rPr>
        <w:t>近3年已完成的类似项目业绩</w:t>
      </w:r>
    </w:p>
    <w:p>
      <w:pPr>
        <w:pStyle w:val="4"/>
        <w:jc w:val="center"/>
        <w:rPr>
          <w:rFonts w:hint="eastAsia" w:ascii="仿宋_GB2312" w:hAnsi="仿宋_GB2312" w:eastAsia="仿宋_GB2312"/>
          <w:color w:val="000000"/>
        </w:rPr>
      </w:pPr>
    </w:p>
    <w:tbl>
      <w:tblPr>
        <w:tblStyle w:val="10"/>
        <w:tblW w:w="9236"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464"/>
        <w:gridCol w:w="1676"/>
        <w:gridCol w:w="1260"/>
        <w:gridCol w:w="16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16" w:type="dxa"/>
            <w:vAlign w:val="center"/>
          </w:tcPr>
          <w:p>
            <w:pPr>
              <w:jc w:val="center"/>
              <w:rPr>
                <w:rFonts w:hint="eastAsia" w:ascii="仿宋_GB2312" w:eastAsia="仿宋_GB2312"/>
                <w:color w:val="000000"/>
                <w:sz w:val="24"/>
              </w:rPr>
            </w:pPr>
            <w:r>
              <w:rPr>
                <w:rFonts w:hint="eastAsia" w:ascii="仿宋_GB2312" w:eastAsia="仿宋_GB2312"/>
                <w:color w:val="000000"/>
                <w:sz w:val="24"/>
              </w:rPr>
              <w:t>建设单位</w:t>
            </w:r>
          </w:p>
        </w:tc>
        <w:tc>
          <w:tcPr>
            <w:tcW w:w="2464" w:type="dxa"/>
            <w:vAlign w:val="center"/>
          </w:tcPr>
          <w:p>
            <w:pPr>
              <w:jc w:val="center"/>
              <w:rPr>
                <w:rFonts w:hint="eastAsia" w:ascii="仿宋_GB2312" w:eastAsia="仿宋_GB2312"/>
                <w:color w:val="000000"/>
                <w:sz w:val="24"/>
              </w:rPr>
            </w:pPr>
            <w:r>
              <w:rPr>
                <w:rFonts w:hint="eastAsia" w:ascii="仿宋_GB2312" w:eastAsia="仿宋_GB2312"/>
                <w:color w:val="000000"/>
                <w:sz w:val="24"/>
              </w:rPr>
              <w:t>项目名称及建设地点</w:t>
            </w:r>
          </w:p>
        </w:tc>
        <w:tc>
          <w:tcPr>
            <w:tcW w:w="1676" w:type="dxa"/>
            <w:vAlign w:val="center"/>
          </w:tcPr>
          <w:p>
            <w:pPr>
              <w:jc w:val="center"/>
              <w:rPr>
                <w:rFonts w:hint="eastAsia" w:ascii="仿宋_GB2312" w:eastAsia="仿宋_GB2312"/>
                <w:color w:val="000000"/>
                <w:sz w:val="24"/>
              </w:rPr>
            </w:pPr>
            <w:r>
              <w:rPr>
                <w:rFonts w:hint="eastAsia" w:ascii="仿宋_GB2312" w:eastAsia="仿宋_GB2312"/>
                <w:color w:val="000000"/>
                <w:sz w:val="24"/>
              </w:rPr>
              <w:t>建设规模</w:t>
            </w:r>
          </w:p>
        </w:tc>
        <w:tc>
          <w:tcPr>
            <w:tcW w:w="1260" w:type="dxa"/>
            <w:vAlign w:val="center"/>
          </w:tcPr>
          <w:p>
            <w:pPr>
              <w:jc w:val="center"/>
              <w:rPr>
                <w:rFonts w:hint="eastAsia" w:ascii="仿宋_GB2312" w:eastAsia="仿宋_GB2312"/>
                <w:color w:val="000000"/>
                <w:sz w:val="24"/>
              </w:rPr>
            </w:pPr>
            <w:r>
              <w:rPr>
                <w:rFonts w:hint="eastAsia" w:ascii="仿宋_GB2312" w:eastAsia="仿宋_GB2312"/>
                <w:color w:val="000000"/>
                <w:sz w:val="24"/>
              </w:rPr>
              <w:t>工程内容</w:t>
            </w:r>
          </w:p>
        </w:tc>
        <w:tc>
          <w:tcPr>
            <w:tcW w:w="1620" w:type="dxa"/>
            <w:vAlign w:val="top"/>
          </w:tcPr>
          <w:p>
            <w:pPr>
              <w:jc w:val="center"/>
              <w:rPr>
                <w:rFonts w:hint="eastAsia" w:ascii="仿宋_GB2312" w:eastAsia="仿宋_GB2312"/>
                <w:color w:val="000000"/>
                <w:sz w:val="24"/>
              </w:rPr>
            </w:pPr>
            <w:r>
              <w:rPr>
                <w:rFonts w:hint="eastAsia" w:ascii="仿宋_GB2312" w:eastAsia="仿宋_GB2312"/>
                <w:color w:val="000000"/>
                <w:sz w:val="24"/>
              </w:rPr>
              <w:t>建设单位联系人及电话</w:t>
            </w:r>
          </w:p>
        </w:tc>
        <w:tc>
          <w:tcPr>
            <w:tcW w:w="900" w:type="dxa"/>
            <w:vAlign w:val="center"/>
          </w:tcPr>
          <w:p>
            <w:pPr>
              <w:jc w:val="center"/>
              <w:rPr>
                <w:rFonts w:hint="eastAsia" w:ascii="仿宋_GB2312" w:eastAsia="仿宋_GB2312"/>
                <w:color w:val="000000"/>
                <w:sz w:val="24"/>
              </w:rPr>
            </w:pPr>
            <w:r>
              <w:rPr>
                <w:rFonts w:hint="eastAsia" w:ascii="仿宋_GB2312"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16" w:type="dxa"/>
            <w:vAlign w:val="center"/>
          </w:tcPr>
          <w:p>
            <w:pPr>
              <w:jc w:val="center"/>
              <w:rPr>
                <w:rFonts w:hint="eastAsia" w:ascii="仿宋_GB2312" w:eastAsia="仿宋_GB2312"/>
                <w:color w:val="000000"/>
                <w:sz w:val="24"/>
              </w:rPr>
            </w:pPr>
          </w:p>
        </w:tc>
        <w:tc>
          <w:tcPr>
            <w:tcW w:w="2464" w:type="dxa"/>
            <w:vAlign w:val="center"/>
          </w:tcPr>
          <w:p>
            <w:pPr>
              <w:jc w:val="center"/>
              <w:rPr>
                <w:rFonts w:hint="eastAsia" w:ascii="仿宋_GB2312" w:eastAsia="仿宋_GB2312"/>
                <w:color w:val="000000"/>
                <w:sz w:val="24"/>
              </w:rPr>
            </w:pPr>
          </w:p>
        </w:tc>
        <w:tc>
          <w:tcPr>
            <w:tcW w:w="1676" w:type="dxa"/>
            <w:vAlign w:val="center"/>
          </w:tcPr>
          <w:p>
            <w:pPr>
              <w:jc w:val="center"/>
              <w:rPr>
                <w:rFonts w:hint="eastAsia" w:ascii="仿宋_GB2312" w:eastAsia="仿宋_GB2312"/>
                <w:color w:val="000000"/>
                <w:sz w:val="24"/>
              </w:rPr>
            </w:pPr>
          </w:p>
        </w:tc>
        <w:tc>
          <w:tcPr>
            <w:tcW w:w="1260" w:type="dxa"/>
            <w:vAlign w:val="top"/>
          </w:tcPr>
          <w:p>
            <w:pPr>
              <w:jc w:val="center"/>
              <w:rPr>
                <w:rFonts w:hint="eastAsia" w:ascii="仿宋_GB2312" w:eastAsia="仿宋_GB2312"/>
                <w:color w:val="000000"/>
                <w:sz w:val="24"/>
              </w:rPr>
            </w:pPr>
          </w:p>
        </w:tc>
        <w:tc>
          <w:tcPr>
            <w:tcW w:w="1620" w:type="dxa"/>
            <w:vAlign w:val="top"/>
          </w:tcPr>
          <w:p>
            <w:pPr>
              <w:jc w:val="center"/>
              <w:rPr>
                <w:rFonts w:hint="eastAsia" w:ascii="仿宋_GB2312" w:eastAsia="仿宋_GB2312"/>
                <w:color w:val="000000"/>
                <w:sz w:val="24"/>
              </w:rPr>
            </w:pPr>
          </w:p>
        </w:tc>
        <w:tc>
          <w:tcPr>
            <w:tcW w:w="900" w:type="dxa"/>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16" w:type="dxa"/>
            <w:vAlign w:val="center"/>
          </w:tcPr>
          <w:p>
            <w:pPr>
              <w:jc w:val="center"/>
              <w:rPr>
                <w:rFonts w:hint="eastAsia" w:ascii="仿宋_GB2312" w:eastAsia="仿宋_GB2312"/>
                <w:color w:val="000000"/>
                <w:sz w:val="24"/>
              </w:rPr>
            </w:pPr>
          </w:p>
        </w:tc>
        <w:tc>
          <w:tcPr>
            <w:tcW w:w="2464" w:type="dxa"/>
            <w:vAlign w:val="center"/>
          </w:tcPr>
          <w:p>
            <w:pPr>
              <w:jc w:val="center"/>
              <w:rPr>
                <w:rFonts w:hint="eastAsia" w:ascii="仿宋_GB2312" w:eastAsia="仿宋_GB2312"/>
                <w:color w:val="000000"/>
                <w:sz w:val="24"/>
              </w:rPr>
            </w:pPr>
          </w:p>
        </w:tc>
        <w:tc>
          <w:tcPr>
            <w:tcW w:w="1676" w:type="dxa"/>
            <w:vAlign w:val="center"/>
          </w:tcPr>
          <w:p>
            <w:pPr>
              <w:jc w:val="center"/>
              <w:rPr>
                <w:rFonts w:hint="eastAsia" w:ascii="仿宋_GB2312" w:eastAsia="仿宋_GB2312"/>
                <w:color w:val="000000"/>
                <w:sz w:val="24"/>
              </w:rPr>
            </w:pPr>
          </w:p>
        </w:tc>
        <w:tc>
          <w:tcPr>
            <w:tcW w:w="1260" w:type="dxa"/>
            <w:vAlign w:val="top"/>
          </w:tcPr>
          <w:p>
            <w:pPr>
              <w:jc w:val="center"/>
              <w:rPr>
                <w:rFonts w:hint="eastAsia" w:ascii="仿宋_GB2312" w:eastAsia="仿宋_GB2312"/>
                <w:color w:val="000000"/>
                <w:sz w:val="24"/>
              </w:rPr>
            </w:pPr>
          </w:p>
        </w:tc>
        <w:tc>
          <w:tcPr>
            <w:tcW w:w="1620" w:type="dxa"/>
            <w:vAlign w:val="top"/>
          </w:tcPr>
          <w:p>
            <w:pPr>
              <w:jc w:val="center"/>
              <w:rPr>
                <w:rFonts w:hint="eastAsia" w:ascii="仿宋_GB2312" w:eastAsia="仿宋_GB2312"/>
                <w:color w:val="000000"/>
                <w:sz w:val="24"/>
              </w:rPr>
            </w:pPr>
          </w:p>
        </w:tc>
        <w:tc>
          <w:tcPr>
            <w:tcW w:w="900" w:type="dxa"/>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16" w:type="dxa"/>
            <w:vAlign w:val="center"/>
          </w:tcPr>
          <w:p>
            <w:pPr>
              <w:jc w:val="center"/>
              <w:rPr>
                <w:rFonts w:hint="eastAsia" w:ascii="仿宋_GB2312" w:eastAsia="仿宋_GB2312"/>
                <w:color w:val="000000"/>
                <w:sz w:val="24"/>
              </w:rPr>
            </w:pPr>
          </w:p>
        </w:tc>
        <w:tc>
          <w:tcPr>
            <w:tcW w:w="2464" w:type="dxa"/>
            <w:vAlign w:val="center"/>
          </w:tcPr>
          <w:p>
            <w:pPr>
              <w:jc w:val="center"/>
              <w:rPr>
                <w:rFonts w:hint="eastAsia" w:ascii="仿宋_GB2312" w:eastAsia="仿宋_GB2312"/>
                <w:color w:val="000000"/>
                <w:sz w:val="24"/>
              </w:rPr>
            </w:pPr>
          </w:p>
        </w:tc>
        <w:tc>
          <w:tcPr>
            <w:tcW w:w="1676" w:type="dxa"/>
            <w:vAlign w:val="center"/>
          </w:tcPr>
          <w:p>
            <w:pPr>
              <w:jc w:val="center"/>
              <w:rPr>
                <w:rFonts w:hint="eastAsia" w:ascii="仿宋_GB2312" w:eastAsia="仿宋_GB2312"/>
                <w:color w:val="000000"/>
                <w:sz w:val="24"/>
              </w:rPr>
            </w:pPr>
          </w:p>
        </w:tc>
        <w:tc>
          <w:tcPr>
            <w:tcW w:w="1260" w:type="dxa"/>
            <w:vAlign w:val="top"/>
          </w:tcPr>
          <w:p>
            <w:pPr>
              <w:jc w:val="center"/>
              <w:rPr>
                <w:rFonts w:hint="eastAsia" w:ascii="仿宋_GB2312" w:eastAsia="仿宋_GB2312"/>
                <w:color w:val="000000"/>
                <w:sz w:val="24"/>
              </w:rPr>
            </w:pPr>
          </w:p>
        </w:tc>
        <w:tc>
          <w:tcPr>
            <w:tcW w:w="1620" w:type="dxa"/>
            <w:vAlign w:val="top"/>
          </w:tcPr>
          <w:p>
            <w:pPr>
              <w:jc w:val="center"/>
              <w:rPr>
                <w:rFonts w:hint="eastAsia" w:ascii="仿宋_GB2312" w:eastAsia="仿宋_GB2312"/>
                <w:color w:val="000000"/>
                <w:sz w:val="24"/>
              </w:rPr>
            </w:pPr>
          </w:p>
        </w:tc>
        <w:tc>
          <w:tcPr>
            <w:tcW w:w="900" w:type="dxa"/>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16" w:type="dxa"/>
            <w:vAlign w:val="center"/>
          </w:tcPr>
          <w:p>
            <w:pPr>
              <w:jc w:val="center"/>
              <w:rPr>
                <w:rFonts w:hint="eastAsia" w:ascii="仿宋_GB2312" w:eastAsia="仿宋_GB2312"/>
                <w:color w:val="000000"/>
                <w:sz w:val="24"/>
              </w:rPr>
            </w:pPr>
          </w:p>
        </w:tc>
        <w:tc>
          <w:tcPr>
            <w:tcW w:w="2464" w:type="dxa"/>
            <w:vAlign w:val="center"/>
          </w:tcPr>
          <w:p>
            <w:pPr>
              <w:jc w:val="center"/>
              <w:rPr>
                <w:rFonts w:hint="eastAsia" w:ascii="仿宋_GB2312" w:eastAsia="仿宋_GB2312"/>
                <w:color w:val="000000"/>
                <w:sz w:val="24"/>
              </w:rPr>
            </w:pPr>
          </w:p>
        </w:tc>
        <w:tc>
          <w:tcPr>
            <w:tcW w:w="1676" w:type="dxa"/>
            <w:vAlign w:val="center"/>
          </w:tcPr>
          <w:p>
            <w:pPr>
              <w:jc w:val="center"/>
              <w:rPr>
                <w:rFonts w:hint="eastAsia" w:ascii="仿宋_GB2312" w:eastAsia="仿宋_GB2312"/>
                <w:color w:val="000000"/>
                <w:sz w:val="24"/>
              </w:rPr>
            </w:pPr>
          </w:p>
        </w:tc>
        <w:tc>
          <w:tcPr>
            <w:tcW w:w="1260" w:type="dxa"/>
            <w:vAlign w:val="top"/>
          </w:tcPr>
          <w:p>
            <w:pPr>
              <w:jc w:val="center"/>
              <w:rPr>
                <w:rFonts w:hint="eastAsia" w:ascii="仿宋_GB2312" w:eastAsia="仿宋_GB2312"/>
                <w:color w:val="000000"/>
                <w:sz w:val="24"/>
              </w:rPr>
            </w:pPr>
          </w:p>
        </w:tc>
        <w:tc>
          <w:tcPr>
            <w:tcW w:w="1620" w:type="dxa"/>
            <w:vAlign w:val="top"/>
          </w:tcPr>
          <w:p>
            <w:pPr>
              <w:jc w:val="center"/>
              <w:rPr>
                <w:rFonts w:hint="eastAsia" w:ascii="仿宋_GB2312" w:eastAsia="仿宋_GB2312"/>
                <w:color w:val="000000"/>
                <w:sz w:val="24"/>
              </w:rPr>
            </w:pPr>
          </w:p>
        </w:tc>
        <w:tc>
          <w:tcPr>
            <w:tcW w:w="900" w:type="dxa"/>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16" w:type="dxa"/>
            <w:vAlign w:val="center"/>
          </w:tcPr>
          <w:p>
            <w:pPr>
              <w:jc w:val="center"/>
              <w:rPr>
                <w:rFonts w:hint="eastAsia" w:ascii="仿宋_GB2312" w:eastAsia="仿宋_GB2312"/>
                <w:color w:val="000000"/>
                <w:sz w:val="24"/>
              </w:rPr>
            </w:pPr>
          </w:p>
        </w:tc>
        <w:tc>
          <w:tcPr>
            <w:tcW w:w="2464" w:type="dxa"/>
            <w:vAlign w:val="center"/>
          </w:tcPr>
          <w:p>
            <w:pPr>
              <w:jc w:val="center"/>
              <w:rPr>
                <w:rFonts w:hint="eastAsia" w:ascii="仿宋_GB2312" w:eastAsia="仿宋_GB2312"/>
                <w:color w:val="000000"/>
                <w:sz w:val="24"/>
              </w:rPr>
            </w:pPr>
          </w:p>
        </w:tc>
        <w:tc>
          <w:tcPr>
            <w:tcW w:w="1676" w:type="dxa"/>
            <w:vAlign w:val="center"/>
          </w:tcPr>
          <w:p>
            <w:pPr>
              <w:jc w:val="center"/>
              <w:rPr>
                <w:rFonts w:hint="eastAsia" w:ascii="仿宋_GB2312" w:eastAsia="仿宋_GB2312"/>
                <w:color w:val="000000"/>
                <w:sz w:val="24"/>
              </w:rPr>
            </w:pPr>
          </w:p>
        </w:tc>
        <w:tc>
          <w:tcPr>
            <w:tcW w:w="1260" w:type="dxa"/>
            <w:vAlign w:val="top"/>
          </w:tcPr>
          <w:p>
            <w:pPr>
              <w:jc w:val="center"/>
              <w:rPr>
                <w:rFonts w:hint="eastAsia" w:ascii="仿宋_GB2312" w:eastAsia="仿宋_GB2312"/>
                <w:color w:val="000000"/>
                <w:sz w:val="24"/>
              </w:rPr>
            </w:pPr>
          </w:p>
        </w:tc>
        <w:tc>
          <w:tcPr>
            <w:tcW w:w="1620" w:type="dxa"/>
            <w:vAlign w:val="top"/>
          </w:tcPr>
          <w:p>
            <w:pPr>
              <w:jc w:val="center"/>
              <w:rPr>
                <w:rFonts w:hint="eastAsia" w:ascii="仿宋_GB2312" w:eastAsia="仿宋_GB2312"/>
                <w:color w:val="000000"/>
                <w:sz w:val="24"/>
              </w:rPr>
            </w:pPr>
          </w:p>
        </w:tc>
        <w:tc>
          <w:tcPr>
            <w:tcW w:w="900" w:type="dxa"/>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16" w:type="dxa"/>
            <w:vAlign w:val="center"/>
          </w:tcPr>
          <w:p>
            <w:pPr>
              <w:jc w:val="center"/>
              <w:rPr>
                <w:rFonts w:hint="eastAsia" w:ascii="仿宋_GB2312" w:eastAsia="仿宋_GB2312"/>
                <w:color w:val="000000"/>
                <w:sz w:val="24"/>
              </w:rPr>
            </w:pPr>
          </w:p>
        </w:tc>
        <w:tc>
          <w:tcPr>
            <w:tcW w:w="2464" w:type="dxa"/>
            <w:vAlign w:val="center"/>
          </w:tcPr>
          <w:p>
            <w:pPr>
              <w:jc w:val="center"/>
              <w:rPr>
                <w:rFonts w:hint="eastAsia" w:ascii="仿宋_GB2312" w:eastAsia="仿宋_GB2312"/>
                <w:color w:val="000000"/>
                <w:sz w:val="24"/>
              </w:rPr>
            </w:pPr>
          </w:p>
        </w:tc>
        <w:tc>
          <w:tcPr>
            <w:tcW w:w="1676" w:type="dxa"/>
            <w:vAlign w:val="center"/>
          </w:tcPr>
          <w:p>
            <w:pPr>
              <w:jc w:val="center"/>
              <w:rPr>
                <w:rFonts w:hint="eastAsia" w:ascii="仿宋_GB2312" w:eastAsia="仿宋_GB2312"/>
                <w:color w:val="000000"/>
                <w:sz w:val="24"/>
              </w:rPr>
            </w:pPr>
          </w:p>
        </w:tc>
        <w:tc>
          <w:tcPr>
            <w:tcW w:w="1260" w:type="dxa"/>
            <w:vAlign w:val="top"/>
          </w:tcPr>
          <w:p>
            <w:pPr>
              <w:jc w:val="center"/>
              <w:rPr>
                <w:rFonts w:hint="eastAsia" w:ascii="仿宋_GB2312" w:eastAsia="仿宋_GB2312"/>
                <w:color w:val="000000"/>
                <w:sz w:val="24"/>
              </w:rPr>
            </w:pPr>
          </w:p>
        </w:tc>
        <w:tc>
          <w:tcPr>
            <w:tcW w:w="1620" w:type="dxa"/>
            <w:vAlign w:val="top"/>
          </w:tcPr>
          <w:p>
            <w:pPr>
              <w:jc w:val="center"/>
              <w:rPr>
                <w:rFonts w:hint="eastAsia" w:ascii="仿宋_GB2312" w:eastAsia="仿宋_GB2312"/>
                <w:color w:val="000000"/>
                <w:sz w:val="24"/>
              </w:rPr>
            </w:pPr>
          </w:p>
        </w:tc>
        <w:tc>
          <w:tcPr>
            <w:tcW w:w="900" w:type="dxa"/>
            <w:vAlign w:val="center"/>
          </w:tcPr>
          <w:p>
            <w:pPr>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16" w:type="dxa"/>
            <w:vAlign w:val="center"/>
          </w:tcPr>
          <w:p>
            <w:pPr>
              <w:jc w:val="center"/>
              <w:rPr>
                <w:rFonts w:hint="eastAsia" w:ascii="仿宋_GB2312" w:eastAsia="仿宋_GB2312"/>
                <w:color w:val="000000"/>
                <w:sz w:val="24"/>
              </w:rPr>
            </w:pPr>
          </w:p>
        </w:tc>
        <w:tc>
          <w:tcPr>
            <w:tcW w:w="2464" w:type="dxa"/>
            <w:vAlign w:val="center"/>
          </w:tcPr>
          <w:p>
            <w:pPr>
              <w:jc w:val="center"/>
              <w:rPr>
                <w:rFonts w:hint="eastAsia" w:ascii="仿宋_GB2312" w:eastAsia="仿宋_GB2312"/>
                <w:color w:val="000000"/>
                <w:sz w:val="24"/>
              </w:rPr>
            </w:pPr>
          </w:p>
        </w:tc>
        <w:tc>
          <w:tcPr>
            <w:tcW w:w="1676" w:type="dxa"/>
            <w:vAlign w:val="center"/>
          </w:tcPr>
          <w:p>
            <w:pPr>
              <w:jc w:val="center"/>
              <w:rPr>
                <w:rFonts w:hint="eastAsia" w:ascii="仿宋_GB2312" w:eastAsia="仿宋_GB2312"/>
                <w:color w:val="000000"/>
                <w:sz w:val="24"/>
              </w:rPr>
            </w:pPr>
          </w:p>
        </w:tc>
        <w:tc>
          <w:tcPr>
            <w:tcW w:w="1260" w:type="dxa"/>
            <w:vAlign w:val="top"/>
          </w:tcPr>
          <w:p>
            <w:pPr>
              <w:jc w:val="center"/>
              <w:rPr>
                <w:rFonts w:hint="eastAsia" w:ascii="仿宋_GB2312" w:eastAsia="仿宋_GB2312"/>
                <w:color w:val="000000"/>
                <w:sz w:val="24"/>
              </w:rPr>
            </w:pPr>
          </w:p>
        </w:tc>
        <w:tc>
          <w:tcPr>
            <w:tcW w:w="1620" w:type="dxa"/>
            <w:vAlign w:val="top"/>
          </w:tcPr>
          <w:p>
            <w:pPr>
              <w:jc w:val="center"/>
              <w:rPr>
                <w:rFonts w:hint="eastAsia" w:ascii="仿宋_GB2312" w:eastAsia="仿宋_GB2312"/>
                <w:color w:val="000000"/>
                <w:sz w:val="24"/>
              </w:rPr>
            </w:pPr>
          </w:p>
        </w:tc>
        <w:tc>
          <w:tcPr>
            <w:tcW w:w="900" w:type="dxa"/>
            <w:vAlign w:val="center"/>
          </w:tcPr>
          <w:p>
            <w:pPr>
              <w:jc w:val="center"/>
              <w:rPr>
                <w:rFonts w:hint="eastAsia" w:ascii="仿宋_GB2312" w:eastAsia="仿宋_GB2312"/>
                <w:color w:val="000000"/>
                <w:sz w:val="24"/>
              </w:rPr>
            </w:pPr>
          </w:p>
        </w:tc>
      </w:tr>
    </w:tbl>
    <w:p>
      <w:pPr>
        <w:rPr>
          <w:rFonts w:hint="eastAsia" w:ascii="仿宋_GB2312" w:eastAsia="仿宋_GB2312"/>
          <w:color w:val="000000"/>
        </w:rPr>
      </w:pPr>
    </w:p>
    <w:p>
      <w:pPr>
        <w:rPr>
          <w:rFonts w:hint="eastAsia" w:ascii="仿宋_GB2312" w:eastAsia="仿宋_GB2312"/>
          <w:color w:val="000000"/>
        </w:rPr>
      </w:pPr>
    </w:p>
    <w:p>
      <w:pPr>
        <w:spacing w:line="360" w:lineRule="auto"/>
        <w:ind w:firstLine="440" w:firstLineChars="200"/>
        <w:rPr>
          <w:rFonts w:hint="eastAsia" w:ascii="仿宋_GB2312" w:hAnsi="宋体" w:eastAsia="仿宋_GB2312"/>
          <w:color w:val="000000"/>
        </w:rPr>
      </w:pPr>
      <w:r>
        <w:rPr>
          <w:rFonts w:hint="eastAsia" w:ascii="仿宋_GB2312" w:hAnsi="宋体" w:eastAsia="仿宋_GB2312"/>
          <w:color w:val="000000"/>
        </w:rPr>
        <w:t>注：（1）已完成的类似项目应附中标通知书或合同协议书复印件。</w:t>
      </w:r>
    </w:p>
    <w:p>
      <w:pPr>
        <w:spacing w:line="360" w:lineRule="auto"/>
        <w:ind w:firstLine="440" w:firstLineChars="200"/>
        <w:rPr>
          <w:rFonts w:hint="eastAsia" w:ascii="仿宋_GB2312" w:hAnsi="宋体" w:eastAsia="仿宋_GB2312"/>
          <w:color w:val="000000"/>
        </w:rPr>
      </w:pPr>
    </w:p>
    <w:bookmarkEnd w:id="102"/>
    <w:p>
      <w:pPr>
        <w:spacing w:line="360" w:lineRule="auto"/>
        <w:ind w:firstLine="440" w:firstLineChars="200"/>
        <w:rPr>
          <w:rFonts w:hint="eastAsia" w:ascii="仿宋_GB2312" w:hAnsi="宋体" w:eastAsia="仿宋_GB2312"/>
          <w:color w:val="000000"/>
        </w:rPr>
        <w:sectPr>
          <w:endnotePr>
            <w:numFmt w:val="decimal"/>
          </w:endnotePr>
          <w:pgSz w:w="11906" w:h="16838"/>
          <w:pgMar w:top="1247" w:right="1247" w:bottom="1247" w:left="1361" w:header="851" w:footer="992" w:gutter="0"/>
          <w:cols w:space="720" w:num="1"/>
          <w:rtlGutter w:val="0"/>
          <w:docGrid w:type="linesAndChars" w:linePitch="312" w:charSpace="0"/>
        </w:sectPr>
      </w:pPr>
    </w:p>
    <w:p>
      <w:pPr>
        <w:pStyle w:val="3"/>
        <w:jc w:val="center"/>
        <w:rPr>
          <w:rFonts w:hint="eastAsia" w:ascii="仿宋_GB2312" w:hAnsi="宋体" w:eastAsia="仿宋_GB2312"/>
          <w:color w:val="000000"/>
        </w:rPr>
      </w:pPr>
      <w:bookmarkStart w:id="103" w:name="_Toc225045569"/>
      <w:bookmarkStart w:id="104" w:name="_Toc15819"/>
      <w:bookmarkStart w:id="105" w:name="_Toc185047539"/>
      <w:bookmarkStart w:id="106" w:name="_Toc270862437"/>
      <w:r>
        <w:rPr>
          <w:rFonts w:hint="eastAsia" w:ascii="仿宋_GB2312" w:hAnsi="宋体" w:eastAsia="仿宋_GB2312"/>
          <w:color w:val="000000"/>
          <w:lang w:eastAsia="zh-CN"/>
        </w:rPr>
        <w:t>六</w:t>
      </w:r>
      <w:r>
        <w:rPr>
          <w:rFonts w:hint="eastAsia" w:ascii="仿宋_GB2312" w:hAnsi="宋体" w:eastAsia="仿宋_GB2312"/>
          <w:color w:val="000000"/>
        </w:rPr>
        <w:t>、其他材料</w:t>
      </w:r>
      <w:bookmarkEnd w:id="103"/>
      <w:bookmarkEnd w:id="104"/>
      <w:bookmarkEnd w:id="105"/>
      <w:bookmarkEnd w:id="106"/>
    </w:p>
    <w:p>
      <w:pPr>
        <w:spacing w:line="360" w:lineRule="auto"/>
        <w:ind w:firstLine="440" w:firstLineChars="200"/>
        <w:rPr>
          <w:rFonts w:hint="eastAsia" w:ascii="仿宋_GB2312" w:hAnsi="宋体" w:eastAsia="仿宋_GB2312"/>
          <w:color w:val="000000"/>
        </w:rPr>
      </w:pPr>
    </w:p>
    <w:p>
      <w:pPr>
        <w:numPr>
          <w:ilvl w:val="0"/>
          <w:numId w:val="94"/>
        </w:numPr>
        <w:rPr>
          <w:rFonts w:hint="eastAsia" w:ascii="仿宋_GB2312" w:hAnsi="宋体" w:eastAsia="仿宋_GB2312"/>
          <w:b/>
          <w:bCs/>
          <w:color w:val="000000"/>
        </w:rPr>
      </w:pPr>
      <w:r>
        <w:rPr>
          <w:rFonts w:hint="eastAsia" w:ascii="仿宋_GB2312" w:hAnsi="宋体" w:eastAsia="仿宋_GB2312"/>
          <w:b/>
          <w:bCs/>
          <w:color w:val="000000"/>
        </w:rPr>
        <w:t>比对导入资料</w:t>
      </w:r>
    </w:p>
    <w:p>
      <w:pPr>
        <w:rPr>
          <w:rFonts w:hint="eastAsia" w:ascii="仿宋_GB2312" w:hAnsi="宋体" w:eastAsia="仿宋_GB2312"/>
          <w:color w:val="000000"/>
        </w:rPr>
      </w:pPr>
      <w:r>
        <w:rPr>
          <w:rFonts w:hint="eastAsia" w:ascii="仿宋_GB2312" w:hAnsi="宋体" w:eastAsia="仿宋_GB2312"/>
          <w:color w:val="000000"/>
        </w:rPr>
        <w:t>请按照下列格式制作企业信息和人员信息的EXCEL表，并以U盘或光盘方式递交，企业名称、统一社会信用代码、人员姓名、人员身份证号码必须跟入库信息一致，否则导入不成功，将视为无效处理。</w:t>
      </w:r>
    </w:p>
    <w:tbl>
      <w:tblPr>
        <w:tblStyle w:val="10"/>
        <w:tblW w:w="6195" w:type="dxa"/>
        <w:tblInd w:w="0" w:type="dxa"/>
        <w:tblLayout w:type="fixed"/>
        <w:tblCellMar>
          <w:top w:w="15" w:type="dxa"/>
          <w:left w:w="15" w:type="dxa"/>
          <w:bottom w:w="15" w:type="dxa"/>
          <w:right w:w="15" w:type="dxa"/>
        </w:tblCellMar>
      </w:tblPr>
      <w:tblGrid>
        <w:gridCol w:w="3255"/>
        <w:gridCol w:w="2940"/>
      </w:tblGrid>
      <w:tr>
        <w:tblPrEx>
          <w:tblCellMar>
            <w:top w:w="15" w:type="dxa"/>
            <w:left w:w="15" w:type="dxa"/>
            <w:bottom w:w="15" w:type="dxa"/>
            <w:right w:w="15" w:type="dxa"/>
          </w:tblCellMar>
        </w:tblPrEx>
        <w:trPr>
          <w:trHeight w:val="1035" w:hRule="atLeast"/>
        </w:trPr>
        <w:tc>
          <w:tcPr>
            <w:tcW w:w="3255" w:type="dxa"/>
            <w:vAlign w:val="center"/>
          </w:tcPr>
          <w:p>
            <w:pPr>
              <w:widowControl/>
              <w:jc w:val="left"/>
              <w:textAlignment w:val="center"/>
              <w:rPr>
                <w:rFonts w:ascii="、" w:hAnsi="、" w:eastAsia="、" w:cs="、"/>
                <w:b/>
                <w:color w:val="FF0000"/>
                <w:sz w:val="24"/>
                <w:szCs w:val="24"/>
              </w:rPr>
            </w:pPr>
            <w:r>
              <w:rPr>
                <w:rFonts w:ascii="、" w:hAnsi="、" w:eastAsia="、" w:cs="、"/>
                <w:b/>
                <w:color w:val="FF0000"/>
                <w:kern w:val="0"/>
                <w:sz w:val="24"/>
                <w:szCs w:val="24"/>
                <w:lang w:bidi="ar"/>
              </w:rPr>
              <w:t>企业名称</w:t>
            </w:r>
          </w:p>
        </w:tc>
        <w:tc>
          <w:tcPr>
            <w:tcW w:w="2940" w:type="dxa"/>
            <w:vAlign w:val="center"/>
          </w:tcPr>
          <w:p>
            <w:pPr>
              <w:widowControl/>
              <w:jc w:val="left"/>
              <w:textAlignment w:val="center"/>
              <w:rPr>
                <w:rFonts w:ascii="、" w:hAnsi="、" w:eastAsia="、" w:cs="、"/>
                <w:b/>
                <w:color w:val="FF0000"/>
                <w:sz w:val="24"/>
                <w:szCs w:val="24"/>
              </w:rPr>
            </w:pPr>
            <w:r>
              <w:rPr>
                <w:rFonts w:ascii="、" w:hAnsi="、" w:eastAsia="、" w:cs="、"/>
                <w:b/>
                <w:color w:val="FF0000"/>
                <w:kern w:val="0"/>
                <w:sz w:val="24"/>
                <w:szCs w:val="24"/>
                <w:lang w:bidi="ar"/>
              </w:rPr>
              <w:t>统一社会信用代码</w:t>
            </w:r>
          </w:p>
        </w:tc>
      </w:tr>
      <w:tr>
        <w:tblPrEx>
          <w:tblCellMar>
            <w:top w:w="15" w:type="dxa"/>
            <w:left w:w="15" w:type="dxa"/>
            <w:bottom w:w="15" w:type="dxa"/>
            <w:right w:w="15" w:type="dxa"/>
          </w:tblCellMar>
        </w:tblPrEx>
        <w:trPr>
          <w:trHeight w:val="285" w:hRule="atLeast"/>
        </w:trPr>
        <w:tc>
          <w:tcPr>
            <w:tcW w:w="3255" w:type="dxa"/>
            <w:vAlign w:val="center"/>
          </w:tcPr>
          <w:p>
            <w:pPr>
              <w:widowControl/>
              <w:jc w:val="left"/>
              <w:textAlignment w:val="center"/>
              <w:rPr>
                <w:rFonts w:ascii="、" w:hAnsi="、" w:eastAsia="、" w:cs="、"/>
                <w:color w:val="4E4E4E"/>
                <w:sz w:val="24"/>
                <w:szCs w:val="24"/>
              </w:rPr>
            </w:pPr>
            <w:r>
              <w:rPr>
                <w:rFonts w:ascii="、" w:hAnsi="、" w:eastAsia="、" w:cs="、"/>
                <w:color w:val="4E4E4E"/>
                <w:kern w:val="0"/>
                <w:sz w:val="24"/>
                <w:szCs w:val="24"/>
                <w:lang w:bidi="ar"/>
              </w:rPr>
              <w:t>XXX有限责任公司</w:t>
            </w:r>
          </w:p>
        </w:tc>
        <w:tc>
          <w:tcPr>
            <w:tcW w:w="2940" w:type="dxa"/>
            <w:vAlign w:val="center"/>
          </w:tcPr>
          <w:p>
            <w:pPr>
              <w:widowControl/>
              <w:jc w:val="left"/>
              <w:textAlignment w:val="center"/>
              <w:rPr>
                <w:rFonts w:ascii="、" w:hAnsi="、" w:eastAsia="、" w:cs="、"/>
                <w:color w:val="000000"/>
                <w:sz w:val="24"/>
                <w:szCs w:val="24"/>
              </w:rPr>
            </w:pPr>
            <w:r>
              <w:rPr>
                <w:rFonts w:ascii="、" w:hAnsi="、" w:eastAsia="、" w:cs="、"/>
                <w:color w:val="000000"/>
                <w:kern w:val="0"/>
                <w:sz w:val="24"/>
                <w:szCs w:val="24"/>
                <w:lang w:bidi="ar"/>
              </w:rPr>
              <w:t>91120102MXXXXXXXXX</w:t>
            </w:r>
          </w:p>
        </w:tc>
      </w:tr>
      <w:tr>
        <w:tblPrEx>
          <w:tblCellMar>
            <w:top w:w="15" w:type="dxa"/>
            <w:left w:w="15" w:type="dxa"/>
            <w:bottom w:w="15" w:type="dxa"/>
            <w:right w:w="15" w:type="dxa"/>
          </w:tblCellMar>
        </w:tblPrEx>
        <w:trPr>
          <w:trHeight w:val="285" w:hRule="atLeast"/>
        </w:trPr>
        <w:tc>
          <w:tcPr>
            <w:tcW w:w="3255" w:type="dxa"/>
            <w:vAlign w:val="center"/>
          </w:tcPr>
          <w:p>
            <w:pPr>
              <w:widowControl/>
              <w:jc w:val="left"/>
              <w:textAlignment w:val="center"/>
              <w:rPr>
                <w:rFonts w:ascii="、" w:hAnsi="、" w:eastAsia="、" w:cs="、"/>
                <w:b/>
                <w:color w:val="FF0000"/>
                <w:sz w:val="24"/>
                <w:szCs w:val="24"/>
              </w:rPr>
            </w:pPr>
            <w:r>
              <w:rPr>
                <w:rFonts w:ascii="、" w:hAnsi="、" w:eastAsia="、" w:cs="、"/>
                <w:b/>
                <w:color w:val="FF0000"/>
                <w:kern w:val="0"/>
                <w:sz w:val="24"/>
                <w:szCs w:val="24"/>
                <w:lang w:bidi="ar"/>
              </w:rPr>
              <w:t>人员姓名</w:t>
            </w:r>
          </w:p>
        </w:tc>
        <w:tc>
          <w:tcPr>
            <w:tcW w:w="2940" w:type="dxa"/>
            <w:vAlign w:val="center"/>
          </w:tcPr>
          <w:p>
            <w:pPr>
              <w:widowControl/>
              <w:jc w:val="left"/>
              <w:textAlignment w:val="center"/>
              <w:rPr>
                <w:rFonts w:ascii="、" w:hAnsi="、" w:eastAsia="、" w:cs="、"/>
                <w:b/>
                <w:color w:val="FF0000"/>
                <w:sz w:val="24"/>
                <w:szCs w:val="24"/>
              </w:rPr>
            </w:pPr>
            <w:r>
              <w:rPr>
                <w:rFonts w:ascii="、" w:hAnsi="、" w:eastAsia="、" w:cs="、"/>
                <w:b/>
                <w:color w:val="FF0000"/>
                <w:kern w:val="0"/>
                <w:sz w:val="24"/>
                <w:szCs w:val="24"/>
                <w:lang w:bidi="ar"/>
              </w:rPr>
              <w:t>人员身份证号码</w:t>
            </w:r>
          </w:p>
        </w:tc>
      </w:tr>
      <w:tr>
        <w:tblPrEx>
          <w:tblCellMar>
            <w:top w:w="15" w:type="dxa"/>
            <w:left w:w="15" w:type="dxa"/>
            <w:bottom w:w="15" w:type="dxa"/>
            <w:right w:w="15" w:type="dxa"/>
          </w:tblCellMar>
        </w:tblPrEx>
        <w:trPr>
          <w:trHeight w:val="285" w:hRule="atLeast"/>
        </w:trPr>
        <w:tc>
          <w:tcPr>
            <w:tcW w:w="3255" w:type="dxa"/>
            <w:vAlign w:val="center"/>
          </w:tcPr>
          <w:p>
            <w:pPr>
              <w:widowControl/>
              <w:jc w:val="left"/>
              <w:textAlignment w:val="center"/>
              <w:rPr>
                <w:rFonts w:ascii="、" w:hAnsi="、" w:eastAsia="、" w:cs="、"/>
                <w:color w:val="000000"/>
                <w:sz w:val="24"/>
                <w:szCs w:val="24"/>
              </w:rPr>
            </w:pPr>
            <w:r>
              <w:rPr>
                <w:rFonts w:ascii="、" w:hAnsi="、" w:eastAsia="、" w:cs="、"/>
                <w:color w:val="000000"/>
                <w:kern w:val="0"/>
                <w:sz w:val="24"/>
                <w:szCs w:val="24"/>
                <w:lang w:bidi="ar"/>
              </w:rPr>
              <w:t>张三</w:t>
            </w:r>
          </w:p>
        </w:tc>
        <w:tc>
          <w:tcPr>
            <w:tcW w:w="2940" w:type="dxa"/>
            <w:vAlign w:val="center"/>
          </w:tcPr>
          <w:p>
            <w:pPr>
              <w:widowControl/>
              <w:jc w:val="left"/>
              <w:textAlignment w:val="center"/>
              <w:rPr>
                <w:rFonts w:ascii="、" w:hAnsi="、" w:eastAsia="、" w:cs="、"/>
                <w:color w:val="000000"/>
                <w:sz w:val="24"/>
                <w:szCs w:val="24"/>
              </w:rPr>
            </w:pPr>
            <w:r>
              <w:rPr>
                <w:rFonts w:ascii="、" w:hAnsi="、" w:eastAsia="、" w:cs="、"/>
                <w:color w:val="000000"/>
                <w:kern w:val="0"/>
                <w:sz w:val="24"/>
                <w:szCs w:val="24"/>
                <w:lang w:bidi="ar"/>
              </w:rPr>
              <w:t>510802198505245896</w:t>
            </w:r>
          </w:p>
        </w:tc>
      </w:tr>
      <w:tr>
        <w:tblPrEx>
          <w:tblCellMar>
            <w:top w:w="15" w:type="dxa"/>
            <w:left w:w="15" w:type="dxa"/>
            <w:bottom w:w="15" w:type="dxa"/>
            <w:right w:w="15" w:type="dxa"/>
          </w:tblCellMar>
        </w:tblPrEx>
        <w:trPr>
          <w:trHeight w:val="285" w:hRule="atLeast"/>
        </w:trPr>
        <w:tc>
          <w:tcPr>
            <w:tcW w:w="3255" w:type="dxa"/>
            <w:vAlign w:val="center"/>
          </w:tcPr>
          <w:p>
            <w:pPr>
              <w:widowControl/>
              <w:jc w:val="left"/>
              <w:textAlignment w:val="center"/>
              <w:rPr>
                <w:rFonts w:ascii="、" w:hAnsi="、" w:eastAsia="、" w:cs="、"/>
                <w:color w:val="000000"/>
                <w:sz w:val="24"/>
                <w:szCs w:val="24"/>
              </w:rPr>
            </w:pPr>
            <w:r>
              <w:rPr>
                <w:rFonts w:ascii="、" w:hAnsi="、" w:eastAsia="、" w:cs="、"/>
                <w:color w:val="000000"/>
                <w:kern w:val="0"/>
                <w:sz w:val="24"/>
                <w:szCs w:val="24"/>
                <w:lang w:bidi="ar"/>
              </w:rPr>
              <w:t>李四</w:t>
            </w:r>
          </w:p>
        </w:tc>
        <w:tc>
          <w:tcPr>
            <w:tcW w:w="2940" w:type="dxa"/>
            <w:vAlign w:val="center"/>
          </w:tcPr>
          <w:p>
            <w:pPr>
              <w:widowControl/>
              <w:jc w:val="left"/>
              <w:textAlignment w:val="center"/>
              <w:rPr>
                <w:rFonts w:ascii="、" w:hAnsi="、" w:eastAsia="、" w:cs="、"/>
                <w:color w:val="000000"/>
                <w:sz w:val="24"/>
                <w:szCs w:val="24"/>
              </w:rPr>
            </w:pPr>
            <w:r>
              <w:rPr>
                <w:rFonts w:ascii="、" w:hAnsi="、" w:eastAsia="、" w:cs="、"/>
                <w:color w:val="000000"/>
                <w:kern w:val="0"/>
                <w:sz w:val="24"/>
                <w:szCs w:val="24"/>
                <w:lang w:bidi="ar"/>
              </w:rPr>
              <w:t>510802198505245896</w:t>
            </w:r>
          </w:p>
        </w:tc>
      </w:tr>
      <w:tr>
        <w:tblPrEx>
          <w:tblCellMar>
            <w:top w:w="15" w:type="dxa"/>
            <w:left w:w="15" w:type="dxa"/>
            <w:bottom w:w="15" w:type="dxa"/>
            <w:right w:w="15" w:type="dxa"/>
          </w:tblCellMar>
        </w:tblPrEx>
        <w:trPr>
          <w:trHeight w:val="285" w:hRule="atLeast"/>
        </w:trPr>
        <w:tc>
          <w:tcPr>
            <w:tcW w:w="3255" w:type="dxa"/>
            <w:vAlign w:val="center"/>
          </w:tcPr>
          <w:p>
            <w:pPr>
              <w:widowControl/>
              <w:jc w:val="left"/>
              <w:textAlignment w:val="center"/>
              <w:rPr>
                <w:rFonts w:ascii="、" w:hAnsi="、" w:eastAsia="、" w:cs="、"/>
                <w:color w:val="000000"/>
                <w:sz w:val="24"/>
                <w:szCs w:val="24"/>
              </w:rPr>
            </w:pPr>
            <w:r>
              <w:rPr>
                <w:rFonts w:ascii="、" w:hAnsi="、" w:eastAsia="、" w:cs="、"/>
                <w:color w:val="000000"/>
                <w:kern w:val="0"/>
                <w:sz w:val="24"/>
                <w:szCs w:val="24"/>
                <w:lang w:bidi="ar"/>
              </w:rPr>
              <w:t>王五</w:t>
            </w:r>
          </w:p>
        </w:tc>
        <w:tc>
          <w:tcPr>
            <w:tcW w:w="2940" w:type="dxa"/>
            <w:vAlign w:val="center"/>
          </w:tcPr>
          <w:p>
            <w:pPr>
              <w:widowControl/>
              <w:jc w:val="left"/>
              <w:textAlignment w:val="center"/>
              <w:rPr>
                <w:rFonts w:ascii="、" w:hAnsi="、" w:eastAsia="、" w:cs="、"/>
                <w:color w:val="000000"/>
                <w:sz w:val="24"/>
                <w:szCs w:val="24"/>
              </w:rPr>
            </w:pPr>
            <w:r>
              <w:rPr>
                <w:rFonts w:ascii="、" w:hAnsi="、" w:eastAsia="、" w:cs="、"/>
                <w:color w:val="000000"/>
                <w:kern w:val="0"/>
                <w:sz w:val="24"/>
                <w:szCs w:val="24"/>
                <w:lang w:bidi="ar"/>
              </w:rPr>
              <w:t>510802198505245896</w:t>
            </w:r>
          </w:p>
        </w:tc>
      </w:tr>
      <w:tr>
        <w:tblPrEx>
          <w:tblCellMar>
            <w:top w:w="15" w:type="dxa"/>
            <w:left w:w="15" w:type="dxa"/>
            <w:bottom w:w="15" w:type="dxa"/>
            <w:right w:w="15" w:type="dxa"/>
          </w:tblCellMar>
        </w:tblPrEx>
        <w:trPr>
          <w:trHeight w:val="285" w:hRule="atLeast"/>
        </w:trPr>
        <w:tc>
          <w:tcPr>
            <w:tcW w:w="3255" w:type="dxa"/>
            <w:vAlign w:val="center"/>
          </w:tcPr>
          <w:p>
            <w:pPr>
              <w:widowControl/>
              <w:jc w:val="left"/>
              <w:textAlignment w:val="center"/>
              <w:rPr>
                <w:rFonts w:ascii="、" w:hAnsi="、" w:eastAsia="、" w:cs="、"/>
                <w:color w:val="000000"/>
                <w:sz w:val="24"/>
                <w:szCs w:val="24"/>
              </w:rPr>
            </w:pPr>
            <w:r>
              <w:rPr>
                <w:rFonts w:ascii="、" w:hAnsi="、" w:eastAsia="、" w:cs="、"/>
                <w:color w:val="000000"/>
                <w:kern w:val="0"/>
                <w:sz w:val="24"/>
                <w:szCs w:val="24"/>
                <w:lang w:bidi="ar"/>
              </w:rPr>
              <w:t>赵六</w:t>
            </w:r>
          </w:p>
        </w:tc>
        <w:tc>
          <w:tcPr>
            <w:tcW w:w="2940" w:type="dxa"/>
            <w:vAlign w:val="center"/>
          </w:tcPr>
          <w:p>
            <w:pPr>
              <w:widowControl/>
              <w:jc w:val="left"/>
              <w:textAlignment w:val="center"/>
              <w:rPr>
                <w:rFonts w:ascii="、" w:hAnsi="、" w:eastAsia="、" w:cs="、"/>
                <w:color w:val="000000"/>
                <w:sz w:val="24"/>
                <w:szCs w:val="24"/>
              </w:rPr>
            </w:pPr>
            <w:r>
              <w:rPr>
                <w:rFonts w:ascii="、" w:hAnsi="、" w:eastAsia="、" w:cs="、"/>
                <w:color w:val="000000"/>
                <w:kern w:val="0"/>
                <w:sz w:val="24"/>
                <w:szCs w:val="24"/>
                <w:lang w:bidi="ar"/>
              </w:rPr>
              <w:t>510802198505245896</w:t>
            </w:r>
          </w:p>
        </w:tc>
      </w:tr>
    </w:tbl>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r>
        <w:rPr>
          <w:rFonts w:hint="eastAsia" w:ascii="仿宋_GB2312" w:hAnsi="宋体" w:eastAsia="仿宋_GB2312"/>
          <w:color w:val="000000"/>
        </w:rPr>
        <w:t>（二）</w:t>
      </w:r>
      <w:r>
        <w:rPr>
          <w:rFonts w:hint="eastAsia" w:ascii="仿宋_GB2312" w:hAnsi="宋体" w:eastAsia="仿宋_GB2312"/>
          <w:color w:val="000000"/>
          <w:lang w:eastAsia="zh-CN"/>
        </w:rPr>
        <w:t>四川省交通运输厅网站能反映投标人当前信用等级的页面打印件</w:t>
      </w: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r>
        <w:rPr>
          <w:rFonts w:hint="eastAsia" w:ascii="仿宋_GB2312" w:hAnsi="宋体" w:eastAsia="仿宋_GB2312"/>
          <w:color w:val="000000"/>
        </w:rPr>
        <w:t>……</w:t>
      </w: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rPr>
          <w:rFonts w:hint="eastAsia" w:ascii="仿宋_GB2312" w:hAnsi="宋体" w:eastAsia="仿宋_GB2312"/>
          <w:color w:val="000000"/>
        </w:rPr>
      </w:pPr>
    </w:p>
    <w:p>
      <w:pPr>
        <w:spacing w:line="400" w:lineRule="exact"/>
        <w:ind w:firstLine="437"/>
        <w:rPr>
          <w:rFonts w:hint="eastAsia" w:ascii="仿宋_GB2312" w:hAnsi="宋体" w:eastAsia="仿宋_GB2312"/>
          <w:color w:val="000000"/>
        </w:rPr>
      </w:pPr>
      <w:r>
        <w:rPr>
          <w:rFonts w:hint="eastAsia" w:ascii="仿宋_GB2312" w:hAnsi="宋体" w:eastAsia="仿宋_GB2312"/>
          <w:color w:val="000000"/>
        </w:rPr>
        <w:t>注：（1）招标人在编制招标文件时，除以上六项外，招标人还可以要求投标人提供其他材料。但不得与以上六项的内容及本招标文件列出的选择项中招标人没有选择的项重复和抵触。</w:t>
      </w:r>
    </w:p>
    <w:p>
      <w:pPr>
        <w:spacing w:line="400" w:lineRule="exact"/>
        <w:ind w:firstLine="437"/>
        <w:rPr>
          <w:rFonts w:hint="eastAsia" w:ascii="仿宋_GB2312" w:hAnsi="宋体" w:eastAsia="仿宋_GB2312"/>
          <w:color w:val="000000"/>
        </w:rPr>
      </w:pPr>
      <w:r>
        <w:rPr>
          <w:rFonts w:hint="eastAsia" w:ascii="仿宋_GB2312" w:hAnsi="宋体" w:eastAsia="仿宋_GB2312"/>
          <w:color w:val="000000"/>
        </w:rPr>
        <w:t>（2）招标人要求申请提供的其他材料应在第二章“投标人须知”3.1.1“构成投标文件的其他材料”中列出。</w:t>
      </w:r>
    </w:p>
    <w:p>
      <w:pPr>
        <w:spacing w:line="400" w:lineRule="exact"/>
        <w:ind w:firstLine="437"/>
        <w:rPr>
          <w:rFonts w:hint="eastAsia" w:ascii="仿宋_GB2312" w:hAnsi="宋体" w:eastAsia="仿宋_GB2312"/>
          <w:color w:val="000000"/>
        </w:rPr>
      </w:pPr>
      <w:r>
        <w:rPr>
          <w:rFonts w:hint="eastAsia" w:ascii="仿宋_GB2312" w:hAnsi="宋体" w:eastAsia="仿宋_GB2312"/>
          <w:color w:val="000000"/>
        </w:rPr>
        <w:t>（3）招标人不得要求与本项目招投标和履行合同无关的材料。</w:t>
      </w:r>
    </w:p>
    <w:p>
      <w:pPr>
        <w:spacing w:line="400" w:lineRule="exact"/>
        <w:ind w:firstLine="437"/>
        <w:rPr>
          <w:rFonts w:hint="eastAsia" w:ascii="仿宋_GB2312" w:hAnsi="宋体" w:eastAsia="仿宋_GB2312"/>
          <w:color w:val="000000"/>
        </w:rPr>
      </w:pPr>
      <w:r>
        <w:rPr>
          <w:rFonts w:hint="eastAsia" w:ascii="仿宋_GB2312" w:hAnsi="宋体" w:eastAsia="仿宋_GB2312"/>
          <w:color w:val="000000"/>
        </w:rPr>
        <w:t>（4）招标人在招标文件中没有要求的材料，投标人不需要提供，投标文件不得夹带宣传性材料。</w:t>
      </w:r>
    </w:p>
    <w:p>
      <w:pPr>
        <w:spacing w:line="400" w:lineRule="exact"/>
        <w:rPr>
          <w:rFonts w:hint="eastAsia" w:ascii="仿宋_GB2312" w:hAnsi="宋体" w:eastAsia="仿宋_GB2312"/>
          <w:color w:val="000000"/>
        </w:rPr>
      </w:pPr>
    </w:p>
    <w:sectPr>
      <w:type w:val="continuous"/>
      <w:pgSz w:w="11900" w:h="16840"/>
      <w:pgMar w:top="1247" w:right="1247" w:bottom="1247" w:left="1361" w:header="0" w:footer="0" w:gutter="0"/>
      <w:pgBorders>
        <w:top w:val="none" w:sz="0" w:space="0"/>
        <w:left w:val="none" w:sz="0" w:space="0"/>
        <w:bottom w:val="none" w:sz="0" w:space="0"/>
        <w:right w:val="none" w:sz="0" w:space="0"/>
      </w:pgBorders>
      <w:cols w:equalWidth="0" w:num="1">
        <w:col w:w="9024"/>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font-weight : 400">
    <w:altName w:val="Mang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宋体"/>
    <w:panose1 w:val="02010609060101010101"/>
    <w:charset w:val="86"/>
    <w:family w:val="auto"/>
    <w:pitch w:val="default"/>
    <w:sig w:usb0="00000000" w:usb1="00000000"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D36E0"/>
    <w:multiLevelType w:val="singleLevel"/>
    <w:tmpl w:val="822D36E0"/>
    <w:lvl w:ilvl="0" w:tentative="0">
      <w:start w:val="1"/>
      <w:numFmt w:val="decimalEnclosedCircleChinese"/>
      <w:suff w:val="nothing"/>
      <w:lvlText w:val="%1　"/>
      <w:lvlJc w:val="left"/>
      <w:pPr>
        <w:ind w:left="0" w:firstLine="400"/>
      </w:pPr>
      <w:rPr>
        <w:rFonts w:hint="eastAsia"/>
      </w:rPr>
    </w:lvl>
  </w:abstractNum>
  <w:abstractNum w:abstractNumId="1">
    <w:nsid w:val="000000C1"/>
    <w:multiLevelType w:val="singleLevel"/>
    <w:tmpl w:val="000000C1"/>
    <w:lvl w:ilvl="0" w:tentative="0">
      <w:start w:val="3"/>
      <w:numFmt w:val="decimal"/>
      <w:lvlText w:val="%1."/>
      <w:lvlJc w:val="left"/>
    </w:lvl>
  </w:abstractNum>
  <w:abstractNum w:abstractNumId="2">
    <w:nsid w:val="00000390"/>
    <w:multiLevelType w:val="singleLevel"/>
    <w:tmpl w:val="00000390"/>
    <w:lvl w:ilvl="0" w:tentative="0">
      <w:start w:val="2"/>
      <w:numFmt w:val="decimal"/>
      <w:lvlText w:val="(%1)"/>
      <w:lvlJc w:val="left"/>
    </w:lvl>
  </w:abstractNum>
  <w:abstractNum w:abstractNumId="3">
    <w:nsid w:val="0000086A"/>
    <w:multiLevelType w:val="singleLevel"/>
    <w:tmpl w:val="0000086A"/>
    <w:lvl w:ilvl="0" w:tentative="0">
      <w:start w:val="1"/>
      <w:numFmt w:val="lowerLetter"/>
      <w:lvlText w:val="%1."/>
      <w:lvlJc w:val="left"/>
    </w:lvl>
  </w:abstractNum>
  <w:abstractNum w:abstractNumId="4">
    <w:nsid w:val="00000940"/>
    <w:multiLevelType w:val="singleLevel"/>
    <w:tmpl w:val="00000940"/>
    <w:lvl w:ilvl="0" w:tentative="0">
      <w:start w:val="1"/>
      <w:numFmt w:val="bullet"/>
      <w:lvlText w:val="第"/>
      <w:lvlJc w:val="left"/>
    </w:lvl>
  </w:abstractNum>
  <w:abstractNum w:abstractNumId="5">
    <w:nsid w:val="000009CE"/>
    <w:multiLevelType w:val="multilevel"/>
    <w:tmpl w:val="000009CE"/>
    <w:lvl w:ilvl="0" w:tentative="0">
      <w:start w:val="1"/>
      <w:numFmt w:val="decimal"/>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6">
    <w:nsid w:val="00000A28"/>
    <w:multiLevelType w:val="singleLevel"/>
    <w:tmpl w:val="00000A28"/>
    <w:lvl w:ilvl="0" w:tentative="0">
      <w:start w:val="1"/>
      <w:numFmt w:val="bullet"/>
      <w:lvlText w:val="第"/>
      <w:lvlJc w:val="left"/>
    </w:lvl>
  </w:abstractNum>
  <w:abstractNum w:abstractNumId="7">
    <w:nsid w:val="00000CE1"/>
    <w:multiLevelType w:val="singleLevel"/>
    <w:tmpl w:val="00000CE1"/>
    <w:lvl w:ilvl="0" w:tentative="0">
      <w:start w:val="4"/>
      <w:numFmt w:val="decimal"/>
      <w:lvlText w:val="%1."/>
      <w:lvlJc w:val="left"/>
    </w:lvl>
  </w:abstractNum>
  <w:abstractNum w:abstractNumId="8">
    <w:nsid w:val="00000DE5"/>
    <w:multiLevelType w:val="singleLevel"/>
    <w:tmpl w:val="00000DE5"/>
    <w:lvl w:ilvl="0" w:tentative="0">
      <w:start w:val="1"/>
      <w:numFmt w:val="bullet"/>
      <w:lvlText w:val="第"/>
      <w:lvlJc w:val="left"/>
    </w:lvl>
  </w:abstractNum>
  <w:abstractNum w:abstractNumId="9">
    <w:nsid w:val="00000EA9"/>
    <w:multiLevelType w:val="singleLevel"/>
    <w:tmpl w:val="00000EA9"/>
    <w:lvl w:ilvl="0" w:tentative="0">
      <w:start w:val="24"/>
      <w:numFmt w:val="decimal"/>
      <w:lvlText w:val="%1."/>
      <w:lvlJc w:val="left"/>
    </w:lvl>
  </w:abstractNum>
  <w:abstractNum w:abstractNumId="10">
    <w:nsid w:val="00001049"/>
    <w:multiLevelType w:val="singleLevel"/>
    <w:tmpl w:val="00001049"/>
    <w:lvl w:ilvl="0" w:tentative="0">
      <w:start w:val="17"/>
      <w:numFmt w:val="decimal"/>
      <w:lvlText w:val="%1."/>
      <w:lvlJc w:val="left"/>
    </w:lvl>
  </w:abstractNum>
  <w:abstractNum w:abstractNumId="11">
    <w:nsid w:val="000010D9"/>
    <w:multiLevelType w:val="singleLevel"/>
    <w:tmpl w:val="000010D9"/>
    <w:lvl w:ilvl="0" w:tentative="0">
      <w:start w:val="2"/>
      <w:numFmt w:val="decimal"/>
      <w:lvlText w:val="(%1)"/>
      <w:lvlJc w:val="left"/>
    </w:lvl>
  </w:abstractNum>
  <w:abstractNum w:abstractNumId="12">
    <w:nsid w:val="00001316"/>
    <w:multiLevelType w:val="singleLevel"/>
    <w:tmpl w:val="00001316"/>
    <w:lvl w:ilvl="0" w:tentative="0">
      <w:start w:val="2"/>
      <w:numFmt w:val="decimal"/>
      <w:lvlText w:val="%1."/>
      <w:lvlJc w:val="left"/>
    </w:lvl>
  </w:abstractNum>
  <w:abstractNum w:abstractNumId="13">
    <w:nsid w:val="0000138A"/>
    <w:multiLevelType w:val="singleLevel"/>
    <w:tmpl w:val="0000138A"/>
    <w:lvl w:ilvl="0" w:tentative="0">
      <w:start w:val="13"/>
      <w:numFmt w:val="decimal"/>
      <w:lvlText w:val="%1."/>
      <w:lvlJc w:val="left"/>
    </w:lvl>
  </w:abstractNum>
  <w:abstractNum w:abstractNumId="14">
    <w:nsid w:val="000013D3"/>
    <w:multiLevelType w:val="singleLevel"/>
    <w:tmpl w:val="000013D3"/>
    <w:lvl w:ilvl="0" w:tentative="0">
      <w:start w:val="8"/>
      <w:numFmt w:val="decimal"/>
      <w:lvlText w:val="%1."/>
      <w:lvlJc w:val="left"/>
    </w:lvl>
  </w:abstractNum>
  <w:abstractNum w:abstractNumId="15">
    <w:nsid w:val="00001643"/>
    <w:multiLevelType w:val="singleLevel"/>
    <w:tmpl w:val="00001643"/>
    <w:lvl w:ilvl="0" w:tentative="0">
      <w:start w:val="5"/>
      <w:numFmt w:val="decimal"/>
      <w:lvlText w:val="%1."/>
      <w:lvlJc w:val="left"/>
    </w:lvl>
  </w:abstractNum>
  <w:abstractNum w:abstractNumId="16">
    <w:nsid w:val="0000169A"/>
    <w:multiLevelType w:val="singleLevel"/>
    <w:tmpl w:val="0000169A"/>
    <w:lvl w:ilvl="0" w:tentative="0">
      <w:start w:val="2"/>
      <w:numFmt w:val="decimal"/>
      <w:lvlText w:val="(%1)"/>
      <w:lvlJc w:val="left"/>
    </w:lvl>
  </w:abstractNum>
  <w:abstractNum w:abstractNumId="17">
    <w:nsid w:val="00002528"/>
    <w:multiLevelType w:val="singleLevel"/>
    <w:tmpl w:val="00002528"/>
    <w:lvl w:ilvl="0" w:tentative="0">
      <w:start w:val="1"/>
      <w:numFmt w:val="bullet"/>
      <w:lvlText w:val="第"/>
      <w:lvlJc w:val="left"/>
    </w:lvl>
  </w:abstractNum>
  <w:abstractNum w:abstractNumId="18">
    <w:nsid w:val="0000263D"/>
    <w:multiLevelType w:val="singleLevel"/>
    <w:tmpl w:val="0000263D"/>
    <w:lvl w:ilvl="0" w:tentative="0">
      <w:start w:val="11"/>
      <w:numFmt w:val="decimal"/>
      <w:lvlText w:val="%1."/>
      <w:lvlJc w:val="left"/>
    </w:lvl>
  </w:abstractNum>
  <w:abstractNum w:abstractNumId="19">
    <w:nsid w:val="00002668"/>
    <w:multiLevelType w:val="singleLevel"/>
    <w:tmpl w:val="00002668"/>
    <w:lvl w:ilvl="0" w:tentative="0">
      <w:start w:val="16"/>
      <w:numFmt w:val="decimal"/>
      <w:lvlText w:val="%1."/>
      <w:lvlJc w:val="left"/>
    </w:lvl>
  </w:abstractNum>
  <w:abstractNum w:abstractNumId="20">
    <w:nsid w:val="00002725"/>
    <w:multiLevelType w:val="singleLevel"/>
    <w:tmpl w:val="00002725"/>
    <w:lvl w:ilvl="0" w:tentative="0">
      <w:start w:val="1"/>
      <w:numFmt w:val="bullet"/>
      <w:lvlText w:val="第"/>
      <w:lvlJc w:val="left"/>
    </w:lvl>
  </w:abstractNum>
  <w:abstractNum w:abstractNumId="21">
    <w:nsid w:val="0000282D"/>
    <w:multiLevelType w:val="singleLevel"/>
    <w:tmpl w:val="0000282D"/>
    <w:lvl w:ilvl="0" w:tentative="0">
      <w:start w:val="1"/>
      <w:numFmt w:val="bullet"/>
      <w:lvlText w:val="第"/>
      <w:lvlJc w:val="left"/>
    </w:lvl>
  </w:abstractNum>
  <w:abstractNum w:abstractNumId="22">
    <w:nsid w:val="00002852"/>
    <w:multiLevelType w:val="singleLevel"/>
    <w:tmpl w:val="00002852"/>
    <w:lvl w:ilvl="0" w:tentative="0">
      <w:start w:val="1"/>
      <w:numFmt w:val="bullet"/>
      <w:lvlText w:val="第"/>
      <w:lvlJc w:val="left"/>
    </w:lvl>
  </w:abstractNum>
  <w:abstractNum w:abstractNumId="23">
    <w:nsid w:val="0000293B"/>
    <w:multiLevelType w:val="singleLevel"/>
    <w:tmpl w:val="0000293B"/>
    <w:lvl w:ilvl="0" w:tentative="0">
      <w:start w:val="1"/>
      <w:numFmt w:val="bullet"/>
      <w:lvlText w:val="第"/>
      <w:lvlJc w:val="left"/>
    </w:lvl>
  </w:abstractNum>
  <w:abstractNum w:abstractNumId="24">
    <w:nsid w:val="00002959"/>
    <w:multiLevelType w:val="singleLevel"/>
    <w:tmpl w:val="00002959"/>
    <w:lvl w:ilvl="0" w:tentative="0">
      <w:start w:val="1"/>
      <w:numFmt w:val="bullet"/>
      <w:lvlText w:val="第"/>
      <w:lvlJc w:val="left"/>
    </w:lvl>
  </w:abstractNum>
  <w:abstractNum w:abstractNumId="25">
    <w:nsid w:val="000029D8"/>
    <w:multiLevelType w:val="singleLevel"/>
    <w:tmpl w:val="000029D8"/>
    <w:lvl w:ilvl="0" w:tentative="0">
      <w:start w:val="9"/>
      <w:numFmt w:val="decimal"/>
      <w:lvlText w:val="%1."/>
      <w:lvlJc w:val="left"/>
    </w:lvl>
  </w:abstractNum>
  <w:abstractNum w:abstractNumId="26">
    <w:nsid w:val="00002DB5"/>
    <w:multiLevelType w:val="singleLevel"/>
    <w:tmpl w:val="00002DB5"/>
    <w:lvl w:ilvl="0" w:tentative="0">
      <w:start w:val="2"/>
      <w:numFmt w:val="decimal"/>
      <w:lvlText w:val="%1."/>
      <w:lvlJc w:val="left"/>
    </w:lvl>
  </w:abstractNum>
  <w:abstractNum w:abstractNumId="27">
    <w:nsid w:val="00002FE7"/>
    <w:multiLevelType w:val="singleLevel"/>
    <w:tmpl w:val="00002FE7"/>
    <w:lvl w:ilvl="0" w:tentative="0">
      <w:start w:val="4"/>
      <w:numFmt w:val="decimal"/>
      <w:lvlText w:val="(%1)"/>
      <w:lvlJc w:val="left"/>
    </w:lvl>
  </w:abstractNum>
  <w:abstractNum w:abstractNumId="28">
    <w:nsid w:val="00003087"/>
    <w:multiLevelType w:val="singleLevel"/>
    <w:tmpl w:val="00003087"/>
    <w:lvl w:ilvl="0" w:tentative="0">
      <w:start w:val="2"/>
      <w:numFmt w:val="upperLetter"/>
      <w:lvlText w:val="%1."/>
      <w:lvlJc w:val="left"/>
    </w:lvl>
  </w:abstractNum>
  <w:abstractNum w:abstractNumId="29">
    <w:nsid w:val="000030A7"/>
    <w:multiLevelType w:val="singleLevel"/>
    <w:tmpl w:val="000030A7"/>
    <w:lvl w:ilvl="0" w:tentative="0">
      <w:start w:val="4"/>
      <w:numFmt w:val="decimal"/>
      <w:lvlText w:val="%1."/>
      <w:lvlJc w:val="left"/>
    </w:lvl>
  </w:abstractNum>
  <w:abstractNum w:abstractNumId="30">
    <w:nsid w:val="000030F1"/>
    <w:multiLevelType w:val="singleLevel"/>
    <w:tmpl w:val="000030F1"/>
    <w:lvl w:ilvl="0" w:tentative="0">
      <w:start w:val="10"/>
      <w:numFmt w:val="decimal"/>
      <w:lvlText w:val="%1."/>
      <w:lvlJc w:val="left"/>
    </w:lvl>
  </w:abstractNum>
  <w:abstractNum w:abstractNumId="31">
    <w:nsid w:val="00003295"/>
    <w:multiLevelType w:val="singleLevel"/>
    <w:tmpl w:val="00003295"/>
    <w:lvl w:ilvl="0" w:tentative="0">
      <w:start w:val="1"/>
      <w:numFmt w:val="decimal"/>
      <w:lvlText w:val="(%1)"/>
      <w:lvlJc w:val="left"/>
    </w:lvl>
  </w:abstractNum>
  <w:abstractNum w:abstractNumId="32">
    <w:nsid w:val="00003459"/>
    <w:multiLevelType w:val="singleLevel"/>
    <w:tmpl w:val="00003459"/>
    <w:lvl w:ilvl="0" w:tentative="0">
      <w:start w:val="28"/>
      <w:numFmt w:val="decimal"/>
      <w:lvlText w:val="%1"/>
      <w:lvlJc w:val="left"/>
    </w:lvl>
  </w:abstractNum>
  <w:abstractNum w:abstractNumId="33">
    <w:nsid w:val="00003960"/>
    <w:multiLevelType w:val="singleLevel"/>
    <w:tmpl w:val="00003960"/>
    <w:lvl w:ilvl="0" w:tentative="0">
      <w:start w:val="10"/>
      <w:numFmt w:val="decimal"/>
      <w:lvlText w:val="%1."/>
      <w:lvlJc w:val="left"/>
    </w:lvl>
  </w:abstractNum>
  <w:abstractNum w:abstractNumId="34">
    <w:nsid w:val="00003B97"/>
    <w:multiLevelType w:val="singleLevel"/>
    <w:tmpl w:val="00003B97"/>
    <w:lvl w:ilvl="0" w:tentative="0">
      <w:start w:val="1"/>
      <w:numFmt w:val="bullet"/>
      <w:lvlText w:val="第"/>
      <w:lvlJc w:val="left"/>
    </w:lvl>
  </w:abstractNum>
  <w:abstractNum w:abstractNumId="35">
    <w:nsid w:val="00003EE9"/>
    <w:multiLevelType w:val="singleLevel"/>
    <w:tmpl w:val="00003EE9"/>
    <w:lvl w:ilvl="0" w:tentative="0">
      <w:start w:val="1"/>
      <w:numFmt w:val="decimal"/>
      <w:lvlText w:val="(%1)"/>
      <w:lvlJc w:val="left"/>
    </w:lvl>
  </w:abstractNum>
  <w:abstractNum w:abstractNumId="36">
    <w:nsid w:val="00003F0B"/>
    <w:multiLevelType w:val="singleLevel"/>
    <w:tmpl w:val="00003F0B"/>
    <w:lvl w:ilvl="0" w:tentative="0">
      <w:start w:val="1"/>
      <w:numFmt w:val="bullet"/>
      <w:lvlText w:val="第"/>
      <w:lvlJc w:val="left"/>
    </w:lvl>
  </w:abstractNum>
  <w:abstractNum w:abstractNumId="37">
    <w:nsid w:val="00003F97"/>
    <w:multiLevelType w:val="singleLevel"/>
    <w:tmpl w:val="00003F97"/>
    <w:lvl w:ilvl="0" w:tentative="0">
      <w:start w:val="2"/>
      <w:numFmt w:val="decimal"/>
      <w:lvlText w:val="%1."/>
      <w:lvlJc w:val="left"/>
    </w:lvl>
  </w:abstractNum>
  <w:abstractNum w:abstractNumId="38">
    <w:nsid w:val="00003F9A"/>
    <w:multiLevelType w:val="singleLevel"/>
    <w:tmpl w:val="00003F9A"/>
    <w:lvl w:ilvl="0" w:tentative="0">
      <w:start w:val="5"/>
      <w:numFmt w:val="decimal"/>
      <w:lvlText w:val="(%1)"/>
      <w:lvlJc w:val="left"/>
    </w:lvl>
  </w:abstractNum>
  <w:abstractNum w:abstractNumId="39">
    <w:nsid w:val="00004027"/>
    <w:multiLevelType w:val="singleLevel"/>
    <w:tmpl w:val="00004027"/>
    <w:lvl w:ilvl="0" w:tentative="0">
      <w:start w:val="12"/>
      <w:numFmt w:val="decimal"/>
      <w:lvlText w:val="%1."/>
      <w:lvlJc w:val="left"/>
    </w:lvl>
  </w:abstractNum>
  <w:abstractNum w:abstractNumId="40">
    <w:nsid w:val="000040A5"/>
    <w:multiLevelType w:val="multilevel"/>
    <w:tmpl w:val="000040A5"/>
    <w:lvl w:ilvl="0" w:tentative="0">
      <w:start w:val="20"/>
      <w:numFmt w:val="decimal"/>
      <w:lvlText w:val="%1."/>
      <w:lvlJc w:val="left"/>
    </w:lvl>
    <w:lvl w:ilvl="1" w:tentative="0">
      <w:start w:val="1"/>
      <w:numFmt w:val="decimal"/>
      <w:lvlText w:val="%2"/>
      <w:lvlJc w:val="left"/>
    </w:lvl>
  </w:abstractNum>
  <w:abstractNum w:abstractNumId="41">
    <w:nsid w:val="0000412F"/>
    <w:multiLevelType w:val="singleLevel"/>
    <w:tmpl w:val="0000412F"/>
    <w:lvl w:ilvl="0" w:tentative="0">
      <w:start w:val="7"/>
      <w:numFmt w:val="decimal"/>
      <w:lvlText w:val="%1."/>
      <w:lvlJc w:val="left"/>
    </w:lvl>
  </w:abstractNum>
  <w:abstractNum w:abstractNumId="42">
    <w:nsid w:val="00004325"/>
    <w:multiLevelType w:val="singleLevel"/>
    <w:tmpl w:val="00004325"/>
    <w:lvl w:ilvl="0" w:tentative="0">
      <w:start w:val="1"/>
      <w:numFmt w:val="bullet"/>
      <w:lvlText w:val="第"/>
      <w:lvlJc w:val="left"/>
    </w:lvl>
  </w:abstractNum>
  <w:abstractNum w:abstractNumId="43">
    <w:nsid w:val="0000441D"/>
    <w:multiLevelType w:val="singleLevel"/>
    <w:tmpl w:val="0000441D"/>
    <w:lvl w:ilvl="0" w:tentative="0">
      <w:start w:val="1"/>
      <w:numFmt w:val="decimal"/>
      <w:lvlText w:val="(%1)"/>
      <w:lvlJc w:val="left"/>
    </w:lvl>
  </w:abstractNum>
  <w:abstractNum w:abstractNumId="44">
    <w:nsid w:val="000045C5"/>
    <w:multiLevelType w:val="singleLevel"/>
    <w:tmpl w:val="000045C5"/>
    <w:lvl w:ilvl="0" w:tentative="0">
      <w:start w:val="1"/>
      <w:numFmt w:val="lowerLetter"/>
      <w:lvlText w:val="%1."/>
      <w:lvlJc w:val="left"/>
    </w:lvl>
  </w:abstractNum>
  <w:abstractNum w:abstractNumId="45">
    <w:nsid w:val="0000468C"/>
    <w:multiLevelType w:val="singleLevel"/>
    <w:tmpl w:val="0000468C"/>
    <w:lvl w:ilvl="0" w:tentative="0">
      <w:start w:val="22"/>
      <w:numFmt w:val="decimal"/>
      <w:lvlText w:val="%1."/>
      <w:lvlJc w:val="left"/>
    </w:lvl>
  </w:abstractNum>
  <w:abstractNum w:abstractNumId="46">
    <w:nsid w:val="000046C2"/>
    <w:multiLevelType w:val="singleLevel"/>
    <w:tmpl w:val="000046C2"/>
    <w:lvl w:ilvl="0" w:tentative="0">
      <w:start w:val="1"/>
      <w:numFmt w:val="bullet"/>
      <w:lvlText w:val="①"/>
      <w:lvlJc w:val="left"/>
    </w:lvl>
  </w:abstractNum>
  <w:abstractNum w:abstractNumId="47">
    <w:nsid w:val="000048DB"/>
    <w:multiLevelType w:val="singleLevel"/>
    <w:tmpl w:val="000048DB"/>
    <w:lvl w:ilvl="0" w:tentative="0">
      <w:start w:val="1"/>
      <w:numFmt w:val="bullet"/>
      <w:lvlText w:val="第"/>
      <w:lvlJc w:val="left"/>
    </w:lvl>
  </w:abstractNum>
  <w:abstractNum w:abstractNumId="48">
    <w:nsid w:val="000049BB"/>
    <w:multiLevelType w:val="singleLevel"/>
    <w:tmpl w:val="000049BB"/>
    <w:lvl w:ilvl="0" w:tentative="0">
      <w:start w:val="3"/>
      <w:numFmt w:val="decimal"/>
      <w:lvlText w:val="%1."/>
      <w:lvlJc w:val="left"/>
    </w:lvl>
  </w:abstractNum>
  <w:abstractNum w:abstractNumId="49">
    <w:nsid w:val="00004D9A"/>
    <w:multiLevelType w:val="singleLevel"/>
    <w:tmpl w:val="00004D9A"/>
    <w:lvl w:ilvl="0" w:tentative="0">
      <w:start w:val="3"/>
      <w:numFmt w:val="decimal"/>
      <w:lvlText w:val="(%1)"/>
      <w:lvlJc w:val="left"/>
    </w:lvl>
  </w:abstractNum>
  <w:abstractNum w:abstractNumId="50">
    <w:nsid w:val="00004E08"/>
    <w:multiLevelType w:val="singleLevel"/>
    <w:tmpl w:val="00004E08"/>
    <w:lvl w:ilvl="0" w:tentative="0">
      <w:start w:val="1"/>
      <w:numFmt w:val="bullet"/>
      <w:lvlText w:val="的"/>
      <w:lvlJc w:val="left"/>
    </w:lvl>
  </w:abstractNum>
  <w:abstractNum w:abstractNumId="51">
    <w:nsid w:val="00004E55"/>
    <w:multiLevelType w:val="singleLevel"/>
    <w:tmpl w:val="00004E55"/>
    <w:lvl w:ilvl="0" w:tentative="0">
      <w:start w:val="5"/>
      <w:numFmt w:val="decimal"/>
      <w:lvlText w:val="(%1)"/>
      <w:lvlJc w:val="left"/>
    </w:lvl>
  </w:abstractNum>
  <w:abstractNum w:abstractNumId="52">
    <w:nsid w:val="00004E57"/>
    <w:multiLevelType w:val="singleLevel"/>
    <w:tmpl w:val="00004E57"/>
    <w:lvl w:ilvl="0" w:tentative="0">
      <w:start w:val="1"/>
      <w:numFmt w:val="bullet"/>
      <w:lvlText w:val="第"/>
      <w:lvlJc w:val="left"/>
    </w:lvl>
  </w:abstractNum>
  <w:abstractNum w:abstractNumId="53">
    <w:nsid w:val="00004EAE"/>
    <w:multiLevelType w:val="singleLevel"/>
    <w:tmpl w:val="00004EAE"/>
    <w:lvl w:ilvl="0" w:tentative="0">
      <w:start w:val="4"/>
      <w:numFmt w:val="decimal"/>
      <w:lvlText w:val="%1."/>
      <w:lvlJc w:val="left"/>
    </w:lvl>
  </w:abstractNum>
  <w:abstractNum w:abstractNumId="54">
    <w:nsid w:val="00004F68"/>
    <w:multiLevelType w:val="singleLevel"/>
    <w:tmpl w:val="00004F68"/>
    <w:lvl w:ilvl="0" w:tentative="0">
      <w:start w:val="1"/>
      <w:numFmt w:val="bullet"/>
      <w:lvlText w:val="第"/>
      <w:lvlJc w:val="left"/>
    </w:lvl>
  </w:abstractNum>
  <w:abstractNum w:abstractNumId="55">
    <w:nsid w:val="00004FC0"/>
    <w:multiLevelType w:val="singleLevel"/>
    <w:tmpl w:val="00004FC0"/>
    <w:lvl w:ilvl="0" w:tentative="0">
      <w:start w:val="1"/>
      <w:numFmt w:val="decimal"/>
      <w:lvlText w:val="(%1)"/>
      <w:lvlJc w:val="left"/>
    </w:lvl>
  </w:abstractNum>
  <w:abstractNum w:abstractNumId="56">
    <w:nsid w:val="000050BF"/>
    <w:multiLevelType w:val="singleLevel"/>
    <w:tmpl w:val="000050BF"/>
    <w:lvl w:ilvl="0" w:tentative="0">
      <w:start w:val="1"/>
      <w:numFmt w:val="decimal"/>
      <w:lvlText w:val="%1."/>
      <w:lvlJc w:val="left"/>
    </w:lvl>
  </w:abstractNum>
  <w:abstractNum w:abstractNumId="57">
    <w:nsid w:val="0000520B"/>
    <w:multiLevelType w:val="singleLevel"/>
    <w:tmpl w:val="0000520B"/>
    <w:lvl w:ilvl="0" w:tentative="0">
      <w:start w:val="1"/>
      <w:numFmt w:val="bullet"/>
      <w:lvlText w:val="第"/>
      <w:lvlJc w:val="left"/>
    </w:lvl>
  </w:abstractNum>
  <w:abstractNum w:abstractNumId="58">
    <w:nsid w:val="000053B1"/>
    <w:multiLevelType w:val="singleLevel"/>
    <w:tmpl w:val="000053B1"/>
    <w:lvl w:ilvl="0" w:tentative="0">
      <w:start w:val="19"/>
      <w:numFmt w:val="decimal"/>
      <w:lvlText w:val="%1."/>
      <w:lvlJc w:val="left"/>
    </w:lvl>
  </w:abstractNum>
  <w:abstractNum w:abstractNumId="59">
    <w:nsid w:val="000054D6"/>
    <w:multiLevelType w:val="singleLevel"/>
    <w:tmpl w:val="000054D6"/>
    <w:lvl w:ilvl="0" w:tentative="0">
      <w:start w:val="23"/>
      <w:numFmt w:val="decimal"/>
      <w:lvlText w:val="%1."/>
      <w:lvlJc w:val="left"/>
    </w:lvl>
  </w:abstractNum>
  <w:abstractNum w:abstractNumId="60">
    <w:nsid w:val="00005579"/>
    <w:multiLevelType w:val="singleLevel"/>
    <w:tmpl w:val="00005579"/>
    <w:lvl w:ilvl="0" w:tentative="0">
      <w:start w:val="1"/>
      <w:numFmt w:val="bullet"/>
      <w:lvlText w:val="第"/>
      <w:lvlJc w:val="left"/>
    </w:lvl>
  </w:abstractNum>
  <w:abstractNum w:abstractNumId="61">
    <w:nsid w:val="00005815"/>
    <w:multiLevelType w:val="singleLevel"/>
    <w:tmpl w:val="00005815"/>
    <w:lvl w:ilvl="0" w:tentative="0">
      <w:start w:val="1"/>
      <w:numFmt w:val="decimal"/>
      <w:lvlText w:val="%1."/>
      <w:lvlJc w:val="left"/>
    </w:lvl>
  </w:abstractNum>
  <w:abstractNum w:abstractNumId="62">
    <w:nsid w:val="00005876"/>
    <w:multiLevelType w:val="singleLevel"/>
    <w:tmpl w:val="00005876"/>
    <w:lvl w:ilvl="0" w:tentative="0">
      <w:start w:val="1"/>
      <w:numFmt w:val="bullet"/>
      <w:lvlText w:val="第"/>
      <w:lvlJc w:val="left"/>
    </w:lvl>
  </w:abstractNum>
  <w:abstractNum w:abstractNumId="63">
    <w:nsid w:val="00005A9B"/>
    <w:multiLevelType w:val="singleLevel"/>
    <w:tmpl w:val="00005A9B"/>
    <w:lvl w:ilvl="0" w:tentative="0">
      <w:start w:val="1"/>
      <w:numFmt w:val="decimal"/>
      <w:lvlText w:val="(%1)"/>
      <w:lvlJc w:val="left"/>
    </w:lvl>
  </w:abstractNum>
  <w:abstractNum w:abstractNumId="64">
    <w:nsid w:val="00005CCD"/>
    <w:multiLevelType w:val="singleLevel"/>
    <w:tmpl w:val="00005CCD"/>
    <w:lvl w:ilvl="0" w:tentative="0">
      <w:start w:val="1"/>
      <w:numFmt w:val="bullet"/>
      <w:lvlText w:val="第"/>
      <w:lvlJc w:val="left"/>
    </w:lvl>
  </w:abstractNum>
  <w:abstractNum w:abstractNumId="65">
    <w:nsid w:val="00005E76"/>
    <w:multiLevelType w:val="singleLevel"/>
    <w:tmpl w:val="00005E76"/>
    <w:lvl w:ilvl="0" w:tentative="0">
      <w:start w:val="1"/>
      <w:numFmt w:val="bullet"/>
      <w:lvlText w:val="第"/>
      <w:lvlJc w:val="left"/>
    </w:lvl>
  </w:abstractNum>
  <w:abstractNum w:abstractNumId="66">
    <w:nsid w:val="00005ED0"/>
    <w:multiLevelType w:val="singleLevel"/>
    <w:tmpl w:val="00005ED0"/>
    <w:lvl w:ilvl="0" w:tentative="0">
      <w:start w:val="1"/>
      <w:numFmt w:val="bullet"/>
      <w:lvlText w:val="第"/>
      <w:lvlJc w:val="left"/>
    </w:lvl>
  </w:abstractNum>
  <w:abstractNum w:abstractNumId="67">
    <w:nsid w:val="00005F23"/>
    <w:multiLevelType w:val="singleLevel"/>
    <w:tmpl w:val="00005F23"/>
    <w:lvl w:ilvl="0" w:tentative="0">
      <w:start w:val="3"/>
      <w:numFmt w:val="decimal"/>
      <w:lvlText w:val="%1."/>
      <w:lvlJc w:val="left"/>
    </w:lvl>
  </w:abstractNum>
  <w:abstractNum w:abstractNumId="68">
    <w:nsid w:val="00005F45"/>
    <w:multiLevelType w:val="singleLevel"/>
    <w:tmpl w:val="00005F45"/>
    <w:lvl w:ilvl="0" w:tentative="0">
      <w:start w:val="7"/>
      <w:numFmt w:val="decimal"/>
      <w:lvlText w:val="%1."/>
      <w:lvlJc w:val="left"/>
    </w:lvl>
  </w:abstractNum>
  <w:abstractNum w:abstractNumId="69">
    <w:nsid w:val="00005FA8"/>
    <w:multiLevelType w:val="singleLevel"/>
    <w:tmpl w:val="00005FA8"/>
    <w:lvl w:ilvl="0" w:tentative="0">
      <w:start w:val="1"/>
      <w:numFmt w:val="decimal"/>
      <w:lvlText w:val="(%1)"/>
      <w:lvlJc w:val="left"/>
    </w:lvl>
  </w:abstractNum>
  <w:abstractNum w:abstractNumId="70">
    <w:nsid w:val="00006479"/>
    <w:multiLevelType w:val="singleLevel"/>
    <w:tmpl w:val="00006479"/>
    <w:lvl w:ilvl="0" w:tentative="0">
      <w:start w:val="1"/>
      <w:numFmt w:val="bullet"/>
      <w:lvlText w:val="的"/>
      <w:lvlJc w:val="left"/>
    </w:lvl>
  </w:abstractNum>
  <w:abstractNum w:abstractNumId="71">
    <w:nsid w:val="00006486"/>
    <w:multiLevelType w:val="singleLevel"/>
    <w:tmpl w:val="00006486"/>
    <w:lvl w:ilvl="0" w:tentative="0">
      <w:start w:val="1"/>
      <w:numFmt w:val="bullet"/>
      <w:lvlText w:val="①"/>
      <w:lvlJc w:val="left"/>
    </w:lvl>
  </w:abstractNum>
  <w:abstractNum w:abstractNumId="72">
    <w:nsid w:val="0000658C"/>
    <w:multiLevelType w:val="singleLevel"/>
    <w:tmpl w:val="0000658C"/>
    <w:lvl w:ilvl="0" w:tentative="0">
      <w:start w:val="3"/>
      <w:numFmt w:val="decimal"/>
      <w:lvlText w:val="%1."/>
      <w:lvlJc w:val="left"/>
    </w:lvl>
  </w:abstractNum>
  <w:abstractNum w:abstractNumId="73">
    <w:nsid w:val="000066FA"/>
    <w:multiLevelType w:val="singleLevel"/>
    <w:tmpl w:val="000066FA"/>
    <w:lvl w:ilvl="0" w:tentative="0">
      <w:start w:val="1"/>
      <w:numFmt w:val="bullet"/>
      <w:lvlText w:val="第"/>
      <w:lvlJc w:val="left"/>
    </w:lvl>
  </w:abstractNum>
  <w:abstractNum w:abstractNumId="74">
    <w:nsid w:val="000068F5"/>
    <w:multiLevelType w:val="multilevel"/>
    <w:tmpl w:val="000068F5"/>
    <w:lvl w:ilvl="0" w:tentative="0">
      <w:start w:val="2"/>
      <w:numFmt w:val="decimal"/>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75">
    <w:nsid w:val="000069D0"/>
    <w:multiLevelType w:val="singleLevel"/>
    <w:tmpl w:val="000069D0"/>
    <w:lvl w:ilvl="0" w:tentative="0">
      <w:start w:val="1"/>
      <w:numFmt w:val="bullet"/>
      <w:lvlText w:val="第"/>
      <w:lvlJc w:val="left"/>
    </w:lvl>
  </w:abstractNum>
  <w:abstractNum w:abstractNumId="76">
    <w:nsid w:val="00006CF4"/>
    <w:multiLevelType w:val="singleLevel"/>
    <w:tmpl w:val="00006CF4"/>
    <w:lvl w:ilvl="0" w:tentative="0">
      <w:start w:val="1"/>
      <w:numFmt w:val="bullet"/>
      <w:lvlText w:val="第"/>
      <w:lvlJc w:val="left"/>
    </w:lvl>
  </w:abstractNum>
  <w:abstractNum w:abstractNumId="77">
    <w:nsid w:val="00006E7E"/>
    <w:multiLevelType w:val="singleLevel"/>
    <w:tmpl w:val="00006E7E"/>
    <w:lvl w:ilvl="0" w:tentative="0">
      <w:start w:val="8"/>
      <w:numFmt w:val="decimal"/>
      <w:lvlText w:val="%1."/>
      <w:lvlJc w:val="left"/>
    </w:lvl>
  </w:abstractNum>
  <w:abstractNum w:abstractNumId="78">
    <w:nsid w:val="00006F11"/>
    <w:multiLevelType w:val="singleLevel"/>
    <w:tmpl w:val="00006F11"/>
    <w:lvl w:ilvl="0" w:tentative="0">
      <w:start w:val="1"/>
      <w:numFmt w:val="bullet"/>
      <w:lvlText w:val="第"/>
      <w:lvlJc w:val="left"/>
    </w:lvl>
  </w:abstractNum>
  <w:abstractNum w:abstractNumId="79">
    <w:nsid w:val="00006F3C"/>
    <w:multiLevelType w:val="singleLevel"/>
    <w:tmpl w:val="00006F3C"/>
    <w:lvl w:ilvl="0" w:tentative="0">
      <w:start w:val="6"/>
      <w:numFmt w:val="decimal"/>
      <w:lvlText w:val="%1."/>
      <w:lvlJc w:val="left"/>
    </w:lvl>
  </w:abstractNum>
  <w:abstractNum w:abstractNumId="80">
    <w:nsid w:val="00006FC9"/>
    <w:multiLevelType w:val="singleLevel"/>
    <w:tmpl w:val="00006FC9"/>
    <w:lvl w:ilvl="0" w:tentative="0">
      <w:start w:val="15"/>
      <w:numFmt w:val="decimal"/>
      <w:lvlText w:val="%1."/>
      <w:lvlJc w:val="left"/>
    </w:lvl>
  </w:abstractNum>
  <w:abstractNum w:abstractNumId="81">
    <w:nsid w:val="00007014"/>
    <w:multiLevelType w:val="singleLevel"/>
    <w:tmpl w:val="00007014"/>
    <w:lvl w:ilvl="0" w:tentative="0">
      <w:start w:val="1"/>
      <w:numFmt w:val="bullet"/>
      <w:lvlText w:val="第"/>
      <w:lvlJc w:val="left"/>
    </w:lvl>
  </w:abstractNum>
  <w:abstractNum w:abstractNumId="82">
    <w:nsid w:val="000074AD"/>
    <w:multiLevelType w:val="singleLevel"/>
    <w:tmpl w:val="000074AD"/>
    <w:lvl w:ilvl="0" w:tentative="0">
      <w:start w:val="1"/>
      <w:numFmt w:val="bullet"/>
      <w:lvlText w:val="第"/>
      <w:lvlJc w:val="left"/>
    </w:lvl>
  </w:abstractNum>
  <w:abstractNum w:abstractNumId="83">
    <w:nsid w:val="000075C1"/>
    <w:multiLevelType w:val="singleLevel"/>
    <w:tmpl w:val="000075C1"/>
    <w:lvl w:ilvl="0" w:tentative="0">
      <w:start w:val="21"/>
      <w:numFmt w:val="decimal"/>
      <w:lvlText w:val="%1."/>
      <w:lvlJc w:val="left"/>
    </w:lvl>
  </w:abstractNum>
  <w:abstractNum w:abstractNumId="84">
    <w:nsid w:val="000078D4"/>
    <w:multiLevelType w:val="singleLevel"/>
    <w:tmpl w:val="000078D4"/>
    <w:lvl w:ilvl="0" w:tentative="0">
      <w:start w:val="1"/>
      <w:numFmt w:val="decimal"/>
      <w:lvlText w:val="(%1)"/>
      <w:lvlJc w:val="left"/>
    </w:lvl>
  </w:abstractNum>
  <w:abstractNum w:abstractNumId="85">
    <w:nsid w:val="000079D1"/>
    <w:multiLevelType w:val="singleLevel"/>
    <w:tmpl w:val="000079D1"/>
    <w:lvl w:ilvl="0" w:tentative="0">
      <w:start w:val="1"/>
      <w:numFmt w:val="decimal"/>
      <w:lvlText w:val="(%1)"/>
      <w:lvlJc w:val="left"/>
    </w:lvl>
  </w:abstractNum>
  <w:abstractNum w:abstractNumId="86">
    <w:nsid w:val="00007A54"/>
    <w:multiLevelType w:val="singleLevel"/>
    <w:tmpl w:val="00007A54"/>
    <w:lvl w:ilvl="0" w:tentative="0">
      <w:start w:val="2"/>
      <w:numFmt w:val="decimal"/>
      <w:lvlText w:val="%1."/>
      <w:lvlJc w:val="left"/>
    </w:lvl>
  </w:abstractNum>
  <w:abstractNum w:abstractNumId="87">
    <w:nsid w:val="00007A61"/>
    <w:multiLevelType w:val="singleLevel"/>
    <w:tmpl w:val="00007A61"/>
    <w:lvl w:ilvl="0" w:tentative="0">
      <w:start w:val="18"/>
      <w:numFmt w:val="decimal"/>
      <w:lvlText w:val="%1."/>
      <w:lvlJc w:val="left"/>
    </w:lvl>
  </w:abstractNum>
  <w:abstractNum w:abstractNumId="88">
    <w:nsid w:val="00007AC2"/>
    <w:multiLevelType w:val="singleLevel"/>
    <w:tmpl w:val="00007AC2"/>
    <w:lvl w:ilvl="0" w:tentative="0">
      <w:start w:val="14"/>
      <w:numFmt w:val="decimal"/>
      <w:lvlText w:val="%1."/>
      <w:lvlJc w:val="left"/>
    </w:lvl>
  </w:abstractNum>
  <w:abstractNum w:abstractNumId="89">
    <w:nsid w:val="00007CFE"/>
    <w:multiLevelType w:val="singleLevel"/>
    <w:tmpl w:val="00007CFE"/>
    <w:lvl w:ilvl="0" w:tentative="0">
      <w:start w:val="1"/>
      <w:numFmt w:val="lowerLetter"/>
      <w:lvlText w:val="%1."/>
      <w:lvlJc w:val="left"/>
    </w:lvl>
  </w:abstractNum>
  <w:abstractNum w:abstractNumId="90">
    <w:nsid w:val="0C164F18"/>
    <w:multiLevelType w:val="multilevel"/>
    <w:tmpl w:val="0C164F18"/>
    <w:lvl w:ilvl="0" w:tentative="0">
      <w:start w:val="0"/>
      <w:numFmt w:val="decimal"/>
      <w:lvlText w:val=""/>
      <w:lvlJc w:val="left"/>
    </w:lvl>
    <w:lvl w:ilvl="1" w:tentative="0">
      <w:start w:val="1354"/>
      <w:numFmt w:val="none"/>
      <w:isLgl/>
      <w:lvlText w:val="最_x0005_栀_x0005_椀"/>
      <w:lvlJc w:val="center"/>
    </w:lvl>
    <w:lvl w:ilvl="2" w:tentative="0">
      <w:start w:val="1778384901"/>
      <w:numFmt w:val="ordinal"/>
      <w:lvlText w:val=""/>
      <w:lvlJc w:val="left"/>
    </w:lvl>
    <w:lvl w:ilvl="3" w:tentative="0">
      <w:start w:val="1394"/>
      <w:numFmt w:val="none"/>
      <w:isLgl/>
      <w:lvlText w:val="餀_x0005_騀_x0005_鬀"/>
      <w:lvlJc w:val="center"/>
    </w:lvl>
    <w:lvl w:ilvl="4" w:tentative="0">
      <w:start w:val="-1677721595"/>
      <w:numFmt w:val="ordinal"/>
      <w:lvlText w:val=""/>
      <w:lvlJc w:val="left"/>
    </w:lvl>
    <w:lvl w:ilvl="5" w:tentative="0">
      <w:start w:val="1444"/>
      <w:numFmt w:val="none"/>
      <w:isLgl/>
      <w:lvlText w:val="_x0005__x0005__x0005__x0005__x0005__x0005__x0005__x0005__x0005__x0005__x0005__x0005__x0005__x0005__x0005__x0005__x0005__x0005__x0005__x0005__x0005__x0005__x0005__x0005__x0005__x0005__x0005__x0005__x0005__x0005__x0005__x0005__x0005__x0005_豈_x0005_切_x0005_ﬀ_x0005_ﰀ_x0005_ﴀ_x0005_︀_x0005_＀_x0005_"/>
      <w:lvlJc w:val="center"/>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1">
    <w:nsid w:val="25D6B2BA"/>
    <w:multiLevelType w:val="singleLevel"/>
    <w:tmpl w:val="25D6B2BA"/>
    <w:lvl w:ilvl="0" w:tentative="0">
      <w:start w:val="1"/>
      <w:numFmt w:val="decimal"/>
      <w:suff w:val="space"/>
      <w:lvlText w:val="%1."/>
      <w:lvlJc w:val="left"/>
    </w:lvl>
  </w:abstractNum>
  <w:abstractNum w:abstractNumId="92">
    <w:nsid w:val="5993CB08"/>
    <w:multiLevelType w:val="singleLevel"/>
    <w:tmpl w:val="5993CB08"/>
    <w:lvl w:ilvl="0" w:tentative="0">
      <w:start w:val="0"/>
      <w:numFmt w:val="decimal"/>
      <w:lvlText w:val=""/>
      <w:lvlJc w:val="left"/>
    </w:lvl>
  </w:abstractNum>
  <w:abstractNum w:abstractNumId="93">
    <w:nsid w:val="59E5859C"/>
    <w:multiLevelType w:val="singleLevel"/>
    <w:tmpl w:val="59E5859C"/>
    <w:lvl w:ilvl="0" w:tentative="0">
      <w:start w:val="0"/>
      <w:numFmt w:val="decimal"/>
      <w:lvlText w:val=""/>
      <w:lvlJc w:val="left"/>
    </w:lvl>
  </w:abstractNum>
  <w:num w:numId="1">
    <w:abstractNumId w:val="92"/>
  </w:num>
  <w:num w:numId="2">
    <w:abstractNumId w:val="90"/>
  </w:num>
  <w:num w:numId="3">
    <w:abstractNumId w:val="66"/>
  </w:num>
  <w:num w:numId="4">
    <w:abstractNumId w:val="52"/>
  </w:num>
  <w:num w:numId="5">
    <w:abstractNumId w:val="54"/>
  </w:num>
  <w:num w:numId="6">
    <w:abstractNumId w:val="62"/>
  </w:num>
  <w:num w:numId="7">
    <w:abstractNumId w:val="73"/>
  </w:num>
  <w:num w:numId="8">
    <w:abstractNumId w:val="12"/>
  </w:num>
  <w:num w:numId="9">
    <w:abstractNumId w:val="48"/>
  </w:num>
  <w:num w:numId="10">
    <w:abstractNumId w:val="78"/>
  </w:num>
  <w:num w:numId="11">
    <w:abstractNumId w:val="82"/>
  </w:num>
  <w:num w:numId="12">
    <w:abstractNumId w:val="53"/>
  </w:num>
  <w:num w:numId="13">
    <w:abstractNumId w:val="60"/>
  </w:num>
  <w:num w:numId="14">
    <w:abstractNumId w:val="89"/>
  </w:num>
  <w:num w:numId="15">
    <w:abstractNumId w:val="22"/>
  </w:num>
  <w:num w:numId="16">
    <w:abstractNumId w:val="47"/>
  </w:num>
  <w:num w:numId="17">
    <w:abstractNumId w:val="20"/>
  </w:num>
  <w:num w:numId="18">
    <w:abstractNumId w:val="15"/>
  </w:num>
  <w:num w:numId="19">
    <w:abstractNumId w:val="8"/>
  </w:num>
  <w:num w:numId="20">
    <w:abstractNumId w:val="79"/>
  </w:num>
  <w:num w:numId="21">
    <w:abstractNumId w:val="76"/>
  </w:num>
  <w:num w:numId="22">
    <w:abstractNumId w:val="68"/>
  </w:num>
  <w:num w:numId="23">
    <w:abstractNumId w:val="14"/>
  </w:num>
  <w:num w:numId="24">
    <w:abstractNumId w:val="25"/>
  </w:num>
  <w:num w:numId="25">
    <w:abstractNumId w:val="6"/>
  </w:num>
  <w:num w:numId="26">
    <w:abstractNumId w:val="5"/>
  </w:num>
  <w:num w:numId="27">
    <w:abstractNumId w:val="57"/>
  </w:num>
  <w:num w:numId="28">
    <w:abstractNumId w:val="74"/>
  </w:num>
  <w:num w:numId="29">
    <w:abstractNumId w:val="44"/>
  </w:num>
  <w:num w:numId="30">
    <w:abstractNumId w:val="33"/>
  </w:num>
  <w:num w:numId="31">
    <w:abstractNumId w:val="32"/>
  </w:num>
  <w:num w:numId="32">
    <w:abstractNumId w:val="18"/>
  </w:num>
  <w:num w:numId="33">
    <w:abstractNumId w:val="34"/>
  </w:num>
  <w:num w:numId="34">
    <w:abstractNumId w:val="39"/>
  </w:num>
  <w:num w:numId="35">
    <w:abstractNumId w:val="13"/>
  </w:num>
  <w:num w:numId="36">
    <w:abstractNumId w:val="24"/>
  </w:num>
  <w:num w:numId="37">
    <w:abstractNumId w:val="65"/>
  </w:num>
  <w:num w:numId="38">
    <w:abstractNumId w:val="21"/>
  </w:num>
  <w:num w:numId="39">
    <w:abstractNumId w:val="75"/>
  </w:num>
  <w:num w:numId="40">
    <w:abstractNumId w:val="88"/>
  </w:num>
  <w:num w:numId="41">
    <w:abstractNumId w:val="80"/>
  </w:num>
  <w:num w:numId="42">
    <w:abstractNumId w:val="64"/>
  </w:num>
  <w:num w:numId="43">
    <w:abstractNumId w:val="19"/>
  </w:num>
  <w:num w:numId="44">
    <w:abstractNumId w:val="84"/>
  </w:num>
  <w:num w:numId="45">
    <w:abstractNumId w:val="10"/>
  </w:num>
  <w:num w:numId="46">
    <w:abstractNumId w:val="3"/>
  </w:num>
  <w:num w:numId="47">
    <w:abstractNumId w:val="70"/>
  </w:num>
  <w:num w:numId="48">
    <w:abstractNumId w:val="42"/>
  </w:num>
  <w:num w:numId="49">
    <w:abstractNumId w:val="50"/>
  </w:num>
  <w:num w:numId="50">
    <w:abstractNumId w:val="87"/>
  </w:num>
  <w:num w:numId="51">
    <w:abstractNumId w:val="4"/>
  </w:num>
  <w:num w:numId="52">
    <w:abstractNumId w:val="81"/>
  </w:num>
  <w:num w:numId="53">
    <w:abstractNumId w:val="58"/>
  </w:num>
  <w:num w:numId="54">
    <w:abstractNumId w:val="23"/>
  </w:num>
  <w:num w:numId="55">
    <w:abstractNumId w:val="40"/>
  </w:num>
  <w:num w:numId="56">
    <w:abstractNumId w:val="17"/>
  </w:num>
  <w:num w:numId="57">
    <w:abstractNumId w:val="83"/>
  </w:num>
  <w:num w:numId="58">
    <w:abstractNumId w:val="45"/>
  </w:num>
  <w:num w:numId="59">
    <w:abstractNumId w:val="59"/>
  </w:num>
  <w:num w:numId="60">
    <w:abstractNumId w:val="9"/>
  </w:num>
  <w:num w:numId="61">
    <w:abstractNumId w:val="36"/>
  </w:num>
  <w:num w:numId="62">
    <w:abstractNumId w:val="28"/>
  </w:num>
  <w:num w:numId="63">
    <w:abstractNumId w:val="0"/>
  </w:num>
  <w:num w:numId="64">
    <w:abstractNumId w:val="37"/>
  </w:num>
  <w:num w:numId="65">
    <w:abstractNumId w:val="72"/>
  </w:num>
  <w:num w:numId="66">
    <w:abstractNumId w:val="41"/>
  </w:num>
  <w:num w:numId="67">
    <w:abstractNumId w:val="30"/>
  </w:num>
  <w:num w:numId="68">
    <w:abstractNumId w:val="61"/>
  </w:num>
  <w:num w:numId="69">
    <w:abstractNumId w:val="43"/>
  </w:num>
  <w:num w:numId="70">
    <w:abstractNumId w:val="49"/>
  </w:num>
  <w:num w:numId="71">
    <w:abstractNumId w:val="31"/>
  </w:num>
  <w:num w:numId="72">
    <w:abstractNumId w:val="1"/>
  </w:num>
  <w:num w:numId="73">
    <w:abstractNumId w:val="63"/>
  </w:num>
  <w:num w:numId="74">
    <w:abstractNumId w:val="7"/>
  </w:num>
  <w:num w:numId="75">
    <w:abstractNumId w:val="55"/>
  </w:num>
  <w:num w:numId="76">
    <w:abstractNumId w:val="77"/>
  </w:num>
  <w:num w:numId="77">
    <w:abstractNumId w:val="35"/>
  </w:num>
  <w:num w:numId="78">
    <w:abstractNumId w:val="69"/>
  </w:num>
  <w:num w:numId="79">
    <w:abstractNumId w:val="38"/>
  </w:num>
  <w:num w:numId="80">
    <w:abstractNumId w:val="29"/>
  </w:num>
  <w:num w:numId="81">
    <w:abstractNumId w:val="71"/>
  </w:num>
  <w:num w:numId="82">
    <w:abstractNumId w:val="46"/>
  </w:num>
  <w:num w:numId="83">
    <w:abstractNumId w:val="91"/>
  </w:num>
  <w:num w:numId="84">
    <w:abstractNumId w:val="26"/>
  </w:num>
  <w:num w:numId="85">
    <w:abstractNumId w:val="86"/>
  </w:num>
  <w:num w:numId="86">
    <w:abstractNumId w:val="56"/>
  </w:num>
  <w:num w:numId="87">
    <w:abstractNumId w:val="16"/>
  </w:num>
  <w:num w:numId="88">
    <w:abstractNumId w:val="27"/>
  </w:num>
  <w:num w:numId="89">
    <w:abstractNumId w:val="11"/>
  </w:num>
  <w:num w:numId="90">
    <w:abstractNumId w:val="67"/>
  </w:num>
  <w:num w:numId="91">
    <w:abstractNumId w:val="85"/>
  </w:num>
  <w:num w:numId="92">
    <w:abstractNumId w:val="51"/>
  </w:num>
  <w:num w:numId="93">
    <w:abstractNumId w:val="2"/>
  </w:num>
  <w:num w:numId="94">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endnotePr>
    <w:numFmt w:val="decimal"/>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000CFB"/>
    <w:rsid w:val="11E7458C"/>
    <w:rsid w:val="1BE862F0"/>
    <w:rsid w:val="5E9470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rPr>
  </w:style>
  <w:style w:type="paragraph" w:styleId="2">
    <w:name w:val="heading 1"/>
    <w:basedOn w:val="1"/>
    <w:next w:val="1"/>
    <w:link w:val="18"/>
    <w:qFormat/>
    <w:uiPriority w:val="9"/>
    <w:pPr>
      <w:keepNext/>
      <w:keepLines/>
      <w:spacing w:line="360" w:lineRule="auto"/>
      <w:outlineLvl w:val="0"/>
    </w:pPr>
    <w:rPr>
      <w:b/>
      <w:kern w:val="44"/>
      <w:sz w:val="32"/>
    </w:rPr>
  </w:style>
  <w:style w:type="paragraph" w:styleId="3">
    <w:name w:val="heading 3"/>
    <w:basedOn w:val="1"/>
    <w:next w:val="1"/>
    <w:link w:val="19"/>
    <w:semiHidden/>
    <w:unhideWhenUsed/>
    <w:qFormat/>
    <w:uiPriority w:val="9"/>
    <w:pPr>
      <w:keepNext/>
      <w:keepLines/>
      <w:spacing w:line="360" w:lineRule="auto"/>
      <w:outlineLvl w:val="2"/>
    </w:pPr>
    <w:rPr>
      <w:b/>
      <w:kern w:val="0"/>
      <w:sz w:val="24"/>
    </w:rPr>
  </w:style>
  <w:style w:type="paragraph" w:styleId="4">
    <w:name w:val="heading 4"/>
    <w:basedOn w:val="1"/>
    <w:next w:val="1"/>
    <w:semiHidden/>
    <w:unhideWhenUsed/>
    <w:qFormat/>
    <w:uiPriority w:val="9"/>
    <w:pPr>
      <w:keepNext/>
      <w:keepLines/>
      <w:spacing w:line="360" w:lineRule="auto"/>
      <w:outlineLvl w:val="3"/>
    </w:pPr>
    <w:rPr>
      <w:rFonts w:ascii="Arial" w:hAnsi="Arial"/>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20"/>
    <w:semiHidden/>
    <w:unhideWhenUsed/>
    <w:qFormat/>
    <w:uiPriority w:val="99"/>
    <w:pPr>
      <w:spacing w:after="120" w:afterLines="0" w:afterAutospacing="0"/>
      <w:ind w:left="420" w:leftChars="200"/>
    </w:pPr>
    <w:rPr>
      <w:rFonts w:ascii="楷体_GB2312" w:hAnsi="宋体" w:eastAsia="楷体_GB2312"/>
      <w:b/>
      <w:kern w:val="0"/>
      <w:sz w:val="36"/>
    </w:rPr>
  </w:style>
  <w:style w:type="paragraph" w:styleId="6">
    <w:name w:val="Plain Text"/>
    <w:basedOn w:val="1"/>
    <w:semiHidden/>
    <w:unhideWhenUsed/>
    <w:qFormat/>
    <w:uiPriority w:val="99"/>
    <w:rPr>
      <w:rFonts w:ascii="宋体" w:hAnsi="Courier New"/>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toc 1"/>
    <w:basedOn w:val="1"/>
    <w:next w:val="1"/>
    <w:semiHidden/>
    <w:unhideWhenUsed/>
    <w:qFormat/>
    <w:uiPriority w:val="39"/>
  </w:style>
  <w:style w:type="paragraph" w:styleId="9">
    <w:name w:val="Normal (Web)"/>
    <w:basedOn w:val="1"/>
    <w:semiHidden/>
    <w:unhideWhenUsed/>
    <w:qFormat/>
    <w:uiPriority w:val="99"/>
    <w:pPr>
      <w:widowControl/>
      <w:spacing w:before="100" w:beforeLines="0" w:beforeAutospacing="1" w:after="100" w:afterLines="0" w:afterAutospacing="1"/>
      <w:jc w:val="left"/>
    </w:pPr>
    <w:rPr>
      <w:rFonts w:ascii="宋体" w:hAnsi="宋体"/>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00"/>
      <w:sz w:val="18"/>
      <w:szCs w:val="18"/>
      <w:u w:val="none"/>
    </w:rPr>
  </w:style>
  <w:style w:type="character" w:customStyle="1" w:styleId="14">
    <w:name w:val="font21"/>
    <w:basedOn w:val="12"/>
    <w:qFormat/>
    <w:uiPriority w:val="0"/>
    <w:rPr>
      <w:rFonts w:hint="eastAsia" w:ascii="宋体" w:hAnsi="宋体" w:eastAsia="宋体" w:cs="宋体"/>
      <w:color w:val="000000"/>
      <w:sz w:val="21"/>
      <w:szCs w:val="21"/>
      <w:u w:val="single"/>
    </w:rPr>
  </w:style>
  <w:style w:type="character" w:customStyle="1" w:styleId="15">
    <w:name w:val="font11"/>
    <w:basedOn w:val="12"/>
    <w:qFormat/>
    <w:uiPriority w:val="0"/>
    <w:rPr>
      <w:rFonts w:hint="eastAsia" w:ascii="宋体" w:hAnsi="宋体" w:eastAsia="宋体" w:cs="宋体"/>
      <w:color w:val="000000"/>
      <w:sz w:val="21"/>
      <w:szCs w:val="21"/>
      <w:u w:val="none"/>
    </w:rPr>
  </w:style>
  <w:style w:type="character" w:customStyle="1" w:styleId="16">
    <w:name w:val="font31"/>
    <w:basedOn w:val="12"/>
    <w:qFormat/>
    <w:uiPriority w:val="0"/>
    <w:rPr>
      <w:rFonts w:ascii="font-weight : 400" w:hAnsi="font-weight : 400" w:eastAsia="font-weight : 400" w:cs="font-weight : 400"/>
      <w:color w:val="000000"/>
      <w:sz w:val="22"/>
      <w:szCs w:val="22"/>
      <w:u w:val="single"/>
    </w:rPr>
  </w:style>
  <w:style w:type="character" w:customStyle="1" w:styleId="17">
    <w:name w:val="font01"/>
    <w:basedOn w:val="12"/>
    <w:qFormat/>
    <w:uiPriority w:val="0"/>
    <w:rPr>
      <w:rFonts w:hint="default" w:ascii="font-weight : 400" w:hAnsi="font-weight : 400" w:eastAsia="font-weight : 400" w:cs="font-weight : 400"/>
      <w:color w:val="000000"/>
      <w:sz w:val="22"/>
      <w:szCs w:val="22"/>
      <w:u w:val="none"/>
    </w:rPr>
  </w:style>
  <w:style w:type="character" w:customStyle="1" w:styleId="18">
    <w:name w:val="标题 1 Char"/>
    <w:basedOn w:val="12"/>
    <w:link w:val="2"/>
    <w:qFormat/>
    <w:uiPriority w:val="0"/>
    <w:rPr>
      <w:b/>
      <w:kern w:val="44"/>
      <w:sz w:val="32"/>
    </w:rPr>
  </w:style>
  <w:style w:type="character" w:customStyle="1" w:styleId="19">
    <w:name w:val="标题 3 Char"/>
    <w:link w:val="3"/>
    <w:qFormat/>
    <w:uiPriority w:val="0"/>
    <w:rPr>
      <w:b/>
      <w:kern w:val="0"/>
      <w:sz w:val="24"/>
    </w:rPr>
  </w:style>
  <w:style w:type="character" w:customStyle="1" w:styleId="20">
    <w:name w:val="正文文本缩进 Char"/>
    <w:link w:val="5"/>
    <w:qFormat/>
    <w:uiPriority w:val="0"/>
    <w:rPr>
      <w:rFonts w:ascii="楷体_GB2312" w:hAnsi="宋体" w:eastAsia="楷体_GB2312"/>
      <w:b/>
      <w:kern w:val="0"/>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2018-01-17T23:27:00Z</dcterms:created>
  <dc:creator>Windows User</dc:creator>
  <cp:lastModifiedBy>user</cp:lastModifiedBy>
  <dcterms:modified xsi:type="dcterms:W3CDTF">2024-12-25T17:50:13Z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