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imes New Roman"/>
          <w:sz w:val="20"/>
        </w:rPr>
      </w:pPr>
    </w:p>
    <w:p>
      <w:pPr>
        <w:jc w:val="center"/>
        <w:rPr>
          <w:rFonts w:ascii="仿宋_GB2312" w:eastAsia="仿宋_GB2312"/>
          <w:color w:val="000000"/>
          <w:sz w:val="32"/>
          <w:szCs w:val="32"/>
          <w:u w:val="single"/>
        </w:rPr>
      </w:pPr>
      <w:r>
        <w:rPr>
          <w:rFonts w:hint="eastAsia" w:ascii="仿宋_GB2312" w:eastAsia="仿宋_GB2312"/>
          <w:color w:val="000000"/>
          <w:sz w:val="28"/>
          <w:szCs w:val="28"/>
        </w:rPr>
        <w:t xml:space="preserve">                           </w:t>
      </w:r>
      <w:r>
        <w:rPr>
          <w:rFonts w:hint="eastAsia" w:ascii="仿宋_GB2312" w:eastAsia="仿宋_GB2312"/>
          <w:color w:val="000000"/>
          <w:sz w:val="32"/>
          <w:szCs w:val="32"/>
        </w:rPr>
        <w:t>项目编号</w:t>
      </w: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p>
    <w:p>
      <w:pPr>
        <w:ind w:firstLine="3804" w:firstLineChars="1200"/>
        <w:jc w:val="center"/>
        <w:rPr>
          <w:rFonts w:ascii="仿宋_GB2312" w:eastAsia="仿宋_GB2312"/>
          <w:color w:val="000000"/>
          <w:sz w:val="32"/>
          <w:szCs w:val="32"/>
          <w:u w:val="single"/>
        </w:rPr>
      </w:pPr>
      <w:r>
        <w:rPr>
          <w:rFonts w:hint="eastAsia" w:ascii="仿宋_GB2312" w:eastAsia="仿宋_GB2312"/>
          <w:color w:val="000000"/>
          <w:sz w:val="32"/>
          <w:szCs w:val="32"/>
        </w:rPr>
        <w:t xml:space="preserve"> 招标编号：</w:t>
      </w:r>
      <w:r>
        <w:rPr>
          <w:rFonts w:hint="eastAsia" w:ascii="仿宋_GB2312" w:eastAsia="仿宋_GB2312"/>
          <w:color w:val="000000"/>
          <w:sz w:val="32"/>
          <w:szCs w:val="32"/>
          <w:u w:val="single"/>
        </w:rPr>
        <w:t xml:space="preserve">             </w:t>
      </w:r>
    </w:p>
    <w:p>
      <w:pPr>
        <w:ind w:firstLine="3804" w:firstLineChars="1200"/>
        <w:jc w:val="center"/>
        <w:rPr>
          <w:rFonts w:ascii="仿宋_GB2312" w:eastAsia="仿宋_GB2312"/>
          <w:color w:val="000000"/>
          <w:sz w:val="32"/>
          <w:szCs w:val="32"/>
          <w:u w:val="single"/>
        </w:rPr>
      </w:pPr>
    </w:p>
    <w:p>
      <w:pPr>
        <w:ind w:firstLine="3804" w:firstLineChars="1200"/>
        <w:jc w:val="center"/>
        <w:rPr>
          <w:rFonts w:ascii="仿宋_GB2312" w:eastAsia="仿宋_GB2312"/>
          <w:color w:val="000000"/>
          <w:sz w:val="32"/>
          <w:szCs w:val="32"/>
          <w:u w:val="single"/>
        </w:rPr>
      </w:pPr>
    </w:p>
    <w:p>
      <w:pPr>
        <w:jc w:val="center"/>
        <w:rPr>
          <w:rFonts w:ascii="仿宋_GB2312" w:eastAsia="仿宋_GB2312"/>
          <w:b/>
          <w:color w:val="000000"/>
          <w:sz w:val="36"/>
          <w:szCs w:val="36"/>
        </w:rPr>
      </w:pPr>
      <w:r>
        <w:rPr>
          <w:rFonts w:hint="eastAsia" w:ascii="仿宋_GB2312" w:eastAsia="仿宋_GB2312"/>
          <w:b/>
          <w:color w:val="000000"/>
          <w:sz w:val="36"/>
          <w:szCs w:val="36"/>
          <w:u w:val="single"/>
        </w:rPr>
        <w:t xml:space="preserve">              </w:t>
      </w:r>
      <w:r>
        <w:rPr>
          <w:rFonts w:hint="eastAsia" w:ascii="仿宋_GB2312" w:eastAsia="仿宋_GB2312"/>
          <w:b/>
          <w:color w:val="000000"/>
          <w:sz w:val="36"/>
          <w:szCs w:val="36"/>
        </w:rPr>
        <w:t>（项目名称）</w:t>
      </w:r>
      <w:r>
        <w:rPr>
          <w:rFonts w:hint="eastAsia" w:ascii="仿宋_GB2312" w:eastAsia="仿宋_GB2312"/>
          <w:b/>
          <w:color w:val="000000"/>
          <w:sz w:val="36"/>
          <w:szCs w:val="36"/>
          <w:u w:val="single"/>
        </w:rPr>
        <w:t xml:space="preserve"> 施工 </w:t>
      </w:r>
      <w:r>
        <w:rPr>
          <w:rFonts w:hint="eastAsia" w:ascii="仿宋_GB2312" w:eastAsia="仿宋_GB2312"/>
          <w:b/>
          <w:color w:val="000000"/>
          <w:sz w:val="36"/>
          <w:szCs w:val="36"/>
        </w:rPr>
        <w:t>招标</w:t>
      </w:r>
    </w:p>
    <w:p>
      <w:pPr>
        <w:rPr>
          <w:rFonts w:ascii="仿宋_GB2312" w:eastAsia="仿宋_GB2312"/>
          <w:color w:val="000000"/>
          <w:sz w:val="28"/>
          <w:szCs w:val="28"/>
        </w:rPr>
      </w:pPr>
    </w:p>
    <w:p>
      <w:pPr>
        <w:rPr>
          <w:rFonts w:ascii="仿宋_GB2312" w:eastAsia="仿宋_GB2312"/>
          <w:color w:val="000000"/>
          <w:sz w:val="28"/>
          <w:szCs w:val="28"/>
        </w:rPr>
      </w:pPr>
    </w:p>
    <w:p>
      <w:pPr>
        <w:jc w:val="center"/>
        <w:rPr>
          <w:rFonts w:ascii="仿宋_GB2312" w:eastAsia="仿宋_GB2312"/>
          <w:b/>
          <w:color w:val="000000"/>
          <w:sz w:val="72"/>
          <w:szCs w:val="72"/>
        </w:rPr>
      </w:pPr>
      <w:r>
        <w:rPr>
          <w:rFonts w:hint="eastAsia" w:ascii="仿宋_GB2312" w:eastAsia="仿宋_GB2312"/>
          <w:b/>
          <w:color w:val="000000"/>
          <w:sz w:val="72"/>
          <w:szCs w:val="72"/>
        </w:rPr>
        <w:t>招  标  文  件</w:t>
      </w:r>
    </w:p>
    <w:p>
      <w:pPr>
        <w:jc w:val="center"/>
        <w:rPr>
          <w:rFonts w:ascii="仿宋_GB2312" w:eastAsia="仿宋_GB2312"/>
          <w:color w:val="000000"/>
          <w:sz w:val="28"/>
          <w:szCs w:val="28"/>
        </w:rPr>
      </w:pPr>
    </w:p>
    <w:p>
      <w:pPr>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720" w:lineRule="auto"/>
        <w:jc w:val="center"/>
        <w:rPr>
          <w:rFonts w:ascii="仿宋_GB2312" w:eastAsia="仿宋_GB2312"/>
          <w:color w:val="000000"/>
          <w:sz w:val="32"/>
          <w:szCs w:val="32"/>
        </w:rPr>
      </w:pPr>
    </w:p>
    <w:p>
      <w:pPr>
        <w:spacing w:line="480" w:lineRule="auto"/>
        <w:jc w:val="center"/>
        <w:rPr>
          <w:rFonts w:ascii="仿宋_GB2312" w:eastAsia="仿宋_GB2312"/>
          <w:color w:val="000000"/>
          <w:sz w:val="32"/>
          <w:szCs w:val="32"/>
        </w:rPr>
      </w:pPr>
      <w:r>
        <w:rPr>
          <w:rFonts w:hint="eastAsia" w:ascii="仿宋_GB2312" w:eastAsia="仿宋_GB2312"/>
          <w:color w:val="000000"/>
          <w:sz w:val="32"/>
          <w:szCs w:val="32"/>
          <w:lang w:val="en-US"/>
        </w:rPr>
        <w:t xml:space="preserve">    </w:t>
      </w:r>
      <w:r>
        <w:rPr>
          <w:rFonts w:hint="eastAsia" w:ascii="仿宋_GB2312" w:eastAsia="仿宋_GB2312"/>
          <w:color w:val="000000"/>
          <w:sz w:val="32"/>
          <w:szCs w:val="32"/>
        </w:rPr>
        <w:t>招标人：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（公章）</w:t>
      </w:r>
    </w:p>
    <w:p>
      <w:pPr>
        <w:spacing w:line="480" w:lineRule="auto"/>
        <w:ind w:firstLine="634" w:firstLineChars="200"/>
        <w:jc w:val="center"/>
        <w:rPr>
          <w:rFonts w:ascii="仿宋_GB2312" w:eastAsia="仿宋_GB2312"/>
          <w:color w:val="000000"/>
          <w:sz w:val="32"/>
          <w:szCs w:val="32"/>
        </w:rPr>
      </w:pPr>
      <w:r>
        <w:rPr>
          <w:rFonts w:hint="eastAsia" w:ascii="仿宋_GB2312" w:eastAsia="仿宋_GB2312"/>
          <w:color w:val="000000"/>
          <w:sz w:val="32"/>
          <w:szCs w:val="32"/>
        </w:rPr>
        <w:t>招标代理机构：</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（公章）</w:t>
      </w:r>
    </w:p>
    <w:p>
      <w:pPr>
        <w:spacing w:line="480" w:lineRule="auto"/>
        <w:ind w:firstLine="466" w:firstLineChars="147"/>
        <w:jc w:val="center"/>
        <w:rPr>
          <w:rFonts w:ascii="仿宋_GB2312" w:eastAsia="仿宋_GB2312"/>
          <w:color w:val="000000"/>
          <w:sz w:val="32"/>
          <w:szCs w:val="32"/>
        </w:rPr>
      </w:pP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w:t>
      </w:r>
    </w:p>
    <w:p>
      <w:pPr>
        <w:spacing w:line="480" w:lineRule="auto"/>
        <w:rPr>
          <w:rFonts w:ascii="仿宋_GB2312" w:hAnsi="华文中宋" w:eastAsia="仿宋_GB2312"/>
          <w:color w:val="000000"/>
        </w:rPr>
        <w:sectPr>
          <w:endnotePr>
            <w:numFmt w:val="decimal"/>
          </w:endnotePr>
          <w:pgSz w:w="11906" w:h="16838"/>
          <w:pgMar w:top="1247" w:right="1247" w:bottom="1247" w:left="1361" w:header="851" w:footer="1418" w:gutter="0"/>
          <w:cols w:space="720" w:num="1"/>
          <w:docGrid w:type="linesAndChars" w:linePitch="592" w:charSpace="-620"/>
        </w:sectPr>
      </w:pPr>
    </w:p>
    <w:p>
      <w:pPr>
        <w:pStyle w:val="11"/>
        <w:spacing w:before="5"/>
        <w:rPr>
          <w:rFonts w:ascii="黑体"/>
          <w:sz w:val="27"/>
        </w:rPr>
      </w:pPr>
    </w:p>
    <w:p>
      <w:pPr>
        <w:tabs>
          <w:tab w:val="left" w:pos="998"/>
          <w:tab w:val="left" w:pos="1999"/>
        </w:tabs>
        <w:spacing w:before="37"/>
        <w:jc w:val="center"/>
        <w:rPr>
          <w:rFonts w:ascii="黑体" w:eastAsia="黑体"/>
          <w:sz w:val="44"/>
        </w:rPr>
      </w:pPr>
      <w:r>
        <w:rPr>
          <w:rFonts w:hint="eastAsia" w:ascii="黑体" w:eastAsia="黑体"/>
          <w:sz w:val="44"/>
        </w:rPr>
        <w:t>目</w:t>
      </w:r>
      <w:r>
        <w:rPr>
          <w:rFonts w:hint="eastAsia" w:ascii="黑体" w:eastAsia="黑体"/>
          <w:sz w:val="44"/>
        </w:rPr>
        <w:tab/>
      </w:r>
      <w:r>
        <w:rPr>
          <w:rFonts w:hint="eastAsia" w:ascii="黑体" w:eastAsia="黑体"/>
          <w:sz w:val="44"/>
        </w:rPr>
        <w:t>录</w:t>
      </w:r>
    </w:p>
    <w:p>
      <w:pPr>
        <w:pStyle w:val="11"/>
        <w:rPr>
          <w:rFonts w:ascii="黑体"/>
          <w:sz w:val="20"/>
        </w:rPr>
      </w:pPr>
    </w:p>
    <w:p>
      <w:pPr>
        <w:pStyle w:val="11"/>
        <w:spacing w:before="11"/>
        <w:rPr>
          <w:rFonts w:ascii="黑体"/>
          <w:sz w:val="29"/>
        </w:rPr>
      </w:pPr>
    </w:p>
    <w:tbl>
      <w:tblPr>
        <w:tblStyle w:val="19"/>
        <w:tblW w:w="8571" w:type="dxa"/>
        <w:tblInd w:w="584" w:type="dxa"/>
        <w:tblLayout w:type="fixed"/>
        <w:tblCellMar>
          <w:top w:w="0" w:type="dxa"/>
          <w:left w:w="0" w:type="dxa"/>
          <w:bottom w:w="0" w:type="dxa"/>
          <w:right w:w="0" w:type="dxa"/>
        </w:tblCellMar>
      </w:tblPr>
      <w:tblGrid>
        <w:gridCol w:w="1071"/>
        <w:gridCol w:w="6877"/>
        <w:gridCol w:w="623"/>
      </w:tblGrid>
      <w:tr>
        <w:tblPrEx>
          <w:tblCellMar>
            <w:top w:w="0" w:type="dxa"/>
            <w:left w:w="0" w:type="dxa"/>
            <w:bottom w:w="0" w:type="dxa"/>
            <w:right w:w="0" w:type="dxa"/>
          </w:tblCellMar>
        </w:tblPrEx>
        <w:trPr>
          <w:trHeight w:val="619" w:hRule="atLeast"/>
        </w:trPr>
        <w:tc>
          <w:tcPr>
            <w:tcW w:w="1071" w:type="dxa"/>
          </w:tcPr>
          <w:p>
            <w:pPr>
              <w:pStyle w:val="21"/>
              <w:spacing w:before="167"/>
              <w:ind w:left="166" w:right="117"/>
              <w:jc w:val="center"/>
              <w:rPr>
                <w:sz w:val="24"/>
              </w:rPr>
            </w:pPr>
            <w:r>
              <w:rPr>
                <w:sz w:val="24"/>
              </w:rPr>
              <w:t>第一章</w:t>
            </w:r>
          </w:p>
        </w:tc>
        <w:tc>
          <w:tcPr>
            <w:tcW w:w="6877" w:type="dxa"/>
          </w:tcPr>
          <w:p>
            <w:pPr>
              <w:pStyle w:val="21"/>
              <w:spacing w:before="167"/>
              <w:ind w:right="60" w:firstLine="240" w:firstLineChars="100"/>
              <w:rPr>
                <w:sz w:val="24"/>
              </w:rPr>
            </w:pPr>
            <w:r>
              <w:rPr>
                <w:sz w:val="24"/>
              </w:rPr>
              <w:t>招标公告……………………………………………………………</w:t>
            </w:r>
          </w:p>
        </w:tc>
        <w:tc>
          <w:tcPr>
            <w:tcW w:w="623" w:type="dxa"/>
          </w:tcPr>
          <w:p>
            <w:pPr>
              <w:pStyle w:val="21"/>
              <w:wordWrap w:val="0"/>
              <w:spacing w:before="195"/>
              <w:ind w:right="197"/>
              <w:jc w:val="right"/>
              <w:rPr>
                <w:rFonts w:ascii="Times New Roman"/>
                <w:sz w:val="24"/>
              </w:rPr>
            </w:pPr>
            <w:r>
              <w:rPr>
                <w:rFonts w:hint="eastAsia" w:ascii="Times New Roman"/>
                <w:sz w:val="24"/>
                <w:lang w:val="en-US"/>
              </w:rPr>
              <w:t xml:space="preserve"> </w:t>
            </w:r>
          </w:p>
        </w:tc>
      </w:tr>
      <w:tr>
        <w:tblPrEx>
          <w:tblCellMar>
            <w:top w:w="0" w:type="dxa"/>
            <w:left w:w="0" w:type="dxa"/>
            <w:bottom w:w="0" w:type="dxa"/>
            <w:right w:w="0" w:type="dxa"/>
          </w:tblCellMar>
        </w:tblPrEx>
        <w:trPr>
          <w:trHeight w:val="567" w:hRule="atLeast"/>
        </w:trPr>
        <w:tc>
          <w:tcPr>
            <w:tcW w:w="1071" w:type="dxa"/>
          </w:tcPr>
          <w:p>
            <w:pPr>
              <w:pStyle w:val="21"/>
              <w:spacing w:before="114"/>
              <w:ind w:left="166" w:right="117"/>
              <w:jc w:val="center"/>
              <w:rPr>
                <w:sz w:val="24"/>
              </w:rPr>
            </w:pPr>
            <w:r>
              <w:rPr>
                <w:sz w:val="24"/>
              </w:rPr>
              <w:t>第二章</w:t>
            </w:r>
          </w:p>
        </w:tc>
        <w:tc>
          <w:tcPr>
            <w:tcW w:w="6877" w:type="dxa"/>
          </w:tcPr>
          <w:p>
            <w:pPr>
              <w:pStyle w:val="21"/>
              <w:spacing w:before="114"/>
              <w:ind w:right="70" w:firstLine="240" w:firstLineChars="100"/>
              <w:jc w:val="both"/>
              <w:rPr>
                <w:sz w:val="24"/>
              </w:rPr>
            </w:pPr>
            <w:r>
              <w:rPr>
                <w:sz w:val="24"/>
              </w:rPr>
              <w:t>投标人须知…………………………………………………………</w:t>
            </w:r>
          </w:p>
        </w:tc>
        <w:tc>
          <w:tcPr>
            <w:tcW w:w="623" w:type="dxa"/>
          </w:tcPr>
          <w:p>
            <w:pPr>
              <w:pStyle w:val="21"/>
              <w:wordWrap w:val="0"/>
              <w:spacing w:before="142"/>
              <w:ind w:right="197"/>
              <w:jc w:val="right"/>
              <w:rPr>
                <w:rFonts w:ascii="Times New Roman"/>
                <w:sz w:val="24"/>
              </w:rPr>
            </w:pPr>
            <w:r>
              <w:rPr>
                <w:rFonts w:hint="eastAsia" w:ascii="Times New Roman"/>
                <w:sz w:val="24"/>
                <w:lang w:val="en-US"/>
              </w:rPr>
              <w:t xml:space="preserve"> </w:t>
            </w:r>
          </w:p>
        </w:tc>
      </w:tr>
      <w:tr>
        <w:tblPrEx>
          <w:tblCellMar>
            <w:top w:w="0" w:type="dxa"/>
            <w:left w:w="0" w:type="dxa"/>
            <w:bottom w:w="0" w:type="dxa"/>
            <w:right w:w="0" w:type="dxa"/>
          </w:tblCellMar>
        </w:tblPrEx>
        <w:trPr>
          <w:trHeight w:val="568" w:hRule="atLeast"/>
        </w:trPr>
        <w:tc>
          <w:tcPr>
            <w:tcW w:w="1071" w:type="dxa"/>
          </w:tcPr>
          <w:p>
            <w:pPr>
              <w:pStyle w:val="21"/>
              <w:spacing w:before="115"/>
              <w:ind w:left="166" w:right="117"/>
              <w:jc w:val="center"/>
              <w:rPr>
                <w:sz w:val="24"/>
              </w:rPr>
            </w:pPr>
            <w:r>
              <w:rPr>
                <w:sz w:val="24"/>
              </w:rPr>
              <w:t>第三章</w:t>
            </w:r>
          </w:p>
        </w:tc>
        <w:tc>
          <w:tcPr>
            <w:tcW w:w="6877" w:type="dxa"/>
          </w:tcPr>
          <w:p>
            <w:pPr>
              <w:pStyle w:val="21"/>
              <w:spacing w:before="115"/>
              <w:ind w:right="70" w:firstLine="240" w:firstLineChars="100"/>
              <w:jc w:val="both"/>
              <w:rPr>
                <w:sz w:val="24"/>
              </w:rPr>
            </w:pPr>
            <w:r>
              <w:rPr>
                <w:sz w:val="24"/>
              </w:rPr>
              <w:t>评标办法……………………………………………………………</w:t>
            </w:r>
          </w:p>
        </w:tc>
        <w:tc>
          <w:tcPr>
            <w:tcW w:w="623" w:type="dxa"/>
          </w:tcPr>
          <w:p>
            <w:pPr>
              <w:pStyle w:val="21"/>
              <w:wordWrap w:val="0"/>
              <w:spacing w:before="143"/>
              <w:ind w:right="197"/>
              <w:jc w:val="right"/>
              <w:rPr>
                <w:rFonts w:ascii="Times New Roman"/>
                <w:sz w:val="24"/>
              </w:rPr>
            </w:pPr>
            <w:r>
              <w:rPr>
                <w:rFonts w:hint="eastAsia" w:ascii="Times New Roman"/>
                <w:sz w:val="24"/>
                <w:lang w:val="en-US"/>
              </w:rPr>
              <w:t xml:space="preserve"> </w:t>
            </w:r>
          </w:p>
        </w:tc>
      </w:tr>
      <w:tr>
        <w:tblPrEx>
          <w:tblCellMar>
            <w:top w:w="0" w:type="dxa"/>
            <w:left w:w="0" w:type="dxa"/>
            <w:bottom w:w="0" w:type="dxa"/>
            <w:right w:w="0" w:type="dxa"/>
          </w:tblCellMar>
        </w:tblPrEx>
        <w:trPr>
          <w:trHeight w:val="567" w:hRule="atLeast"/>
        </w:trPr>
        <w:tc>
          <w:tcPr>
            <w:tcW w:w="1071" w:type="dxa"/>
          </w:tcPr>
          <w:p>
            <w:pPr>
              <w:pStyle w:val="21"/>
              <w:spacing w:before="115"/>
              <w:ind w:left="166" w:right="117"/>
              <w:jc w:val="center"/>
              <w:rPr>
                <w:sz w:val="24"/>
              </w:rPr>
            </w:pPr>
            <w:r>
              <w:rPr>
                <w:sz w:val="24"/>
              </w:rPr>
              <w:t>第四章</w:t>
            </w:r>
          </w:p>
        </w:tc>
        <w:tc>
          <w:tcPr>
            <w:tcW w:w="6877" w:type="dxa"/>
          </w:tcPr>
          <w:p>
            <w:pPr>
              <w:pStyle w:val="21"/>
              <w:spacing w:before="115"/>
              <w:ind w:right="69" w:firstLine="240" w:firstLineChars="100"/>
              <w:jc w:val="both"/>
              <w:rPr>
                <w:sz w:val="24"/>
              </w:rPr>
            </w:pPr>
            <w:r>
              <w:rPr>
                <w:sz w:val="24"/>
              </w:rPr>
              <w:t>合同条款及格式……………………………………………………</w:t>
            </w:r>
          </w:p>
        </w:tc>
        <w:tc>
          <w:tcPr>
            <w:tcW w:w="623" w:type="dxa"/>
          </w:tcPr>
          <w:p>
            <w:pPr>
              <w:pStyle w:val="21"/>
              <w:wordWrap w:val="0"/>
              <w:spacing w:before="143"/>
              <w:ind w:right="200"/>
              <w:jc w:val="right"/>
              <w:rPr>
                <w:rFonts w:ascii="Times New Roman"/>
                <w:sz w:val="24"/>
              </w:rPr>
            </w:pPr>
            <w:r>
              <w:rPr>
                <w:rFonts w:hint="eastAsia" w:ascii="Times New Roman"/>
                <w:sz w:val="24"/>
                <w:lang w:val="en-US"/>
              </w:rPr>
              <w:t xml:space="preserve"> </w:t>
            </w:r>
          </w:p>
        </w:tc>
      </w:tr>
      <w:tr>
        <w:tblPrEx>
          <w:tblCellMar>
            <w:top w:w="0" w:type="dxa"/>
            <w:left w:w="0" w:type="dxa"/>
            <w:bottom w:w="0" w:type="dxa"/>
            <w:right w:w="0" w:type="dxa"/>
          </w:tblCellMar>
        </w:tblPrEx>
        <w:trPr>
          <w:trHeight w:val="559" w:hRule="atLeast"/>
        </w:trPr>
        <w:tc>
          <w:tcPr>
            <w:tcW w:w="1071" w:type="dxa"/>
          </w:tcPr>
          <w:p>
            <w:pPr>
              <w:pStyle w:val="21"/>
              <w:spacing w:before="114"/>
              <w:ind w:left="166" w:right="117"/>
              <w:jc w:val="center"/>
              <w:rPr>
                <w:sz w:val="24"/>
              </w:rPr>
            </w:pPr>
            <w:r>
              <w:rPr>
                <w:sz w:val="24"/>
              </w:rPr>
              <w:t>第五章</w:t>
            </w:r>
          </w:p>
        </w:tc>
        <w:tc>
          <w:tcPr>
            <w:tcW w:w="6877" w:type="dxa"/>
          </w:tcPr>
          <w:p>
            <w:pPr>
              <w:pStyle w:val="21"/>
              <w:spacing w:before="114"/>
              <w:ind w:right="70" w:firstLine="240" w:firstLineChars="100"/>
              <w:jc w:val="both"/>
              <w:rPr>
                <w:sz w:val="24"/>
              </w:rPr>
            </w:pPr>
            <w:r>
              <w:rPr>
                <w:sz w:val="24"/>
              </w:rPr>
              <w:t>工程量清单</w:t>
            </w:r>
            <w:r>
              <w:rPr>
                <w:rFonts w:hint="eastAsia"/>
                <w:sz w:val="24"/>
              </w:rPr>
              <w:t>（</w:t>
            </w:r>
            <w:r>
              <w:rPr>
                <w:rFonts w:hint="eastAsia"/>
                <w:sz w:val="24"/>
                <w:lang w:val="en-US"/>
              </w:rPr>
              <w:t>另册</w:t>
            </w:r>
            <w:r>
              <w:rPr>
                <w:rFonts w:hint="eastAsia"/>
                <w:sz w:val="24"/>
              </w:rPr>
              <w:t>）</w:t>
            </w:r>
            <w:r>
              <w:rPr>
                <w:sz w:val="24"/>
              </w:rPr>
              <w:t>………………………………………………</w:t>
            </w:r>
          </w:p>
        </w:tc>
        <w:tc>
          <w:tcPr>
            <w:tcW w:w="623" w:type="dxa"/>
          </w:tcPr>
          <w:p>
            <w:pPr>
              <w:pStyle w:val="21"/>
              <w:wordWrap w:val="0"/>
              <w:spacing w:before="142"/>
              <w:ind w:right="197"/>
              <w:jc w:val="right"/>
              <w:rPr>
                <w:rFonts w:ascii="Times New Roman"/>
                <w:sz w:val="24"/>
              </w:rPr>
            </w:pPr>
            <w:r>
              <w:rPr>
                <w:rFonts w:hint="eastAsia" w:ascii="Times New Roman"/>
                <w:sz w:val="24"/>
                <w:lang w:val="en-US"/>
              </w:rPr>
              <w:t xml:space="preserve"> </w:t>
            </w:r>
          </w:p>
        </w:tc>
      </w:tr>
      <w:tr>
        <w:tblPrEx>
          <w:tblCellMar>
            <w:top w:w="0" w:type="dxa"/>
            <w:left w:w="0" w:type="dxa"/>
            <w:bottom w:w="0" w:type="dxa"/>
            <w:right w:w="0" w:type="dxa"/>
          </w:tblCellMar>
        </w:tblPrEx>
        <w:trPr>
          <w:trHeight w:val="665" w:hRule="atLeast"/>
        </w:trPr>
        <w:tc>
          <w:tcPr>
            <w:tcW w:w="1071" w:type="dxa"/>
          </w:tcPr>
          <w:p>
            <w:pPr>
              <w:pStyle w:val="21"/>
              <w:spacing w:before="192"/>
              <w:ind w:left="180" w:right="117"/>
              <w:jc w:val="center"/>
              <w:rPr>
                <w:sz w:val="24"/>
              </w:rPr>
            </w:pPr>
            <w:r>
              <w:rPr>
                <w:sz w:val="24"/>
              </w:rPr>
              <w:t>第六章</w:t>
            </w:r>
          </w:p>
        </w:tc>
        <w:tc>
          <w:tcPr>
            <w:tcW w:w="6877" w:type="dxa"/>
          </w:tcPr>
          <w:p>
            <w:pPr>
              <w:pStyle w:val="21"/>
              <w:spacing w:before="192"/>
              <w:ind w:right="65" w:firstLine="240" w:firstLineChars="100"/>
              <w:jc w:val="both"/>
              <w:rPr>
                <w:sz w:val="24"/>
              </w:rPr>
            </w:pPr>
            <w:r>
              <w:rPr>
                <w:sz w:val="24"/>
              </w:rPr>
              <w:t>图纸（另册）………………………………………………………</w:t>
            </w:r>
          </w:p>
        </w:tc>
        <w:tc>
          <w:tcPr>
            <w:tcW w:w="623" w:type="dxa"/>
          </w:tcPr>
          <w:p>
            <w:pPr>
              <w:pStyle w:val="21"/>
              <w:wordWrap w:val="0"/>
              <w:spacing w:before="220"/>
              <w:ind w:right="197"/>
              <w:jc w:val="right"/>
              <w:rPr>
                <w:rFonts w:ascii="Times New Roman"/>
                <w:sz w:val="24"/>
              </w:rPr>
            </w:pPr>
            <w:r>
              <w:rPr>
                <w:rFonts w:hint="eastAsia" w:ascii="Times New Roman"/>
                <w:sz w:val="24"/>
                <w:lang w:val="en-US"/>
              </w:rPr>
              <w:t xml:space="preserve"> </w:t>
            </w:r>
          </w:p>
        </w:tc>
      </w:tr>
      <w:tr>
        <w:tblPrEx>
          <w:tblCellMar>
            <w:top w:w="0" w:type="dxa"/>
            <w:left w:w="0" w:type="dxa"/>
            <w:bottom w:w="0" w:type="dxa"/>
            <w:right w:w="0" w:type="dxa"/>
          </w:tblCellMar>
        </w:tblPrEx>
        <w:trPr>
          <w:trHeight w:val="495" w:hRule="atLeast"/>
        </w:trPr>
        <w:tc>
          <w:tcPr>
            <w:tcW w:w="1071" w:type="dxa"/>
          </w:tcPr>
          <w:p>
            <w:pPr>
              <w:pStyle w:val="21"/>
              <w:spacing w:before="191" w:line="284" w:lineRule="exact"/>
              <w:ind w:left="180" w:right="103"/>
              <w:jc w:val="center"/>
              <w:rPr>
                <w:sz w:val="24"/>
              </w:rPr>
            </w:pPr>
            <w:r>
              <w:rPr>
                <w:sz w:val="24"/>
              </w:rPr>
              <w:t>第</w:t>
            </w:r>
            <w:r>
              <w:rPr>
                <w:rFonts w:hint="eastAsia"/>
                <w:sz w:val="24"/>
                <w:lang w:val="en-US"/>
              </w:rPr>
              <w:t>七</w:t>
            </w:r>
            <w:r>
              <w:rPr>
                <w:sz w:val="24"/>
              </w:rPr>
              <w:t>章</w:t>
            </w:r>
          </w:p>
        </w:tc>
        <w:tc>
          <w:tcPr>
            <w:tcW w:w="6877" w:type="dxa"/>
          </w:tcPr>
          <w:p>
            <w:pPr>
              <w:pStyle w:val="21"/>
              <w:spacing w:before="191" w:line="284" w:lineRule="exact"/>
              <w:ind w:right="67" w:firstLine="240" w:firstLineChars="100"/>
              <w:jc w:val="both"/>
              <w:rPr>
                <w:sz w:val="24"/>
              </w:rPr>
            </w:pPr>
            <w:r>
              <w:rPr>
                <w:sz w:val="24"/>
              </w:rPr>
              <w:t>投标文件格式………………………………………………………</w:t>
            </w:r>
          </w:p>
        </w:tc>
        <w:tc>
          <w:tcPr>
            <w:tcW w:w="623" w:type="dxa"/>
          </w:tcPr>
          <w:p>
            <w:pPr>
              <w:pStyle w:val="21"/>
              <w:wordWrap w:val="0"/>
              <w:spacing w:before="219" w:line="256" w:lineRule="exact"/>
              <w:ind w:right="197"/>
              <w:jc w:val="right"/>
              <w:rPr>
                <w:rFonts w:ascii="Times New Roman"/>
                <w:sz w:val="24"/>
              </w:rPr>
            </w:pPr>
            <w:r>
              <w:rPr>
                <w:rFonts w:hint="eastAsia" w:ascii="Times New Roman"/>
                <w:sz w:val="24"/>
                <w:lang w:val="en-US"/>
              </w:rPr>
              <w:t xml:space="preserve"> </w:t>
            </w:r>
          </w:p>
        </w:tc>
      </w:tr>
    </w:tbl>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3"/>
        <w:rPr>
          <w:rFonts w:ascii="黑体"/>
          <w:sz w:val="20"/>
        </w:rPr>
      </w:pPr>
    </w:p>
    <w:p>
      <w:pPr>
        <w:spacing w:before="1"/>
        <w:ind w:right="383"/>
        <w:jc w:val="right"/>
        <w:rPr>
          <w:rFonts w:ascii="Times New Roman"/>
          <w:sz w:val="18"/>
        </w:rPr>
        <w:sectPr>
          <w:footerReference r:id="rId3" w:type="default"/>
          <w:footerReference r:id="rId4" w:type="even"/>
          <w:pgSz w:w="11910" w:h="16850"/>
          <w:pgMar w:top="1600" w:right="1200" w:bottom="280" w:left="1220" w:header="0" w:footer="0" w:gutter="0"/>
          <w:cols w:space="720" w:num="1"/>
        </w:sectPr>
      </w:pPr>
    </w:p>
    <w:p>
      <w:pPr>
        <w:tabs>
          <w:tab w:val="left" w:pos="2762"/>
        </w:tabs>
        <w:spacing w:before="41"/>
        <w:ind w:left="1074"/>
        <w:jc w:val="center"/>
        <w:rPr>
          <w:rFonts w:ascii="黑体" w:hAnsi="黑体" w:eastAsia="黑体"/>
          <w:sz w:val="21"/>
        </w:rPr>
      </w:pPr>
      <w:bookmarkStart w:id="0" w:name="_bookmark0"/>
      <w:bookmarkEnd w:id="0"/>
      <w:r>
        <w:rPr>
          <w:rFonts w:hint="eastAsia" w:ascii="黑体" w:hAnsi="黑体" w:eastAsia="黑体"/>
          <w:b/>
          <w:sz w:val="42"/>
        </w:rPr>
        <w:t>第一章</w:t>
      </w:r>
      <w:r>
        <w:rPr>
          <w:rFonts w:hint="eastAsia" w:ascii="黑体" w:hAnsi="黑体" w:eastAsia="黑体"/>
          <w:b/>
          <w:sz w:val="42"/>
        </w:rPr>
        <w:tab/>
      </w:r>
      <w:r>
        <w:rPr>
          <w:rFonts w:hint="eastAsia" w:ascii="黑体" w:hAnsi="黑体" w:eastAsia="黑体"/>
          <w:b/>
          <w:sz w:val="42"/>
        </w:rPr>
        <w:t>招标公告</w:t>
      </w:r>
    </w:p>
    <w:p>
      <w:pPr>
        <w:pStyle w:val="11"/>
        <w:rPr>
          <w:rFonts w:ascii="黑体"/>
          <w:sz w:val="20"/>
        </w:rPr>
      </w:pPr>
    </w:p>
    <w:p>
      <w:pPr>
        <w:tabs>
          <w:tab w:val="left" w:pos="3220"/>
          <w:tab w:val="left" w:pos="5602"/>
        </w:tabs>
        <w:spacing w:before="224"/>
        <w:ind w:left="1542"/>
        <w:rPr>
          <w:rFonts w:ascii="黑体" w:hAnsi="黑体" w:eastAsia="黑体"/>
          <w:sz w:val="14"/>
        </w:rPr>
      </w:pPr>
      <w:r>
        <w:rPr>
          <w:rFonts w:ascii="Times New Roman" w:hAnsi="Times New Roman" w:eastAsia="Times New Roman"/>
          <w:sz w:val="28"/>
          <w:u w:val="single"/>
        </w:rPr>
        <w:t xml:space="preserve"> </w:t>
      </w:r>
      <w:r>
        <w:rPr>
          <w:rFonts w:ascii="Times New Roman" w:hAnsi="Times New Roman" w:eastAsia="Times New Roman"/>
          <w:sz w:val="28"/>
          <w:u w:val="single"/>
        </w:rPr>
        <w:tab/>
      </w:r>
      <w:r>
        <w:rPr>
          <w:rFonts w:hint="eastAsia" w:ascii="黑体" w:hAnsi="黑体" w:eastAsia="黑体"/>
          <w:sz w:val="28"/>
        </w:rPr>
        <w:t>（项目名称）</w:t>
      </w:r>
      <w:r>
        <w:rPr>
          <w:rFonts w:hint="eastAsia" w:ascii="黑体" w:hAnsi="黑体" w:eastAsia="黑体"/>
          <w:sz w:val="28"/>
          <w:u w:val="single"/>
        </w:rPr>
        <w:t xml:space="preserve"> </w:t>
      </w:r>
      <w:r>
        <w:rPr>
          <w:rFonts w:hint="eastAsia" w:ascii="黑体" w:hAnsi="黑体" w:eastAsia="黑体"/>
          <w:sz w:val="28"/>
          <w:u w:val="single"/>
        </w:rPr>
        <w:tab/>
      </w:r>
      <w:r>
        <w:rPr>
          <w:rFonts w:hint="eastAsia" w:ascii="黑体" w:hAnsi="黑体" w:eastAsia="黑体"/>
          <w:sz w:val="28"/>
        </w:rPr>
        <w:t>标段施工招</w:t>
      </w:r>
      <w:r>
        <w:rPr>
          <w:rFonts w:hint="eastAsia" w:ascii="黑体" w:hAnsi="黑体" w:eastAsia="黑体"/>
          <w:spacing w:val="-3"/>
          <w:sz w:val="28"/>
        </w:rPr>
        <w:t>标</w:t>
      </w:r>
      <w:r>
        <w:rPr>
          <w:rFonts w:hint="eastAsia" w:ascii="黑体" w:hAnsi="黑体" w:eastAsia="黑体"/>
          <w:sz w:val="28"/>
        </w:rPr>
        <w:t>公告</w:t>
      </w:r>
    </w:p>
    <w:p>
      <w:pPr>
        <w:pStyle w:val="11"/>
        <w:rPr>
          <w:rFonts w:ascii="黑体"/>
          <w:sz w:val="30"/>
        </w:rPr>
      </w:pPr>
    </w:p>
    <w:p>
      <w:pPr>
        <w:pStyle w:val="11"/>
        <w:spacing w:before="11"/>
        <w:rPr>
          <w:rFonts w:ascii="黑体"/>
          <w:sz w:val="23"/>
        </w:rPr>
      </w:pPr>
    </w:p>
    <w:p>
      <w:pPr>
        <w:numPr>
          <w:ilvl w:val="0"/>
          <w:numId w:val="1"/>
        </w:numPr>
        <w:tabs>
          <w:tab w:val="left" w:pos="718"/>
        </w:tabs>
        <w:rPr>
          <w:rFonts w:ascii="黑体" w:eastAsia="黑体"/>
          <w:b/>
          <w:sz w:val="28"/>
        </w:rPr>
      </w:pPr>
      <w:bookmarkStart w:id="1" w:name="_bookmark1"/>
      <w:bookmarkEnd w:id="1"/>
      <w:r>
        <w:rPr>
          <w:rFonts w:hint="eastAsia" w:ascii="黑体" w:eastAsia="黑体"/>
          <w:b/>
          <w:sz w:val="28"/>
        </w:rPr>
        <w:t>招标条件</w:t>
      </w:r>
    </w:p>
    <w:p>
      <w:pPr>
        <w:pStyle w:val="11"/>
        <w:spacing w:before="11"/>
        <w:rPr>
          <w:rFonts w:ascii="黑体"/>
          <w:b/>
          <w:sz w:val="25"/>
        </w:rPr>
      </w:pPr>
    </w:p>
    <w:p>
      <w:pPr>
        <w:pStyle w:val="11"/>
        <w:tabs>
          <w:tab w:val="left" w:pos="1929"/>
          <w:tab w:val="left" w:pos="2289"/>
          <w:tab w:val="left" w:pos="3129"/>
          <w:tab w:val="left" w:pos="3705"/>
          <w:tab w:val="left" w:pos="4401"/>
          <w:tab w:val="left" w:pos="4898"/>
          <w:tab w:val="left" w:pos="6370"/>
          <w:tab w:val="left" w:pos="6667"/>
          <w:tab w:val="left" w:pos="7260"/>
        </w:tabs>
        <w:spacing w:line="312" w:lineRule="auto"/>
        <w:ind w:left="369" w:right="233" w:firstLine="479"/>
      </w:pPr>
      <w:r>
        <w:t>本招标项目</w:t>
      </w:r>
      <w:r>
        <w:rPr>
          <w:u w:val="single"/>
        </w:rPr>
        <w:t xml:space="preserve"> </w:t>
      </w:r>
      <w:r>
        <w:rPr>
          <w:u w:val="single"/>
        </w:rPr>
        <w:tab/>
      </w:r>
      <w:r>
        <w:rPr>
          <w:u w:val="single"/>
        </w:rPr>
        <w:tab/>
      </w:r>
      <w:r>
        <w:rPr>
          <w:u w:val="single"/>
        </w:rPr>
        <w:tab/>
      </w:r>
      <w:r>
        <w:t>（项目名称</w:t>
      </w:r>
      <w:r>
        <w:rPr>
          <w:spacing w:val="-24"/>
        </w:rPr>
        <w:t>）</w:t>
      </w:r>
      <w:r>
        <w:t>已由</w:t>
      </w:r>
      <w:r>
        <w:rPr>
          <w:u w:val="single"/>
        </w:rPr>
        <w:t xml:space="preserve"> </w:t>
      </w:r>
      <w:r>
        <w:rPr>
          <w:u w:val="single"/>
        </w:rPr>
        <w:tab/>
      </w:r>
      <w:r>
        <w:rPr>
          <w:u w:val="single"/>
        </w:rPr>
        <w:tab/>
      </w:r>
      <w:r>
        <w:rPr>
          <w:u w:val="single"/>
        </w:rPr>
        <w:tab/>
      </w:r>
      <w:r>
        <w:t>（项目审批</w:t>
      </w:r>
      <w:r>
        <w:rPr>
          <w:spacing w:val="-24"/>
        </w:rPr>
        <w:t>、</w:t>
      </w:r>
      <w:r>
        <w:t>核准或备案机关名称</w:t>
      </w:r>
      <w:r>
        <w:rPr>
          <w:spacing w:val="-24"/>
        </w:rPr>
        <w:t>）</w:t>
      </w:r>
      <w:r>
        <w:t>以</w:t>
      </w:r>
      <w:r>
        <w:rPr>
          <w:u w:val="single"/>
        </w:rPr>
        <w:t xml:space="preserve"> </w:t>
      </w:r>
      <w:r>
        <w:rPr>
          <w:u w:val="single"/>
        </w:rPr>
        <w:tab/>
      </w:r>
      <w:r>
        <w:rPr>
          <w:u w:val="single"/>
        </w:rPr>
        <w:tab/>
      </w:r>
      <w:r>
        <w:rPr>
          <w:u w:val="single"/>
        </w:rPr>
        <w:tab/>
      </w:r>
      <w:r>
        <w:t>（批文名称及编号</w:t>
      </w:r>
      <w:r>
        <w:rPr>
          <w:spacing w:val="-24"/>
        </w:rPr>
        <w:t>）</w:t>
      </w:r>
      <w:r>
        <w:t>批准建设</w:t>
      </w:r>
      <w:r>
        <w:rPr>
          <w:spacing w:val="-24"/>
        </w:rPr>
        <w:t>，</w:t>
      </w:r>
      <w:r>
        <w:t>施工图设计已由</w:t>
      </w:r>
      <w:r>
        <w:rPr>
          <w:u w:val="single"/>
        </w:rPr>
        <w:t xml:space="preserve"> </w:t>
      </w:r>
      <w:r>
        <w:rPr>
          <w:u w:val="single"/>
        </w:rPr>
        <w:tab/>
      </w:r>
      <w:r>
        <w:rPr>
          <w:u w:val="single"/>
        </w:rPr>
        <w:tab/>
      </w:r>
      <w:r>
        <w:t>（批准机关名称）以</w:t>
      </w:r>
      <w:r>
        <w:rPr>
          <w:u w:val="single"/>
        </w:rPr>
        <w:t xml:space="preserve"> </w:t>
      </w:r>
      <w:r>
        <w:rPr>
          <w:u w:val="single"/>
        </w:rPr>
        <w:tab/>
      </w:r>
      <w:r>
        <w:rPr>
          <w:u w:val="single"/>
        </w:rPr>
        <w:tab/>
      </w:r>
      <w:r>
        <w:t>（批文名称及编号）批准， 项目业主为</w:t>
      </w:r>
      <w:r>
        <w:rPr>
          <w:u w:val="single"/>
        </w:rPr>
        <w:t xml:space="preserve"> </w:t>
      </w:r>
      <w:r>
        <w:rPr>
          <w:u w:val="single"/>
        </w:rPr>
        <w:tab/>
      </w:r>
      <w:r>
        <w:rPr>
          <w:u w:val="single"/>
        </w:rPr>
        <w:tab/>
      </w:r>
      <w:r>
        <w:rPr>
          <w:u w:val="single"/>
        </w:rPr>
        <w:tab/>
      </w:r>
      <w:r>
        <w:rPr>
          <w:spacing w:val="-32"/>
        </w:rPr>
        <w:t>，</w:t>
      </w:r>
      <w:r>
        <w:t>建设资金来自</w:t>
      </w:r>
      <w:r>
        <w:rPr>
          <w:u w:val="single"/>
        </w:rPr>
        <w:t xml:space="preserve"> </w:t>
      </w:r>
      <w:r>
        <w:rPr>
          <w:u w:val="single"/>
        </w:rPr>
        <w:tab/>
      </w:r>
      <w:r>
        <w:rPr>
          <w:u w:val="single"/>
        </w:rPr>
        <w:tab/>
      </w:r>
      <w:r>
        <w:rPr>
          <w:u w:val="single"/>
        </w:rPr>
        <w:tab/>
      </w:r>
      <w:r>
        <w:t>（资金来源</w:t>
      </w:r>
      <w:r>
        <w:rPr>
          <w:spacing w:val="-76"/>
        </w:rPr>
        <w:t>），</w:t>
      </w:r>
      <w:r>
        <w:t>出资比例为</w:t>
      </w:r>
      <w:r>
        <w:rPr>
          <w:u w:val="single"/>
        </w:rPr>
        <w:t xml:space="preserve"> </w:t>
      </w:r>
      <w:r>
        <w:rPr>
          <w:u w:val="single"/>
        </w:rPr>
        <w:tab/>
      </w:r>
      <w:r>
        <w:rPr>
          <w:spacing w:val="-32"/>
        </w:rPr>
        <w:t>，</w:t>
      </w:r>
      <w:r>
        <w:t>招标人为</w:t>
      </w:r>
      <w:r>
        <w:rPr>
          <w:u w:val="single"/>
        </w:rPr>
        <w:t xml:space="preserve"> </w:t>
      </w:r>
      <w:r>
        <w:rPr>
          <w:u w:val="single"/>
        </w:rPr>
        <w:tab/>
      </w:r>
      <w:r>
        <w:rPr>
          <w:u w:val="single"/>
        </w:rPr>
        <w:tab/>
      </w:r>
      <w:r>
        <w:rPr>
          <w:u w:val="single"/>
        </w:rPr>
        <w:tab/>
      </w:r>
      <w:r>
        <w:rPr>
          <w:spacing w:val="-32"/>
        </w:rPr>
        <w:t>。</w:t>
      </w:r>
      <w:r>
        <w:t>项目已具备招标条件</w:t>
      </w:r>
      <w:r>
        <w:rPr>
          <w:spacing w:val="-32"/>
        </w:rPr>
        <w:t>，</w:t>
      </w:r>
      <w:r>
        <w:t>现对该项目的施工进行公开招标。</w:t>
      </w:r>
    </w:p>
    <w:p>
      <w:pPr>
        <w:numPr>
          <w:ilvl w:val="0"/>
          <w:numId w:val="1"/>
        </w:numPr>
        <w:tabs>
          <w:tab w:val="left" w:pos="718"/>
        </w:tabs>
        <w:spacing w:before="154"/>
        <w:rPr>
          <w:rFonts w:ascii="黑体" w:eastAsia="黑体"/>
          <w:b/>
          <w:sz w:val="28"/>
        </w:rPr>
      </w:pPr>
      <w:bookmarkStart w:id="2" w:name="_bookmark2"/>
      <w:bookmarkEnd w:id="2"/>
      <w:r>
        <w:rPr>
          <w:rFonts w:hint="eastAsia" w:ascii="黑体" w:eastAsia="黑体"/>
          <w:b/>
          <w:sz w:val="28"/>
        </w:rPr>
        <w:t>项目概况与招标范围</w:t>
      </w:r>
    </w:p>
    <w:p>
      <w:pPr>
        <w:spacing w:line="480" w:lineRule="exact"/>
        <w:ind w:firstLine="480" w:firstLineChars="200"/>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2.1 建设地点</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 w:val="32"/>
          <w:szCs w:val="32"/>
          <w:u w:val="single"/>
          <w:lang w:val="en-US"/>
        </w:rPr>
        <w:t>　　　　　　　</w:t>
      </w:r>
      <w:r>
        <w:rPr>
          <w:rFonts w:hint="eastAsia" w:asciiTheme="minorEastAsia" w:hAnsiTheme="minorEastAsia" w:eastAsiaTheme="minorEastAsia" w:cstheme="minorEastAsia"/>
          <w:b/>
          <w:color w:val="000000"/>
          <w:sz w:val="24"/>
          <w:szCs w:val="24"/>
          <w:u w:val="single"/>
        </w:rPr>
        <w:t xml:space="preserve">   </w:t>
      </w:r>
    </w:p>
    <w:p>
      <w:pPr>
        <w:spacing w:line="480" w:lineRule="exact"/>
        <w:ind w:firstLine="470" w:firstLineChars="19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2.2建设规模：</w:t>
      </w:r>
      <w:r>
        <w:rPr>
          <w:rFonts w:hint="eastAsia" w:asciiTheme="minorEastAsia" w:hAnsiTheme="minorEastAsia" w:eastAsiaTheme="minorEastAsia" w:cstheme="minorEastAsia"/>
          <w:color w:val="000000"/>
          <w:sz w:val="32"/>
          <w:szCs w:val="32"/>
          <w:u w:val="single"/>
          <w:lang w:val="en-US"/>
        </w:rPr>
        <w:t>　　　　　　　</w:t>
      </w:r>
      <w:r>
        <w:rPr>
          <w:rFonts w:hint="eastAsia" w:asciiTheme="minorEastAsia" w:hAnsiTheme="minorEastAsia" w:eastAsiaTheme="minorEastAsia" w:cstheme="minorEastAsia"/>
          <w:color w:val="000000"/>
          <w:sz w:val="24"/>
          <w:szCs w:val="24"/>
          <w:u w:val="single"/>
        </w:rPr>
        <w:t xml:space="preserve">           </w:t>
      </w:r>
    </w:p>
    <w:p>
      <w:pPr>
        <w:spacing w:line="480" w:lineRule="exact"/>
        <w:ind w:firstLine="470" w:firstLineChars="196"/>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2.3计划投资及资金来源：</w:t>
      </w:r>
      <w:r>
        <w:rPr>
          <w:rFonts w:hint="eastAsia" w:asciiTheme="minorEastAsia" w:hAnsiTheme="minorEastAsia" w:eastAsiaTheme="minorEastAsia" w:cstheme="minorEastAsia"/>
          <w:color w:val="000000"/>
          <w:sz w:val="32"/>
          <w:szCs w:val="32"/>
          <w:u w:val="single"/>
          <w:lang w:val="en-US"/>
        </w:rPr>
        <w:t>　　　　　　</w:t>
      </w:r>
      <w:r>
        <w:rPr>
          <w:rFonts w:hint="eastAsia" w:asciiTheme="minorEastAsia" w:hAnsiTheme="minorEastAsia" w:eastAsiaTheme="minorEastAsia" w:cstheme="minorEastAsia"/>
          <w:color w:val="000000"/>
          <w:sz w:val="24"/>
          <w:szCs w:val="24"/>
          <w:u w:val="single"/>
        </w:rPr>
        <w:t xml:space="preserve">            </w:t>
      </w:r>
    </w:p>
    <w:p>
      <w:pPr>
        <w:spacing w:line="480" w:lineRule="exact"/>
        <w:ind w:firstLine="470" w:firstLineChars="19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2.4工期：</w:t>
      </w:r>
      <w:r>
        <w:rPr>
          <w:rFonts w:hint="eastAsia" w:asciiTheme="minorEastAsia" w:hAnsiTheme="minorEastAsia" w:eastAsiaTheme="minorEastAsia" w:cstheme="minorEastAsia"/>
          <w:color w:val="000000"/>
          <w:sz w:val="32"/>
          <w:szCs w:val="32"/>
          <w:u w:val="single"/>
          <w:lang w:val="en-US"/>
        </w:rPr>
        <w:t>　　　　　　</w:t>
      </w:r>
      <w:r>
        <w:rPr>
          <w:rFonts w:hint="eastAsia" w:asciiTheme="minorEastAsia" w:hAnsiTheme="minorEastAsia" w:eastAsiaTheme="minorEastAsia" w:cstheme="minorEastAsia"/>
          <w:color w:val="000000"/>
          <w:sz w:val="24"/>
          <w:szCs w:val="24"/>
          <w:u w:val="single"/>
        </w:rPr>
        <w:t xml:space="preserve">                  </w:t>
      </w:r>
    </w:p>
    <w:p>
      <w:pPr>
        <w:spacing w:line="480" w:lineRule="exact"/>
        <w:ind w:firstLine="480" w:firstLineChars="200"/>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2.5招标范围：</w:t>
      </w:r>
      <w:r>
        <w:rPr>
          <w:rFonts w:hint="eastAsia" w:asciiTheme="minorEastAsia" w:hAnsiTheme="minorEastAsia" w:eastAsiaTheme="minorEastAsia" w:cstheme="minorEastAsia"/>
          <w:color w:val="000000"/>
          <w:sz w:val="32"/>
          <w:szCs w:val="32"/>
          <w:u w:val="single"/>
          <w:lang w:val="en-US"/>
        </w:rPr>
        <w:t>　　　　　　</w:t>
      </w:r>
      <w:r>
        <w:rPr>
          <w:rFonts w:hint="eastAsia" w:asciiTheme="minorEastAsia" w:hAnsiTheme="minorEastAsia" w:eastAsiaTheme="minorEastAsia" w:cstheme="minorEastAsia"/>
          <w:color w:val="000000"/>
          <w:sz w:val="24"/>
          <w:szCs w:val="24"/>
          <w:u w:val="single"/>
        </w:rPr>
        <w:t xml:space="preserve">                    </w:t>
      </w:r>
    </w:p>
    <w:p>
      <w:pPr>
        <w:pStyle w:val="12"/>
        <w:spacing w:line="60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2.6标段划分：</w:t>
      </w:r>
      <w:r>
        <w:rPr>
          <w:rFonts w:hint="eastAsia" w:asciiTheme="minorEastAsia" w:hAnsiTheme="minorEastAsia" w:eastAsiaTheme="minorEastAsia" w:cstheme="minorEastAsia"/>
          <w:color w:val="000000"/>
          <w:sz w:val="32"/>
          <w:szCs w:val="32"/>
          <w:u w:val="single"/>
          <w:lang w:val="en-US"/>
        </w:rPr>
        <w:t>　　　　　　</w:t>
      </w:r>
    </w:p>
    <w:p>
      <w:pPr>
        <w:pStyle w:val="12"/>
        <w:spacing w:line="60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注：各投标人均可就上述标段投标，但可以中标的数量不超过 1个标段。</w:t>
      </w:r>
    </w:p>
    <w:p>
      <w:pPr>
        <w:numPr>
          <w:ilvl w:val="0"/>
          <w:numId w:val="1"/>
        </w:numPr>
        <w:tabs>
          <w:tab w:val="left" w:pos="718"/>
        </w:tabs>
        <w:spacing w:before="152"/>
        <w:rPr>
          <w:rFonts w:ascii="黑体" w:eastAsia="黑体"/>
          <w:b/>
          <w:sz w:val="28"/>
        </w:rPr>
      </w:pPr>
      <w:bookmarkStart w:id="3" w:name="_bookmark3"/>
      <w:bookmarkEnd w:id="3"/>
      <w:r>
        <w:rPr>
          <w:rFonts w:hint="eastAsia" w:ascii="黑体" w:eastAsia="黑体"/>
          <w:b/>
          <w:sz w:val="28"/>
        </w:rPr>
        <w:t>投标人资格要求</w:t>
      </w:r>
    </w:p>
    <w:p>
      <w:pPr>
        <w:pStyle w:val="11"/>
        <w:spacing w:before="11"/>
        <w:rPr>
          <w:rFonts w:ascii="黑体"/>
          <w:b/>
          <w:sz w:val="25"/>
        </w:rPr>
      </w:pPr>
    </w:p>
    <w:p>
      <w:pPr>
        <w:pStyle w:val="20"/>
        <w:numPr>
          <w:ilvl w:val="1"/>
          <w:numId w:val="1"/>
        </w:numPr>
        <w:tabs>
          <w:tab w:val="left" w:pos="1270"/>
          <w:tab w:val="left" w:pos="5109"/>
          <w:tab w:val="left" w:pos="6739"/>
        </w:tabs>
        <w:spacing w:line="312" w:lineRule="auto"/>
        <w:ind w:right="205" w:firstLine="480"/>
        <w:rPr>
          <w:sz w:val="24"/>
        </w:rPr>
      </w:pPr>
      <w:r>
        <w:rPr>
          <w:sz w:val="24"/>
        </w:rPr>
        <w:t>本次招标要求投标人须具备</w:t>
      </w:r>
      <w:r>
        <w:rPr>
          <w:sz w:val="24"/>
          <w:u w:val="single"/>
        </w:rPr>
        <w:t xml:space="preserve"> </w:t>
      </w:r>
      <w:r>
        <w:rPr>
          <w:sz w:val="24"/>
          <w:u w:val="single"/>
        </w:rPr>
        <w:tab/>
      </w:r>
      <w:r>
        <w:rPr>
          <w:sz w:val="24"/>
        </w:rPr>
        <w:t>资质、</w:t>
      </w:r>
      <w:r>
        <w:rPr>
          <w:sz w:val="24"/>
          <w:u w:val="single"/>
        </w:rPr>
        <w:tab/>
      </w:r>
      <w:r>
        <w:rPr>
          <w:sz w:val="24"/>
        </w:rPr>
        <w:t>业绩</w:t>
      </w:r>
      <w:r>
        <w:rPr>
          <w:spacing w:val="-51"/>
          <w:sz w:val="24"/>
        </w:rPr>
        <w:t>，</w:t>
      </w:r>
      <w:r>
        <w:rPr>
          <w:sz w:val="24"/>
        </w:rPr>
        <w:t>并在人员</w:t>
      </w:r>
      <w:r>
        <w:rPr>
          <w:spacing w:val="-51"/>
          <w:sz w:val="24"/>
        </w:rPr>
        <w:t>、</w:t>
      </w:r>
      <w:r>
        <w:rPr>
          <w:sz w:val="24"/>
        </w:rPr>
        <w:t>设备、资金等方面具有相应的施工能力。</w:t>
      </w:r>
    </w:p>
    <w:p>
      <w:pPr>
        <w:pStyle w:val="11"/>
        <w:spacing w:before="3"/>
        <w:ind w:left="849"/>
      </w:pPr>
      <w:r>
        <w:rPr>
          <w:spacing w:val="10"/>
        </w:rPr>
        <w:t>投标人应进入交通运输部“ 全国公路建设市场信用信息管理系统</w:t>
      </w:r>
      <w:r>
        <w:t>（</w:t>
      </w:r>
      <w:r>
        <w:rPr>
          <w:spacing w:val="-91"/>
        </w:rPr>
        <w:t xml:space="preserve"> </w:t>
      </w:r>
      <w:r>
        <w:rPr>
          <w:rFonts w:ascii="Times New Roman" w:hAnsi="Times New Roman" w:eastAsia="Times New Roman"/>
        </w:rPr>
        <w:t xml:space="preserve">http </w:t>
      </w:r>
      <w:r>
        <w:t>：</w:t>
      </w:r>
    </w:p>
    <w:p>
      <w:pPr>
        <w:pStyle w:val="11"/>
        <w:spacing w:before="90" w:line="314" w:lineRule="auto"/>
        <w:ind w:left="369" w:right="317"/>
        <w:rPr>
          <w:position w:val="10"/>
          <w:sz w:val="11"/>
        </w:rPr>
      </w:pPr>
      <w:r>
        <w:rPr>
          <w:rFonts w:ascii="Times New Roman" w:hAnsi="Times New Roman" w:eastAsia="Times New Roman"/>
        </w:rPr>
        <w:t>//</w:t>
      </w:r>
      <w:r>
        <w:rPr>
          <w:rFonts w:ascii="Times New Roman" w:hAnsi="Times New Roman" w:eastAsia="Times New Roman"/>
          <w:spacing w:val="-3"/>
        </w:rPr>
        <w:t>g</w:t>
      </w:r>
      <w:r>
        <w:rPr>
          <w:rFonts w:ascii="Times New Roman" w:hAnsi="Times New Roman" w:eastAsia="Times New Roman"/>
        </w:rPr>
        <w:t>l</w:t>
      </w:r>
      <w:r>
        <w:rPr>
          <w:rFonts w:ascii="Times New Roman" w:hAnsi="Times New Roman" w:eastAsia="Times New Roman"/>
          <w:spacing w:val="5"/>
        </w:rPr>
        <w:t>x</w:t>
      </w:r>
      <w:r>
        <w:rPr>
          <w:rFonts w:ascii="Times New Roman" w:hAnsi="Times New Roman" w:eastAsia="Times New Roman"/>
          <w:spacing w:val="-22"/>
        </w:rPr>
        <w:t>y</w:t>
      </w:r>
      <w:r>
        <w:rPr>
          <w:rFonts w:ascii="Times New Roman" w:hAnsi="Times New Roman" w:eastAsia="Times New Roman"/>
        </w:rPr>
        <w:t>.mot.</w:t>
      </w:r>
      <w:r>
        <w:rPr>
          <w:rFonts w:ascii="Times New Roman" w:hAnsi="Times New Roman" w:eastAsia="Times New Roman"/>
          <w:spacing w:val="-3"/>
        </w:rPr>
        <w:t>g</w:t>
      </w:r>
      <w:r>
        <w:rPr>
          <w:rFonts w:ascii="Times New Roman" w:hAnsi="Times New Roman" w:eastAsia="Times New Roman"/>
        </w:rPr>
        <w:t>o</w:t>
      </w:r>
      <w:r>
        <w:rPr>
          <w:rFonts w:ascii="Times New Roman" w:hAnsi="Times New Roman" w:eastAsia="Times New Roman"/>
          <w:spacing w:val="-15"/>
        </w:rPr>
        <w:t>v</w:t>
      </w:r>
      <w:r>
        <w:rPr>
          <w:rFonts w:ascii="Times New Roman" w:hAnsi="Times New Roman" w:eastAsia="Times New Roman"/>
        </w:rPr>
        <w:t>.</w:t>
      </w:r>
      <w:r>
        <w:rPr>
          <w:rFonts w:ascii="Times New Roman" w:hAnsi="Times New Roman" w:eastAsia="Times New Roman"/>
          <w:spacing w:val="-1"/>
        </w:rPr>
        <w:t>c</w:t>
      </w:r>
      <w:r>
        <w:rPr>
          <w:rFonts w:ascii="Times New Roman" w:hAnsi="Times New Roman" w:eastAsia="Times New Roman"/>
          <w:spacing w:val="2"/>
        </w:rPr>
        <w:t>n</w:t>
      </w:r>
      <w:r>
        <w:rPr>
          <w:spacing w:val="-118"/>
        </w:rPr>
        <w:t>）</w:t>
      </w:r>
      <w:r>
        <w:t>”中的公路工程施工资质企业名录，且投标人名称和资质与该名录中的相应企业名称和资质完全一致。</w:t>
      </w:r>
    </w:p>
    <w:p>
      <w:pPr>
        <w:pStyle w:val="11"/>
        <w:spacing w:before="90" w:line="314" w:lineRule="auto"/>
        <w:ind w:right="317" w:firstLine="780" w:firstLineChars="300"/>
        <w:rPr>
          <w:position w:val="10"/>
          <w:sz w:val="11"/>
          <w:lang w:val="en-US"/>
        </w:rPr>
      </w:pPr>
      <w:r>
        <w:rPr>
          <w:spacing w:val="10"/>
        </w:rPr>
        <w:t>投标</w:t>
      </w:r>
      <w:r>
        <w:t>人</w:t>
      </w:r>
      <w:r>
        <w:rPr>
          <w:rFonts w:hint="eastAsia"/>
        </w:rPr>
        <w:t>企业注册地不在四川省行政区域内的外地企业须</w:t>
      </w:r>
      <w:r>
        <w:rPr>
          <w:rFonts w:hint="eastAsia"/>
          <w:lang w:val="en-US"/>
        </w:rPr>
        <w:t>具备</w:t>
      </w:r>
      <w:r>
        <w:rPr>
          <w:rFonts w:hint="eastAsia"/>
        </w:rPr>
        <w:t>有效的入川承揽业务信息录入证。</w:t>
      </w:r>
    </w:p>
    <w:p>
      <w:pPr>
        <w:pStyle w:val="20"/>
        <w:numPr>
          <w:ilvl w:val="1"/>
          <w:numId w:val="1"/>
        </w:numPr>
        <w:tabs>
          <w:tab w:val="left" w:pos="1272"/>
          <w:tab w:val="left" w:pos="3098"/>
          <w:tab w:val="left" w:pos="3849"/>
        </w:tabs>
        <w:spacing w:line="312" w:lineRule="auto"/>
        <w:ind w:right="325" w:firstLine="480"/>
        <w:rPr>
          <w:sz w:val="24"/>
        </w:rPr>
      </w:pPr>
      <w:r>
        <w:rPr>
          <w:sz w:val="24"/>
        </w:rPr>
        <w:t>本次招标</w:t>
      </w:r>
      <w:r>
        <w:rPr>
          <w:sz w:val="24"/>
          <w:u w:val="single"/>
        </w:rPr>
        <w:t xml:space="preserve"> </w:t>
      </w:r>
      <w:r>
        <w:rPr>
          <w:sz w:val="24"/>
          <w:u w:val="single"/>
        </w:rPr>
        <w:tab/>
      </w:r>
      <w:r>
        <w:rPr>
          <w:sz w:val="24"/>
        </w:rPr>
        <w:t>（接受或不接受）联合体投标。联合体投标的，应满足下列要求：</w:t>
      </w:r>
      <w:r>
        <w:rPr>
          <w:sz w:val="24"/>
          <w:u w:val="single"/>
        </w:rPr>
        <w:t xml:space="preserve"> </w:t>
      </w:r>
      <w:r>
        <w:rPr>
          <w:sz w:val="24"/>
          <w:u w:val="single"/>
        </w:rPr>
        <w:tab/>
      </w:r>
      <w:r>
        <w:rPr>
          <w:sz w:val="24"/>
          <w:u w:val="single"/>
        </w:rPr>
        <w:tab/>
      </w:r>
      <w:r>
        <w:rPr>
          <w:sz w:val="24"/>
        </w:rPr>
        <w:t>。</w:t>
      </w:r>
    </w:p>
    <w:p>
      <w:pPr>
        <w:pStyle w:val="20"/>
        <w:numPr>
          <w:ilvl w:val="1"/>
          <w:numId w:val="1"/>
        </w:numPr>
        <w:tabs>
          <w:tab w:val="left" w:pos="1270"/>
          <w:tab w:val="left" w:pos="3900"/>
        </w:tabs>
        <w:spacing w:line="312" w:lineRule="auto"/>
        <w:ind w:firstLine="482"/>
        <w:rPr>
          <w:sz w:val="24"/>
        </w:rPr>
      </w:pPr>
      <w:r>
        <w:rPr>
          <w:sz w:val="24"/>
        </w:rPr>
        <w:t>每个投标人最多可对</w:t>
      </w:r>
      <w:r>
        <w:rPr>
          <w:sz w:val="24"/>
          <w:u w:val="single"/>
        </w:rPr>
        <w:t xml:space="preserve"> </w:t>
      </w:r>
      <w:r>
        <w:rPr>
          <w:sz w:val="24"/>
          <w:u w:val="single"/>
        </w:rPr>
        <w:tab/>
      </w:r>
      <w:r>
        <w:rPr>
          <w:sz w:val="24"/>
        </w:rPr>
        <w:t>（具体数量）个标段投标；每个投标人允许中</w:t>
      </w:r>
      <w:r>
        <w:rPr>
          <w:rFonts w:hint="eastAsia"/>
          <w:sz w:val="24"/>
          <w:u w:val="single"/>
          <w:lang w:val="en-US"/>
        </w:rPr>
        <w:t xml:space="preserve">   </w:t>
      </w:r>
      <w:r>
        <w:rPr>
          <w:sz w:val="24"/>
        </w:rPr>
        <w:t>个标。对投标人信用等级的认定条件为：</w:t>
      </w:r>
      <w:r>
        <w:rPr>
          <w:sz w:val="24"/>
          <w:u w:val="single"/>
        </w:rPr>
        <w:tab/>
      </w:r>
      <w:r>
        <w:rPr>
          <w:rFonts w:hint="eastAsia"/>
          <w:sz w:val="24"/>
          <w:u w:val="single"/>
          <w:lang w:val="en-US"/>
        </w:rPr>
        <w:t xml:space="preserve">      </w:t>
      </w:r>
      <w:r>
        <w:rPr>
          <w:sz w:val="24"/>
        </w:rPr>
        <w:t>。</w:t>
      </w:r>
    </w:p>
    <w:p>
      <w:pPr>
        <w:pStyle w:val="20"/>
        <w:numPr>
          <w:ilvl w:val="1"/>
          <w:numId w:val="1"/>
        </w:numPr>
        <w:tabs>
          <w:tab w:val="left" w:pos="1270"/>
        </w:tabs>
        <w:spacing w:line="312" w:lineRule="auto"/>
        <w:ind w:right="327" w:firstLine="482"/>
        <w:jc w:val="both"/>
        <w:rPr>
          <w:sz w:val="24"/>
        </w:rPr>
      </w:pPr>
      <w:r>
        <w:rPr>
          <w:spacing w:val="-2"/>
          <w:sz w:val="24"/>
        </w:rPr>
        <w:t>与招标人存在利害关系可能影响招标公正性的单位，不得参加投标。单位负</w:t>
      </w:r>
      <w:r>
        <w:rPr>
          <w:spacing w:val="-7"/>
          <w:sz w:val="24"/>
        </w:rPr>
        <w:t>责人为同一人或存在控股、管理关系的不同单位，不得参加同一标段投标，否则，相关投标均无效。</w:t>
      </w:r>
    </w:p>
    <w:p>
      <w:pPr>
        <w:pStyle w:val="20"/>
        <w:numPr>
          <w:ilvl w:val="1"/>
          <w:numId w:val="1"/>
        </w:numPr>
        <w:tabs>
          <w:tab w:val="left" w:pos="1270"/>
        </w:tabs>
        <w:spacing w:before="1" w:line="312" w:lineRule="auto"/>
        <w:ind w:right="327" w:firstLine="480"/>
        <w:rPr>
          <w:sz w:val="24"/>
        </w:rPr>
      </w:pPr>
      <w:r>
        <w:rPr>
          <w:spacing w:val="-12"/>
          <w:sz w:val="24"/>
        </w:rPr>
        <w:t>在“信用中国”网站</w:t>
      </w:r>
      <w:r>
        <w:rPr>
          <w:spacing w:val="-3"/>
          <w:sz w:val="24"/>
        </w:rPr>
        <w:t>（</w:t>
      </w:r>
      <w:r>
        <w:fldChar w:fldCharType="begin"/>
      </w:r>
      <w:r>
        <w:instrText xml:space="preserve"> HYPERLINK "http://www.creditchina.gov.cn/" \h </w:instrText>
      </w:r>
      <w:r>
        <w:fldChar w:fldCharType="separate"/>
      </w:r>
      <w:r>
        <w:rPr>
          <w:rFonts w:ascii="Times New Roman" w:hAnsi="Times New Roman" w:eastAsia="Times New Roman"/>
          <w:spacing w:val="-3"/>
          <w:sz w:val="24"/>
        </w:rPr>
        <w:t>http://www.creditchina.gov.cn/</w:t>
      </w:r>
      <w:r>
        <w:rPr>
          <w:rFonts w:ascii="Times New Roman" w:hAnsi="Times New Roman" w:eastAsia="Times New Roman"/>
          <w:spacing w:val="-3"/>
          <w:sz w:val="24"/>
        </w:rPr>
        <w:fldChar w:fldCharType="end"/>
      </w:r>
      <w:r>
        <w:rPr>
          <w:spacing w:val="-3"/>
          <w:sz w:val="24"/>
        </w:rPr>
        <w:t>）</w:t>
      </w:r>
      <w:r>
        <w:rPr>
          <w:sz w:val="24"/>
        </w:rPr>
        <w:t>中被列入失信被执行人名单的投标人，不得参加投标。</w:t>
      </w:r>
    </w:p>
    <w:p>
      <w:pPr>
        <w:numPr>
          <w:ilvl w:val="0"/>
          <w:numId w:val="1"/>
        </w:numPr>
        <w:tabs>
          <w:tab w:val="left" w:pos="718"/>
        </w:tabs>
        <w:spacing w:before="152"/>
        <w:rPr>
          <w:rFonts w:ascii="黑体" w:eastAsia="黑体"/>
          <w:b/>
          <w:sz w:val="28"/>
        </w:rPr>
      </w:pPr>
      <w:bookmarkStart w:id="4" w:name="_bookmark4"/>
      <w:bookmarkEnd w:id="4"/>
      <w:r>
        <w:rPr>
          <w:rFonts w:hint="eastAsia" w:ascii="黑体" w:eastAsia="黑体"/>
          <w:b/>
          <w:sz w:val="28"/>
        </w:rPr>
        <w:t>招标文件的获取</w:t>
      </w:r>
    </w:p>
    <w:p>
      <w:pPr>
        <w:pStyle w:val="20"/>
        <w:numPr>
          <w:ilvl w:val="1"/>
          <w:numId w:val="1"/>
        </w:numPr>
        <w:tabs>
          <w:tab w:val="left" w:pos="1272"/>
          <w:tab w:val="left" w:pos="4310"/>
          <w:tab w:val="left" w:pos="7466"/>
        </w:tabs>
        <w:spacing w:before="1" w:line="312" w:lineRule="auto"/>
        <w:ind w:right="325" w:firstLine="480"/>
        <w:jc w:val="both"/>
        <w:rPr>
          <w:sz w:val="24"/>
        </w:rPr>
      </w:pPr>
      <w:r>
        <w:rPr>
          <w:rFonts w:hint="eastAsia" w:asciiTheme="minorEastAsia" w:hAnsiTheme="minorEastAsia" w:cstheme="minorEastAsia"/>
          <w:color w:val="000000"/>
          <w:sz w:val="24"/>
          <w:szCs w:val="24"/>
        </w:rPr>
        <w:t>凡有意参加投标者，请于</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日至</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日</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时</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分，登录</w:t>
      </w:r>
      <w:r>
        <w:rPr>
          <w:rFonts w:hint="eastAsia" w:asciiTheme="minorEastAsia" w:hAnsiTheme="minorEastAsia" w:cstheme="minorEastAsia"/>
          <w:color w:val="000000"/>
          <w:kern w:val="2"/>
          <w:sz w:val="24"/>
          <w:szCs w:val="24"/>
        </w:rPr>
        <w:t>全国公共资源交易平台（四川省·广元市）</w:t>
      </w:r>
      <w:r>
        <w:rPr>
          <w:rFonts w:hint="eastAsia" w:asciiTheme="minorEastAsia" w:hAnsiTheme="minorEastAsia" w:cstheme="minorEastAsia"/>
          <w:color w:val="000000"/>
          <w:sz w:val="24"/>
          <w:szCs w:val="24"/>
        </w:rPr>
        <w:t>（</w:t>
      </w:r>
      <w:r>
        <w:rPr>
          <w:rFonts w:hint="eastAsia" w:asciiTheme="minorEastAsia" w:hAnsiTheme="minorEastAsia" w:cstheme="minorEastAsia"/>
          <w:sz w:val="24"/>
          <w:szCs w:val="24"/>
        </w:rPr>
        <w:t>网址：http:// www.gyggzyjy.cn</w:t>
      </w:r>
      <w:r>
        <w:rPr>
          <w:rFonts w:hint="eastAsia" w:asciiTheme="minorEastAsia" w:hAnsiTheme="minorEastAsia" w:cstheme="minorEastAsia"/>
          <w:color w:val="000000"/>
          <w:sz w:val="24"/>
          <w:szCs w:val="24"/>
        </w:rPr>
        <w:t>）下载招标文件。</w:t>
      </w:r>
    </w:p>
    <w:p>
      <w:pPr>
        <w:numPr>
          <w:ilvl w:val="0"/>
          <w:numId w:val="1"/>
        </w:numPr>
        <w:tabs>
          <w:tab w:val="left" w:pos="718"/>
        </w:tabs>
        <w:spacing w:before="153"/>
        <w:rPr>
          <w:rFonts w:ascii="黑体" w:eastAsia="黑体"/>
          <w:b/>
          <w:sz w:val="28"/>
        </w:rPr>
      </w:pPr>
      <w:bookmarkStart w:id="5" w:name="_bookmark5"/>
      <w:bookmarkEnd w:id="5"/>
      <w:r>
        <w:rPr>
          <w:rFonts w:hint="eastAsia" w:ascii="黑体" w:eastAsia="黑体"/>
          <w:b/>
          <w:sz w:val="28"/>
        </w:rPr>
        <w:t>投标文件的递交及相关事宜</w:t>
      </w:r>
    </w:p>
    <w:p>
      <w:pPr>
        <w:pStyle w:val="11"/>
        <w:spacing w:before="1" w:line="312" w:lineRule="auto"/>
        <w:ind w:left="440" w:leftChars="200" w:firstLine="280"/>
        <w:rPr>
          <w:sz w:val="10"/>
        </w:rPr>
      </w:pPr>
      <w:r>
        <w:rPr>
          <w:rFonts w:hint="eastAsia" w:asciiTheme="minorEastAsia" w:hAnsiTheme="minorEastAsia" w:cstheme="minorEastAsia"/>
          <w:color w:val="000000"/>
        </w:rPr>
        <w:t>5.1  投标文件递交的截止时间(投标截止时间，下同）为</w:t>
      </w:r>
      <w:r>
        <w:rPr>
          <w:rFonts w:hint="eastAsia" w:asciiTheme="minorEastAsia" w:hAnsiTheme="minorEastAsia" w:cstheme="minorEastAsia"/>
          <w:b/>
          <w:bCs/>
          <w:color w:val="000000"/>
          <w:u w:val="single"/>
        </w:rPr>
        <w:t xml:space="preserve">     </w:t>
      </w:r>
      <w:r>
        <w:rPr>
          <w:rFonts w:hint="eastAsia" w:asciiTheme="minorEastAsia" w:hAnsiTheme="minorEastAsia" w:cstheme="minorEastAsia"/>
          <w:color w:val="000000"/>
        </w:rPr>
        <w:t>年</w:t>
      </w:r>
      <w:r>
        <w:rPr>
          <w:rFonts w:hint="eastAsia" w:asciiTheme="minorEastAsia" w:hAnsiTheme="minorEastAsia" w:cstheme="minorEastAsia"/>
          <w:b/>
          <w:bCs/>
          <w:color w:val="000000"/>
          <w:u w:val="single"/>
        </w:rPr>
        <w:t xml:space="preserve">   </w:t>
      </w:r>
      <w:r>
        <w:rPr>
          <w:rFonts w:hint="eastAsia" w:asciiTheme="minorEastAsia" w:hAnsiTheme="minorEastAsia" w:cstheme="minorEastAsia"/>
          <w:color w:val="000000"/>
        </w:rPr>
        <w:t>月</w:t>
      </w:r>
      <w:r>
        <w:rPr>
          <w:rFonts w:hint="eastAsia" w:asciiTheme="minorEastAsia" w:hAnsiTheme="minorEastAsia" w:cstheme="minorEastAsia"/>
          <w:b/>
          <w:bCs/>
          <w:color w:val="000000"/>
          <w:u w:val="single"/>
        </w:rPr>
        <w:t xml:space="preserve">   </w:t>
      </w:r>
      <w:r>
        <w:rPr>
          <w:rFonts w:hint="eastAsia" w:asciiTheme="minorEastAsia" w:hAnsiTheme="minorEastAsia" w:cstheme="minorEastAsia"/>
          <w:color w:val="000000"/>
        </w:rPr>
        <w:t>日</w:t>
      </w:r>
      <w:r>
        <w:rPr>
          <w:rFonts w:hint="eastAsia" w:asciiTheme="minorEastAsia" w:hAnsiTheme="minorEastAsia" w:cstheme="minorEastAsia"/>
          <w:b/>
          <w:bCs/>
          <w:color w:val="000000"/>
          <w:u w:val="single"/>
        </w:rPr>
        <w:t>09</w:t>
      </w:r>
      <w:r>
        <w:rPr>
          <w:rFonts w:hint="eastAsia" w:asciiTheme="minorEastAsia" w:hAnsiTheme="minorEastAsia" w:cstheme="minorEastAsia"/>
          <w:color w:val="000000"/>
        </w:rPr>
        <w:t>时</w:t>
      </w:r>
      <w:r>
        <w:rPr>
          <w:rFonts w:hint="eastAsia" w:asciiTheme="minorEastAsia" w:hAnsiTheme="minorEastAsia" w:cstheme="minorEastAsia"/>
          <w:b/>
          <w:bCs/>
          <w:color w:val="000000"/>
          <w:u w:val="single"/>
        </w:rPr>
        <w:t>30</w:t>
      </w:r>
      <w:r>
        <w:rPr>
          <w:rFonts w:hint="eastAsia" w:asciiTheme="minorEastAsia" w:hAnsiTheme="minorEastAsia" w:cstheme="minorEastAsia"/>
          <w:color w:val="000000"/>
        </w:rPr>
        <w:t>分。</w:t>
      </w:r>
    </w:p>
    <w:p>
      <w:pPr>
        <w:pStyle w:val="11"/>
        <w:spacing w:before="1" w:line="312" w:lineRule="auto"/>
        <w:ind w:left="440" w:leftChars="200" w:firstLine="278" w:firstLineChars="116"/>
      </w:pPr>
      <w:r>
        <w:rPr>
          <w:rFonts w:hint="eastAsia" w:asciiTheme="minorEastAsia" w:hAnsiTheme="minorEastAsia" w:cstheme="minorEastAsia"/>
          <w:color w:val="000000"/>
          <w:lang w:val="en-US"/>
        </w:rPr>
        <w:t xml:space="preserve">5.2  </w:t>
      </w:r>
      <w:r>
        <w:rPr>
          <w:rFonts w:hint="eastAsia" w:asciiTheme="minorEastAsia" w:hAnsiTheme="minorEastAsia" w:cstheme="minorEastAsia"/>
          <w:color w:val="000000"/>
        </w:rPr>
        <w:t>递交投标文件的地点为</w:t>
      </w:r>
      <w:r>
        <w:rPr>
          <w:rFonts w:hint="eastAsia" w:asciiTheme="minorEastAsia" w:hAnsiTheme="minorEastAsia" w:cstheme="minorEastAsia"/>
          <w:b/>
          <w:bCs/>
          <w:color w:val="000000"/>
          <w:u w:val="single"/>
        </w:rPr>
        <w:t>广元市公共资源交易</w:t>
      </w:r>
      <w:r>
        <w:rPr>
          <w:rFonts w:hint="eastAsia" w:asciiTheme="minorEastAsia" w:hAnsiTheme="minorEastAsia" w:cstheme="minorEastAsia"/>
          <w:b/>
          <w:bCs/>
          <w:color w:val="000000"/>
          <w:u w:val="single"/>
          <w:lang w:val="en-US"/>
        </w:rPr>
        <w:t>信息</w:t>
      </w:r>
      <w:r>
        <w:rPr>
          <w:rFonts w:hint="eastAsia" w:asciiTheme="minorEastAsia" w:hAnsiTheme="minorEastAsia" w:cstheme="minorEastAsia"/>
          <w:b/>
          <w:bCs/>
          <w:color w:val="000000"/>
          <w:u w:val="single"/>
        </w:rPr>
        <w:t>中心(广元市万缘新区市政务服务中心C区三楼本项目开标室)</w:t>
      </w:r>
      <w:r>
        <w:rPr>
          <w:rFonts w:hint="eastAsia" w:asciiTheme="minorEastAsia" w:hAnsiTheme="minorEastAsia" w:cstheme="minorEastAsia"/>
          <w:color w:val="000000"/>
        </w:rPr>
        <w:t>，逾期送达的或者未送达指定地点的投标文件，视为投标无效。</w:t>
      </w:r>
    </w:p>
    <w:p>
      <w:pPr>
        <w:pStyle w:val="11"/>
        <w:spacing w:before="12"/>
        <w:rPr>
          <w:sz w:val="18"/>
        </w:rPr>
      </w:pPr>
    </w:p>
    <w:p>
      <w:pPr>
        <w:numPr>
          <w:ilvl w:val="0"/>
          <w:numId w:val="1"/>
        </w:numPr>
        <w:tabs>
          <w:tab w:val="left" w:pos="718"/>
        </w:tabs>
        <w:rPr>
          <w:rFonts w:ascii="黑体" w:eastAsia="黑体"/>
          <w:b/>
          <w:sz w:val="28"/>
        </w:rPr>
      </w:pPr>
      <w:bookmarkStart w:id="6" w:name="_bookmark6"/>
      <w:bookmarkEnd w:id="6"/>
      <w:r>
        <w:rPr>
          <w:rFonts w:hint="eastAsia" w:ascii="黑体" w:eastAsia="黑体"/>
          <w:b/>
          <w:sz w:val="28"/>
        </w:rPr>
        <w:t>发布公告的媒介</w:t>
      </w:r>
    </w:p>
    <w:p>
      <w:pPr>
        <w:pStyle w:val="11"/>
        <w:spacing w:before="1"/>
        <w:rPr>
          <w:rFonts w:ascii="黑体"/>
          <w:b/>
          <w:sz w:val="26"/>
        </w:rPr>
      </w:pPr>
    </w:p>
    <w:p>
      <w:pPr>
        <w:pStyle w:val="11"/>
        <w:tabs>
          <w:tab w:val="left" w:pos="4329"/>
        </w:tabs>
        <w:spacing w:line="312" w:lineRule="auto"/>
        <w:ind w:left="438" w:leftChars="199" w:firstLine="480" w:firstLineChars="200"/>
        <w:jc w:val="both"/>
      </w:pPr>
      <w:r>
        <w:rPr>
          <w:rFonts w:hint="eastAsia" w:asciiTheme="minorEastAsia" w:hAnsiTheme="minorEastAsia" w:cstheme="minorEastAsia"/>
          <w:color w:val="000000"/>
        </w:rPr>
        <w:t>本次招标公告同时在</w:t>
      </w:r>
      <w:r>
        <w:rPr>
          <w:rFonts w:hint="eastAsia" w:asciiTheme="minorEastAsia" w:hAnsiTheme="minorEastAsia" w:cstheme="minorEastAsia"/>
          <w:b/>
          <w:bCs/>
          <w:color w:val="000000"/>
          <w:kern w:val="2"/>
          <w:u w:val="single"/>
        </w:rPr>
        <w:t>全国公共资源交易平台（四川省）</w:t>
      </w:r>
      <w:r>
        <w:rPr>
          <w:rFonts w:hint="eastAsia" w:asciiTheme="minorEastAsia" w:hAnsiTheme="minorEastAsia" w:cstheme="minorEastAsia"/>
          <w:b/>
          <w:bCs/>
          <w:color w:val="000000"/>
        </w:rPr>
        <w:t>和</w:t>
      </w:r>
      <w:r>
        <w:rPr>
          <w:rFonts w:hint="eastAsia" w:asciiTheme="minorEastAsia" w:hAnsiTheme="minorEastAsia" w:cstheme="minorEastAsia"/>
          <w:b/>
          <w:bCs/>
          <w:color w:val="000000"/>
          <w:u w:val="single"/>
        </w:rPr>
        <w:t>全国公共资源交易平台（四川省•广元市）</w:t>
      </w:r>
      <w:r>
        <w:rPr>
          <w:rFonts w:hint="eastAsia" w:asciiTheme="minorEastAsia" w:hAnsiTheme="minorEastAsia" w:cstheme="minorEastAsia"/>
          <w:color w:val="000000"/>
        </w:rPr>
        <w:t>上发布。</w:t>
      </w:r>
    </w:p>
    <w:p>
      <w:pPr>
        <w:pStyle w:val="11"/>
        <w:spacing w:before="12"/>
        <w:rPr>
          <w:sz w:val="18"/>
        </w:rPr>
      </w:pPr>
    </w:p>
    <w:p>
      <w:pPr>
        <w:numPr>
          <w:ilvl w:val="0"/>
          <w:numId w:val="1"/>
        </w:numPr>
        <w:tabs>
          <w:tab w:val="left" w:pos="718"/>
        </w:tabs>
        <w:rPr>
          <w:rFonts w:ascii="黑体" w:eastAsia="黑体"/>
          <w:b/>
          <w:sz w:val="28"/>
        </w:rPr>
      </w:pPr>
      <w:bookmarkStart w:id="7" w:name="_bookmark7"/>
      <w:bookmarkEnd w:id="7"/>
      <w:r>
        <w:rPr>
          <w:rFonts w:hint="eastAsia" w:ascii="黑体" w:eastAsia="黑体"/>
          <w:b/>
          <w:sz w:val="28"/>
        </w:rPr>
        <w:t>联系方式</w:t>
      </w:r>
    </w:p>
    <w:p>
      <w:pPr>
        <w:pStyle w:val="11"/>
        <w:spacing w:before="1"/>
        <w:rPr>
          <w:rFonts w:ascii="黑体"/>
          <w:b/>
          <w:sz w:val="26"/>
        </w:rPr>
      </w:pPr>
    </w:p>
    <w:p>
      <w:pPr>
        <w:pStyle w:val="11"/>
        <w:tabs>
          <w:tab w:val="left" w:pos="4504"/>
          <w:tab w:val="left" w:pos="5170"/>
          <w:tab w:val="left" w:pos="8825"/>
        </w:tabs>
        <w:spacing w:line="312" w:lineRule="auto"/>
        <w:ind w:left="849" w:right="658"/>
        <w:jc w:val="both"/>
        <w:rPr>
          <w:rFonts w:ascii="Times New Roman" w:eastAsia="Times New Roman"/>
        </w:rPr>
      </w:pPr>
      <w:r>
        <w:t>招 标 人：</w:t>
      </w:r>
      <w:r>
        <w:rPr>
          <w:u w:val="single"/>
        </w:rPr>
        <w:t xml:space="preserve"> </w:t>
      </w:r>
      <w:r>
        <w:rPr>
          <w:u w:val="single"/>
        </w:rPr>
        <w:tab/>
      </w:r>
      <w:r>
        <w:tab/>
      </w:r>
      <w:r>
        <w:t>招标代理机构：</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地    址：</w:t>
      </w:r>
      <w:r>
        <w:rPr>
          <w:u w:val="single"/>
        </w:rPr>
        <w:t xml:space="preserve"> </w:t>
      </w:r>
      <w:r>
        <w:rPr>
          <w:u w:val="single"/>
        </w:rPr>
        <w:tab/>
      </w:r>
      <w:r>
        <w:tab/>
      </w:r>
      <w:r>
        <w:t>地   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邮政编码：</w:t>
      </w:r>
      <w:r>
        <w:rPr>
          <w:u w:val="single"/>
        </w:rPr>
        <w:t xml:space="preserve"> </w:t>
      </w:r>
      <w:r>
        <w:rPr>
          <w:u w:val="single"/>
        </w:rPr>
        <w:tab/>
      </w:r>
      <w:r>
        <w:tab/>
      </w:r>
      <w:r>
        <w:t>邮政编码：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联 系 人：</w:t>
      </w:r>
      <w:r>
        <w:rPr>
          <w:u w:val="single"/>
        </w:rPr>
        <w:t xml:space="preserve"> </w:t>
      </w:r>
      <w:r>
        <w:rPr>
          <w:u w:val="single"/>
        </w:rPr>
        <w:tab/>
      </w:r>
      <w:r>
        <w:tab/>
      </w:r>
      <w:r>
        <w:t>联 系 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    话：</w:t>
      </w:r>
      <w:r>
        <w:rPr>
          <w:u w:val="single"/>
        </w:rPr>
        <w:t xml:space="preserve"> </w:t>
      </w:r>
      <w:r>
        <w:rPr>
          <w:u w:val="single"/>
        </w:rPr>
        <w:tab/>
      </w:r>
      <w:r>
        <w:tab/>
      </w:r>
      <w:r>
        <w:t>电   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传    真：</w:t>
      </w:r>
      <w:r>
        <w:rPr>
          <w:u w:val="single"/>
        </w:rPr>
        <w:t xml:space="preserve"> </w:t>
      </w:r>
      <w:r>
        <w:rPr>
          <w:u w:val="single"/>
        </w:rPr>
        <w:tab/>
      </w:r>
      <w:r>
        <w:tab/>
      </w:r>
      <w:r>
        <w:t>传   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电子邮件：</w:t>
      </w:r>
      <w:r>
        <w:rPr>
          <w:u w:val="single"/>
        </w:rPr>
        <w:t xml:space="preserve"> </w:t>
      </w:r>
      <w:r>
        <w:rPr>
          <w:u w:val="single"/>
        </w:rPr>
        <w:tab/>
      </w:r>
      <w:r>
        <w:tab/>
      </w:r>
      <w:r>
        <w:t>电子邮件：</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网    址：</w:t>
      </w:r>
      <w:r>
        <w:rPr>
          <w:u w:val="single"/>
        </w:rPr>
        <w:t xml:space="preserve"> </w:t>
      </w:r>
      <w:r>
        <w:rPr>
          <w:u w:val="single"/>
        </w:rPr>
        <w:tab/>
      </w:r>
      <w:r>
        <w:tab/>
      </w:r>
      <w:r>
        <w:t>网   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开户银行：</w:t>
      </w:r>
      <w:r>
        <w:rPr>
          <w:u w:val="single"/>
        </w:rPr>
        <w:t xml:space="preserve"> </w:t>
      </w:r>
      <w:r>
        <w:rPr>
          <w:u w:val="single"/>
        </w:rPr>
        <w:tab/>
      </w:r>
      <w:r>
        <w:tab/>
      </w:r>
      <w:r>
        <w:t>开户银行：</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账    号：</w:t>
      </w:r>
      <w:r>
        <w:rPr>
          <w:u w:val="single"/>
        </w:rPr>
        <w:t xml:space="preserve"> </w:t>
      </w:r>
      <w:r>
        <w:rPr>
          <w:u w:val="single"/>
        </w:rPr>
        <w:tab/>
      </w:r>
      <w:r>
        <w:tab/>
      </w:r>
      <w:r>
        <w:t>账 号 ：</w:t>
      </w:r>
      <w:r>
        <w:rPr>
          <w:rFonts w:ascii="Times New Roman" w:eastAsia="Times New Roman"/>
          <w:u w:val="single"/>
        </w:rPr>
        <w:t xml:space="preserve"> </w:t>
      </w:r>
      <w:r>
        <w:rPr>
          <w:rFonts w:ascii="Times New Roman" w:eastAsia="Times New Roman"/>
          <w:u w:val="single"/>
        </w:rPr>
        <w:tab/>
      </w:r>
    </w:p>
    <w:p>
      <w:pPr>
        <w:pStyle w:val="11"/>
        <w:spacing w:before="6"/>
        <w:rPr>
          <w:rFonts w:ascii="Times New Roman"/>
          <w:sz w:val="21"/>
        </w:rPr>
      </w:pPr>
    </w:p>
    <w:p>
      <w:pPr>
        <w:pStyle w:val="11"/>
        <w:tabs>
          <w:tab w:val="left" w:pos="3369"/>
          <w:tab w:val="left" w:pos="4449"/>
          <w:tab w:val="left" w:pos="6370"/>
          <w:tab w:val="left" w:pos="7330"/>
          <w:tab w:val="left" w:pos="8170"/>
        </w:tabs>
        <w:spacing w:before="66"/>
        <w:ind w:left="1329"/>
        <w:sectPr>
          <w:headerReference r:id="rId5" w:type="default"/>
          <w:footerReference r:id="rId6" w:type="default"/>
          <w:pgSz w:w="11910" w:h="16850"/>
          <w:pgMar w:top="1480" w:right="1200" w:bottom="1080" w:left="1220" w:header="883" w:footer="884" w:gutter="0"/>
          <w:cols w:space="720" w:num="1"/>
        </w:sectPr>
      </w:pPr>
      <w:r>
        <w:t xml:space="preserve">               </w:t>
      </w:r>
      <w:r>
        <w:tab/>
      </w:r>
      <w:r>
        <w:t xml:space="preserve"> </w:t>
      </w:r>
      <w:r>
        <w:tab/>
      </w:r>
      <w:r>
        <w:t xml:space="preserve">          </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tabs>
          <w:tab w:val="left" w:pos="4552"/>
        </w:tabs>
        <w:spacing w:before="41"/>
        <w:ind w:left="2865"/>
        <w:rPr>
          <w:rFonts w:ascii="黑体" w:eastAsia="黑体"/>
          <w:b/>
          <w:sz w:val="42"/>
        </w:rPr>
      </w:pPr>
      <w:bookmarkStart w:id="8" w:name="_bookmark8"/>
      <w:bookmarkEnd w:id="8"/>
      <w:bookmarkStart w:id="9" w:name="_bookmark19"/>
      <w:bookmarkEnd w:id="9"/>
      <w:r>
        <w:rPr>
          <w:rFonts w:hint="eastAsia" w:ascii="黑体" w:eastAsia="黑体"/>
          <w:b/>
          <w:sz w:val="42"/>
        </w:rPr>
        <w:t>第二章</w:t>
      </w:r>
      <w:r>
        <w:rPr>
          <w:rFonts w:hint="eastAsia" w:ascii="黑体" w:eastAsia="黑体"/>
          <w:b/>
          <w:sz w:val="42"/>
        </w:rPr>
        <w:tab/>
      </w:r>
      <w:r>
        <w:rPr>
          <w:rFonts w:hint="eastAsia" w:ascii="黑体" w:eastAsia="黑体"/>
          <w:b/>
          <w:sz w:val="42"/>
        </w:rPr>
        <w:t>投标人须知</w:t>
      </w:r>
    </w:p>
    <w:p>
      <w:pPr>
        <w:pStyle w:val="11"/>
        <w:rPr>
          <w:rFonts w:ascii="黑体"/>
          <w:b/>
          <w:sz w:val="20"/>
        </w:rPr>
      </w:pPr>
    </w:p>
    <w:p>
      <w:pPr>
        <w:pStyle w:val="11"/>
        <w:spacing w:before="2"/>
        <w:rPr>
          <w:rFonts w:ascii="黑体"/>
          <w:b/>
          <w:sz w:val="25"/>
        </w:rPr>
      </w:pPr>
    </w:p>
    <w:p>
      <w:pPr>
        <w:spacing w:before="70"/>
        <w:ind w:left="369"/>
        <w:rPr>
          <w:rFonts w:ascii="黑体" w:hAnsi="黑体" w:eastAsia="黑体"/>
          <w:b/>
          <w:sz w:val="14"/>
        </w:rPr>
      </w:pPr>
      <w:bookmarkStart w:id="10" w:name="_bookmark20"/>
      <w:bookmarkEnd w:id="10"/>
      <w:r>
        <w:rPr>
          <w:rFonts w:hint="eastAsia" w:ascii="黑体" w:hAnsi="黑体" w:eastAsia="黑体"/>
          <w:b/>
          <w:sz w:val="28"/>
        </w:rPr>
        <w:t>投标人须知前附表</w:t>
      </w:r>
    </w:p>
    <w:p>
      <w:pPr>
        <w:pStyle w:val="11"/>
        <w:spacing w:before="1"/>
        <w:rPr>
          <w:rFonts w:ascii="黑体"/>
          <w:b/>
          <w:sz w:val="19"/>
        </w:rPr>
      </w:pPr>
    </w:p>
    <w:tbl>
      <w:tblPr>
        <w:tblStyle w:val="19"/>
        <w:tblW w:w="9007"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953"/>
        <w:gridCol w:w="5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37" w:type="dxa"/>
          </w:tcPr>
          <w:p>
            <w:pPr>
              <w:pStyle w:val="21"/>
              <w:spacing w:before="89" w:line="250" w:lineRule="exact"/>
              <w:ind w:right="191"/>
              <w:jc w:val="right"/>
              <w:rPr>
                <w:b/>
                <w:sz w:val="21"/>
              </w:rPr>
            </w:pPr>
            <w:r>
              <w:rPr>
                <w:b/>
                <w:sz w:val="21"/>
              </w:rPr>
              <w:t>条款号</w:t>
            </w:r>
          </w:p>
        </w:tc>
        <w:tc>
          <w:tcPr>
            <w:tcW w:w="2953" w:type="dxa"/>
          </w:tcPr>
          <w:p>
            <w:pPr>
              <w:pStyle w:val="21"/>
              <w:tabs>
                <w:tab w:val="left" w:pos="423"/>
                <w:tab w:val="left" w:pos="844"/>
                <w:tab w:val="left" w:pos="1266"/>
              </w:tabs>
              <w:spacing w:before="89" w:line="250" w:lineRule="exact"/>
              <w:ind w:left="1"/>
              <w:jc w:val="center"/>
              <w:rPr>
                <w:b/>
                <w:sz w:val="21"/>
              </w:rPr>
            </w:pPr>
            <w:r>
              <w:rPr>
                <w:b/>
                <w:sz w:val="21"/>
              </w:rPr>
              <w:t>条</w:t>
            </w:r>
            <w:r>
              <w:rPr>
                <w:b/>
                <w:sz w:val="21"/>
              </w:rPr>
              <w:tab/>
            </w:r>
            <w:r>
              <w:rPr>
                <w:b/>
                <w:sz w:val="21"/>
              </w:rPr>
              <w:t>款</w:t>
            </w:r>
            <w:r>
              <w:rPr>
                <w:b/>
                <w:sz w:val="21"/>
              </w:rPr>
              <w:tab/>
            </w:r>
            <w:r>
              <w:rPr>
                <w:b/>
                <w:sz w:val="21"/>
              </w:rPr>
              <w:t>名</w:t>
            </w:r>
            <w:r>
              <w:rPr>
                <w:b/>
                <w:sz w:val="21"/>
              </w:rPr>
              <w:tab/>
            </w:r>
            <w:r>
              <w:rPr>
                <w:b/>
                <w:sz w:val="21"/>
              </w:rPr>
              <w:t>称</w:t>
            </w:r>
          </w:p>
        </w:tc>
        <w:tc>
          <w:tcPr>
            <w:tcW w:w="5017" w:type="dxa"/>
          </w:tcPr>
          <w:p>
            <w:pPr>
              <w:pStyle w:val="21"/>
              <w:tabs>
                <w:tab w:val="left" w:pos="427"/>
                <w:tab w:val="left" w:pos="847"/>
                <w:tab w:val="left" w:pos="1270"/>
              </w:tabs>
              <w:spacing w:before="89" w:line="250" w:lineRule="exact"/>
              <w:ind w:left="5"/>
              <w:jc w:val="center"/>
              <w:rPr>
                <w:b/>
                <w:sz w:val="21"/>
              </w:rPr>
            </w:pPr>
            <w:r>
              <w:rPr>
                <w:b/>
                <w:sz w:val="21"/>
              </w:rPr>
              <w:t>编</w:t>
            </w:r>
            <w:r>
              <w:rPr>
                <w:b/>
                <w:sz w:val="21"/>
              </w:rPr>
              <w:tab/>
            </w:r>
            <w:r>
              <w:rPr>
                <w:b/>
                <w:sz w:val="21"/>
              </w:rPr>
              <w:t>列</w:t>
            </w:r>
            <w:r>
              <w:rPr>
                <w:b/>
                <w:sz w:val="21"/>
              </w:rPr>
              <w:tab/>
            </w:r>
            <w:r>
              <w:rPr>
                <w:b/>
                <w:sz w:val="21"/>
              </w:rPr>
              <w:t>内</w:t>
            </w:r>
            <w:r>
              <w:rPr>
                <w:b/>
                <w:sz w:val="21"/>
              </w:rPr>
              <w:tab/>
            </w:r>
            <w:r>
              <w:rPr>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037" w:type="dxa"/>
          </w:tcPr>
          <w:p>
            <w:pPr>
              <w:pStyle w:val="21"/>
              <w:rPr>
                <w:rFonts w:ascii="黑体"/>
                <w:b/>
              </w:rPr>
            </w:pPr>
          </w:p>
          <w:p>
            <w:pPr>
              <w:pStyle w:val="21"/>
              <w:spacing w:before="12"/>
              <w:rPr>
                <w:rFonts w:ascii="黑体"/>
                <w:b/>
                <w:sz w:val="28"/>
              </w:rPr>
            </w:pPr>
          </w:p>
          <w:p>
            <w:pPr>
              <w:pStyle w:val="21"/>
              <w:ind w:right="295"/>
              <w:jc w:val="right"/>
              <w:rPr>
                <w:rFonts w:ascii="Times New Roman"/>
                <w:sz w:val="21"/>
              </w:rPr>
            </w:pPr>
            <w:r>
              <w:rPr>
                <w:rFonts w:ascii="Times New Roman"/>
                <w:sz w:val="21"/>
              </w:rPr>
              <w:t>1.1.2</w:t>
            </w:r>
          </w:p>
        </w:tc>
        <w:tc>
          <w:tcPr>
            <w:tcW w:w="2953" w:type="dxa"/>
          </w:tcPr>
          <w:p>
            <w:pPr>
              <w:pStyle w:val="21"/>
              <w:rPr>
                <w:rFonts w:ascii="黑体"/>
                <w:b/>
                <w:sz w:val="20"/>
              </w:rPr>
            </w:pPr>
          </w:p>
          <w:p>
            <w:pPr>
              <w:pStyle w:val="21"/>
              <w:spacing w:before="1"/>
              <w:rPr>
                <w:rFonts w:ascii="黑体"/>
                <w:b/>
                <w:sz w:val="29"/>
              </w:rPr>
            </w:pPr>
          </w:p>
          <w:p>
            <w:pPr>
              <w:pStyle w:val="21"/>
              <w:spacing w:before="1"/>
              <w:ind w:left="3"/>
              <w:jc w:val="center"/>
              <w:rPr>
                <w:sz w:val="21"/>
              </w:rPr>
            </w:pPr>
            <w:r>
              <w:rPr>
                <w:sz w:val="21"/>
              </w:rPr>
              <w:t>招标人</w:t>
            </w:r>
          </w:p>
        </w:tc>
        <w:tc>
          <w:tcPr>
            <w:tcW w:w="5017" w:type="dxa"/>
          </w:tcPr>
          <w:p>
            <w:pPr>
              <w:pStyle w:val="21"/>
              <w:spacing w:before="89" w:line="321" w:lineRule="auto"/>
              <w:ind w:left="107" w:right="4055"/>
              <w:rPr>
                <w:sz w:val="21"/>
              </w:rPr>
            </w:pPr>
            <w:r>
              <w:rPr>
                <w:sz w:val="21"/>
              </w:rPr>
              <w:t>名 称 ： 地 址 ： 联系人：</w:t>
            </w:r>
          </w:p>
          <w:p>
            <w:pPr>
              <w:pStyle w:val="21"/>
              <w:spacing w:line="249" w:lineRule="exact"/>
              <w:ind w:left="107"/>
              <w:rPr>
                <w:sz w:val="21"/>
              </w:rPr>
            </w:pPr>
            <w:r>
              <w:rPr>
                <w:sz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037" w:type="dxa"/>
          </w:tcPr>
          <w:p>
            <w:pPr>
              <w:pStyle w:val="21"/>
              <w:rPr>
                <w:rFonts w:ascii="黑体"/>
                <w:b/>
              </w:rPr>
            </w:pPr>
          </w:p>
          <w:p>
            <w:pPr>
              <w:pStyle w:val="21"/>
              <w:spacing w:before="12"/>
              <w:rPr>
                <w:rFonts w:ascii="黑体"/>
                <w:b/>
                <w:sz w:val="28"/>
              </w:rPr>
            </w:pPr>
          </w:p>
          <w:p>
            <w:pPr>
              <w:pStyle w:val="21"/>
              <w:ind w:right="295"/>
              <w:jc w:val="right"/>
              <w:rPr>
                <w:rFonts w:ascii="Times New Roman"/>
                <w:sz w:val="21"/>
              </w:rPr>
            </w:pPr>
            <w:r>
              <w:rPr>
                <w:rFonts w:ascii="Times New Roman"/>
                <w:sz w:val="21"/>
              </w:rPr>
              <w:t>1.1.3</w:t>
            </w:r>
          </w:p>
        </w:tc>
        <w:tc>
          <w:tcPr>
            <w:tcW w:w="2953" w:type="dxa"/>
          </w:tcPr>
          <w:p>
            <w:pPr>
              <w:pStyle w:val="21"/>
              <w:rPr>
                <w:rFonts w:ascii="黑体"/>
                <w:b/>
                <w:sz w:val="20"/>
              </w:rPr>
            </w:pPr>
          </w:p>
          <w:p>
            <w:pPr>
              <w:pStyle w:val="21"/>
              <w:spacing w:before="1"/>
              <w:rPr>
                <w:rFonts w:ascii="黑体"/>
                <w:b/>
                <w:sz w:val="29"/>
              </w:rPr>
            </w:pPr>
          </w:p>
          <w:p>
            <w:pPr>
              <w:pStyle w:val="21"/>
              <w:spacing w:before="1"/>
              <w:ind w:left="3"/>
              <w:jc w:val="center"/>
              <w:rPr>
                <w:sz w:val="21"/>
              </w:rPr>
            </w:pPr>
            <w:r>
              <w:rPr>
                <w:sz w:val="21"/>
              </w:rPr>
              <w:t>招标代理机构</w:t>
            </w:r>
          </w:p>
        </w:tc>
        <w:tc>
          <w:tcPr>
            <w:tcW w:w="5017" w:type="dxa"/>
          </w:tcPr>
          <w:p>
            <w:pPr>
              <w:pStyle w:val="21"/>
              <w:spacing w:before="11" w:line="360" w:lineRule="exact"/>
              <w:ind w:left="107" w:right="4055"/>
              <w:rPr>
                <w:sz w:val="21"/>
              </w:rPr>
            </w:pPr>
            <w:r>
              <w:rPr>
                <w:sz w:val="21"/>
              </w:rPr>
              <w:t>名 称 ： 地 址 ： 联系人： 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37" w:type="dxa"/>
          </w:tcPr>
          <w:p>
            <w:pPr>
              <w:pStyle w:val="21"/>
              <w:spacing w:before="102" w:line="226" w:lineRule="exact"/>
              <w:ind w:right="295"/>
              <w:jc w:val="right"/>
              <w:rPr>
                <w:rFonts w:ascii="Times New Roman"/>
                <w:sz w:val="21"/>
              </w:rPr>
            </w:pPr>
            <w:r>
              <w:rPr>
                <w:rFonts w:ascii="Times New Roman"/>
                <w:sz w:val="21"/>
              </w:rPr>
              <w:t>1.1.4</w:t>
            </w:r>
          </w:p>
        </w:tc>
        <w:tc>
          <w:tcPr>
            <w:tcW w:w="2953" w:type="dxa"/>
          </w:tcPr>
          <w:p>
            <w:pPr>
              <w:pStyle w:val="21"/>
              <w:spacing w:before="78" w:line="250" w:lineRule="exact"/>
              <w:ind w:left="3"/>
              <w:jc w:val="center"/>
              <w:rPr>
                <w:sz w:val="21"/>
              </w:rPr>
            </w:pPr>
            <w:r>
              <w:rPr>
                <w:sz w:val="21"/>
              </w:rPr>
              <w:t>招标项目名称</w:t>
            </w:r>
          </w:p>
        </w:tc>
        <w:tc>
          <w:tcPr>
            <w:tcW w:w="5017"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37" w:type="dxa"/>
          </w:tcPr>
          <w:p>
            <w:pPr>
              <w:pStyle w:val="21"/>
              <w:spacing w:before="113" w:line="226" w:lineRule="exact"/>
              <w:ind w:right="295"/>
              <w:jc w:val="right"/>
              <w:rPr>
                <w:rFonts w:ascii="Times New Roman"/>
                <w:sz w:val="21"/>
              </w:rPr>
            </w:pPr>
            <w:r>
              <w:rPr>
                <w:rFonts w:ascii="Times New Roman"/>
                <w:sz w:val="21"/>
              </w:rPr>
              <w:t>1.1.5</w:t>
            </w:r>
          </w:p>
        </w:tc>
        <w:tc>
          <w:tcPr>
            <w:tcW w:w="2953" w:type="dxa"/>
          </w:tcPr>
          <w:p>
            <w:pPr>
              <w:pStyle w:val="21"/>
              <w:spacing w:before="90" w:line="250" w:lineRule="exact"/>
              <w:ind w:left="3"/>
              <w:jc w:val="center"/>
              <w:rPr>
                <w:sz w:val="21"/>
              </w:rPr>
            </w:pPr>
            <w:r>
              <w:rPr>
                <w:sz w:val="21"/>
              </w:rPr>
              <w:t>标段建设地点</w:t>
            </w:r>
          </w:p>
        </w:tc>
        <w:tc>
          <w:tcPr>
            <w:tcW w:w="5017"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037" w:type="dxa"/>
          </w:tcPr>
          <w:p>
            <w:pPr>
              <w:pStyle w:val="21"/>
              <w:spacing w:before="115" w:line="226" w:lineRule="exact"/>
              <w:ind w:right="295"/>
              <w:jc w:val="right"/>
              <w:rPr>
                <w:rFonts w:ascii="Times New Roman"/>
                <w:sz w:val="21"/>
              </w:rPr>
            </w:pPr>
            <w:r>
              <w:rPr>
                <w:rFonts w:ascii="Times New Roman"/>
                <w:sz w:val="21"/>
              </w:rPr>
              <w:t>1.2.1</w:t>
            </w:r>
          </w:p>
        </w:tc>
        <w:tc>
          <w:tcPr>
            <w:tcW w:w="2953" w:type="dxa"/>
          </w:tcPr>
          <w:p>
            <w:pPr>
              <w:pStyle w:val="21"/>
              <w:spacing w:before="92" w:line="250" w:lineRule="exact"/>
              <w:ind w:left="3"/>
              <w:jc w:val="center"/>
              <w:rPr>
                <w:sz w:val="21"/>
              </w:rPr>
            </w:pPr>
            <w:r>
              <w:rPr>
                <w:sz w:val="21"/>
              </w:rPr>
              <w:t>资金来源及比例</w:t>
            </w:r>
          </w:p>
        </w:tc>
        <w:tc>
          <w:tcPr>
            <w:tcW w:w="5017"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37" w:type="dxa"/>
          </w:tcPr>
          <w:p>
            <w:pPr>
              <w:pStyle w:val="21"/>
              <w:spacing w:before="113" w:line="226" w:lineRule="exact"/>
              <w:ind w:right="295"/>
              <w:jc w:val="right"/>
              <w:rPr>
                <w:rFonts w:ascii="Times New Roman"/>
                <w:sz w:val="21"/>
              </w:rPr>
            </w:pPr>
            <w:r>
              <w:rPr>
                <w:rFonts w:ascii="Times New Roman"/>
                <w:sz w:val="21"/>
              </w:rPr>
              <w:t>1.2.2</w:t>
            </w:r>
          </w:p>
        </w:tc>
        <w:tc>
          <w:tcPr>
            <w:tcW w:w="2953" w:type="dxa"/>
          </w:tcPr>
          <w:p>
            <w:pPr>
              <w:pStyle w:val="21"/>
              <w:spacing w:before="90" w:line="250" w:lineRule="exact"/>
              <w:ind w:left="3"/>
              <w:jc w:val="center"/>
              <w:rPr>
                <w:sz w:val="21"/>
              </w:rPr>
            </w:pPr>
            <w:r>
              <w:rPr>
                <w:sz w:val="21"/>
              </w:rPr>
              <w:t>资金落实情况</w:t>
            </w:r>
          </w:p>
        </w:tc>
        <w:tc>
          <w:tcPr>
            <w:tcW w:w="5017"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37" w:type="dxa"/>
          </w:tcPr>
          <w:p>
            <w:pPr>
              <w:pStyle w:val="21"/>
              <w:spacing w:before="113" w:line="226" w:lineRule="exact"/>
              <w:ind w:right="295"/>
              <w:jc w:val="right"/>
              <w:rPr>
                <w:rFonts w:ascii="Times New Roman"/>
                <w:sz w:val="21"/>
              </w:rPr>
            </w:pPr>
            <w:r>
              <w:rPr>
                <w:rFonts w:ascii="Times New Roman"/>
                <w:sz w:val="21"/>
              </w:rPr>
              <w:t>1.3.1</w:t>
            </w:r>
          </w:p>
        </w:tc>
        <w:tc>
          <w:tcPr>
            <w:tcW w:w="2953" w:type="dxa"/>
          </w:tcPr>
          <w:p>
            <w:pPr>
              <w:pStyle w:val="21"/>
              <w:spacing w:before="89" w:line="250" w:lineRule="exact"/>
              <w:ind w:left="5"/>
              <w:jc w:val="center"/>
              <w:rPr>
                <w:sz w:val="21"/>
              </w:rPr>
            </w:pPr>
            <w:r>
              <w:rPr>
                <w:sz w:val="21"/>
              </w:rPr>
              <w:t>招标范围</w:t>
            </w:r>
          </w:p>
        </w:tc>
        <w:tc>
          <w:tcPr>
            <w:tcW w:w="5017"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037" w:type="dxa"/>
          </w:tcPr>
          <w:p>
            <w:pPr>
              <w:pStyle w:val="21"/>
              <w:rPr>
                <w:rFonts w:ascii="黑体"/>
                <w:b/>
              </w:rPr>
            </w:pPr>
          </w:p>
          <w:p>
            <w:pPr>
              <w:pStyle w:val="21"/>
              <w:spacing w:before="191"/>
              <w:ind w:right="295"/>
              <w:jc w:val="right"/>
              <w:rPr>
                <w:rFonts w:ascii="Times New Roman"/>
                <w:sz w:val="21"/>
              </w:rPr>
            </w:pPr>
            <w:r>
              <w:rPr>
                <w:rFonts w:ascii="Times New Roman"/>
                <w:sz w:val="21"/>
              </w:rPr>
              <w:t>1.3.2</w:t>
            </w:r>
          </w:p>
        </w:tc>
        <w:tc>
          <w:tcPr>
            <w:tcW w:w="2953" w:type="dxa"/>
          </w:tcPr>
          <w:p>
            <w:pPr>
              <w:pStyle w:val="21"/>
              <w:rPr>
                <w:rFonts w:ascii="黑体"/>
                <w:b/>
                <w:sz w:val="20"/>
              </w:rPr>
            </w:pPr>
          </w:p>
          <w:p>
            <w:pPr>
              <w:pStyle w:val="21"/>
              <w:spacing w:before="1"/>
              <w:rPr>
                <w:rFonts w:ascii="黑体"/>
                <w:b/>
                <w:sz w:val="15"/>
              </w:rPr>
            </w:pPr>
          </w:p>
          <w:p>
            <w:pPr>
              <w:pStyle w:val="21"/>
              <w:ind w:left="5"/>
              <w:jc w:val="center"/>
              <w:rPr>
                <w:sz w:val="21"/>
              </w:rPr>
            </w:pPr>
            <w:r>
              <w:rPr>
                <w:sz w:val="21"/>
              </w:rPr>
              <w:t>计划工期</w:t>
            </w:r>
          </w:p>
        </w:tc>
        <w:tc>
          <w:tcPr>
            <w:tcW w:w="5017" w:type="dxa"/>
          </w:tcPr>
          <w:p>
            <w:pPr>
              <w:pStyle w:val="21"/>
              <w:tabs>
                <w:tab w:val="left" w:pos="1998"/>
              </w:tabs>
              <w:spacing w:before="90"/>
              <w:ind w:left="107"/>
              <w:rPr>
                <w:sz w:val="21"/>
              </w:rPr>
            </w:pPr>
            <w:r>
              <w:rPr>
                <w:sz w:val="21"/>
              </w:rPr>
              <w:t>计划</w:t>
            </w:r>
            <w:r>
              <w:rPr>
                <w:spacing w:val="-3"/>
                <w:sz w:val="21"/>
              </w:rPr>
              <w:t>工</w:t>
            </w:r>
            <w:r>
              <w:rPr>
                <w:sz w:val="21"/>
              </w:rPr>
              <w:t>期</w:t>
            </w:r>
            <w:r>
              <w:rPr>
                <w:spacing w:val="-3"/>
                <w:sz w:val="21"/>
              </w:rPr>
              <w:t>：</w:t>
            </w:r>
            <w:r>
              <w:rPr>
                <w:spacing w:val="-3"/>
                <w:sz w:val="21"/>
                <w:u w:val="single"/>
              </w:rPr>
              <w:t xml:space="preserve"> </w:t>
            </w:r>
            <w:r>
              <w:rPr>
                <w:spacing w:val="-3"/>
                <w:sz w:val="21"/>
                <w:u w:val="single"/>
              </w:rPr>
              <w:tab/>
            </w:r>
            <w:r>
              <w:rPr>
                <w:sz w:val="21"/>
              </w:rPr>
              <w:t>日</w:t>
            </w:r>
            <w:r>
              <w:rPr>
                <w:spacing w:val="-3"/>
                <w:sz w:val="21"/>
              </w:rPr>
              <w:t>历</w:t>
            </w:r>
            <w:r>
              <w:rPr>
                <w:sz w:val="21"/>
              </w:rPr>
              <w:t>天</w:t>
            </w:r>
          </w:p>
          <w:p>
            <w:pPr>
              <w:pStyle w:val="21"/>
              <w:tabs>
                <w:tab w:val="left" w:pos="1998"/>
                <w:tab w:val="left" w:pos="2838"/>
                <w:tab w:val="left" w:pos="3468"/>
              </w:tabs>
              <w:spacing w:line="360" w:lineRule="atLeast"/>
              <w:ind w:left="107" w:right="1217"/>
              <w:rPr>
                <w:sz w:val="11"/>
              </w:rPr>
            </w:pPr>
            <w:r>
              <w:rPr>
                <w:sz w:val="21"/>
              </w:rPr>
              <w:t>计划</w:t>
            </w:r>
            <w:r>
              <w:rPr>
                <w:spacing w:val="-3"/>
                <w:sz w:val="21"/>
              </w:rPr>
              <w:t>开</w:t>
            </w:r>
            <w:r>
              <w:rPr>
                <w:sz w:val="21"/>
              </w:rPr>
              <w:t>工</w:t>
            </w:r>
            <w:r>
              <w:rPr>
                <w:spacing w:val="-3"/>
                <w:sz w:val="21"/>
              </w:rPr>
              <w:t>日</w:t>
            </w:r>
            <w:r>
              <w:rPr>
                <w:sz w:val="21"/>
              </w:rPr>
              <w:t>期</w:t>
            </w:r>
            <w:r>
              <w:rPr>
                <w:spacing w:val="-3"/>
                <w:sz w:val="21"/>
              </w:rPr>
              <w:t>：</w:t>
            </w:r>
            <w:r>
              <w:rPr>
                <w:spacing w:val="-3"/>
                <w:sz w:val="21"/>
                <w:u w:val="single"/>
              </w:rPr>
              <w:t xml:space="preserve"> </w:t>
            </w:r>
            <w:r>
              <w:rPr>
                <w:spacing w:val="-3"/>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日计划</w:t>
            </w:r>
            <w:r>
              <w:rPr>
                <w:spacing w:val="-3"/>
                <w:sz w:val="21"/>
              </w:rPr>
              <w:t>交</w:t>
            </w:r>
            <w:r>
              <w:rPr>
                <w:sz w:val="21"/>
              </w:rPr>
              <w:t>工</w:t>
            </w:r>
            <w:r>
              <w:rPr>
                <w:spacing w:val="-3"/>
                <w:sz w:val="21"/>
              </w:rPr>
              <w:t>日</w:t>
            </w:r>
            <w:r>
              <w:rPr>
                <w:sz w:val="21"/>
              </w:rPr>
              <w:t>期</w:t>
            </w:r>
            <w:r>
              <w:rPr>
                <w:spacing w:val="-3"/>
                <w:sz w:val="21"/>
              </w:rPr>
              <w:t>：</w:t>
            </w:r>
            <w:r>
              <w:rPr>
                <w:spacing w:val="-3"/>
                <w:sz w:val="21"/>
                <w:u w:val="single"/>
              </w:rPr>
              <w:t xml:space="preserve"> </w:t>
            </w:r>
            <w:r>
              <w:rPr>
                <w:spacing w:val="-3"/>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pacing w:val="-3"/>
                <w:sz w:val="21"/>
              </w:rPr>
              <w:t>日</w:t>
            </w:r>
            <w:r>
              <w:rPr>
                <w:position w:val="10"/>
                <w:sz w:val="11"/>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37" w:type="dxa"/>
          </w:tcPr>
          <w:p>
            <w:pPr>
              <w:pStyle w:val="21"/>
              <w:spacing w:before="11"/>
              <w:rPr>
                <w:rFonts w:ascii="黑体"/>
                <w:b/>
              </w:rPr>
            </w:pPr>
          </w:p>
          <w:p>
            <w:pPr>
              <w:pStyle w:val="21"/>
              <w:ind w:right="295"/>
              <w:jc w:val="right"/>
              <w:rPr>
                <w:rFonts w:ascii="Times New Roman"/>
                <w:sz w:val="21"/>
              </w:rPr>
            </w:pPr>
            <w:r>
              <w:rPr>
                <w:rFonts w:ascii="Times New Roman"/>
                <w:sz w:val="21"/>
              </w:rPr>
              <w:t>1.3.3</w:t>
            </w:r>
          </w:p>
        </w:tc>
        <w:tc>
          <w:tcPr>
            <w:tcW w:w="2953" w:type="dxa"/>
          </w:tcPr>
          <w:p>
            <w:pPr>
              <w:pStyle w:val="21"/>
              <w:rPr>
                <w:rFonts w:ascii="黑体"/>
                <w:b/>
                <w:sz w:val="21"/>
              </w:rPr>
            </w:pPr>
          </w:p>
          <w:p>
            <w:pPr>
              <w:pStyle w:val="21"/>
              <w:ind w:left="5"/>
              <w:jc w:val="center"/>
              <w:rPr>
                <w:sz w:val="21"/>
              </w:rPr>
            </w:pPr>
            <w:r>
              <w:rPr>
                <w:sz w:val="21"/>
              </w:rPr>
              <w:t>质量要求</w:t>
            </w:r>
          </w:p>
        </w:tc>
        <w:tc>
          <w:tcPr>
            <w:tcW w:w="5017" w:type="dxa"/>
          </w:tcPr>
          <w:p>
            <w:pPr>
              <w:pStyle w:val="21"/>
              <w:tabs>
                <w:tab w:val="left" w:pos="2675"/>
                <w:tab w:val="left" w:pos="3518"/>
              </w:tabs>
              <w:spacing w:before="11" w:line="360" w:lineRule="exact"/>
              <w:ind w:left="107" w:right="1486"/>
              <w:rPr>
                <w:rFonts w:ascii="Times New Roman" w:eastAsia="Times New Roman"/>
                <w:sz w:val="21"/>
              </w:rPr>
            </w:pPr>
            <w:r>
              <w:rPr>
                <w:sz w:val="21"/>
              </w:rPr>
              <w:t>标段</w:t>
            </w:r>
            <w:r>
              <w:rPr>
                <w:spacing w:val="-3"/>
                <w:sz w:val="21"/>
              </w:rPr>
              <w:t>工</w:t>
            </w:r>
            <w:r>
              <w:rPr>
                <w:sz w:val="21"/>
              </w:rPr>
              <w:t>程</w:t>
            </w:r>
            <w:r>
              <w:rPr>
                <w:spacing w:val="-3"/>
                <w:sz w:val="21"/>
              </w:rPr>
              <w:t>交</w:t>
            </w:r>
            <w:r>
              <w:rPr>
                <w:sz w:val="21"/>
              </w:rPr>
              <w:t>工</w:t>
            </w:r>
            <w:r>
              <w:rPr>
                <w:spacing w:val="-3"/>
                <w:sz w:val="21"/>
              </w:rPr>
              <w:t>验</w:t>
            </w:r>
            <w:r>
              <w:rPr>
                <w:sz w:val="21"/>
              </w:rPr>
              <w:t>收</w:t>
            </w:r>
            <w:r>
              <w:rPr>
                <w:spacing w:val="-3"/>
                <w:sz w:val="21"/>
              </w:rPr>
              <w:t>的</w:t>
            </w:r>
            <w:r>
              <w:rPr>
                <w:sz w:val="21"/>
              </w:rPr>
              <w:t>质</w:t>
            </w:r>
            <w:r>
              <w:rPr>
                <w:spacing w:val="-3"/>
                <w:sz w:val="21"/>
              </w:rPr>
              <w:t>量</w:t>
            </w:r>
            <w:r>
              <w:rPr>
                <w:sz w:val="21"/>
              </w:rPr>
              <w:t>评定</w:t>
            </w:r>
            <w:r>
              <w:rPr>
                <w:spacing w:val="-3"/>
                <w:sz w:val="21"/>
              </w:rPr>
              <w:t>：</w:t>
            </w:r>
            <w:r>
              <w:rPr>
                <w:spacing w:val="-3"/>
                <w:sz w:val="21"/>
                <w:u w:val="single"/>
              </w:rPr>
              <w:tab/>
            </w:r>
            <w:r>
              <w:rPr>
                <w:spacing w:val="-1"/>
                <w:sz w:val="21"/>
                <w:u w:val="single"/>
              </w:rPr>
              <w:t xml:space="preserve">  </w:t>
            </w:r>
            <w:r>
              <w:rPr>
                <w:spacing w:val="1"/>
                <w:sz w:val="21"/>
                <w:u w:val="single"/>
              </w:rPr>
              <w:t xml:space="preserve"> </w:t>
            </w:r>
            <w:r>
              <w:rPr>
                <w:spacing w:val="-1"/>
                <w:sz w:val="21"/>
              </w:rPr>
              <w:t>竣</w:t>
            </w:r>
            <w:r>
              <w:rPr>
                <w:sz w:val="21"/>
              </w:rPr>
              <w:t>工</w:t>
            </w:r>
            <w:r>
              <w:rPr>
                <w:spacing w:val="-3"/>
                <w:sz w:val="21"/>
              </w:rPr>
              <w:t>验</w:t>
            </w:r>
            <w:r>
              <w:rPr>
                <w:sz w:val="21"/>
              </w:rPr>
              <w:t>收</w:t>
            </w:r>
            <w:r>
              <w:rPr>
                <w:spacing w:val="-3"/>
                <w:sz w:val="21"/>
              </w:rPr>
              <w:t>的</w:t>
            </w:r>
            <w:r>
              <w:rPr>
                <w:sz w:val="21"/>
              </w:rPr>
              <w:t>质</w:t>
            </w:r>
            <w:r>
              <w:rPr>
                <w:spacing w:val="-3"/>
                <w:sz w:val="21"/>
              </w:rPr>
              <w:t>量</w:t>
            </w:r>
            <w:r>
              <w:rPr>
                <w:sz w:val="21"/>
              </w:rPr>
              <w:t>评</w:t>
            </w:r>
            <w:r>
              <w:rPr>
                <w:spacing w:val="-3"/>
                <w:sz w:val="21"/>
              </w:rPr>
              <w:t>定</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37" w:type="dxa"/>
          </w:tcPr>
          <w:p>
            <w:pPr>
              <w:pStyle w:val="21"/>
              <w:spacing w:before="102" w:line="226" w:lineRule="exact"/>
              <w:ind w:right="295"/>
              <w:jc w:val="right"/>
              <w:rPr>
                <w:rFonts w:ascii="Times New Roman"/>
                <w:sz w:val="21"/>
              </w:rPr>
            </w:pPr>
            <w:r>
              <w:rPr>
                <w:rFonts w:ascii="Times New Roman"/>
                <w:sz w:val="21"/>
              </w:rPr>
              <w:t>1.3.4</w:t>
            </w:r>
          </w:p>
        </w:tc>
        <w:tc>
          <w:tcPr>
            <w:tcW w:w="2953" w:type="dxa"/>
          </w:tcPr>
          <w:p>
            <w:pPr>
              <w:pStyle w:val="21"/>
              <w:spacing w:before="78" w:line="250" w:lineRule="exact"/>
              <w:ind w:left="3"/>
              <w:jc w:val="center"/>
              <w:rPr>
                <w:rFonts w:ascii="黑体" w:hAnsi="黑体" w:eastAsia="黑体"/>
                <w:sz w:val="11"/>
              </w:rPr>
            </w:pPr>
            <w:r>
              <w:rPr>
                <w:sz w:val="21"/>
              </w:rPr>
              <w:t>安全目标</w:t>
            </w:r>
            <w:r>
              <w:rPr>
                <w:rFonts w:hint="eastAsia" w:ascii="黑体" w:hAnsi="黑体" w:eastAsia="黑体"/>
                <w:position w:val="10"/>
                <w:sz w:val="11"/>
              </w:rPr>
              <w:t>③</w:t>
            </w:r>
          </w:p>
        </w:tc>
        <w:tc>
          <w:tcPr>
            <w:tcW w:w="5017"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1037" w:type="dxa"/>
          </w:tcPr>
          <w:p>
            <w:pPr>
              <w:pStyle w:val="21"/>
              <w:rPr>
                <w:rFonts w:ascii="黑体"/>
                <w:b/>
                <w:sz w:val="24"/>
              </w:rPr>
            </w:pPr>
          </w:p>
          <w:p>
            <w:pPr>
              <w:pStyle w:val="21"/>
              <w:rPr>
                <w:rFonts w:ascii="黑体"/>
                <w:b/>
                <w:sz w:val="24"/>
              </w:rPr>
            </w:pPr>
          </w:p>
          <w:p>
            <w:pPr>
              <w:pStyle w:val="21"/>
              <w:spacing w:before="3"/>
              <w:rPr>
                <w:rFonts w:ascii="黑体"/>
                <w:b/>
                <w:sz w:val="30"/>
              </w:rPr>
            </w:pPr>
          </w:p>
          <w:p>
            <w:pPr>
              <w:pStyle w:val="21"/>
              <w:ind w:right="242"/>
              <w:jc w:val="right"/>
              <w:rPr>
                <w:sz w:val="11"/>
              </w:rPr>
            </w:pPr>
            <w:r>
              <w:rPr>
                <w:rFonts w:ascii="Times New Roman" w:hAnsi="Times New Roman"/>
                <w:sz w:val="21"/>
              </w:rPr>
              <w:t>1.4.1</w:t>
            </w:r>
          </w:p>
        </w:tc>
        <w:tc>
          <w:tcPr>
            <w:tcW w:w="2953" w:type="dxa"/>
          </w:tcPr>
          <w:p>
            <w:pPr>
              <w:pStyle w:val="21"/>
              <w:rPr>
                <w:rFonts w:ascii="黑体"/>
                <w:b/>
                <w:sz w:val="20"/>
              </w:rPr>
            </w:pPr>
          </w:p>
          <w:p>
            <w:pPr>
              <w:pStyle w:val="21"/>
              <w:rPr>
                <w:rFonts w:ascii="黑体"/>
                <w:b/>
                <w:sz w:val="20"/>
              </w:rPr>
            </w:pPr>
          </w:p>
          <w:p>
            <w:pPr>
              <w:pStyle w:val="21"/>
              <w:rPr>
                <w:rFonts w:ascii="黑体"/>
                <w:b/>
                <w:sz w:val="20"/>
              </w:rPr>
            </w:pPr>
          </w:p>
          <w:p>
            <w:pPr>
              <w:pStyle w:val="21"/>
              <w:spacing w:before="6"/>
              <w:rPr>
                <w:rFonts w:ascii="黑体"/>
                <w:b/>
                <w:sz w:val="17"/>
              </w:rPr>
            </w:pPr>
          </w:p>
          <w:p>
            <w:pPr>
              <w:pStyle w:val="21"/>
              <w:ind w:left="6"/>
              <w:jc w:val="center"/>
              <w:rPr>
                <w:sz w:val="21"/>
              </w:rPr>
            </w:pPr>
            <w:r>
              <w:rPr>
                <w:sz w:val="21"/>
              </w:rPr>
              <w:t>投标人资质条件、能力和信誉</w:t>
            </w:r>
          </w:p>
        </w:tc>
        <w:tc>
          <w:tcPr>
            <w:tcW w:w="5017" w:type="dxa"/>
          </w:tcPr>
          <w:p>
            <w:pPr>
              <w:pStyle w:val="21"/>
              <w:spacing w:before="92"/>
              <w:ind w:left="107"/>
              <w:rPr>
                <w:rFonts w:ascii="Times New Roman" w:eastAsia="Times New Roman"/>
                <w:sz w:val="21"/>
              </w:rPr>
            </w:pPr>
            <w:r>
              <w:rPr>
                <w:sz w:val="21"/>
              </w:rPr>
              <w:t>资质要求：见</w:t>
            </w:r>
            <w:r>
              <w:rPr>
                <w:rFonts w:hint="eastAsia" w:ascii="黑体" w:eastAsia="黑体"/>
                <w:sz w:val="21"/>
              </w:rPr>
              <w:t xml:space="preserve">附录 </w:t>
            </w:r>
            <w:r>
              <w:rPr>
                <w:rFonts w:ascii="Times New Roman" w:eastAsia="Times New Roman"/>
                <w:sz w:val="21"/>
              </w:rPr>
              <w:t>1</w:t>
            </w:r>
          </w:p>
          <w:p>
            <w:pPr>
              <w:pStyle w:val="21"/>
              <w:spacing w:before="91"/>
              <w:ind w:left="107"/>
              <w:rPr>
                <w:rFonts w:ascii="Times New Roman" w:eastAsia="Times New Roman"/>
                <w:sz w:val="21"/>
              </w:rPr>
            </w:pPr>
            <w:r>
              <w:rPr>
                <w:sz w:val="21"/>
              </w:rPr>
              <w:t>财务要求：见</w:t>
            </w:r>
            <w:r>
              <w:rPr>
                <w:rFonts w:hint="eastAsia" w:ascii="黑体" w:eastAsia="黑体"/>
                <w:sz w:val="21"/>
              </w:rPr>
              <w:t xml:space="preserve">附录 </w:t>
            </w:r>
            <w:r>
              <w:rPr>
                <w:rFonts w:ascii="Times New Roman" w:eastAsia="Times New Roman"/>
                <w:sz w:val="21"/>
              </w:rPr>
              <w:t>2</w:t>
            </w:r>
          </w:p>
          <w:p>
            <w:pPr>
              <w:pStyle w:val="21"/>
              <w:spacing w:before="91"/>
              <w:ind w:left="107"/>
              <w:rPr>
                <w:rFonts w:ascii="Times New Roman" w:eastAsia="Times New Roman"/>
                <w:sz w:val="21"/>
              </w:rPr>
            </w:pPr>
            <w:r>
              <w:rPr>
                <w:sz w:val="21"/>
              </w:rPr>
              <w:t>业绩要求：见</w:t>
            </w:r>
            <w:r>
              <w:rPr>
                <w:rFonts w:hint="eastAsia" w:ascii="黑体" w:eastAsia="黑体"/>
                <w:sz w:val="21"/>
              </w:rPr>
              <w:t xml:space="preserve">附录 </w:t>
            </w:r>
            <w:r>
              <w:rPr>
                <w:rFonts w:ascii="Times New Roman" w:eastAsia="Times New Roman"/>
                <w:sz w:val="21"/>
              </w:rPr>
              <w:t>3</w:t>
            </w:r>
          </w:p>
          <w:p>
            <w:pPr>
              <w:pStyle w:val="21"/>
              <w:spacing w:before="91"/>
              <w:ind w:left="107"/>
              <w:rPr>
                <w:rFonts w:ascii="Times New Roman" w:eastAsia="Times New Roman"/>
                <w:sz w:val="21"/>
              </w:rPr>
            </w:pPr>
            <w:r>
              <w:rPr>
                <w:sz w:val="21"/>
              </w:rPr>
              <w:t>信誉要求：见</w:t>
            </w:r>
            <w:r>
              <w:rPr>
                <w:rFonts w:hint="eastAsia" w:ascii="黑体" w:eastAsia="黑体"/>
                <w:sz w:val="21"/>
              </w:rPr>
              <w:t xml:space="preserve">附录 </w:t>
            </w:r>
            <w:r>
              <w:rPr>
                <w:rFonts w:ascii="Times New Roman" w:eastAsia="Times New Roman"/>
                <w:sz w:val="21"/>
              </w:rPr>
              <w:t>4</w:t>
            </w:r>
          </w:p>
          <w:p>
            <w:pPr>
              <w:pStyle w:val="21"/>
              <w:spacing w:before="91"/>
              <w:ind w:left="107"/>
              <w:rPr>
                <w:rFonts w:ascii="Times New Roman" w:eastAsia="Times New Roman"/>
                <w:sz w:val="21"/>
              </w:rPr>
            </w:pPr>
            <w:r>
              <w:rPr>
                <w:sz w:val="21"/>
              </w:rPr>
              <w:t>项目经理和项目总工资格：见</w:t>
            </w:r>
            <w:r>
              <w:rPr>
                <w:rFonts w:hint="eastAsia" w:ascii="黑体" w:eastAsia="黑体"/>
                <w:sz w:val="21"/>
              </w:rPr>
              <w:t xml:space="preserve">附录 </w:t>
            </w:r>
            <w:r>
              <w:rPr>
                <w:rFonts w:ascii="Times New Roman" w:eastAsia="Times New Roman"/>
                <w:sz w:val="21"/>
              </w:rPr>
              <w:t>5</w:t>
            </w:r>
          </w:p>
          <w:p>
            <w:pPr>
              <w:pStyle w:val="21"/>
              <w:spacing w:before="91" w:line="250" w:lineRule="exact"/>
              <w:ind w:left="107"/>
              <w:rPr>
                <w:rFonts w:ascii="黑体" w:hAnsi="黑体" w:eastAsia="黑体"/>
                <w:sz w:val="11"/>
              </w:rPr>
            </w:pPr>
            <w:r>
              <w:rPr>
                <w:sz w:val="21"/>
              </w:rPr>
              <w:t>其他要求：</w:t>
            </w:r>
          </w:p>
        </w:tc>
      </w:tr>
    </w:tbl>
    <w:p>
      <w:pPr>
        <w:pStyle w:val="11"/>
        <w:spacing w:before="12"/>
        <w:rPr>
          <w:rFonts w:ascii="黑体"/>
          <w:b/>
          <w:sz w:val="22"/>
        </w:rPr>
      </w:pPr>
    </w:p>
    <w:p>
      <w:pPr>
        <w:pStyle w:val="11"/>
        <w:spacing w:before="12"/>
        <w:rPr>
          <w:rFonts w:ascii="黑体"/>
          <w:b/>
          <w:sz w:val="22"/>
        </w:rPr>
      </w:pPr>
    </w:p>
    <w:p>
      <w:pPr>
        <w:rPr>
          <w:sz w:val="18"/>
        </w:rPr>
        <w:sectPr>
          <w:headerReference r:id="rId7" w:type="default"/>
          <w:footerReference r:id="rId9" w:type="default"/>
          <w:headerReference r:id="rId8" w:type="even"/>
          <w:footerReference r:id="rId10" w:type="even"/>
          <w:pgSz w:w="11910" w:h="16850"/>
          <w:pgMar w:top="1480" w:right="1200" w:bottom="1040" w:left="1220" w:header="876" w:footer="853" w:gutter="0"/>
          <w:pgNumType w:start="26"/>
          <w:cols w:space="720" w:num="1"/>
        </w:sectPr>
      </w:pPr>
    </w:p>
    <w:p>
      <w:pPr>
        <w:pStyle w:val="11"/>
        <w:spacing w:before="5"/>
        <w:rPr>
          <w:sz w:val="8"/>
        </w:rPr>
      </w:pPr>
    </w:p>
    <w:tbl>
      <w:tblPr>
        <w:tblStyle w:val="19"/>
        <w:tblW w:w="9007"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953"/>
        <w:gridCol w:w="5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37" w:type="dxa"/>
          </w:tcPr>
          <w:p>
            <w:pPr>
              <w:pStyle w:val="21"/>
              <w:spacing w:before="90" w:line="250" w:lineRule="exact"/>
              <w:ind w:right="191"/>
              <w:jc w:val="right"/>
              <w:rPr>
                <w:b/>
                <w:sz w:val="21"/>
              </w:rPr>
            </w:pPr>
            <w:r>
              <w:rPr>
                <w:b/>
                <w:sz w:val="21"/>
              </w:rPr>
              <w:t>条款号</w:t>
            </w:r>
          </w:p>
        </w:tc>
        <w:tc>
          <w:tcPr>
            <w:tcW w:w="2953" w:type="dxa"/>
          </w:tcPr>
          <w:p>
            <w:pPr>
              <w:pStyle w:val="21"/>
              <w:tabs>
                <w:tab w:val="left" w:pos="423"/>
                <w:tab w:val="left" w:pos="844"/>
                <w:tab w:val="left" w:pos="1266"/>
              </w:tabs>
              <w:spacing w:before="90" w:line="250" w:lineRule="exact"/>
              <w:ind w:left="1"/>
              <w:jc w:val="center"/>
              <w:rPr>
                <w:b/>
                <w:sz w:val="21"/>
              </w:rPr>
            </w:pPr>
            <w:r>
              <w:rPr>
                <w:b/>
                <w:sz w:val="21"/>
              </w:rPr>
              <w:t>条</w:t>
            </w:r>
            <w:r>
              <w:rPr>
                <w:b/>
                <w:sz w:val="21"/>
              </w:rPr>
              <w:tab/>
            </w:r>
            <w:r>
              <w:rPr>
                <w:b/>
                <w:sz w:val="21"/>
              </w:rPr>
              <w:t>款</w:t>
            </w:r>
            <w:r>
              <w:rPr>
                <w:b/>
                <w:sz w:val="21"/>
              </w:rPr>
              <w:tab/>
            </w:r>
            <w:r>
              <w:rPr>
                <w:b/>
                <w:sz w:val="21"/>
              </w:rPr>
              <w:t>名</w:t>
            </w:r>
            <w:r>
              <w:rPr>
                <w:b/>
                <w:sz w:val="21"/>
              </w:rPr>
              <w:tab/>
            </w:r>
            <w:r>
              <w:rPr>
                <w:b/>
                <w:sz w:val="21"/>
              </w:rPr>
              <w:t>称</w:t>
            </w:r>
          </w:p>
        </w:tc>
        <w:tc>
          <w:tcPr>
            <w:tcW w:w="5017" w:type="dxa"/>
          </w:tcPr>
          <w:p>
            <w:pPr>
              <w:pStyle w:val="21"/>
              <w:tabs>
                <w:tab w:val="left" w:pos="427"/>
                <w:tab w:val="left" w:pos="847"/>
                <w:tab w:val="left" w:pos="1270"/>
              </w:tabs>
              <w:spacing w:before="90" w:line="250" w:lineRule="exact"/>
              <w:ind w:left="5"/>
              <w:jc w:val="center"/>
              <w:rPr>
                <w:b/>
                <w:sz w:val="21"/>
              </w:rPr>
            </w:pPr>
            <w:r>
              <w:rPr>
                <w:b/>
                <w:sz w:val="21"/>
              </w:rPr>
              <w:t>编</w:t>
            </w:r>
            <w:r>
              <w:rPr>
                <w:b/>
                <w:sz w:val="21"/>
              </w:rPr>
              <w:tab/>
            </w:r>
            <w:r>
              <w:rPr>
                <w:b/>
                <w:sz w:val="21"/>
              </w:rPr>
              <w:t>列</w:t>
            </w:r>
            <w:r>
              <w:rPr>
                <w:b/>
                <w:sz w:val="21"/>
              </w:rPr>
              <w:tab/>
            </w:r>
            <w:r>
              <w:rPr>
                <w:b/>
                <w:sz w:val="21"/>
              </w:rPr>
              <w:t>内</w:t>
            </w:r>
            <w:r>
              <w:rPr>
                <w:b/>
                <w:sz w:val="21"/>
              </w:rPr>
              <w:tab/>
            </w:r>
            <w:r>
              <w:rPr>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1037" w:type="dxa"/>
          </w:tcPr>
          <w:p>
            <w:pPr>
              <w:pStyle w:val="21"/>
              <w:rPr>
                <w:sz w:val="24"/>
              </w:rPr>
            </w:pPr>
          </w:p>
          <w:p>
            <w:pPr>
              <w:pStyle w:val="21"/>
              <w:rPr>
                <w:sz w:val="24"/>
              </w:rPr>
            </w:pPr>
          </w:p>
          <w:p>
            <w:pPr>
              <w:pStyle w:val="21"/>
              <w:spacing w:before="211"/>
              <w:ind w:right="242"/>
              <w:jc w:val="right"/>
              <w:rPr>
                <w:sz w:val="11"/>
              </w:rPr>
            </w:pPr>
            <w:r>
              <w:rPr>
                <w:rFonts w:ascii="Times New Roman" w:hAnsi="Times New Roman"/>
                <w:sz w:val="21"/>
              </w:rPr>
              <w:t>1.4.2</w:t>
            </w:r>
          </w:p>
        </w:tc>
        <w:tc>
          <w:tcPr>
            <w:tcW w:w="2953" w:type="dxa"/>
          </w:tcPr>
          <w:p>
            <w:pPr>
              <w:pStyle w:val="21"/>
              <w:rPr>
                <w:sz w:val="20"/>
              </w:rPr>
            </w:pPr>
          </w:p>
          <w:p>
            <w:pPr>
              <w:pStyle w:val="21"/>
              <w:rPr>
                <w:sz w:val="20"/>
              </w:rPr>
            </w:pPr>
          </w:p>
          <w:p>
            <w:pPr>
              <w:pStyle w:val="21"/>
              <w:spacing w:before="9"/>
              <w:rPr>
                <w:sz w:val="23"/>
              </w:rPr>
            </w:pPr>
          </w:p>
          <w:p>
            <w:pPr>
              <w:pStyle w:val="21"/>
              <w:spacing w:before="1"/>
              <w:ind w:left="5"/>
              <w:jc w:val="center"/>
              <w:rPr>
                <w:sz w:val="21"/>
              </w:rPr>
            </w:pPr>
            <w:r>
              <w:rPr>
                <w:sz w:val="21"/>
              </w:rPr>
              <w:t>是否接受联合体投标</w:t>
            </w:r>
          </w:p>
        </w:tc>
        <w:tc>
          <w:tcPr>
            <w:tcW w:w="5017" w:type="dxa"/>
          </w:tcPr>
          <w:p>
            <w:pPr>
              <w:pStyle w:val="21"/>
              <w:spacing w:line="359" w:lineRule="exact"/>
              <w:ind w:left="107"/>
              <w:rPr>
                <w:sz w:val="21"/>
              </w:rPr>
            </w:pPr>
            <w:r>
              <w:rPr>
                <w:rFonts w:ascii="Times New Roman" w:hAnsi="Times New Roman" w:eastAsia="Times New Roman"/>
                <w:sz w:val="32"/>
              </w:rPr>
              <w:t>□</w:t>
            </w:r>
            <w:r>
              <w:rPr>
                <w:sz w:val="21"/>
              </w:rPr>
              <w:t>不接受</w:t>
            </w:r>
          </w:p>
          <w:p>
            <w:pPr>
              <w:pStyle w:val="21"/>
              <w:spacing w:line="368" w:lineRule="exact"/>
              <w:ind w:left="107"/>
              <w:rPr>
                <w:sz w:val="21"/>
              </w:rPr>
            </w:pPr>
            <w:r>
              <w:rPr>
                <w:rFonts w:ascii="Times New Roman" w:hAnsi="Times New Roman" w:eastAsia="Times New Roman"/>
                <w:sz w:val="32"/>
              </w:rPr>
              <w:t>□</w:t>
            </w:r>
            <w:r>
              <w:rPr>
                <w:sz w:val="21"/>
              </w:rPr>
              <w:t>接受，应满足下列要求：</w:t>
            </w:r>
          </w:p>
          <w:p>
            <w:pPr>
              <w:pStyle w:val="21"/>
              <w:tabs>
                <w:tab w:val="left" w:pos="3996"/>
              </w:tabs>
              <w:spacing w:before="100"/>
              <w:ind w:left="318"/>
              <w:rPr>
                <w:sz w:val="21"/>
              </w:rPr>
            </w:pPr>
            <w:r>
              <w:rPr>
                <w:sz w:val="21"/>
              </w:rPr>
              <w:t>（</w:t>
            </w:r>
            <w:r>
              <w:rPr>
                <w:rFonts w:ascii="Times New Roman" w:eastAsia="Times New Roman"/>
                <w:sz w:val="21"/>
              </w:rPr>
              <w:t>1</w:t>
            </w:r>
            <w:r>
              <w:rPr>
                <w:sz w:val="21"/>
              </w:rPr>
              <w:t>）联</w:t>
            </w:r>
            <w:r>
              <w:rPr>
                <w:spacing w:val="-3"/>
                <w:sz w:val="21"/>
              </w:rPr>
              <w:t>合</w:t>
            </w:r>
            <w:r>
              <w:rPr>
                <w:sz w:val="21"/>
              </w:rPr>
              <w:t>体</w:t>
            </w:r>
            <w:r>
              <w:rPr>
                <w:spacing w:val="-3"/>
                <w:sz w:val="21"/>
              </w:rPr>
              <w:t>所</w:t>
            </w:r>
            <w:r>
              <w:rPr>
                <w:sz w:val="21"/>
              </w:rPr>
              <w:t>有</w:t>
            </w:r>
            <w:r>
              <w:rPr>
                <w:spacing w:val="-3"/>
                <w:sz w:val="21"/>
              </w:rPr>
              <w:t>成</w:t>
            </w:r>
            <w:r>
              <w:rPr>
                <w:sz w:val="21"/>
              </w:rPr>
              <w:t>员</w:t>
            </w:r>
            <w:r>
              <w:rPr>
                <w:spacing w:val="-3"/>
                <w:sz w:val="21"/>
              </w:rPr>
              <w:t>数量</w:t>
            </w:r>
            <w:r>
              <w:rPr>
                <w:sz w:val="21"/>
              </w:rPr>
              <w:t>不得</w:t>
            </w:r>
            <w:r>
              <w:rPr>
                <w:spacing w:val="-3"/>
                <w:sz w:val="21"/>
              </w:rPr>
              <w:t>超</w:t>
            </w:r>
            <w:r>
              <w:rPr>
                <w:sz w:val="21"/>
              </w:rPr>
              <w:t>过</w:t>
            </w:r>
            <w:r>
              <w:rPr>
                <w:sz w:val="21"/>
                <w:u w:val="single"/>
              </w:rPr>
              <w:t xml:space="preserve"> </w:t>
            </w:r>
            <w:r>
              <w:rPr>
                <w:sz w:val="21"/>
                <w:u w:val="single"/>
              </w:rPr>
              <w:tab/>
            </w:r>
            <w:r>
              <w:rPr>
                <w:spacing w:val="-3"/>
                <w:sz w:val="21"/>
              </w:rPr>
              <w:t>家；</w:t>
            </w:r>
          </w:p>
          <w:p>
            <w:pPr>
              <w:pStyle w:val="21"/>
              <w:tabs>
                <w:tab w:val="left" w:pos="3576"/>
              </w:tabs>
              <w:spacing w:before="91"/>
              <w:ind w:left="318"/>
              <w:rPr>
                <w:sz w:val="21"/>
              </w:rPr>
            </w:pPr>
            <w:r>
              <w:rPr>
                <w:sz w:val="21"/>
              </w:rPr>
              <w:t>（</w:t>
            </w:r>
            <w:r>
              <w:rPr>
                <w:rFonts w:ascii="Times New Roman" w:eastAsia="Times New Roman"/>
                <w:sz w:val="21"/>
              </w:rPr>
              <w:t>2</w:t>
            </w:r>
            <w:r>
              <w:rPr>
                <w:sz w:val="21"/>
              </w:rPr>
              <w:t>）联</w:t>
            </w:r>
            <w:r>
              <w:rPr>
                <w:spacing w:val="-3"/>
                <w:sz w:val="21"/>
              </w:rPr>
              <w:t>合</w:t>
            </w:r>
            <w:r>
              <w:rPr>
                <w:sz w:val="21"/>
              </w:rPr>
              <w:t>体</w:t>
            </w:r>
            <w:r>
              <w:rPr>
                <w:spacing w:val="-3"/>
                <w:sz w:val="21"/>
              </w:rPr>
              <w:t>牵</w:t>
            </w:r>
            <w:r>
              <w:rPr>
                <w:sz w:val="21"/>
              </w:rPr>
              <w:t>头</w:t>
            </w:r>
            <w:r>
              <w:rPr>
                <w:spacing w:val="-3"/>
                <w:sz w:val="21"/>
              </w:rPr>
              <w:t>人</w:t>
            </w:r>
            <w:r>
              <w:rPr>
                <w:sz w:val="21"/>
              </w:rPr>
              <w:t>应</w:t>
            </w:r>
            <w:r>
              <w:rPr>
                <w:spacing w:val="-3"/>
                <w:sz w:val="21"/>
              </w:rPr>
              <w:t>具有</w:t>
            </w:r>
            <w:r>
              <w:rPr>
                <w:spacing w:val="-3"/>
                <w:sz w:val="21"/>
                <w:u w:val="single"/>
              </w:rPr>
              <w:t xml:space="preserve"> </w:t>
            </w:r>
            <w:r>
              <w:rPr>
                <w:spacing w:val="-3"/>
                <w:sz w:val="21"/>
                <w:u w:val="single"/>
              </w:rPr>
              <w:tab/>
            </w:r>
            <w:r>
              <w:rPr>
                <w:spacing w:val="-3"/>
                <w:sz w:val="21"/>
              </w:rPr>
              <w:t>资</w:t>
            </w:r>
            <w:r>
              <w:rPr>
                <w:sz w:val="21"/>
              </w:rPr>
              <w:t>质；</w:t>
            </w:r>
          </w:p>
          <w:p>
            <w:pPr>
              <w:pStyle w:val="21"/>
              <w:spacing w:before="91" w:line="250" w:lineRule="exact"/>
              <w:ind w:left="527"/>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37" w:type="dxa"/>
            <w:vAlign w:val="center"/>
          </w:tcPr>
          <w:p>
            <w:pPr>
              <w:pStyle w:val="21"/>
              <w:spacing w:before="11"/>
              <w:jc w:val="center"/>
            </w:pPr>
          </w:p>
          <w:p>
            <w:pPr>
              <w:pStyle w:val="21"/>
              <w:ind w:right="295"/>
              <w:jc w:val="center"/>
              <w:rPr>
                <w:rFonts w:ascii="Times New Roman"/>
                <w:sz w:val="21"/>
              </w:rPr>
            </w:pPr>
            <w:r>
              <w:rPr>
                <w:rFonts w:ascii="Times New Roman"/>
                <w:sz w:val="21"/>
              </w:rPr>
              <w:t>1.4.3</w:t>
            </w:r>
          </w:p>
        </w:tc>
        <w:tc>
          <w:tcPr>
            <w:tcW w:w="2953" w:type="dxa"/>
            <w:vAlign w:val="center"/>
          </w:tcPr>
          <w:p>
            <w:pPr>
              <w:pStyle w:val="21"/>
              <w:spacing w:before="12" w:line="360" w:lineRule="exact"/>
              <w:ind w:left="668" w:right="99" w:hanging="561"/>
              <w:jc w:val="center"/>
              <w:rPr>
                <w:sz w:val="21"/>
              </w:rPr>
            </w:pPr>
            <w:r>
              <w:rPr>
                <w:sz w:val="21"/>
              </w:rPr>
              <w:t>投标人不得存在的其他关联情形</w:t>
            </w:r>
          </w:p>
        </w:tc>
        <w:tc>
          <w:tcPr>
            <w:tcW w:w="5017" w:type="dxa"/>
          </w:tcPr>
          <w:p>
            <w:pPr>
              <w:pStyle w:val="21"/>
              <w:spacing w:line="312" w:lineRule="auto"/>
              <w:rPr>
                <w:rFonts w:ascii="Times New Roman"/>
                <w:sz w:val="20"/>
              </w:rPr>
            </w:pPr>
            <w:r>
              <w:rPr>
                <w:rFonts w:hint="eastAsia" w:ascii="Times New Roman"/>
                <w:sz w:val="20"/>
              </w:rPr>
              <w:t>（</w:t>
            </w:r>
            <w:r>
              <w:rPr>
                <w:rFonts w:hint="eastAsia" w:ascii="Times New Roman"/>
                <w:sz w:val="20"/>
                <w:lang w:val="en-US"/>
              </w:rPr>
              <w:t>1</w:t>
            </w:r>
            <w:r>
              <w:rPr>
                <w:rFonts w:hint="eastAsia" w:ascii="Times New Roman"/>
                <w:sz w:val="20"/>
              </w:rPr>
              <w:t>）投标人与招标人相互参股或相互任职。</w:t>
            </w:r>
          </w:p>
          <w:p>
            <w:pPr>
              <w:pStyle w:val="21"/>
              <w:spacing w:line="312" w:lineRule="auto"/>
              <w:rPr>
                <w:rFonts w:ascii="Times New Roman"/>
                <w:sz w:val="20"/>
              </w:rPr>
            </w:pPr>
            <w:r>
              <w:rPr>
                <w:rFonts w:hint="eastAsia" w:ascii="Times New Roman"/>
                <w:sz w:val="20"/>
              </w:rPr>
              <w:t>（</w:t>
            </w:r>
            <w:r>
              <w:rPr>
                <w:rFonts w:hint="eastAsia" w:ascii="Times New Roman"/>
                <w:sz w:val="20"/>
                <w:lang w:val="en-US"/>
              </w:rPr>
              <w:t>2</w:t>
            </w:r>
            <w:r>
              <w:rPr>
                <w:rFonts w:hint="eastAsia" w:ascii="Times New Roman"/>
                <w:sz w:val="20"/>
              </w:rPr>
              <w:t>）</w:t>
            </w:r>
            <w:r>
              <w:rPr>
                <w:rFonts w:hint="eastAsia" w:ascii="Times New Roman"/>
                <w:sz w:val="20"/>
                <w:lang w:val="en-US"/>
              </w:rPr>
              <w:t>投标人与投标人</w:t>
            </w:r>
            <w:r>
              <w:rPr>
                <w:rFonts w:hint="eastAsia" w:ascii="Times New Roman"/>
                <w:sz w:val="20"/>
              </w:rPr>
              <w:t>有下列情形之一，不得在同一项目（标段）中同时投标：</w:t>
            </w:r>
          </w:p>
          <w:p>
            <w:pPr>
              <w:pStyle w:val="21"/>
              <w:spacing w:line="312" w:lineRule="auto"/>
              <w:ind w:firstLine="200" w:firstLineChars="100"/>
              <w:rPr>
                <w:rFonts w:ascii="Times New Roman"/>
                <w:sz w:val="20"/>
              </w:rPr>
            </w:pPr>
            <w:r>
              <w:rPr>
                <w:rFonts w:hint="eastAsia" w:ascii="Times New Roman"/>
                <w:sz w:val="20"/>
              </w:rPr>
              <w:t>1）法定代表人为同一人；</w:t>
            </w:r>
          </w:p>
          <w:p>
            <w:pPr>
              <w:pStyle w:val="21"/>
              <w:spacing w:line="312" w:lineRule="auto"/>
              <w:ind w:firstLine="200" w:firstLineChars="100"/>
              <w:rPr>
                <w:rFonts w:ascii="Times New Roman"/>
                <w:sz w:val="20"/>
              </w:rPr>
            </w:pPr>
            <w:r>
              <w:rPr>
                <w:rFonts w:hint="eastAsia" w:ascii="Times New Roman"/>
                <w:sz w:val="20"/>
              </w:rPr>
              <w:t>2）母公司与其全资子公司；</w:t>
            </w:r>
          </w:p>
          <w:p>
            <w:pPr>
              <w:pStyle w:val="21"/>
              <w:spacing w:line="312" w:lineRule="auto"/>
              <w:ind w:firstLine="200" w:firstLineChars="100"/>
              <w:rPr>
                <w:rFonts w:ascii="Times New Roman"/>
                <w:sz w:val="20"/>
              </w:rPr>
            </w:pPr>
            <w:r>
              <w:rPr>
                <w:rFonts w:hint="eastAsia" w:ascii="Times New Roman"/>
                <w:sz w:val="20"/>
              </w:rPr>
              <w:t>3）母公司与其控股公司（直接或间接持股不低于30%）；</w:t>
            </w:r>
          </w:p>
          <w:p>
            <w:pPr>
              <w:pStyle w:val="21"/>
              <w:spacing w:line="312" w:lineRule="auto"/>
              <w:ind w:firstLine="200" w:firstLineChars="100"/>
              <w:rPr>
                <w:rFonts w:ascii="Times New Roman"/>
                <w:sz w:val="20"/>
              </w:rPr>
            </w:pPr>
            <w:r>
              <w:rPr>
                <w:rFonts w:hint="eastAsia" w:ascii="Times New Roman"/>
                <w:sz w:val="20"/>
              </w:rPr>
              <w:t>4）被同一法人直接或间接持股不低于30%的两个及两个以上法人；</w:t>
            </w:r>
          </w:p>
          <w:p>
            <w:pPr>
              <w:pStyle w:val="21"/>
              <w:spacing w:line="312" w:lineRule="auto"/>
              <w:ind w:firstLine="200" w:firstLineChars="100"/>
              <w:rPr>
                <w:rFonts w:ascii="Times New Roman"/>
                <w:sz w:val="20"/>
              </w:rPr>
            </w:pPr>
            <w:r>
              <w:rPr>
                <w:rFonts w:hint="eastAsia" w:ascii="Times New Roman"/>
                <w:sz w:val="20"/>
              </w:rPr>
              <w:t>5)具有投资参股关系的关联企业；</w:t>
            </w:r>
          </w:p>
          <w:p>
            <w:pPr>
              <w:pStyle w:val="21"/>
              <w:spacing w:line="312" w:lineRule="auto"/>
              <w:ind w:firstLine="200" w:firstLineChars="100"/>
              <w:rPr>
                <w:rFonts w:ascii="Times New Roman"/>
                <w:sz w:val="20"/>
              </w:rPr>
            </w:pPr>
            <w:r>
              <w:rPr>
                <w:rFonts w:hint="eastAsia" w:ascii="Times New Roman"/>
                <w:sz w:val="20"/>
              </w:rPr>
              <w:t>6)相互任职或工作的；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37" w:type="dxa"/>
            <w:vAlign w:val="center"/>
          </w:tcPr>
          <w:p>
            <w:pPr>
              <w:pStyle w:val="21"/>
              <w:ind w:right="295"/>
              <w:jc w:val="center"/>
              <w:rPr>
                <w:rFonts w:ascii="Times New Roman"/>
                <w:sz w:val="21"/>
                <w:lang w:val="en-US"/>
              </w:rPr>
            </w:pPr>
            <w:r>
              <w:rPr>
                <w:rFonts w:hint="eastAsia" w:ascii="Times New Roman"/>
                <w:sz w:val="21"/>
                <w:lang w:val="en-US"/>
              </w:rPr>
              <w:t>1.4.4</w:t>
            </w:r>
          </w:p>
        </w:tc>
        <w:tc>
          <w:tcPr>
            <w:tcW w:w="2953" w:type="dxa"/>
            <w:vAlign w:val="center"/>
          </w:tcPr>
          <w:p>
            <w:pPr>
              <w:pStyle w:val="21"/>
              <w:spacing w:before="12" w:line="360" w:lineRule="exact"/>
              <w:ind w:left="668" w:right="99" w:hanging="561"/>
              <w:jc w:val="center"/>
              <w:rPr>
                <w:sz w:val="21"/>
              </w:rPr>
            </w:pPr>
            <w:r>
              <w:rPr>
                <w:sz w:val="21"/>
              </w:rPr>
              <w:t>投标人不得存在的其他不良状况或不良信用记录</w:t>
            </w:r>
          </w:p>
        </w:tc>
        <w:tc>
          <w:tcPr>
            <w:tcW w:w="5017" w:type="dxa"/>
          </w:tcPr>
          <w:p>
            <w:pPr>
              <w:pStyle w:val="21"/>
              <w:spacing w:line="312" w:lineRule="auto"/>
              <w:rPr>
                <w:rFonts w:ascii="Times New Roman"/>
                <w:sz w:val="20"/>
              </w:rPr>
            </w:pPr>
            <w:r>
              <w:rPr>
                <w:rFonts w:hint="eastAsia" w:ascii="Times New Roman"/>
                <w:sz w:val="20"/>
              </w:rPr>
              <w:t>（1）四川省国家投资建设项目的第一中标候选人以资金、技术、工期等非正当理由放弃中标的，在 3 年内不接受其投标；</w:t>
            </w:r>
          </w:p>
          <w:p>
            <w:pPr>
              <w:pStyle w:val="21"/>
              <w:spacing w:line="312" w:lineRule="auto"/>
              <w:rPr>
                <w:rFonts w:ascii="Times New Roman"/>
                <w:sz w:val="20"/>
              </w:rPr>
            </w:pPr>
            <w:r>
              <w:rPr>
                <w:rFonts w:hint="eastAsia" w:ascii="Times New Roman"/>
                <w:sz w:val="20"/>
              </w:rPr>
              <w:t>（2）因重大质量安全违法违规的企业和个人被有关行政主管部门行政处罚的，在 3 年内不接受其投标；</w:t>
            </w:r>
          </w:p>
          <w:p>
            <w:pPr>
              <w:pStyle w:val="21"/>
              <w:spacing w:line="312" w:lineRule="auto"/>
              <w:rPr>
                <w:rFonts w:ascii="Times New Roman"/>
                <w:sz w:val="20"/>
              </w:rPr>
            </w:pPr>
            <w:r>
              <w:rPr>
                <w:rFonts w:hint="eastAsia" w:ascii="Times New Roman"/>
                <w:sz w:val="20"/>
              </w:rPr>
              <w:t>（3）近半年内在所有招投标和合同履行过程中因招投标或安全质量违法违规被监督部门行政处罚的；</w:t>
            </w:r>
          </w:p>
          <w:p>
            <w:pPr>
              <w:pStyle w:val="21"/>
              <w:spacing w:line="312" w:lineRule="auto"/>
              <w:rPr>
                <w:rFonts w:ascii="Times New Roman"/>
                <w:sz w:val="20"/>
              </w:rPr>
            </w:pPr>
            <w:r>
              <w:rPr>
                <w:rFonts w:hint="eastAsia" w:ascii="Times New Roman"/>
                <w:sz w:val="20"/>
              </w:rPr>
              <w:t>（4）近3年内在招投标和合同履行过程中有腐败行为并被司法机关认定为犯罪的；</w:t>
            </w:r>
          </w:p>
          <w:p>
            <w:pPr>
              <w:pStyle w:val="21"/>
              <w:spacing w:line="312" w:lineRule="auto"/>
              <w:rPr>
                <w:rFonts w:ascii="Times New Roman"/>
                <w:sz w:val="20"/>
              </w:rPr>
            </w:pPr>
            <w:r>
              <w:rPr>
                <w:rFonts w:hint="eastAsia" w:ascii="Times New Roman"/>
                <w:sz w:val="20"/>
              </w:rPr>
              <w:t>（5）近3年内，在招标人（包括与本项目招标人有股权或隶属关系的招标人）的既往项目合同履行过程中，被监督部门或司法机关认定投标人不履行合同、项目负责人或主要技术责任人被招标人撤换的；</w:t>
            </w:r>
          </w:p>
          <w:p>
            <w:pPr>
              <w:pStyle w:val="21"/>
              <w:spacing w:line="312" w:lineRule="auto"/>
              <w:rPr>
                <w:rFonts w:ascii="Times New Roman"/>
                <w:sz w:val="20"/>
              </w:rPr>
            </w:pPr>
            <w:r>
              <w:rPr>
                <w:rFonts w:hint="eastAsia" w:ascii="Times New Roman"/>
                <w:sz w:val="20"/>
              </w:rPr>
              <w:t>（</w:t>
            </w:r>
            <w:r>
              <w:rPr>
                <w:rFonts w:hint="eastAsia" w:ascii="Times New Roman"/>
                <w:sz w:val="20"/>
                <w:lang w:val="en-US"/>
              </w:rPr>
              <w:t>6</w:t>
            </w:r>
            <w:r>
              <w:rPr>
                <w:rFonts w:hint="eastAsia" w:ascii="Times New Roman"/>
                <w:sz w:val="20"/>
              </w:rPr>
              <w:t>）在省交通运输厅信用等级评价中评为D级。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1037" w:type="dxa"/>
          </w:tcPr>
          <w:p>
            <w:pPr>
              <w:pStyle w:val="21"/>
            </w:pPr>
          </w:p>
          <w:p>
            <w:pPr>
              <w:pStyle w:val="21"/>
              <w:spacing w:before="2"/>
              <w:rPr>
                <w:sz w:val="29"/>
              </w:rPr>
            </w:pPr>
          </w:p>
          <w:p>
            <w:pPr>
              <w:pStyle w:val="21"/>
              <w:ind w:right="245"/>
              <w:jc w:val="right"/>
              <w:rPr>
                <w:rFonts w:ascii="Times New Roman"/>
                <w:sz w:val="21"/>
                <w:lang w:val="en-US"/>
              </w:rPr>
            </w:pPr>
            <w:r>
              <w:rPr>
                <w:rFonts w:ascii="Times New Roman"/>
                <w:sz w:val="21"/>
              </w:rPr>
              <w:t>1.</w:t>
            </w:r>
            <w:r>
              <w:rPr>
                <w:rFonts w:hint="eastAsia" w:ascii="Times New Roman"/>
                <w:sz w:val="21"/>
                <w:lang w:val="en-US"/>
              </w:rPr>
              <w:t>4.5</w:t>
            </w:r>
          </w:p>
        </w:tc>
        <w:tc>
          <w:tcPr>
            <w:tcW w:w="2953" w:type="dxa"/>
          </w:tcPr>
          <w:p>
            <w:pPr>
              <w:pStyle w:val="21"/>
              <w:rPr>
                <w:sz w:val="20"/>
              </w:rPr>
            </w:pPr>
          </w:p>
          <w:p>
            <w:pPr>
              <w:pStyle w:val="21"/>
              <w:spacing w:before="4"/>
              <w:rPr>
                <w:sz w:val="29"/>
              </w:rPr>
            </w:pPr>
          </w:p>
          <w:p>
            <w:pPr>
              <w:pStyle w:val="21"/>
              <w:tabs>
                <w:tab w:val="left" w:pos="426"/>
              </w:tabs>
              <w:ind w:left="3"/>
              <w:jc w:val="center"/>
              <w:rPr>
                <w:sz w:val="21"/>
              </w:rPr>
            </w:pPr>
            <w:r>
              <w:rPr>
                <w:sz w:val="21"/>
              </w:rPr>
              <w:t>分</w:t>
            </w:r>
            <w:r>
              <w:rPr>
                <w:sz w:val="21"/>
              </w:rPr>
              <w:tab/>
            </w:r>
            <w:r>
              <w:rPr>
                <w:sz w:val="21"/>
              </w:rPr>
              <w:t>包</w:t>
            </w:r>
          </w:p>
        </w:tc>
        <w:tc>
          <w:tcPr>
            <w:tcW w:w="5017" w:type="dxa"/>
          </w:tcPr>
          <w:p>
            <w:pPr>
              <w:pStyle w:val="21"/>
              <w:spacing w:line="352" w:lineRule="exact"/>
              <w:ind w:left="107"/>
              <w:rPr>
                <w:sz w:val="21"/>
              </w:rPr>
            </w:pPr>
            <w:r>
              <w:rPr>
                <w:rFonts w:ascii="Times New Roman" w:hAnsi="Times New Roman" w:eastAsia="Times New Roman"/>
                <w:sz w:val="32"/>
              </w:rPr>
              <w:t>□</w:t>
            </w:r>
            <w:r>
              <w:rPr>
                <w:sz w:val="21"/>
              </w:rPr>
              <w:t>不允许</w:t>
            </w:r>
          </w:p>
          <w:p>
            <w:pPr>
              <w:pStyle w:val="21"/>
              <w:spacing w:before="1"/>
              <w:ind w:left="107"/>
              <w:rPr>
                <w:sz w:val="21"/>
              </w:rPr>
            </w:pPr>
            <w:r>
              <w:rPr>
                <w:rFonts w:ascii="Times New Roman" w:hAnsi="Times New Roman" w:eastAsia="Times New Roman"/>
                <w:sz w:val="32"/>
              </w:rPr>
              <w:t>□</w:t>
            </w:r>
            <w:r>
              <w:rPr>
                <w:sz w:val="21"/>
              </w:rPr>
              <w:t>允许，允许分包的专项工程（或不允许分包的专项</w:t>
            </w:r>
          </w:p>
          <w:p>
            <w:pPr>
              <w:pStyle w:val="21"/>
              <w:tabs>
                <w:tab w:val="left" w:pos="1996"/>
              </w:tabs>
              <w:spacing w:before="98"/>
              <w:ind w:left="267"/>
              <w:rPr>
                <w:rFonts w:ascii="Times New Roman" w:eastAsia="Times New Roman"/>
                <w:sz w:val="21"/>
              </w:rPr>
            </w:pPr>
            <w:r>
              <w:rPr>
                <w:sz w:val="21"/>
              </w:rPr>
              <w:t>工程</w:t>
            </w:r>
            <w:r>
              <w:rPr>
                <w:spacing w:val="-108"/>
                <w:sz w:val="21"/>
              </w:rPr>
              <w:t>）</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1"/>
              <w:tabs>
                <w:tab w:val="left" w:pos="3306"/>
              </w:tabs>
              <w:spacing w:before="91" w:line="250" w:lineRule="exact"/>
              <w:ind w:left="212"/>
              <w:rPr>
                <w:rFonts w:ascii="Times New Roman" w:eastAsia="Times New Roman"/>
                <w:sz w:val="21"/>
              </w:rPr>
            </w:pPr>
            <w:r>
              <w:rPr>
                <w:spacing w:val="-1"/>
                <w:sz w:val="21"/>
              </w:rPr>
              <w:t>对</w:t>
            </w:r>
            <w:r>
              <w:rPr>
                <w:sz w:val="21"/>
              </w:rPr>
              <w:t>分</w:t>
            </w:r>
            <w:r>
              <w:rPr>
                <w:spacing w:val="-3"/>
                <w:sz w:val="21"/>
              </w:rPr>
              <w:t>包</w:t>
            </w:r>
            <w:r>
              <w:rPr>
                <w:sz w:val="21"/>
              </w:rPr>
              <w:t>人</w:t>
            </w:r>
            <w:r>
              <w:rPr>
                <w:spacing w:val="-3"/>
                <w:sz w:val="21"/>
              </w:rPr>
              <w:t>的</w:t>
            </w:r>
            <w:r>
              <w:rPr>
                <w:sz w:val="21"/>
              </w:rPr>
              <w:t>资</w:t>
            </w:r>
            <w:r>
              <w:rPr>
                <w:spacing w:val="-3"/>
                <w:sz w:val="21"/>
              </w:rPr>
              <w:t>格</w:t>
            </w:r>
            <w:r>
              <w:rPr>
                <w:sz w:val="21"/>
              </w:rPr>
              <w:t>要</w:t>
            </w:r>
            <w:r>
              <w:rPr>
                <w:spacing w:val="-3"/>
                <w:sz w:val="21"/>
              </w:rPr>
              <w:t>求</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37" w:type="dxa"/>
          </w:tcPr>
          <w:p>
            <w:pPr>
              <w:pStyle w:val="21"/>
              <w:spacing w:before="113" w:line="226" w:lineRule="exact"/>
              <w:ind w:left="181" w:right="172"/>
              <w:jc w:val="center"/>
              <w:rPr>
                <w:rFonts w:ascii="Times New Roman"/>
                <w:sz w:val="21"/>
              </w:rPr>
            </w:pPr>
            <w:r>
              <w:rPr>
                <w:rFonts w:ascii="Times New Roman"/>
                <w:sz w:val="21"/>
              </w:rPr>
              <w:t>2.1</w:t>
            </w:r>
          </w:p>
        </w:tc>
        <w:tc>
          <w:tcPr>
            <w:tcW w:w="2953" w:type="dxa"/>
          </w:tcPr>
          <w:p>
            <w:pPr>
              <w:pStyle w:val="21"/>
              <w:spacing w:before="90" w:line="250" w:lineRule="exact"/>
              <w:ind w:left="3"/>
              <w:jc w:val="center"/>
              <w:rPr>
                <w:sz w:val="21"/>
              </w:rPr>
            </w:pPr>
            <w:r>
              <w:rPr>
                <w:sz w:val="21"/>
              </w:rPr>
              <w:t>构成招标文件的其他资料</w:t>
            </w:r>
          </w:p>
        </w:tc>
        <w:tc>
          <w:tcPr>
            <w:tcW w:w="5017" w:type="dxa"/>
          </w:tcPr>
          <w:p>
            <w:pPr>
              <w:pStyle w:val="21"/>
              <w:ind w:firstLine="200" w:firstLineChars="100"/>
              <w:rPr>
                <w:rFonts w:ascii="Times New Roman"/>
                <w:sz w:val="20"/>
              </w:rPr>
            </w:pPr>
            <w:r>
              <w:rPr>
                <w:rFonts w:hint="eastAsia" w:ascii="Times New Roman"/>
                <w:sz w:val="20"/>
              </w:rPr>
              <w:t>答疑及补遗文件（若有时）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37" w:type="dxa"/>
            <w:vMerge w:val="restart"/>
          </w:tcPr>
          <w:p>
            <w:pPr>
              <w:pStyle w:val="21"/>
              <w:spacing w:before="5"/>
              <w:rPr>
                <w:sz w:val="23"/>
              </w:rPr>
            </w:pPr>
          </w:p>
          <w:p>
            <w:pPr>
              <w:pStyle w:val="21"/>
              <w:spacing w:before="1"/>
              <w:ind w:left="307"/>
              <w:rPr>
                <w:rFonts w:ascii="Times New Roman"/>
                <w:sz w:val="21"/>
              </w:rPr>
            </w:pPr>
            <w:r>
              <w:rPr>
                <w:rFonts w:ascii="Times New Roman"/>
                <w:sz w:val="21"/>
              </w:rPr>
              <w:t>2.2.1</w:t>
            </w:r>
          </w:p>
        </w:tc>
        <w:tc>
          <w:tcPr>
            <w:tcW w:w="2953" w:type="dxa"/>
            <w:vMerge w:val="restart"/>
          </w:tcPr>
          <w:p>
            <w:pPr>
              <w:pStyle w:val="21"/>
              <w:spacing w:before="7"/>
              <w:rPr>
                <w:sz w:val="21"/>
              </w:rPr>
            </w:pPr>
          </w:p>
          <w:p>
            <w:pPr>
              <w:pStyle w:val="21"/>
              <w:spacing w:before="1"/>
              <w:ind w:left="316"/>
              <w:rPr>
                <w:sz w:val="21"/>
              </w:rPr>
            </w:pPr>
            <w:r>
              <w:rPr>
                <w:sz w:val="21"/>
              </w:rPr>
              <w:t>投标人要求澄清招标文件</w:t>
            </w:r>
          </w:p>
        </w:tc>
        <w:tc>
          <w:tcPr>
            <w:tcW w:w="5017" w:type="dxa"/>
          </w:tcPr>
          <w:p>
            <w:pPr>
              <w:pStyle w:val="21"/>
              <w:tabs>
                <w:tab w:val="left" w:pos="1158"/>
                <w:tab w:val="left" w:pos="1789"/>
                <w:tab w:val="left" w:pos="2418"/>
                <w:tab w:val="left" w:pos="3049"/>
                <w:tab w:val="left" w:pos="3681"/>
              </w:tabs>
              <w:spacing w:before="89" w:line="250" w:lineRule="exact"/>
              <w:ind w:left="107"/>
              <w:rPr>
                <w:rFonts w:ascii="Times New Roman"/>
                <w:sz w:val="20"/>
              </w:rPr>
            </w:pPr>
            <w:r>
              <w:rPr>
                <w:sz w:val="21"/>
              </w:rPr>
              <w:t>时间</w:t>
            </w:r>
            <w:r>
              <w:rPr>
                <w:spacing w:val="-3"/>
                <w:sz w:val="21"/>
              </w:rPr>
              <w:t>：</w:t>
            </w:r>
            <w:r>
              <w:rPr>
                <w:spacing w:val="-3"/>
                <w:sz w:val="21"/>
                <w:u w:val="single"/>
              </w:rPr>
              <w:t xml:space="preserve"> </w:t>
            </w:r>
            <w:r>
              <w:rPr>
                <w:spacing w:val="-3"/>
                <w:sz w:val="21"/>
                <w:u w:val="single"/>
              </w:rPr>
              <w:tab/>
            </w:r>
            <w:r>
              <w:rPr>
                <w:sz w:val="21"/>
              </w:rPr>
              <w:t>年</w:t>
            </w:r>
            <w:r>
              <w:rPr>
                <w:sz w:val="21"/>
                <w:u w:val="single"/>
              </w:rPr>
              <w:t xml:space="preserve"> </w:t>
            </w:r>
            <w:r>
              <w:rPr>
                <w:sz w:val="21"/>
                <w:u w:val="single"/>
              </w:rPr>
              <w:tab/>
            </w:r>
            <w:r>
              <w:rPr>
                <w:spacing w:val="-3"/>
                <w:sz w:val="21"/>
              </w:rPr>
              <w:t>月</w:t>
            </w:r>
            <w:r>
              <w:rPr>
                <w:spacing w:val="-3"/>
                <w:sz w:val="21"/>
                <w:u w:val="single"/>
              </w:rPr>
              <w:t xml:space="preserve"> </w:t>
            </w:r>
            <w:r>
              <w:rPr>
                <w:spacing w:val="-3"/>
                <w:sz w:val="21"/>
                <w:u w:val="single"/>
              </w:rPr>
              <w:tab/>
            </w:r>
            <w:r>
              <w:rPr>
                <w:sz w:val="21"/>
              </w:rPr>
              <w:t>日</w:t>
            </w:r>
            <w:r>
              <w:rPr>
                <w:sz w:val="21"/>
                <w:u w:val="single"/>
              </w:rPr>
              <w:t xml:space="preserve"> </w:t>
            </w:r>
            <w:r>
              <w:rPr>
                <w:sz w:val="21"/>
                <w:u w:val="single"/>
              </w:rPr>
              <w:tab/>
            </w:r>
            <w:r>
              <w:rPr>
                <w:sz w:val="21"/>
              </w:rPr>
              <w:t>时</w:t>
            </w:r>
            <w:r>
              <w:rPr>
                <w:sz w:val="21"/>
                <w:u w:val="single"/>
              </w:rPr>
              <w:t xml:space="preserve"> </w:t>
            </w:r>
            <w:r>
              <w:rPr>
                <w:sz w:val="21"/>
                <w:u w:val="single"/>
              </w:rPr>
              <w:tab/>
            </w:r>
            <w:r>
              <w:rPr>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37" w:type="dxa"/>
            <w:vMerge w:val="continue"/>
          </w:tcPr>
          <w:p>
            <w:pPr>
              <w:rPr>
                <w:rFonts w:ascii="Times New Roman"/>
                <w:sz w:val="21"/>
              </w:rPr>
            </w:pPr>
          </w:p>
        </w:tc>
        <w:tc>
          <w:tcPr>
            <w:tcW w:w="2953" w:type="dxa"/>
            <w:vMerge w:val="continue"/>
          </w:tcPr>
          <w:p>
            <w:pPr>
              <w:rPr>
                <w:sz w:val="21"/>
              </w:rPr>
            </w:pPr>
          </w:p>
        </w:tc>
        <w:tc>
          <w:tcPr>
            <w:tcW w:w="5017" w:type="dxa"/>
          </w:tcPr>
          <w:p>
            <w:pPr>
              <w:pStyle w:val="21"/>
              <w:spacing w:before="92" w:line="250" w:lineRule="exact"/>
              <w:ind w:left="107"/>
              <w:rPr>
                <w:rFonts w:ascii="Times New Roman"/>
                <w:sz w:val="20"/>
              </w:rPr>
            </w:pPr>
            <w:r>
              <w:rPr>
                <w:sz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37" w:type="dxa"/>
          </w:tcPr>
          <w:p>
            <w:pPr>
              <w:pStyle w:val="21"/>
              <w:spacing w:before="113" w:line="226" w:lineRule="exact"/>
              <w:ind w:right="295"/>
              <w:jc w:val="right"/>
              <w:rPr>
                <w:rFonts w:ascii="Times New Roman"/>
                <w:sz w:val="21"/>
              </w:rPr>
            </w:pPr>
            <w:r>
              <w:rPr>
                <w:rFonts w:ascii="Times New Roman"/>
                <w:sz w:val="21"/>
              </w:rPr>
              <w:t>2.2.2</w:t>
            </w:r>
          </w:p>
        </w:tc>
        <w:tc>
          <w:tcPr>
            <w:tcW w:w="2953" w:type="dxa"/>
          </w:tcPr>
          <w:p>
            <w:pPr>
              <w:pStyle w:val="21"/>
              <w:spacing w:before="89" w:line="250" w:lineRule="exact"/>
              <w:ind w:left="3"/>
              <w:jc w:val="center"/>
              <w:rPr>
                <w:sz w:val="21"/>
              </w:rPr>
            </w:pPr>
            <w:r>
              <w:rPr>
                <w:sz w:val="21"/>
              </w:rPr>
              <w:t>招标文件澄清发出的形式</w:t>
            </w:r>
          </w:p>
        </w:tc>
        <w:tc>
          <w:tcPr>
            <w:tcW w:w="501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37" w:type="dxa"/>
            <w:vMerge w:val="restart"/>
          </w:tcPr>
          <w:p>
            <w:pPr>
              <w:pStyle w:val="21"/>
              <w:spacing w:before="3"/>
              <w:rPr>
                <w:sz w:val="23"/>
              </w:rPr>
            </w:pPr>
          </w:p>
          <w:p>
            <w:pPr>
              <w:pStyle w:val="21"/>
              <w:ind w:left="307"/>
              <w:rPr>
                <w:rFonts w:ascii="Times New Roman"/>
                <w:sz w:val="21"/>
              </w:rPr>
            </w:pPr>
            <w:r>
              <w:rPr>
                <w:rFonts w:ascii="Times New Roman"/>
                <w:sz w:val="21"/>
              </w:rPr>
              <w:t>2.2.3</w:t>
            </w:r>
          </w:p>
        </w:tc>
        <w:tc>
          <w:tcPr>
            <w:tcW w:w="2953" w:type="dxa"/>
            <w:vMerge w:val="restart"/>
          </w:tcPr>
          <w:p>
            <w:pPr>
              <w:pStyle w:val="21"/>
              <w:spacing w:before="5"/>
              <w:rPr>
                <w:sz w:val="21"/>
              </w:rPr>
            </w:pPr>
          </w:p>
          <w:p>
            <w:pPr>
              <w:pStyle w:val="21"/>
              <w:ind w:left="107"/>
              <w:rPr>
                <w:sz w:val="21"/>
              </w:rPr>
            </w:pPr>
            <w:r>
              <w:rPr>
                <w:sz w:val="21"/>
              </w:rPr>
              <w:t>投标人确认收到招标文件澄清</w:t>
            </w:r>
          </w:p>
        </w:tc>
        <w:tc>
          <w:tcPr>
            <w:tcW w:w="5017" w:type="dxa"/>
          </w:tcPr>
          <w:p>
            <w:pPr>
              <w:pStyle w:val="21"/>
              <w:tabs>
                <w:tab w:val="left" w:pos="2209"/>
              </w:tabs>
              <w:spacing w:before="89" w:line="250" w:lineRule="exact"/>
              <w:ind w:left="107"/>
              <w:rPr>
                <w:rFonts w:ascii="Times New Roman"/>
                <w:sz w:val="20"/>
              </w:rPr>
            </w:pPr>
            <w:r>
              <w:rPr>
                <w:sz w:val="21"/>
              </w:rPr>
              <w:t>时间</w:t>
            </w:r>
            <w:r>
              <w:rPr>
                <w:spacing w:val="-3"/>
                <w:sz w:val="21"/>
              </w:rPr>
              <w:t>：</w:t>
            </w:r>
            <w:r>
              <w:rPr>
                <w:sz w:val="21"/>
              </w:rPr>
              <w:t>收</w:t>
            </w:r>
            <w:r>
              <w:rPr>
                <w:spacing w:val="-3"/>
                <w:sz w:val="21"/>
              </w:rPr>
              <w:t>到</w:t>
            </w:r>
            <w:r>
              <w:rPr>
                <w:sz w:val="21"/>
              </w:rPr>
              <w:t>澄</w:t>
            </w:r>
            <w:r>
              <w:rPr>
                <w:spacing w:val="-3"/>
                <w:sz w:val="21"/>
              </w:rPr>
              <w:t>清</w:t>
            </w:r>
            <w:r>
              <w:rPr>
                <w:sz w:val="21"/>
              </w:rPr>
              <w:t>后</w:t>
            </w:r>
            <w:r>
              <w:rPr>
                <w:sz w:val="21"/>
                <w:u w:val="single"/>
              </w:rPr>
              <w:t xml:space="preserve"> </w:t>
            </w:r>
            <w:r>
              <w:rPr>
                <w:sz w:val="21"/>
                <w:u w:val="single"/>
              </w:rPr>
              <w:tab/>
            </w:r>
            <w:r>
              <w:rPr>
                <w:spacing w:val="-3"/>
                <w:sz w:val="21"/>
              </w:rPr>
              <w:t>小</w:t>
            </w:r>
            <w:r>
              <w:rPr>
                <w:sz w:val="21"/>
              </w:rPr>
              <w:t>时内</w:t>
            </w:r>
            <w:r>
              <w:rPr>
                <w:spacing w:val="-3"/>
                <w:sz w:val="21"/>
              </w:rPr>
              <w:t>（</w:t>
            </w:r>
            <w:r>
              <w:rPr>
                <w:sz w:val="21"/>
              </w:rPr>
              <w:t>以</w:t>
            </w:r>
            <w:r>
              <w:rPr>
                <w:spacing w:val="-3"/>
                <w:sz w:val="21"/>
              </w:rPr>
              <w:t>发</w:t>
            </w:r>
            <w:r>
              <w:rPr>
                <w:sz w:val="21"/>
              </w:rPr>
              <w:t>出</w:t>
            </w:r>
            <w:r>
              <w:rPr>
                <w:spacing w:val="-3"/>
                <w:sz w:val="21"/>
              </w:rPr>
              <w:t>时</w:t>
            </w:r>
            <w:r>
              <w:rPr>
                <w:sz w:val="21"/>
              </w:rPr>
              <w:t>间</w:t>
            </w:r>
            <w:r>
              <w:rPr>
                <w:spacing w:val="-3"/>
                <w:sz w:val="21"/>
              </w:rPr>
              <w:t>为</w:t>
            </w:r>
            <w:r>
              <w:rPr>
                <w:sz w:val="21"/>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37" w:type="dxa"/>
            <w:vMerge w:val="continue"/>
          </w:tcPr>
          <w:p>
            <w:pPr>
              <w:rPr>
                <w:rFonts w:ascii="Times New Roman"/>
                <w:sz w:val="21"/>
              </w:rPr>
            </w:pPr>
          </w:p>
        </w:tc>
        <w:tc>
          <w:tcPr>
            <w:tcW w:w="2953" w:type="dxa"/>
            <w:vMerge w:val="continue"/>
          </w:tcPr>
          <w:p>
            <w:pPr>
              <w:rPr>
                <w:sz w:val="21"/>
              </w:rPr>
            </w:pPr>
          </w:p>
        </w:tc>
        <w:tc>
          <w:tcPr>
            <w:tcW w:w="5017" w:type="dxa"/>
          </w:tcPr>
          <w:p>
            <w:pPr>
              <w:pStyle w:val="21"/>
              <w:spacing w:before="90" w:line="250" w:lineRule="exact"/>
              <w:ind w:left="107"/>
              <w:rPr>
                <w:rFonts w:ascii="Times New Roman"/>
                <w:sz w:val="20"/>
              </w:rPr>
            </w:pPr>
            <w:r>
              <w:rPr>
                <w:sz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37" w:type="dxa"/>
          </w:tcPr>
          <w:p>
            <w:pPr>
              <w:pStyle w:val="21"/>
              <w:spacing w:before="113" w:line="226" w:lineRule="exact"/>
              <w:ind w:right="295"/>
              <w:jc w:val="right"/>
              <w:rPr>
                <w:rFonts w:ascii="Times New Roman"/>
                <w:sz w:val="21"/>
              </w:rPr>
            </w:pPr>
            <w:r>
              <w:rPr>
                <w:rFonts w:ascii="Times New Roman"/>
                <w:sz w:val="21"/>
              </w:rPr>
              <w:t>2.3.1</w:t>
            </w:r>
          </w:p>
        </w:tc>
        <w:tc>
          <w:tcPr>
            <w:tcW w:w="2953" w:type="dxa"/>
          </w:tcPr>
          <w:p>
            <w:pPr>
              <w:pStyle w:val="21"/>
              <w:spacing w:before="89" w:line="250" w:lineRule="exact"/>
              <w:ind w:left="3"/>
              <w:jc w:val="center"/>
              <w:rPr>
                <w:sz w:val="21"/>
              </w:rPr>
            </w:pPr>
            <w:r>
              <w:rPr>
                <w:sz w:val="21"/>
              </w:rPr>
              <w:t>招标文件修改发出的形式</w:t>
            </w:r>
          </w:p>
        </w:tc>
        <w:tc>
          <w:tcPr>
            <w:tcW w:w="501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37" w:type="dxa"/>
            <w:vMerge w:val="restart"/>
          </w:tcPr>
          <w:p>
            <w:pPr>
              <w:pStyle w:val="21"/>
              <w:spacing w:before="5"/>
              <w:rPr>
                <w:sz w:val="23"/>
              </w:rPr>
            </w:pPr>
          </w:p>
          <w:p>
            <w:pPr>
              <w:pStyle w:val="21"/>
              <w:spacing w:before="1"/>
              <w:ind w:left="307"/>
              <w:rPr>
                <w:rFonts w:ascii="Times New Roman"/>
                <w:sz w:val="21"/>
              </w:rPr>
            </w:pPr>
            <w:r>
              <w:rPr>
                <w:rFonts w:ascii="Times New Roman"/>
                <w:sz w:val="21"/>
              </w:rPr>
              <w:t>2.3.2</w:t>
            </w:r>
          </w:p>
        </w:tc>
        <w:tc>
          <w:tcPr>
            <w:tcW w:w="2953" w:type="dxa"/>
            <w:vMerge w:val="restart"/>
          </w:tcPr>
          <w:p>
            <w:pPr>
              <w:pStyle w:val="21"/>
              <w:spacing w:before="7"/>
              <w:rPr>
                <w:sz w:val="21"/>
              </w:rPr>
            </w:pPr>
          </w:p>
          <w:p>
            <w:pPr>
              <w:pStyle w:val="21"/>
              <w:spacing w:before="1"/>
              <w:ind w:left="107"/>
              <w:rPr>
                <w:sz w:val="21"/>
              </w:rPr>
            </w:pPr>
            <w:r>
              <w:rPr>
                <w:sz w:val="21"/>
              </w:rPr>
              <w:t>投标人确认收到招标文件修改</w:t>
            </w:r>
          </w:p>
        </w:tc>
        <w:tc>
          <w:tcPr>
            <w:tcW w:w="5017" w:type="dxa"/>
          </w:tcPr>
          <w:p>
            <w:pPr>
              <w:pStyle w:val="21"/>
              <w:tabs>
                <w:tab w:val="left" w:pos="2209"/>
              </w:tabs>
              <w:spacing w:before="89" w:line="250" w:lineRule="exact"/>
              <w:ind w:left="107"/>
              <w:rPr>
                <w:rFonts w:ascii="Times New Roman"/>
                <w:sz w:val="20"/>
              </w:rPr>
            </w:pPr>
            <w:r>
              <w:rPr>
                <w:sz w:val="21"/>
              </w:rPr>
              <w:t>时间</w:t>
            </w:r>
            <w:r>
              <w:rPr>
                <w:spacing w:val="-3"/>
                <w:sz w:val="21"/>
              </w:rPr>
              <w:t>：</w:t>
            </w:r>
            <w:r>
              <w:rPr>
                <w:sz w:val="21"/>
              </w:rPr>
              <w:t>收</w:t>
            </w:r>
            <w:r>
              <w:rPr>
                <w:spacing w:val="-3"/>
                <w:sz w:val="21"/>
              </w:rPr>
              <w:t>到</w:t>
            </w:r>
            <w:r>
              <w:rPr>
                <w:sz w:val="21"/>
              </w:rPr>
              <w:t>修</w:t>
            </w:r>
            <w:r>
              <w:rPr>
                <w:spacing w:val="-3"/>
                <w:sz w:val="21"/>
              </w:rPr>
              <w:t>改</w:t>
            </w:r>
            <w:r>
              <w:rPr>
                <w:sz w:val="21"/>
              </w:rPr>
              <w:t>后</w:t>
            </w:r>
            <w:r>
              <w:rPr>
                <w:sz w:val="21"/>
                <w:u w:val="single"/>
              </w:rPr>
              <w:t xml:space="preserve"> </w:t>
            </w:r>
            <w:r>
              <w:rPr>
                <w:sz w:val="21"/>
                <w:u w:val="single"/>
              </w:rPr>
              <w:tab/>
            </w:r>
            <w:r>
              <w:rPr>
                <w:spacing w:val="-3"/>
                <w:sz w:val="21"/>
              </w:rPr>
              <w:t>小</w:t>
            </w:r>
            <w:r>
              <w:rPr>
                <w:sz w:val="21"/>
              </w:rPr>
              <w:t>时内</w:t>
            </w:r>
            <w:r>
              <w:rPr>
                <w:spacing w:val="-3"/>
                <w:sz w:val="21"/>
              </w:rPr>
              <w:t>（</w:t>
            </w:r>
            <w:r>
              <w:rPr>
                <w:sz w:val="21"/>
              </w:rPr>
              <w:t>以</w:t>
            </w:r>
            <w:r>
              <w:rPr>
                <w:spacing w:val="-3"/>
                <w:sz w:val="21"/>
              </w:rPr>
              <w:t>发</w:t>
            </w:r>
            <w:r>
              <w:rPr>
                <w:sz w:val="21"/>
              </w:rPr>
              <w:t>出</w:t>
            </w:r>
            <w:r>
              <w:rPr>
                <w:spacing w:val="-3"/>
                <w:sz w:val="21"/>
              </w:rPr>
              <w:t>时</w:t>
            </w:r>
            <w:r>
              <w:rPr>
                <w:sz w:val="21"/>
              </w:rPr>
              <w:t>间</w:t>
            </w:r>
            <w:r>
              <w:rPr>
                <w:spacing w:val="-3"/>
                <w:sz w:val="21"/>
              </w:rPr>
              <w:t>为</w:t>
            </w:r>
            <w:r>
              <w:rPr>
                <w:sz w:val="21"/>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37" w:type="dxa"/>
            <w:vMerge w:val="continue"/>
          </w:tcPr>
          <w:p>
            <w:pPr>
              <w:rPr>
                <w:rFonts w:ascii="Times New Roman"/>
                <w:sz w:val="21"/>
              </w:rPr>
            </w:pPr>
          </w:p>
        </w:tc>
        <w:tc>
          <w:tcPr>
            <w:tcW w:w="2953" w:type="dxa"/>
            <w:vMerge w:val="continue"/>
          </w:tcPr>
          <w:p>
            <w:pPr>
              <w:rPr>
                <w:sz w:val="21"/>
              </w:rPr>
            </w:pPr>
          </w:p>
        </w:tc>
        <w:tc>
          <w:tcPr>
            <w:tcW w:w="5017" w:type="dxa"/>
          </w:tcPr>
          <w:p>
            <w:pPr>
              <w:pStyle w:val="21"/>
              <w:spacing w:before="92" w:line="250" w:lineRule="exact"/>
              <w:ind w:left="107"/>
              <w:rPr>
                <w:rFonts w:ascii="Times New Roman"/>
                <w:sz w:val="20"/>
              </w:rPr>
            </w:pPr>
            <w:r>
              <w:rPr>
                <w:sz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037" w:type="dxa"/>
          </w:tcPr>
          <w:p>
            <w:pPr>
              <w:pStyle w:val="21"/>
              <w:spacing w:before="6"/>
              <w:rPr>
                <w:sz w:val="23"/>
              </w:rPr>
            </w:pPr>
          </w:p>
          <w:p>
            <w:pPr>
              <w:pStyle w:val="21"/>
              <w:ind w:right="295"/>
              <w:jc w:val="right"/>
              <w:rPr>
                <w:rFonts w:ascii="Times New Roman"/>
                <w:sz w:val="21"/>
                <w:lang w:val="en-US"/>
              </w:rPr>
            </w:pPr>
            <w:r>
              <w:rPr>
                <w:rFonts w:ascii="Times New Roman"/>
                <w:sz w:val="21"/>
              </w:rPr>
              <w:t>3.1.</w:t>
            </w:r>
            <w:r>
              <w:rPr>
                <w:rFonts w:hint="eastAsia" w:ascii="Times New Roman"/>
                <w:sz w:val="21"/>
                <w:lang w:val="en-US"/>
              </w:rPr>
              <w:t>1</w:t>
            </w:r>
          </w:p>
        </w:tc>
        <w:tc>
          <w:tcPr>
            <w:tcW w:w="2953" w:type="dxa"/>
            <w:vAlign w:val="center"/>
          </w:tcPr>
          <w:p>
            <w:pPr>
              <w:pStyle w:val="21"/>
              <w:spacing w:before="8"/>
              <w:jc w:val="both"/>
              <w:rPr>
                <w:sz w:val="21"/>
              </w:rPr>
            </w:pPr>
          </w:p>
          <w:p>
            <w:pPr>
              <w:pStyle w:val="21"/>
              <w:ind w:left="5"/>
              <w:jc w:val="center"/>
              <w:rPr>
                <w:sz w:val="21"/>
              </w:rPr>
            </w:pPr>
            <w:r>
              <w:rPr>
                <w:sz w:val="21"/>
              </w:rPr>
              <w:t>投标文件密封形式</w:t>
            </w:r>
          </w:p>
        </w:tc>
        <w:tc>
          <w:tcPr>
            <w:tcW w:w="5017" w:type="dxa"/>
            <w:vAlign w:val="center"/>
          </w:tcPr>
          <w:p>
            <w:pPr>
              <w:pStyle w:val="21"/>
              <w:spacing w:line="360" w:lineRule="exact"/>
              <w:ind w:left="107"/>
              <w:rPr>
                <w:sz w:val="21"/>
              </w:rPr>
            </w:pPr>
            <w:r>
              <w:rPr>
                <w:rFonts w:ascii="Times New Roman" w:hAnsi="Times New Roman" w:eastAsia="Times New Roman"/>
                <w:sz w:val="32"/>
              </w:rPr>
              <w:t>□</w:t>
            </w:r>
            <w:r>
              <w:rPr>
                <w:sz w:val="21"/>
              </w:rPr>
              <w:t>双信封</w:t>
            </w:r>
          </w:p>
          <w:p>
            <w:pPr>
              <w:pStyle w:val="21"/>
              <w:spacing w:line="360" w:lineRule="exact"/>
              <w:ind w:left="107"/>
              <w:jc w:val="both"/>
              <w:rPr>
                <w:sz w:val="21"/>
              </w:rPr>
            </w:pPr>
            <w:r>
              <w:rPr>
                <w:rFonts w:ascii="Times New Roman" w:hAnsi="Times New Roman" w:eastAsia="Times New Roman"/>
                <w:sz w:val="32"/>
              </w:rPr>
              <w:t>□</w:t>
            </w:r>
            <w:r>
              <w:rPr>
                <w:sz w:val="21"/>
              </w:rPr>
              <w:t>单信封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037" w:type="dxa"/>
          </w:tcPr>
          <w:p>
            <w:pPr>
              <w:pStyle w:val="21"/>
              <w:spacing w:before="115" w:line="226" w:lineRule="exact"/>
              <w:ind w:right="295"/>
              <w:jc w:val="right"/>
              <w:rPr>
                <w:rFonts w:ascii="Times New Roman"/>
                <w:sz w:val="21"/>
                <w:lang w:val="en-US"/>
              </w:rPr>
            </w:pPr>
            <w:r>
              <w:rPr>
                <w:rFonts w:ascii="Times New Roman"/>
                <w:sz w:val="21"/>
              </w:rPr>
              <w:t>3.1.</w:t>
            </w:r>
            <w:r>
              <w:rPr>
                <w:rFonts w:hint="eastAsia" w:ascii="Times New Roman"/>
                <w:sz w:val="21"/>
                <w:lang w:val="en-US"/>
              </w:rPr>
              <w:t>2</w:t>
            </w:r>
          </w:p>
        </w:tc>
        <w:tc>
          <w:tcPr>
            <w:tcW w:w="2953" w:type="dxa"/>
          </w:tcPr>
          <w:p>
            <w:pPr>
              <w:pStyle w:val="21"/>
              <w:spacing w:before="92" w:line="250" w:lineRule="exact"/>
              <w:ind w:left="3"/>
              <w:jc w:val="center"/>
              <w:rPr>
                <w:sz w:val="21"/>
              </w:rPr>
            </w:pPr>
            <w:r>
              <w:rPr>
                <w:sz w:val="21"/>
              </w:rPr>
              <w:t>构成投标文件的其他资料</w:t>
            </w:r>
          </w:p>
        </w:tc>
        <w:tc>
          <w:tcPr>
            <w:tcW w:w="5017" w:type="dxa"/>
          </w:tcPr>
          <w:p>
            <w:pPr>
              <w:pStyle w:val="21"/>
              <w:spacing w:line="312" w:lineRule="auto"/>
              <w:rPr>
                <w:rFonts w:ascii="Times New Roman"/>
                <w:sz w:val="20"/>
              </w:rPr>
            </w:pPr>
            <w:r>
              <w:rPr>
                <w:rFonts w:hint="eastAsia" w:ascii="Times New Roman"/>
                <w:sz w:val="20"/>
              </w:rPr>
              <w:t>（</w:t>
            </w:r>
            <w:r>
              <w:rPr>
                <w:rFonts w:hint="eastAsia" w:ascii="Times New Roman"/>
                <w:sz w:val="20"/>
                <w:lang w:val="en-US"/>
              </w:rPr>
              <w:t>1</w:t>
            </w:r>
            <w:r>
              <w:rPr>
                <w:rFonts w:hint="eastAsia" w:ascii="Times New Roman"/>
                <w:sz w:val="20"/>
              </w:rPr>
              <w:t>）联合体投标的由牵头人在递交投标文件时同时提交联合体协议书，否则投标文件不予接收。</w:t>
            </w:r>
          </w:p>
          <w:p>
            <w:pPr>
              <w:pStyle w:val="21"/>
              <w:spacing w:line="312" w:lineRule="auto"/>
              <w:rPr>
                <w:rFonts w:ascii="Times New Roman"/>
                <w:sz w:val="20"/>
              </w:rPr>
            </w:pPr>
            <w:r>
              <w:rPr>
                <w:rFonts w:hint="eastAsia" w:ascii="Times New Roman"/>
                <w:sz w:val="20"/>
              </w:rPr>
              <w:t>（</w:t>
            </w:r>
            <w:r>
              <w:rPr>
                <w:rFonts w:hint="eastAsia" w:ascii="Times New Roman"/>
                <w:sz w:val="20"/>
                <w:lang w:val="en-US"/>
              </w:rPr>
              <w:t>2</w:t>
            </w:r>
            <w:r>
              <w:rPr>
                <w:rFonts w:hint="eastAsia" w:ascii="Times New Roman"/>
                <w:sz w:val="20"/>
              </w:rPr>
              <w:t>）投标人应附四川省交通运输厅网站能反映投标人当前信用等级的页面打印件。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37" w:type="dxa"/>
          </w:tcPr>
          <w:p>
            <w:pPr>
              <w:pStyle w:val="21"/>
              <w:spacing w:before="5"/>
              <w:rPr>
                <w:sz w:val="23"/>
              </w:rPr>
            </w:pPr>
          </w:p>
          <w:p>
            <w:pPr>
              <w:pStyle w:val="21"/>
              <w:spacing w:before="1"/>
              <w:ind w:right="295"/>
              <w:jc w:val="right"/>
              <w:rPr>
                <w:rFonts w:ascii="Times New Roman"/>
                <w:sz w:val="21"/>
                <w:lang w:val="en-US"/>
              </w:rPr>
            </w:pPr>
            <w:r>
              <w:rPr>
                <w:rFonts w:ascii="Times New Roman"/>
                <w:sz w:val="21"/>
              </w:rPr>
              <w:t>3.2.</w:t>
            </w:r>
            <w:r>
              <w:rPr>
                <w:rFonts w:hint="eastAsia" w:ascii="Times New Roman"/>
                <w:sz w:val="21"/>
                <w:lang w:val="en-US"/>
              </w:rPr>
              <w:t>1</w:t>
            </w:r>
          </w:p>
        </w:tc>
        <w:tc>
          <w:tcPr>
            <w:tcW w:w="2953" w:type="dxa"/>
            <w:vAlign w:val="center"/>
          </w:tcPr>
          <w:p>
            <w:pPr>
              <w:pStyle w:val="21"/>
              <w:spacing w:before="1"/>
              <w:ind w:left="5"/>
              <w:jc w:val="center"/>
              <w:rPr>
                <w:sz w:val="21"/>
              </w:rPr>
            </w:pPr>
            <w:r>
              <w:rPr>
                <w:sz w:val="21"/>
              </w:rPr>
              <w:t>报价方式</w:t>
            </w:r>
          </w:p>
        </w:tc>
        <w:tc>
          <w:tcPr>
            <w:tcW w:w="5017" w:type="dxa"/>
            <w:vAlign w:val="center"/>
          </w:tcPr>
          <w:p>
            <w:pPr>
              <w:pStyle w:val="21"/>
              <w:spacing w:line="359" w:lineRule="exact"/>
              <w:ind w:left="107"/>
              <w:rPr>
                <w:sz w:val="21"/>
              </w:rPr>
            </w:pPr>
            <w:r>
              <w:rPr>
                <w:rFonts w:ascii="Times New Roman" w:hAnsi="Times New Roman" w:eastAsia="Times New Roman"/>
                <w:sz w:val="32"/>
              </w:rPr>
              <w:t>□</w:t>
            </w:r>
            <w:r>
              <w:rPr>
                <w:sz w:val="21"/>
              </w:rPr>
              <w:t>单价</w:t>
            </w:r>
          </w:p>
          <w:p>
            <w:pPr>
              <w:pStyle w:val="21"/>
              <w:spacing w:line="357" w:lineRule="exact"/>
              <w:ind w:left="107"/>
              <w:jc w:val="both"/>
              <w:rPr>
                <w:sz w:val="21"/>
              </w:rPr>
            </w:pPr>
            <w:r>
              <w:rPr>
                <w:rFonts w:ascii="Times New Roman" w:hAnsi="Times New Roman" w:eastAsia="Times New Roman"/>
                <w:sz w:val="32"/>
              </w:rPr>
              <w:t>□</w:t>
            </w:r>
            <w:r>
              <w:rPr>
                <w:sz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037" w:type="dxa"/>
          </w:tcPr>
          <w:p>
            <w:pPr>
              <w:pStyle w:val="21"/>
              <w:spacing w:before="8"/>
              <w:rPr>
                <w:sz w:val="23"/>
              </w:rPr>
            </w:pPr>
          </w:p>
          <w:p>
            <w:pPr>
              <w:pStyle w:val="21"/>
              <w:ind w:right="295"/>
              <w:jc w:val="right"/>
              <w:rPr>
                <w:rFonts w:ascii="Times New Roman"/>
                <w:sz w:val="21"/>
                <w:lang w:val="en-US"/>
              </w:rPr>
            </w:pPr>
            <w:r>
              <w:rPr>
                <w:rFonts w:ascii="Times New Roman"/>
                <w:sz w:val="21"/>
              </w:rPr>
              <w:t>3.2.</w:t>
            </w:r>
            <w:r>
              <w:rPr>
                <w:rFonts w:hint="eastAsia" w:ascii="Times New Roman"/>
                <w:sz w:val="21"/>
                <w:lang w:val="en-US"/>
              </w:rPr>
              <w:t>2</w:t>
            </w:r>
          </w:p>
        </w:tc>
        <w:tc>
          <w:tcPr>
            <w:tcW w:w="2953" w:type="dxa"/>
            <w:vAlign w:val="center"/>
          </w:tcPr>
          <w:p>
            <w:pPr>
              <w:pStyle w:val="21"/>
              <w:ind w:left="3"/>
              <w:jc w:val="center"/>
              <w:rPr>
                <w:sz w:val="21"/>
              </w:rPr>
            </w:pPr>
            <w:r>
              <w:rPr>
                <w:sz w:val="21"/>
              </w:rPr>
              <w:t>最高投标限价</w:t>
            </w:r>
          </w:p>
        </w:tc>
        <w:tc>
          <w:tcPr>
            <w:tcW w:w="5017" w:type="dxa"/>
            <w:vAlign w:val="center"/>
          </w:tcPr>
          <w:p>
            <w:pPr>
              <w:pStyle w:val="21"/>
              <w:tabs>
                <w:tab w:val="left" w:pos="2341"/>
                <w:tab w:val="left" w:pos="4593"/>
              </w:tabs>
              <w:spacing w:line="355" w:lineRule="exact"/>
              <w:ind w:left="107" w:right="-15"/>
              <w:jc w:val="both"/>
              <w:rPr>
                <w:sz w:val="21"/>
              </w:rPr>
            </w:pPr>
            <w:r>
              <w:rPr>
                <w:sz w:val="21"/>
              </w:rPr>
              <w:t>最</w:t>
            </w:r>
            <w:r>
              <w:rPr>
                <w:spacing w:val="-3"/>
                <w:sz w:val="21"/>
              </w:rPr>
              <w:t>高</w:t>
            </w:r>
            <w:r>
              <w:rPr>
                <w:sz w:val="21"/>
              </w:rPr>
              <w:t>投</w:t>
            </w:r>
            <w:r>
              <w:rPr>
                <w:spacing w:val="-3"/>
                <w:sz w:val="21"/>
              </w:rPr>
              <w:t>标</w:t>
            </w:r>
            <w:r>
              <w:rPr>
                <w:sz w:val="21"/>
              </w:rPr>
              <w:t>限</w:t>
            </w:r>
            <w:r>
              <w:rPr>
                <w:spacing w:val="-3"/>
                <w:sz w:val="21"/>
              </w:rPr>
              <w:t>价</w:t>
            </w:r>
            <w:r>
              <w:rPr>
                <w:spacing w:val="-3"/>
                <w:sz w:val="21"/>
                <w:u w:val="single"/>
              </w:rPr>
              <w:t xml:space="preserve"> </w:t>
            </w:r>
            <w:r>
              <w:rPr>
                <w:spacing w:val="-3"/>
                <w:sz w:val="21"/>
                <w:u w:val="single"/>
              </w:rPr>
              <w:tab/>
            </w:r>
            <w:r>
              <w:rPr>
                <w:spacing w:val="-63"/>
                <w:sz w:val="21"/>
              </w:rPr>
              <w:t>元</w:t>
            </w:r>
            <w:r>
              <w:rPr>
                <w:sz w:val="21"/>
              </w:rPr>
              <w:t>（其</w:t>
            </w:r>
            <w:r>
              <w:rPr>
                <w:spacing w:val="-3"/>
                <w:sz w:val="21"/>
              </w:rPr>
              <w:t>中</w:t>
            </w:r>
            <w:r>
              <w:rPr>
                <w:sz w:val="21"/>
              </w:rPr>
              <w:t>含</w:t>
            </w:r>
            <w:r>
              <w:rPr>
                <w:spacing w:val="-3"/>
                <w:sz w:val="21"/>
              </w:rPr>
              <w:t>暂</w:t>
            </w:r>
            <w:r>
              <w:rPr>
                <w:sz w:val="21"/>
              </w:rPr>
              <w:t>列</w:t>
            </w:r>
            <w:r>
              <w:rPr>
                <w:spacing w:val="-3"/>
                <w:sz w:val="21"/>
              </w:rPr>
              <w:t>金</w:t>
            </w:r>
            <w:r>
              <w:rPr>
                <w:sz w:val="21"/>
              </w:rPr>
              <w:t>额</w:t>
            </w:r>
            <w:r>
              <w:rPr>
                <w:sz w:val="21"/>
                <w:u w:val="single"/>
              </w:rPr>
              <w:t xml:space="preserve"> </w:t>
            </w:r>
            <w:r>
              <w:rPr>
                <w:sz w:val="21"/>
                <w:u w:val="single"/>
              </w:rPr>
              <w:tab/>
            </w:r>
            <w:r>
              <w:rPr>
                <w:spacing w:val="-3"/>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37" w:type="dxa"/>
          </w:tcPr>
          <w:p>
            <w:pPr>
              <w:pStyle w:val="21"/>
              <w:spacing w:before="113" w:line="226" w:lineRule="exact"/>
              <w:ind w:right="295"/>
              <w:jc w:val="right"/>
              <w:rPr>
                <w:rFonts w:ascii="Times New Roman"/>
                <w:sz w:val="21"/>
                <w:lang w:val="en-US"/>
              </w:rPr>
            </w:pPr>
            <w:r>
              <w:rPr>
                <w:rFonts w:ascii="Times New Roman"/>
                <w:sz w:val="21"/>
              </w:rPr>
              <w:t>3.2.</w:t>
            </w:r>
            <w:r>
              <w:rPr>
                <w:rFonts w:hint="eastAsia" w:ascii="Times New Roman"/>
                <w:sz w:val="21"/>
                <w:lang w:val="en-US"/>
              </w:rPr>
              <w:t>3</w:t>
            </w:r>
          </w:p>
        </w:tc>
        <w:tc>
          <w:tcPr>
            <w:tcW w:w="2953" w:type="dxa"/>
          </w:tcPr>
          <w:p>
            <w:pPr>
              <w:pStyle w:val="21"/>
              <w:spacing w:before="89" w:line="250" w:lineRule="exact"/>
              <w:ind w:left="5"/>
              <w:jc w:val="center"/>
              <w:rPr>
                <w:sz w:val="21"/>
              </w:rPr>
            </w:pPr>
            <w:r>
              <w:rPr>
                <w:sz w:val="21"/>
              </w:rPr>
              <w:t>投标报价的其他要求</w:t>
            </w:r>
          </w:p>
        </w:tc>
        <w:tc>
          <w:tcPr>
            <w:tcW w:w="5017" w:type="dxa"/>
          </w:tcPr>
          <w:p>
            <w:pPr>
              <w:pStyle w:val="21"/>
              <w:spacing w:line="312" w:lineRule="auto"/>
              <w:rPr>
                <w:rFonts w:ascii="Times New Roman"/>
                <w:sz w:val="20"/>
                <w:lang w:val="en-US"/>
              </w:rPr>
            </w:pPr>
            <w:r>
              <w:rPr>
                <w:rFonts w:hint="eastAsia" w:ascii="Times New Roman"/>
                <w:sz w:val="20"/>
                <w:lang w:val="en-US"/>
              </w:rPr>
              <w:t>（1）高于最高投标限价的按废标处理。</w:t>
            </w:r>
          </w:p>
          <w:p>
            <w:pPr>
              <w:pStyle w:val="21"/>
              <w:spacing w:line="312" w:lineRule="auto"/>
              <w:rPr>
                <w:rFonts w:ascii="Times New Roman"/>
                <w:sz w:val="20"/>
                <w:lang w:val="en-US"/>
              </w:rPr>
            </w:pPr>
            <w:r>
              <w:rPr>
                <w:rFonts w:hint="eastAsia" w:ascii="Times New Roman"/>
                <w:sz w:val="20"/>
                <w:lang w:val="en-US"/>
              </w:rPr>
              <w:t>（2）投标价低于最高投标限价85%的不纳入投标基准价计算。</w:t>
            </w:r>
          </w:p>
          <w:p>
            <w:pPr>
              <w:pStyle w:val="21"/>
              <w:spacing w:line="312" w:lineRule="auto"/>
              <w:rPr>
                <w:rFonts w:ascii="Times New Roman"/>
                <w:sz w:val="20"/>
                <w:lang w:val="en-US"/>
              </w:rPr>
            </w:pPr>
            <w:r>
              <w:rPr>
                <w:rFonts w:hint="eastAsia" w:ascii="Times New Roman"/>
                <w:sz w:val="20"/>
                <w:lang w:val="en-US"/>
              </w:rPr>
              <w:t>（3）招标人发布已标价工程量清单，投标人编制的工程量清单各分部分项单价上下浮动不宜超过30%，若超此范围报价，招标人有权按照投标总价不变的原则对分部分项单价进行调整。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37" w:type="dxa"/>
          </w:tcPr>
          <w:p>
            <w:pPr>
              <w:pStyle w:val="21"/>
              <w:spacing w:before="113" w:line="226" w:lineRule="exact"/>
              <w:ind w:right="295"/>
              <w:jc w:val="right"/>
              <w:rPr>
                <w:rFonts w:ascii="Times New Roman"/>
                <w:sz w:val="21"/>
                <w:lang w:val="en-US"/>
              </w:rPr>
            </w:pPr>
            <w:r>
              <w:rPr>
                <w:rFonts w:ascii="Times New Roman"/>
                <w:sz w:val="21"/>
              </w:rPr>
              <w:t>3.2.</w:t>
            </w:r>
            <w:r>
              <w:rPr>
                <w:rFonts w:hint="eastAsia" w:ascii="Times New Roman"/>
                <w:sz w:val="21"/>
                <w:lang w:val="en-US"/>
              </w:rPr>
              <w:t>4</w:t>
            </w:r>
          </w:p>
        </w:tc>
        <w:tc>
          <w:tcPr>
            <w:tcW w:w="2953" w:type="dxa"/>
          </w:tcPr>
          <w:p>
            <w:pPr>
              <w:pStyle w:val="21"/>
              <w:spacing w:before="89" w:line="250" w:lineRule="exact"/>
              <w:ind w:left="3"/>
              <w:jc w:val="center"/>
              <w:rPr>
                <w:sz w:val="21"/>
              </w:rPr>
            </w:pPr>
            <w:r>
              <w:rPr>
                <w:sz w:val="21"/>
              </w:rPr>
              <w:t>增值税税金的计算方法</w:t>
            </w:r>
          </w:p>
        </w:tc>
        <w:tc>
          <w:tcPr>
            <w:tcW w:w="5017" w:type="dxa"/>
          </w:tcPr>
          <w:p>
            <w:pPr>
              <w:pStyle w:val="21"/>
              <w:rPr>
                <w:rFonts w:ascii="Times New Roman"/>
                <w:sz w:val="20"/>
                <w:lang w:val="en-US"/>
              </w:rPr>
            </w:pPr>
            <w:r>
              <w:rPr>
                <w:rFonts w:hint="eastAsia" w:ascii="Times New Roman"/>
                <w:sz w:val="20"/>
                <w:lang w:val="en-US"/>
              </w:rPr>
              <w:t>按现行相关政策执行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037" w:type="dxa"/>
          </w:tcPr>
          <w:p>
            <w:pPr>
              <w:pStyle w:val="21"/>
              <w:spacing w:before="116" w:line="226" w:lineRule="exact"/>
              <w:ind w:right="295"/>
              <w:jc w:val="right"/>
              <w:rPr>
                <w:rFonts w:ascii="Times New Roman"/>
                <w:sz w:val="21"/>
              </w:rPr>
            </w:pPr>
            <w:r>
              <w:rPr>
                <w:rFonts w:ascii="Times New Roman"/>
                <w:sz w:val="21"/>
              </w:rPr>
              <w:t>3.3.1</w:t>
            </w:r>
          </w:p>
        </w:tc>
        <w:tc>
          <w:tcPr>
            <w:tcW w:w="2953" w:type="dxa"/>
          </w:tcPr>
          <w:p>
            <w:pPr>
              <w:pStyle w:val="21"/>
              <w:spacing w:before="92" w:line="250" w:lineRule="exact"/>
              <w:ind w:left="5"/>
              <w:jc w:val="center"/>
              <w:rPr>
                <w:sz w:val="21"/>
              </w:rPr>
            </w:pPr>
            <w:r>
              <w:rPr>
                <w:sz w:val="21"/>
              </w:rPr>
              <w:t>投标有效期</w:t>
            </w:r>
          </w:p>
        </w:tc>
        <w:tc>
          <w:tcPr>
            <w:tcW w:w="5017" w:type="dxa"/>
          </w:tcPr>
          <w:p>
            <w:pPr>
              <w:pStyle w:val="21"/>
              <w:tabs>
                <w:tab w:val="left" w:pos="3996"/>
              </w:tabs>
              <w:spacing w:before="92" w:line="250" w:lineRule="exact"/>
              <w:ind w:left="107"/>
              <w:rPr>
                <w:sz w:val="21"/>
              </w:rPr>
            </w:pPr>
            <w:r>
              <w:rPr>
                <w:sz w:val="21"/>
              </w:rPr>
              <w:t>自投</w:t>
            </w:r>
            <w:r>
              <w:rPr>
                <w:spacing w:val="-3"/>
                <w:sz w:val="21"/>
              </w:rPr>
              <w:t>标</w:t>
            </w:r>
            <w:r>
              <w:rPr>
                <w:sz w:val="21"/>
              </w:rPr>
              <w:t>人</w:t>
            </w:r>
            <w:r>
              <w:rPr>
                <w:spacing w:val="-3"/>
                <w:sz w:val="21"/>
              </w:rPr>
              <w:t>提</w:t>
            </w:r>
            <w:r>
              <w:rPr>
                <w:sz w:val="21"/>
              </w:rPr>
              <w:t>交</w:t>
            </w:r>
            <w:r>
              <w:rPr>
                <w:spacing w:val="-3"/>
                <w:sz w:val="21"/>
              </w:rPr>
              <w:t>投</w:t>
            </w:r>
            <w:r>
              <w:rPr>
                <w:sz w:val="21"/>
              </w:rPr>
              <w:t>标</w:t>
            </w:r>
            <w:r>
              <w:rPr>
                <w:spacing w:val="-3"/>
                <w:sz w:val="21"/>
              </w:rPr>
              <w:t>文</w:t>
            </w:r>
            <w:r>
              <w:rPr>
                <w:sz w:val="21"/>
              </w:rPr>
              <w:t>件</w:t>
            </w:r>
            <w:r>
              <w:rPr>
                <w:spacing w:val="-3"/>
                <w:sz w:val="21"/>
              </w:rPr>
              <w:t>截</w:t>
            </w:r>
            <w:r>
              <w:rPr>
                <w:sz w:val="21"/>
              </w:rPr>
              <w:t>止之</w:t>
            </w:r>
            <w:r>
              <w:rPr>
                <w:spacing w:val="-3"/>
                <w:sz w:val="21"/>
              </w:rPr>
              <w:t>日</w:t>
            </w:r>
            <w:r>
              <w:rPr>
                <w:sz w:val="21"/>
              </w:rPr>
              <w:t>起</w:t>
            </w:r>
            <w:r>
              <w:rPr>
                <w:spacing w:val="-3"/>
                <w:sz w:val="21"/>
              </w:rPr>
              <w:t>计</w:t>
            </w:r>
            <w:r>
              <w:rPr>
                <w:sz w:val="21"/>
              </w:rPr>
              <w:t>算</w:t>
            </w:r>
            <w:r>
              <w:rPr>
                <w:sz w:val="21"/>
                <w:u w:val="single"/>
              </w:rPr>
              <w:t xml:space="preserve"> </w:t>
            </w:r>
            <w:r>
              <w:rPr>
                <w:sz w:val="21"/>
                <w:u w:val="single"/>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037" w:type="dxa"/>
          </w:tcPr>
          <w:p>
            <w:pPr>
              <w:pStyle w:val="21"/>
            </w:pPr>
          </w:p>
          <w:p>
            <w:pPr>
              <w:pStyle w:val="21"/>
            </w:pPr>
          </w:p>
          <w:p>
            <w:pPr>
              <w:pStyle w:val="21"/>
            </w:pPr>
          </w:p>
          <w:p>
            <w:pPr>
              <w:pStyle w:val="21"/>
            </w:pPr>
          </w:p>
          <w:p>
            <w:pPr>
              <w:pStyle w:val="21"/>
            </w:pPr>
          </w:p>
          <w:p>
            <w:pPr>
              <w:pStyle w:val="21"/>
              <w:spacing w:before="146"/>
              <w:ind w:right="295"/>
              <w:jc w:val="right"/>
              <w:rPr>
                <w:rFonts w:ascii="Times New Roman"/>
                <w:sz w:val="21"/>
              </w:rPr>
            </w:pPr>
            <w:r>
              <w:rPr>
                <w:rFonts w:ascii="Times New Roman"/>
                <w:sz w:val="21"/>
              </w:rPr>
              <w:t>3.4.1</w:t>
            </w:r>
          </w:p>
        </w:tc>
        <w:tc>
          <w:tcPr>
            <w:tcW w:w="2953" w:type="dxa"/>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7"/>
              <w:rPr>
                <w:sz w:val="19"/>
              </w:rPr>
            </w:pPr>
          </w:p>
          <w:p>
            <w:pPr>
              <w:pStyle w:val="21"/>
              <w:ind w:left="5"/>
              <w:jc w:val="center"/>
              <w:rPr>
                <w:sz w:val="21"/>
              </w:rPr>
            </w:pPr>
            <w:r>
              <w:rPr>
                <w:sz w:val="21"/>
              </w:rPr>
              <w:t>投标保证金</w:t>
            </w:r>
          </w:p>
        </w:tc>
        <w:tc>
          <w:tcPr>
            <w:tcW w:w="5017" w:type="dxa"/>
          </w:tcPr>
          <w:p>
            <w:pPr>
              <w:keepNext w:val="0"/>
              <w:keepLines w:val="0"/>
              <w:pageBreakBefore w:val="0"/>
              <w:kinsoku/>
              <w:wordWrap/>
              <w:overflowPunct/>
              <w:topLinePunct w:val="0"/>
              <w:autoSpaceDE/>
              <w:autoSpaceDN/>
              <w:bidi w:val="0"/>
              <w:adjustRightInd/>
              <w:snapToGrid/>
              <w:spacing w:line="312" w:lineRule="auto"/>
              <w:jc w:val="both"/>
              <w:textAlignment w:val="auto"/>
              <w:rPr>
                <w:rFonts w:hint="eastAsia" w:ascii="Times New Roman" w:hAnsi="宋体" w:eastAsia="宋体" w:cs="宋体"/>
                <w:sz w:val="20"/>
                <w:szCs w:val="22"/>
                <w:lang w:val="en-US" w:eastAsia="zh-CN" w:bidi="zh-CN"/>
              </w:rPr>
            </w:pPr>
            <w:r>
              <w:rPr>
                <w:rFonts w:hint="eastAsia" w:ascii="Times New Roman" w:hAnsi="宋体" w:eastAsia="宋体" w:cs="宋体"/>
                <w:sz w:val="20"/>
                <w:szCs w:val="22"/>
                <w:lang w:val="en-US" w:eastAsia="zh-CN" w:bidi="zh-CN"/>
              </w:rPr>
              <w:t>⑴投标保证金的金额：</w:t>
            </w:r>
            <w:r>
              <w:rPr>
                <w:rFonts w:hint="eastAsia" w:ascii="Times New Roman" w:hAnsi="宋体" w:eastAsia="宋体" w:cs="宋体"/>
                <w:sz w:val="20"/>
                <w:szCs w:val="22"/>
                <w:u w:val="single"/>
                <w:lang w:val="en-US" w:eastAsia="zh-CN" w:bidi="zh-CN"/>
              </w:rPr>
              <w:t xml:space="preserve">        </w:t>
            </w:r>
            <w:r>
              <w:rPr>
                <w:rFonts w:hint="eastAsia" w:ascii="Times New Roman" w:hAnsi="宋体" w:eastAsia="宋体" w:cs="宋体"/>
                <w:sz w:val="20"/>
                <w:szCs w:val="22"/>
                <w:lang w:val="en-US" w:eastAsia="zh-CN" w:bidi="zh-CN"/>
              </w:rPr>
              <w:t xml:space="preserve"> 元（小写）。</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Times New Roman" w:hAnsi="宋体" w:eastAsia="宋体" w:cs="宋体"/>
                <w:sz w:val="20"/>
                <w:szCs w:val="22"/>
                <w:lang w:val="en-US" w:eastAsia="zh-CN" w:bidi="zh-CN"/>
              </w:rPr>
            </w:pPr>
            <w:r>
              <w:rPr>
                <w:rFonts w:hint="eastAsia" w:ascii="Times New Roman" w:hAnsi="宋体" w:eastAsia="宋体" w:cs="宋体"/>
                <w:sz w:val="20"/>
                <w:szCs w:val="22"/>
                <w:lang w:val="en-US" w:eastAsia="zh-CN" w:bidi="zh-CN"/>
              </w:rPr>
              <w:t>⑵投标保证金缴纳方式：投标保证金可以：□通过投标人的基本帐户以银行转</w:t>
            </w:r>
            <w:r>
              <w:rPr>
                <w:rFonts w:hint="eastAsia" w:ascii="Times New Roman" w:cs="宋体"/>
                <w:sz w:val="20"/>
                <w:szCs w:val="22"/>
                <w:lang w:val="en-US" w:eastAsia="zh-CN" w:bidi="zh-CN"/>
              </w:rPr>
              <w:t>账</w:t>
            </w:r>
            <w:r>
              <w:rPr>
                <w:rFonts w:hint="eastAsia" w:ascii="Times New Roman" w:hAnsi="宋体" w:eastAsia="宋体" w:cs="宋体"/>
                <w:sz w:val="20"/>
                <w:szCs w:val="22"/>
                <w:lang w:val="en-US" w:eastAsia="zh-CN" w:bidi="zh-CN"/>
              </w:rPr>
              <w:t>、电汇、网上银行转账的方式缴纳。□以银行保函形式提交。</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Times New Roman" w:hAnsi="宋体" w:eastAsia="宋体" w:cs="宋体"/>
                <w:sz w:val="20"/>
                <w:szCs w:val="22"/>
                <w:lang w:val="en-US" w:eastAsia="zh-CN" w:bidi="zh-CN"/>
              </w:rPr>
            </w:pPr>
            <w:r>
              <w:rPr>
                <w:rFonts w:hint="eastAsia" w:ascii="Times New Roman" w:hAnsi="宋体" w:eastAsia="宋体" w:cs="宋体"/>
                <w:sz w:val="20"/>
                <w:szCs w:val="22"/>
                <w:lang w:val="en-US" w:eastAsia="zh-CN" w:bidi="zh-CN"/>
              </w:rPr>
              <w:t>⑶保证金缴纳截止时间</w:t>
            </w:r>
            <w:r>
              <w:rPr>
                <w:rFonts w:hint="eastAsia" w:ascii="Times New Roman" w:hAnsi="宋体" w:eastAsia="宋体" w:cs="宋体"/>
                <w:sz w:val="20"/>
                <w:szCs w:val="22"/>
                <w:u w:val="none"/>
                <w:lang w:val="en-US" w:eastAsia="zh-CN" w:bidi="zh-CN"/>
              </w:rPr>
              <w:t>：</w:t>
            </w:r>
            <w:r>
              <w:rPr>
                <w:rFonts w:hint="eastAsia" w:ascii="Times New Roman" w:hAnsi="宋体" w:eastAsia="宋体" w:cs="宋体"/>
                <w:sz w:val="20"/>
                <w:szCs w:val="22"/>
                <w:u w:val="single"/>
                <w:lang w:val="en-US" w:eastAsia="zh-CN" w:bidi="zh-CN"/>
              </w:rPr>
              <w:t xml:space="preserve">         </w:t>
            </w:r>
            <w:r>
              <w:rPr>
                <w:rFonts w:hint="eastAsia" w:ascii="Times New Roman" w:hAnsi="宋体" w:eastAsia="宋体" w:cs="宋体"/>
                <w:sz w:val="20"/>
                <w:szCs w:val="22"/>
                <w:lang w:val="en-US" w:eastAsia="zh-CN" w:bidi="zh-CN"/>
              </w:rPr>
              <w:t>，到达指定账户以银行到账时间为准。请登录全国公共资源交易平台（四川省·广元市）—电子交易平台，从工程建设业务栏目“查看保证金”模块中查看保证金缴纳账户信息。</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default" w:ascii="Times New Roman" w:hAnsi="宋体" w:eastAsia="宋体" w:cs="宋体"/>
                <w:sz w:val="20"/>
                <w:szCs w:val="22"/>
                <w:u w:val="single"/>
                <w:lang w:val="en-US" w:eastAsia="zh-CN" w:bidi="zh-CN"/>
              </w:rPr>
            </w:pPr>
            <w:r>
              <w:rPr>
                <w:rFonts w:hint="eastAsia" w:ascii="Times New Roman" w:hAnsi="宋体" w:eastAsia="宋体" w:cs="宋体"/>
                <w:sz w:val="20"/>
                <w:szCs w:val="22"/>
                <w:lang w:val="en-US" w:eastAsia="zh-CN" w:bidi="zh-CN"/>
              </w:rPr>
              <w:t>注意：</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Times New Roman" w:hAnsi="宋体" w:eastAsia="宋体" w:cs="宋体"/>
                <w:sz w:val="20"/>
                <w:szCs w:val="22"/>
                <w:lang w:val="en-US" w:eastAsia="zh-CN" w:bidi="zh-CN"/>
              </w:rPr>
            </w:pPr>
            <w:r>
              <w:rPr>
                <w:rFonts w:hint="eastAsia" w:ascii="Times New Roman" w:hAnsi="宋体" w:eastAsia="宋体" w:cs="宋体"/>
                <w:sz w:val="20"/>
                <w:szCs w:val="22"/>
                <w:lang w:val="en-US" w:eastAsia="zh-CN" w:bidi="zh-CN"/>
              </w:rPr>
              <w:t>⑴投标人在缴纳投标保证金时，请务必认真、准确填写相关保证金虚拟子账号，以确保保证金的安全、有效、准确。未按模块中显示保证金缴纳账户信息缴纳投标保证金的，其投标文件不予接受。</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Times New Roman" w:hAnsi="宋体" w:eastAsia="宋体" w:cs="宋体"/>
                <w:sz w:val="20"/>
                <w:szCs w:val="22"/>
                <w:lang w:val="en-US" w:eastAsia="zh-CN" w:bidi="zh-CN"/>
              </w:rPr>
            </w:pPr>
            <w:r>
              <w:rPr>
                <w:rFonts w:hint="eastAsia" w:ascii="Times New Roman" w:hAnsi="宋体" w:eastAsia="宋体" w:cs="宋体"/>
                <w:sz w:val="20"/>
                <w:szCs w:val="22"/>
                <w:lang w:val="en-US" w:eastAsia="zh-CN" w:bidi="zh-CN"/>
              </w:rPr>
              <w:t>⑵通过投标人的基本帐户以银行转</w:t>
            </w:r>
            <w:r>
              <w:rPr>
                <w:rFonts w:hint="eastAsia" w:ascii="Times New Roman" w:cs="宋体"/>
                <w:sz w:val="20"/>
                <w:szCs w:val="22"/>
                <w:lang w:val="en-US" w:eastAsia="zh-CN" w:bidi="zh-CN"/>
              </w:rPr>
              <w:t>账</w:t>
            </w:r>
            <w:r>
              <w:rPr>
                <w:rFonts w:hint="eastAsia" w:ascii="Times New Roman" w:hAnsi="宋体" w:eastAsia="宋体" w:cs="宋体"/>
                <w:sz w:val="20"/>
                <w:szCs w:val="22"/>
                <w:lang w:val="en-US" w:eastAsia="zh-CN" w:bidi="zh-CN"/>
              </w:rPr>
              <w:t xml:space="preserve">、电汇、网上银行转账的方式缴纳保证金的。投标人需打印银行金缴纳凭据，并按要求附在投标文件中同时提交。 </w:t>
            </w:r>
          </w:p>
          <w:p>
            <w:pPr>
              <w:pStyle w:val="21"/>
              <w:keepNext w:val="0"/>
              <w:keepLines w:val="0"/>
              <w:pageBreakBefore w:val="0"/>
              <w:kinsoku/>
              <w:wordWrap/>
              <w:overflowPunct/>
              <w:topLinePunct w:val="0"/>
              <w:bidi w:val="0"/>
              <w:adjustRightInd/>
              <w:snapToGrid/>
              <w:spacing w:before="90" w:line="312" w:lineRule="auto"/>
              <w:textAlignment w:val="auto"/>
              <w:rPr>
                <w:rFonts w:hint="eastAsia" w:ascii="Times New Roman" w:hAnsi="宋体" w:eastAsia="宋体" w:cs="宋体"/>
                <w:sz w:val="20"/>
                <w:szCs w:val="22"/>
                <w:lang w:val="en-US" w:eastAsia="zh-CN" w:bidi="zh-CN"/>
              </w:rPr>
            </w:pPr>
            <w:r>
              <w:rPr>
                <w:rFonts w:hint="eastAsia" w:ascii="Times New Roman" w:hAnsi="宋体" w:eastAsia="宋体" w:cs="宋体"/>
                <w:sz w:val="20"/>
                <w:szCs w:val="22"/>
                <w:lang w:val="en-US" w:eastAsia="zh-CN" w:bidi="zh-CN"/>
              </w:rPr>
              <w:t>⑶采用保函递交投标保证金的，采用银行的保函，出具保函的时间不得少于本项目投标有效期时间，投标人需将保函扫描件附入投标文件中，并在递交投标文件时将保函原件递交给招标人。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1037" w:type="dxa"/>
          </w:tcPr>
          <w:p>
            <w:pPr>
              <w:pStyle w:val="21"/>
            </w:pPr>
          </w:p>
          <w:p>
            <w:pPr>
              <w:pStyle w:val="21"/>
            </w:pPr>
          </w:p>
          <w:p>
            <w:pPr>
              <w:pStyle w:val="21"/>
            </w:pPr>
          </w:p>
          <w:p>
            <w:pPr>
              <w:pStyle w:val="21"/>
              <w:spacing w:before="167"/>
              <w:ind w:right="295"/>
              <w:jc w:val="right"/>
              <w:rPr>
                <w:rFonts w:ascii="Times New Roman"/>
                <w:sz w:val="21"/>
                <w:lang w:val="en-US"/>
              </w:rPr>
            </w:pPr>
            <w:r>
              <w:rPr>
                <w:rFonts w:ascii="Times New Roman"/>
                <w:sz w:val="21"/>
              </w:rPr>
              <w:t>3.4.</w:t>
            </w:r>
            <w:r>
              <w:rPr>
                <w:rFonts w:hint="eastAsia" w:ascii="Times New Roman"/>
                <w:sz w:val="21"/>
                <w:lang w:val="en-US"/>
              </w:rPr>
              <w:t>3</w:t>
            </w:r>
          </w:p>
        </w:tc>
        <w:tc>
          <w:tcPr>
            <w:tcW w:w="2953" w:type="dxa"/>
          </w:tcPr>
          <w:p>
            <w:pPr>
              <w:pStyle w:val="21"/>
              <w:rPr>
                <w:sz w:val="20"/>
              </w:rPr>
            </w:pPr>
          </w:p>
          <w:p>
            <w:pPr>
              <w:pStyle w:val="21"/>
              <w:rPr>
                <w:sz w:val="20"/>
              </w:rPr>
            </w:pPr>
          </w:p>
          <w:p>
            <w:pPr>
              <w:pStyle w:val="21"/>
              <w:rPr>
                <w:sz w:val="20"/>
              </w:rPr>
            </w:pPr>
          </w:p>
          <w:p>
            <w:pPr>
              <w:pStyle w:val="21"/>
              <w:ind w:left="1"/>
              <w:jc w:val="center"/>
              <w:rPr>
                <w:sz w:val="21"/>
              </w:rPr>
            </w:pPr>
            <w:r>
              <w:rPr>
                <w:rFonts w:hint="eastAsia" w:asciiTheme="minorEastAsia" w:hAnsiTheme="minorEastAsia"/>
                <w:sz w:val="21"/>
                <w:szCs w:val="21"/>
              </w:rPr>
              <w:t>投标保证金的退还</w:t>
            </w:r>
          </w:p>
        </w:tc>
        <w:tc>
          <w:tcPr>
            <w:tcW w:w="5017" w:type="dxa"/>
          </w:tcPr>
          <w:p>
            <w:pPr>
              <w:keepNext w:val="0"/>
              <w:keepLines w:val="0"/>
              <w:pageBreakBefore w:val="0"/>
              <w:kinsoku/>
              <w:wordWrap/>
              <w:overflowPunct/>
              <w:topLinePunct w:val="0"/>
              <w:bidi w:val="0"/>
              <w:adjustRightInd/>
              <w:snapToGrid/>
              <w:spacing w:line="312" w:lineRule="auto"/>
              <w:textAlignment w:val="auto"/>
              <w:rPr>
                <w:rFonts w:hint="eastAsia" w:ascii="Times New Roman" w:hAnsi="宋体" w:eastAsia="宋体" w:cs="宋体"/>
                <w:sz w:val="20"/>
                <w:szCs w:val="22"/>
                <w:lang w:val="en-US" w:eastAsia="zh-CN" w:bidi="zh-CN"/>
              </w:rPr>
            </w:pPr>
            <w:r>
              <w:rPr>
                <w:rFonts w:hint="eastAsia" w:ascii="Times New Roman" w:hAnsi="宋体" w:eastAsia="宋体" w:cs="宋体"/>
                <w:sz w:val="20"/>
                <w:szCs w:val="22"/>
                <w:lang w:val="en-US" w:eastAsia="zh-CN" w:bidi="zh-CN"/>
              </w:rPr>
              <w:t>未在候选人排名内的投标人递交的投标保证金在公示期结束之后退还；候选人排名内的投标人递交的投标保证金在书面合同签订后3日内退还投标人的投标保证金。</w:t>
            </w:r>
          </w:p>
          <w:p>
            <w:pPr>
              <w:pStyle w:val="21"/>
              <w:keepNext w:val="0"/>
              <w:keepLines w:val="0"/>
              <w:pageBreakBefore w:val="0"/>
              <w:kinsoku/>
              <w:wordWrap/>
              <w:overflowPunct/>
              <w:topLinePunct w:val="0"/>
              <w:bidi w:val="0"/>
              <w:adjustRightInd/>
              <w:snapToGrid/>
              <w:spacing w:line="312" w:lineRule="auto"/>
              <w:ind w:left="1"/>
              <w:textAlignment w:val="auto"/>
              <w:rPr>
                <w:rFonts w:hint="eastAsia" w:ascii="Times New Roman" w:hAnsi="宋体" w:eastAsia="宋体" w:cs="宋体"/>
                <w:sz w:val="20"/>
                <w:szCs w:val="22"/>
                <w:lang w:val="en-US" w:eastAsia="zh-CN" w:bidi="zh-CN"/>
              </w:rPr>
            </w:pPr>
            <w:r>
              <w:rPr>
                <w:rFonts w:hint="eastAsia" w:ascii="Times New Roman" w:hAnsi="宋体" w:eastAsia="宋体" w:cs="宋体"/>
                <w:sz w:val="20"/>
                <w:szCs w:val="22"/>
                <w:lang w:val="en-US" w:eastAsia="zh-CN" w:bidi="zh-CN"/>
              </w:rPr>
              <w:t>注：投标人提交的投标保函，超过投标有效期（包括延长期）的，自动失效。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37" w:type="dxa"/>
          </w:tcPr>
          <w:p>
            <w:pPr>
              <w:pStyle w:val="21"/>
              <w:spacing w:before="12"/>
            </w:pPr>
          </w:p>
          <w:p>
            <w:pPr>
              <w:pStyle w:val="21"/>
              <w:ind w:right="295"/>
              <w:jc w:val="right"/>
              <w:rPr>
                <w:rFonts w:ascii="Times New Roman"/>
                <w:sz w:val="21"/>
                <w:lang w:val="en-US"/>
              </w:rPr>
            </w:pPr>
            <w:r>
              <w:rPr>
                <w:rFonts w:ascii="Times New Roman"/>
                <w:sz w:val="21"/>
              </w:rPr>
              <w:t>3.4.</w:t>
            </w:r>
            <w:r>
              <w:rPr>
                <w:rFonts w:hint="eastAsia" w:ascii="Times New Roman"/>
                <w:sz w:val="21"/>
                <w:lang w:val="en-US"/>
              </w:rPr>
              <w:t>4</w:t>
            </w:r>
          </w:p>
        </w:tc>
        <w:tc>
          <w:tcPr>
            <w:tcW w:w="2953" w:type="dxa"/>
          </w:tcPr>
          <w:p>
            <w:pPr>
              <w:pStyle w:val="21"/>
              <w:spacing w:before="12" w:line="360" w:lineRule="exact"/>
              <w:ind w:left="1156" w:right="99" w:hanging="1049"/>
              <w:rPr>
                <w:sz w:val="21"/>
              </w:rPr>
            </w:pPr>
            <w:r>
              <w:rPr>
                <w:sz w:val="21"/>
              </w:rPr>
              <w:t>其他可以不予退还投标保证金的情形</w:t>
            </w:r>
          </w:p>
        </w:tc>
        <w:tc>
          <w:tcPr>
            <w:tcW w:w="5017" w:type="dxa"/>
          </w:tcPr>
          <w:p>
            <w:pPr>
              <w:pStyle w:val="21"/>
              <w:spacing w:line="312" w:lineRule="auto"/>
              <w:rPr>
                <w:rFonts w:ascii="Times New Roman"/>
                <w:sz w:val="20"/>
              </w:rPr>
            </w:pPr>
            <w:r>
              <w:rPr>
                <w:rFonts w:hint="eastAsia" w:ascii="Times New Roman"/>
                <w:sz w:val="20"/>
              </w:rPr>
              <w:t>（1）明示不与招标人签订合同，</w:t>
            </w:r>
            <w:r>
              <w:rPr>
                <w:rFonts w:hint="eastAsia" w:ascii="Times New Roman"/>
                <w:sz w:val="20"/>
                <w:lang w:val="en-US"/>
              </w:rPr>
              <w:t>视为自愿放弃中标，并不予退还投标保证金</w:t>
            </w:r>
            <w:r>
              <w:rPr>
                <w:rFonts w:hint="eastAsia" w:ascii="Times New Roman"/>
                <w:sz w:val="20"/>
              </w:rPr>
              <w:t>；</w:t>
            </w:r>
          </w:p>
          <w:p>
            <w:pPr>
              <w:pStyle w:val="21"/>
              <w:spacing w:line="312" w:lineRule="auto"/>
              <w:rPr>
                <w:rFonts w:ascii="Times New Roman"/>
                <w:sz w:val="20"/>
              </w:rPr>
            </w:pPr>
            <w:r>
              <w:rPr>
                <w:rFonts w:hint="eastAsia" w:ascii="Times New Roman"/>
                <w:sz w:val="20"/>
              </w:rPr>
              <w:t>（2）没有明示但不按照招标文件、中标人的投标文件、中标通知书要求与招标人签订合同，</w:t>
            </w:r>
            <w:r>
              <w:rPr>
                <w:rFonts w:hint="eastAsia" w:ascii="Times New Roman"/>
                <w:sz w:val="20"/>
                <w:lang w:val="en-US"/>
              </w:rPr>
              <w:t>视为自愿放弃中标，并不予退还投标保证金</w:t>
            </w:r>
            <w:r>
              <w:rPr>
                <w:rFonts w:hint="eastAsia" w:ascii="Times New Roman"/>
                <w:sz w:val="20"/>
              </w:rPr>
              <w:t>。</w:t>
            </w:r>
          </w:p>
          <w:p>
            <w:pPr>
              <w:pStyle w:val="21"/>
              <w:spacing w:line="312" w:lineRule="auto"/>
              <w:rPr>
                <w:rFonts w:ascii="Times New Roman"/>
                <w:sz w:val="20"/>
              </w:rPr>
            </w:pPr>
            <w:r>
              <w:rPr>
                <w:rFonts w:hint="eastAsia" w:ascii="Times New Roman"/>
                <w:sz w:val="20"/>
              </w:rPr>
              <w:t>（</w:t>
            </w:r>
            <w:r>
              <w:rPr>
                <w:rFonts w:hint="eastAsia" w:ascii="Times New Roman"/>
                <w:sz w:val="20"/>
                <w:lang w:val="en-US"/>
              </w:rPr>
              <w:t>3</w:t>
            </w:r>
            <w:r>
              <w:rPr>
                <w:rFonts w:hint="eastAsia" w:ascii="Times New Roman"/>
                <w:sz w:val="20"/>
              </w:rPr>
              <w:t>）投标人在投标活动中串通投标、弄虚作假的，投标保证金也不予退还。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037" w:type="dxa"/>
          </w:tcPr>
          <w:p>
            <w:pPr>
              <w:pStyle w:val="21"/>
              <w:spacing w:before="8"/>
              <w:rPr>
                <w:sz w:val="21"/>
              </w:rPr>
            </w:pPr>
          </w:p>
          <w:p>
            <w:pPr>
              <w:pStyle w:val="21"/>
              <w:ind w:left="331"/>
              <w:rPr>
                <w:sz w:val="11"/>
              </w:rPr>
            </w:pPr>
            <w:r>
              <w:rPr>
                <w:rFonts w:ascii="Times New Roman" w:hAnsi="Times New Roman"/>
                <w:sz w:val="21"/>
              </w:rPr>
              <w:t>3.5</w:t>
            </w:r>
          </w:p>
        </w:tc>
        <w:tc>
          <w:tcPr>
            <w:tcW w:w="2953" w:type="dxa"/>
          </w:tcPr>
          <w:p>
            <w:pPr>
              <w:pStyle w:val="21"/>
              <w:spacing w:before="11"/>
              <w:rPr>
                <w:sz w:val="20"/>
              </w:rPr>
            </w:pPr>
          </w:p>
          <w:p>
            <w:pPr>
              <w:pStyle w:val="21"/>
              <w:ind w:left="3"/>
              <w:jc w:val="center"/>
              <w:rPr>
                <w:sz w:val="21"/>
              </w:rPr>
            </w:pPr>
            <w:r>
              <w:rPr>
                <w:sz w:val="21"/>
              </w:rPr>
              <w:t>资格审查资料的特殊要求</w:t>
            </w:r>
          </w:p>
        </w:tc>
        <w:tc>
          <w:tcPr>
            <w:tcW w:w="5017" w:type="dxa"/>
          </w:tcPr>
          <w:p>
            <w:pPr>
              <w:pStyle w:val="21"/>
              <w:spacing w:line="350" w:lineRule="exact"/>
              <w:ind w:left="107"/>
              <w:rPr>
                <w:sz w:val="21"/>
              </w:rPr>
            </w:pPr>
            <w:r>
              <w:rPr>
                <w:rFonts w:ascii="Times New Roman" w:hAnsi="Times New Roman" w:eastAsia="Times New Roman"/>
                <w:sz w:val="32"/>
              </w:rPr>
              <w:sym w:font="Wingdings 2" w:char="00A3"/>
            </w:r>
            <w:r>
              <w:rPr>
                <w:sz w:val="21"/>
              </w:rPr>
              <w:t>无</w:t>
            </w:r>
          </w:p>
          <w:p>
            <w:pPr>
              <w:pStyle w:val="21"/>
              <w:spacing w:line="355" w:lineRule="exact"/>
              <w:ind w:left="107"/>
              <w:rPr>
                <w:sz w:val="21"/>
              </w:rPr>
            </w:pPr>
            <w:r>
              <w:rPr>
                <w:rFonts w:ascii="Times New Roman" w:hAnsi="Times New Roman" w:eastAsia="Times New Roman"/>
                <w:sz w:val="32"/>
              </w:rPr>
              <w:t>□</w:t>
            </w:r>
            <w:r>
              <w:rPr>
                <w:sz w:val="21"/>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37" w:type="dxa"/>
          </w:tcPr>
          <w:p>
            <w:pPr>
              <w:pStyle w:val="21"/>
              <w:spacing w:before="99" w:line="240" w:lineRule="exact"/>
              <w:ind w:right="242"/>
              <w:jc w:val="right"/>
              <w:rPr>
                <w:sz w:val="11"/>
                <w:lang w:val="en-US"/>
              </w:rPr>
            </w:pPr>
            <w:r>
              <w:rPr>
                <w:rFonts w:ascii="Times New Roman" w:hAnsi="Times New Roman"/>
                <w:sz w:val="21"/>
              </w:rPr>
              <w:t>3.5.</w:t>
            </w:r>
            <w:r>
              <w:rPr>
                <w:rFonts w:hint="eastAsia" w:ascii="Times New Roman" w:hAnsi="Times New Roman"/>
                <w:sz w:val="21"/>
                <w:lang w:val="en-US"/>
              </w:rPr>
              <w:t>1</w:t>
            </w:r>
          </w:p>
        </w:tc>
        <w:tc>
          <w:tcPr>
            <w:tcW w:w="2953" w:type="dxa"/>
          </w:tcPr>
          <w:p>
            <w:pPr>
              <w:pStyle w:val="21"/>
              <w:spacing w:before="89" w:line="250" w:lineRule="exact"/>
              <w:ind w:left="3"/>
              <w:jc w:val="center"/>
              <w:rPr>
                <w:sz w:val="21"/>
              </w:rPr>
            </w:pPr>
            <w:r>
              <w:rPr>
                <w:sz w:val="21"/>
              </w:rPr>
              <w:t>近年财务状况的年份要求</w:t>
            </w:r>
          </w:p>
        </w:tc>
        <w:tc>
          <w:tcPr>
            <w:tcW w:w="5017" w:type="dxa"/>
          </w:tcPr>
          <w:p>
            <w:pPr>
              <w:pStyle w:val="21"/>
              <w:tabs>
                <w:tab w:val="left" w:pos="529"/>
                <w:tab w:val="left" w:pos="1369"/>
              </w:tabs>
              <w:spacing w:before="89" w:line="250" w:lineRule="exact"/>
              <w:ind w:left="107"/>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年</w:t>
            </w:r>
            <w:r>
              <w:rPr>
                <w:sz w:val="21"/>
              </w:rPr>
              <w:t>至</w:t>
            </w:r>
            <w:r>
              <w:rPr>
                <w:sz w:val="21"/>
                <w:u w:val="single"/>
              </w:rPr>
              <w:t xml:space="preserve"> </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037" w:type="dxa"/>
          </w:tcPr>
          <w:p>
            <w:pPr>
              <w:pStyle w:val="21"/>
              <w:spacing w:before="101" w:line="240" w:lineRule="exact"/>
              <w:ind w:right="242"/>
              <w:jc w:val="right"/>
              <w:rPr>
                <w:sz w:val="11"/>
                <w:lang w:val="en-US"/>
              </w:rPr>
            </w:pPr>
            <w:r>
              <w:rPr>
                <w:rFonts w:ascii="Times New Roman" w:hAnsi="Times New Roman"/>
                <w:sz w:val="21"/>
              </w:rPr>
              <w:t>3.5.</w:t>
            </w:r>
            <w:r>
              <w:rPr>
                <w:rFonts w:hint="eastAsia" w:ascii="Times New Roman" w:hAnsi="Times New Roman"/>
                <w:sz w:val="21"/>
                <w:lang w:val="en-US"/>
              </w:rPr>
              <w:t>2</w:t>
            </w:r>
          </w:p>
        </w:tc>
        <w:tc>
          <w:tcPr>
            <w:tcW w:w="2953" w:type="dxa"/>
          </w:tcPr>
          <w:p>
            <w:pPr>
              <w:pStyle w:val="21"/>
              <w:spacing w:before="92" w:line="250" w:lineRule="exact"/>
              <w:ind w:left="6"/>
              <w:jc w:val="center"/>
              <w:rPr>
                <w:sz w:val="21"/>
              </w:rPr>
            </w:pPr>
            <w:r>
              <w:rPr>
                <w:sz w:val="21"/>
              </w:rPr>
              <w:t>近年完成的类似项目情况的时间要求</w:t>
            </w:r>
          </w:p>
        </w:tc>
        <w:tc>
          <w:tcPr>
            <w:tcW w:w="5017" w:type="dxa"/>
          </w:tcPr>
          <w:p>
            <w:pPr>
              <w:pStyle w:val="21"/>
              <w:tabs>
                <w:tab w:val="left" w:pos="529"/>
                <w:tab w:val="left" w:pos="1158"/>
                <w:tab w:val="left" w:pos="1789"/>
                <w:tab w:val="left" w:pos="2627"/>
                <w:tab w:val="left" w:pos="3258"/>
                <w:tab w:val="left" w:pos="3888"/>
              </w:tabs>
              <w:spacing w:before="92" w:line="250" w:lineRule="exact"/>
              <w:ind w:left="107"/>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年</w:t>
            </w:r>
            <w:r>
              <w:rPr>
                <w:spacing w:val="-3"/>
                <w:sz w:val="21"/>
                <w:u w:val="single"/>
              </w:rPr>
              <w:t xml:space="preserve"> </w:t>
            </w:r>
            <w:r>
              <w:rPr>
                <w:spacing w:val="-3"/>
                <w:sz w:val="21"/>
                <w:u w:val="single"/>
              </w:rPr>
              <w:tab/>
            </w:r>
            <w:r>
              <w:rPr>
                <w:sz w:val="21"/>
              </w:rPr>
              <w:t>月</w:t>
            </w:r>
            <w:r>
              <w:rPr>
                <w:sz w:val="21"/>
                <w:u w:val="single"/>
              </w:rPr>
              <w:t xml:space="preserve"> </w:t>
            </w:r>
            <w:r>
              <w:rPr>
                <w:sz w:val="21"/>
                <w:u w:val="single"/>
              </w:rPr>
              <w:tab/>
            </w:r>
            <w:r>
              <w:rPr>
                <w:spacing w:val="-3"/>
                <w:sz w:val="21"/>
              </w:rPr>
              <w:t>日</w:t>
            </w:r>
            <w:r>
              <w:rPr>
                <w:sz w:val="21"/>
              </w:rPr>
              <w:t>至</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37" w:type="dxa"/>
            <w:vAlign w:val="center"/>
          </w:tcPr>
          <w:p>
            <w:pPr>
              <w:pStyle w:val="21"/>
              <w:spacing w:before="191"/>
              <w:ind w:right="295"/>
              <w:jc w:val="center"/>
              <w:rPr>
                <w:rFonts w:ascii="Times New Roman"/>
                <w:sz w:val="21"/>
                <w:lang w:val="en-US"/>
              </w:rPr>
            </w:pPr>
            <w:r>
              <w:rPr>
                <w:rFonts w:hint="eastAsia" w:ascii="Times New Roman"/>
                <w:sz w:val="21"/>
                <w:lang w:val="en-US"/>
              </w:rPr>
              <w:t>3.5.3</w:t>
            </w:r>
          </w:p>
        </w:tc>
        <w:tc>
          <w:tcPr>
            <w:tcW w:w="2953" w:type="dxa"/>
            <w:vAlign w:val="center"/>
          </w:tcPr>
          <w:p>
            <w:pPr>
              <w:pStyle w:val="21"/>
              <w:ind w:left="6"/>
              <w:jc w:val="center"/>
              <w:rPr>
                <w:sz w:val="21"/>
                <w:lang w:val="en-US"/>
              </w:rPr>
            </w:pPr>
            <w:r>
              <w:rPr>
                <w:rFonts w:hint="eastAsia"/>
                <w:sz w:val="21"/>
                <w:lang w:val="en-US"/>
              </w:rPr>
              <w:t>投标文件格式</w:t>
            </w:r>
          </w:p>
        </w:tc>
        <w:tc>
          <w:tcPr>
            <w:tcW w:w="5017" w:type="dxa"/>
          </w:tcPr>
          <w:p>
            <w:pPr>
              <w:pStyle w:val="21"/>
              <w:spacing w:line="360" w:lineRule="atLeast"/>
              <w:ind w:left="107" w:right="-53"/>
              <w:rPr>
                <w:sz w:val="21"/>
              </w:rPr>
            </w:pPr>
            <w:r>
              <w:rPr>
                <w:rFonts w:hint="eastAsia"/>
                <w:sz w:val="21"/>
              </w:rPr>
              <w:t>（1）投标人不得对招标文件格式中的内容进行删减或修改。</w:t>
            </w:r>
          </w:p>
          <w:p>
            <w:pPr>
              <w:pStyle w:val="21"/>
              <w:spacing w:line="360" w:lineRule="atLeast"/>
              <w:ind w:left="107" w:right="-53"/>
              <w:rPr>
                <w:sz w:val="21"/>
              </w:rPr>
            </w:pPr>
            <w:r>
              <w:rPr>
                <w:rFonts w:hint="eastAsia"/>
                <w:sz w:val="21"/>
              </w:rPr>
              <w:t>（2）投标人可以在格式内容之外另行说明和增加相关的内容作为投标文件的组成部分。另行说明或自行增加的内容、以及按投标文件格式在空格（下划线）由投标人填写的内容，不得与招标文件的强制性审查标准和禁止性规定相抵触。</w:t>
            </w:r>
          </w:p>
          <w:p>
            <w:pPr>
              <w:pStyle w:val="21"/>
              <w:spacing w:line="360" w:lineRule="atLeast"/>
              <w:ind w:left="107" w:right="-53"/>
              <w:rPr>
                <w:sz w:val="21"/>
              </w:rPr>
            </w:pPr>
            <w:r>
              <w:rPr>
                <w:rFonts w:hint="eastAsia"/>
                <w:sz w:val="21"/>
              </w:rPr>
              <w:t>（3）按投标文件格式在空格（下划线）由投标人填写的内容，确实没有需要填写的，可以在空格中用“/”标示,也可以不填（空白）。但招标文件中另有规定的从其规定。</w:t>
            </w:r>
          </w:p>
          <w:p>
            <w:pPr>
              <w:pStyle w:val="21"/>
              <w:spacing w:line="360" w:lineRule="atLeast"/>
              <w:ind w:left="107" w:right="-53"/>
              <w:rPr>
                <w:sz w:val="21"/>
              </w:rPr>
            </w:pPr>
            <w:r>
              <w:rPr>
                <w:rFonts w:hint="eastAsia"/>
                <w:sz w:val="21"/>
              </w:rPr>
              <w:t>（4）投标文件应对招标文件提出的所有实质性要求和条件作出实质性响应，并且实质性响应的内容不得互相矛盾。</w:t>
            </w:r>
          </w:p>
          <w:p>
            <w:pPr>
              <w:pStyle w:val="21"/>
              <w:spacing w:line="360" w:lineRule="atLeast"/>
              <w:ind w:left="107" w:right="-53"/>
              <w:rPr>
                <w:sz w:val="21"/>
              </w:rPr>
            </w:pPr>
            <w:r>
              <w:rPr>
                <w:rFonts w:hint="eastAsia"/>
                <w:sz w:val="21"/>
              </w:rPr>
              <w:t>（5）投标文件应内容完整，字迹清晰可辨。投标文件（不包括所附证明材料）字迹或印章模糊导致无法确认关键技术方案、关键工期、关键工程质量保证措施、投标价格的，应作废标处理。</w:t>
            </w:r>
          </w:p>
          <w:p>
            <w:pPr>
              <w:pStyle w:val="21"/>
              <w:spacing w:line="360" w:lineRule="atLeast"/>
              <w:ind w:left="107" w:right="-53"/>
              <w:rPr>
                <w:sz w:val="21"/>
              </w:rPr>
            </w:pPr>
            <w:r>
              <w:rPr>
                <w:rFonts w:hint="eastAsia"/>
                <w:sz w:val="21"/>
              </w:rPr>
              <w:t>（6）投标文件所附证明材料应内容完整并清晰可辨。所附证明材料内容不完整或字迹模糊的、印章模糊的，评标委员会应要求投标人提供原件核验。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037" w:type="dxa"/>
            <w:vAlign w:val="center"/>
          </w:tcPr>
          <w:p>
            <w:pPr>
              <w:pStyle w:val="21"/>
              <w:spacing w:before="191"/>
              <w:ind w:right="295"/>
              <w:jc w:val="center"/>
              <w:rPr>
                <w:rFonts w:ascii="Times New Roman"/>
                <w:sz w:val="21"/>
                <w:lang w:val="en-US"/>
              </w:rPr>
            </w:pPr>
            <w:r>
              <w:rPr>
                <w:rFonts w:hint="eastAsia" w:ascii="Times New Roman"/>
                <w:sz w:val="21"/>
                <w:lang w:val="en-US"/>
              </w:rPr>
              <w:t>3.5.4</w:t>
            </w:r>
          </w:p>
        </w:tc>
        <w:tc>
          <w:tcPr>
            <w:tcW w:w="2953" w:type="dxa"/>
            <w:vAlign w:val="center"/>
          </w:tcPr>
          <w:p>
            <w:pPr>
              <w:spacing w:line="500" w:lineRule="exact"/>
              <w:jc w:val="center"/>
              <w:rPr>
                <w:sz w:val="21"/>
                <w:lang w:val="en-US"/>
              </w:rPr>
            </w:pPr>
            <w:r>
              <w:rPr>
                <w:rFonts w:hint="eastAsia"/>
                <w:sz w:val="21"/>
                <w:lang w:val="en-US"/>
              </w:rPr>
              <w:t>投标文件份数</w:t>
            </w:r>
          </w:p>
        </w:tc>
        <w:tc>
          <w:tcPr>
            <w:tcW w:w="5017" w:type="dxa"/>
            <w:vAlign w:val="center"/>
          </w:tcPr>
          <w:p>
            <w:pPr>
              <w:spacing w:line="312" w:lineRule="auto"/>
              <w:rPr>
                <w:sz w:val="21"/>
              </w:rPr>
            </w:pPr>
            <w:r>
              <w:rPr>
                <w:rFonts w:hint="eastAsia"/>
                <w:sz w:val="21"/>
              </w:rPr>
              <w:t>纸质投标文件</w:t>
            </w:r>
            <w:r>
              <w:rPr>
                <w:rFonts w:hint="eastAsia"/>
                <w:sz w:val="21"/>
                <w:u w:val="single"/>
                <w:lang w:val="en-US"/>
              </w:rPr>
              <w:t>一正四副</w:t>
            </w:r>
            <w:r>
              <w:rPr>
                <w:rFonts w:hint="eastAsia"/>
                <w:sz w:val="21"/>
              </w:rPr>
              <w:t>。电子文档</w:t>
            </w:r>
            <w:r>
              <w:rPr>
                <w:rFonts w:hint="eastAsia"/>
                <w:sz w:val="21"/>
                <w:u w:val="single"/>
              </w:rPr>
              <w:t>壹</w:t>
            </w:r>
            <w:r>
              <w:rPr>
                <w:rFonts w:hint="eastAsia"/>
                <w:sz w:val="21"/>
              </w:rPr>
              <w:t>份。当电子标书与纸质标书不一致时，以纸质标书为准，但电子标书和纸质标书内容不一致造成的评标差错由投标人自行承担。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37" w:type="dxa"/>
            <w:vAlign w:val="center"/>
          </w:tcPr>
          <w:p>
            <w:pPr>
              <w:pStyle w:val="21"/>
              <w:spacing w:before="113" w:line="226" w:lineRule="exact"/>
              <w:ind w:right="295"/>
              <w:jc w:val="center"/>
              <w:rPr>
                <w:rFonts w:ascii="Times New Roman"/>
                <w:sz w:val="21"/>
              </w:rPr>
            </w:pPr>
            <w:r>
              <w:rPr>
                <w:rFonts w:ascii="Times New Roman"/>
                <w:sz w:val="21"/>
              </w:rPr>
              <w:t>3.</w:t>
            </w:r>
            <w:r>
              <w:rPr>
                <w:rFonts w:hint="eastAsia" w:ascii="Times New Roman"/>
                <w:sz w:val="21"/>
                <w:lang w:val="en-US"/>
              </w:rPr>
              <w:t>5</w:t>
            </w:r>
            <w:r>
              <w:rPr>
                <w:rFonts w:ascii="Times New Roman"/>
                <w:sz w:val="21"/>
              </w:rPr>
              <w:t>.5</w:t>
            </w:r>
          </w:p>
        </w:tc>
        <w:tc>
          <w:tcPr>
            <w:tcW w:w="2953" w:type="dxa"/>
            <w:vAlign w:val="center"/>
          </w:tcPr>
          <w:p>
            <w:pPr>
              <w:spacing w:line="500" w:lineRule="exact"/>
              <w:jc w:val="center"/>
              <w:rPr>
                <w:sz w:val="21"/>
              </w:rPr>
            </w:pPr>
            <w:r>
              <w:rPr>
                <w:rFonts w:hint="eastAsia"/>
                <w:sz w:val="21"/>
                <w:lang w:val="en-US"/>
              </w:rPr>
              <w:t>装订要求</w:t>
            </w:r>
          </w:p>
        </w:tc>
        <w:tc>
          <w:tcPr>
            <w:tcW w:w="5017" w:type="dxa"/>
            <w:vAlign w:val="center"/>
          </w:tcPr>
          <w:p>
            <w:pPr>
              <w:spacing w:line="312" w:lineRule="auto"/>
              <w:rPr>
                <w:sz w:val="21"/>
              </w:rPr>
            </w:pPr>
            <w:r>
              <w:rPr>
                <w:rFonts w:hint="eastAsia"/>
                <w:sz w:val="21"/>
              </w:rPr>
              <w:t>投标文件一律用A4复印纸编制。</w:t>
            </w:r>
          </w:p>
          <w:p>
            <w:pPr>
              <w:spacing w:line="312" w:lineRule="auto"/>
              <w:rPr>
                <w:rFonts w:ascii="Times New Roman"/>
                <w:sz w:val="20"/>
              </w:rPr>
            </w:pPr>
            <w:r>
              <w:rPr>
                <w:rFonts w:hint="eastAsia"/>
                <w:sz w:val="21"/>
              </w:rPr>
              <w:t>投标文件应采用粘贴方式左侧装订，不得采用活页夹等可随时拆换的方式装订，不得有零散页。投标文件应严格按照第四章“投标文件格式”中的目录按次序装订。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8" w:hRule="atLeast"/>
        </w:trPr>
        <w:tc>
          <w:tcPr>
            <w:tcW w:w="1037" w:type="dxa"/>
            <w:tcBorders>
              <w:bottom w:val="single" w:color="000000" w:sz="6" w:space="0"/>
            </w:tcBorders>
          </w:tcPr>
          <w:p>
            <w:pPr>
              <w:pStyle w:val="21"/>
              <w:rPr>
                <w:sz w:val="24"/>
              </w:rPr>
            </w:pPr>
          </w:p>
          <w:p>
            <w:pPr>
              <w:pStyle w:val="21"/>
              <w:rPr>
                <w:sz w:val="24"/>
              </w:rPr>
            </w:pPr>
          </w:p>
          <w:p>
            <w:pPr>
              <w:pStyle w:val="21"/>
              <w:rPr>
                <w:sz w:val="24"/>
              </w:rPr>
            </w:pPr>
          </w:p>
          <w:p>
            <w:pPr>
              <w:pStyle w:val="21"/>
              <w:rPr>
                <w:sz w:val="24"/>
              </w:rPr>
            </w:pPr>
          </w:p>
          <w:p>
            <w:pPr>
              <w:pStyle w:val="21"/>
              <w:rPr>
                <w:sz w:val="24"/>
              </w:rPr>
            </w:pPr>
          </w:p>
          <w:p>
            <w:pPr>
              <w:pStyle w:val="21"/>
              <w:rPr>
                <w:sz w:val="24"/>
              </w:rPr>
            </w:pPr>
          </w:p>
          <w:p>
            <w:pPr>
              <w:pStyle w:val="21"/>
              <w:rPr>
                <w:sz w:val="24"/>
              </w:rPr>
            </w:pPr>
          </w:p>
          <w:p>
            <w:pPr>
              <w:pStyle w:val="21"/>
              <w:rPr>
                <w:sz w:val="24"/>
              </w:rPr>
            </w:pPr>
          </w:p>
          <w:p>
            <w:pPr>
              <w:pStyle w:val="21"/>
              <w:rPr>
                <w:sz w:val="24"/>
              </w:rPr>
            </w:pPr>
          </w:p>
          <w:p>
            <w:pPr>
              <w:pStyle w:val="21"/>
              <w:rPr>
                <w:sz w:val="24"/>
              </w:rPr>
            </w:pPr>
          </w:p>
          <w:p>
            <w:pPr>
              <w:pStyle w:val="21"/>
              <w:rPr>
                <w:sz w:val="24"/>
              </w:rPr>
            </w:pPr>
          </w:p>
          <w:p>
            <w:pPr>
              <w:pStyle w:val="21"/>
              <w:rPr>
                <w:sz w:val="24"/>
              </w:rPr>
            </w:pPr>
          </w:p>
          <w:p>
            <w:pPr>
              <w:pStyle w:val="21"/>
              <w:rPr>
                <w:sz w:val="24"/>
              </w:rPr>
            </w:pPr>
          </w:p>
          <w:p>
            <w:pPr>
              <w:pStyle w:val="21"/>
              <w:rPr>
                <w:sz w:val="24"/>
              </w:rPr>
            </w:pPr>
          </w:p>
          <w:p>
            <w:pPr>
              <w:pStyle w:val="21"/>
              <w:rPr>
                <w:sz w:val="23"/>
              </w:rPr>
            </w:pPr>
          </w:p>
          <w:p>
            <w:pPr>
              <w:pStyle w:val="21"/>
              <w:ind w:right="242"/>
              <w:jc w:val="right"/>
              <w:rPr>
                <w:sz w:val="11"/>
                <w:lang w:val="en-US"/>
              </w:rPr>
            </w:pPr>
            <w:r>
              <w:rPr>
                <w:rFonts w:ascii="Times New Roman" w:hAnsi="Times New Roman"/>
                <w:sz w:val="21"/>
              </w:rPr>
              <w:t>4.1.</w:t>
            </w:r>
            <w:r>
              <w:rPr>
                <w:rFonts w:hint="eastAsia" w:ascii="Times New Roman" w:hAnsi="Times New Roman"/>
                <w:sz w:val="21"/>
                <w:lang w:val="en-US"/>
              </w:rPr>
              <w:t>1</w:t>
            </w:r>
          </w:p>
        </w:tc>
        <w:tc>
          <w:tcPr>
            <w:tcW w:w="2953" w:type="dxa"/>
            <w:tcBorders>
              <w:bottom w:val="single" w:color="000000" w:sz="6" w:space="0"/>
            </w:tcBorders>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3"/>
              <w:rPr>
                <w:sz w:val="18"/>
              </w:rPr>
            </w:pPr>
          </w:p>
          <w:p>
            <w:pPr>
              <w:pStyle w:val="21"/>
              <w:spacing w:before="1"/>
              <w:ind w:left="5"/>
              <w:jc w:val="center"/>
              <w:rPr>
                <w:sz w:val="21"/>
              </w:rPr>
            </w:pPr>
            <w:r>
              <w:rPr>
                <w:sz w:val="21"/>
              </w:rPr>
              <w:t>封套上应载明的信息</w:t>
            </w:r>
          </w:p>
        </w:tc>
        <w:tc>
          <w:tcPr>
            <w:tcW w:w="5017" w:type="dxa"/>
            <w:tcBorders>
              <w:bottom w:val="single" w:color="000000" w:sz="6" w:space="0"/>
            </w:tcBorders>
          </w:tcPr>
          <w:p>
            <w:pPr>
              <w:pStyle w:val="21"/>
              <w:tabs>
                <w:tab w:val="left" w:pos="3304"/>
              </w:tabs>
              <w:spacing w:before="90" w:line="321" w:lineRule="auto"/>
              <w:ind w:left="107" w:right="469"/>
              <w:rPr>
                <w:rFonts w:ascii="Times New Roman" w:eastAsia="Times New Roman"/>
                <w:sz w:val="21"/>
              </w:rPr>
            </w:pPr>
            <w:r>
              <w:rPr>
                <w:b/>
                <w:sz w:val="21"/>
              </w:rPr>
              <w:t>投标文件第一个信</w:t>
            </w:r>
            <w:r>
              <w:rPr>
                <w:b/>
                <w:spacing w:val="-3"/>
                <w:sz w:val="21"/>
              </w:rPr>
              <w:t>封</w:t>
            </w:r>
            <w:r>
              <w:rPr>
                <w:b/>
                <w:sz w:val="21"/>
              </w:rPr>
              <w:t>（</w:t>
            </w:r>
            <w:r>
              <w:rPr>
                <w:b/>
                <w:spacing w:val="-3"/>
                <w:sz w:val="21"/>
              </w:rPr>
              <w:t>商</w:t>
            </w:r>
            <w:r>
              <w:rPr>
                <w:b/>
                <w:sz w:val="21"/>
              </w:rPr>
              <w:t>务及技术文件）封</w:t>
            </w:r>
            <w:r>
              <w:rPr>
                <w:b/>
                <w:spacing w:val="-3"/>
                <w:sz w:val="21"/>
              </w:rPr>
              <w:t>套</w:t>
            </w:r>
            <w:r>
              <w:rPr>
                <w:b/>
                <w:sz w:val="21"/>
              </w:rPr>
              <w:t xml:space="preserve">： </w:t>
            </w:r>
            <w:r>
              <w:rPr>
                <w:sz w:val="21"/>
              </w:rPr>
              <w:t>招标</w:t>
            </w:r>
            <w:r>
              <w:rPr>
                <w:spacing w:val="-3"/>
                <w:sz w:val="21"/>
              </w:rPr>
              <w:t>人</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1"/>
              <w:tabs>
                <w:tab w:val="left" w:pos="3304"/>
              </w:tabs>
              <w:spacing w:line="268" w:lineRule="exact"/>
              <w:ind w:left="107"/>
              <w:rPr>
                <w:rFonts w:ascii="Times New Roman" w:eastAsia="Times New Roman"/>
                <w:sz w:val="21"/>
              </w:rPr>
            </w:pPr>
            <w:r>
              <w:rPr>
                <w:sz w:val="21"/>
              </w:rPr>
              <w:t>招标</w:t>
            </w:r>
            <w:r>
              <w:rPr>
                <w:spacing w:val="-3"/>
                <w:sz w:val="21"/>
              </w:rPr>
              <w:t>人</w:t>
            </w:r>
            <w:r>
              <w:rPr>
                <w:sz w:val="21"/>
              </w:rPr>
              <w:t>地</w:t>
            </w:r>
            <w:r>
              <w:rPr>
                <w:spacing w:val="-3"/>
                <w:sz w:val="21"/>
              </w:rPr>
              <w:t>址</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1"/>
              <w:tabs>
                <w:tab w:val="left" w:pos="738"/>
                <w:tab w:val="left" w:pos="2596"/>
              </w:tabs>
              <w:spacing w:before="91"/>
              <w:ind w:left="107"/>
              <w:rPr>
                <w:sz w:val="21"/>
              </w:rPr>
            </w:pPr>
            <w:r>
              <w:rPr>
                <w:rFonts w:ascii="Times New Roman" w:eastAsia="Times New Roman"/>
                <w:sz w:val="21"/>
                <w:u w:val="single"/>
              </w:rPr>
              <w:t xml:space="preserve"> </w:t>
            </w:r>
            <w:r>
              <w:rPr>
                <w:rFonts w:ascii="Times New Roman" w:eastAsia="Times New Roman"/>
                <w:sz w:val="21"/>
                <w:u w:val="single"/>
              </w:rPr>
              <w:tab/>
            </w:r>
            <w:r>
              <w:rPr>
                <w:sz w:val="21"/>
              </w:rPr>
              <w:t>（</w:t>
            </w:r>
            <w:r>
              <w:rPr>
                <w:spacing w:val="-3"/>
                <w:sz w:val="21"/>
              </w:rPr>
              <w:t>项</w:t>
            </w:r>
            <w:r>
              <w:rPr>
                <w:sz w:val="21"/>
              </w:rPr>
              <w:t>目</w:t>
            </w:r>
            <w:r>
              <w:rPr>
                <w:spacing w:val="-3"/>
                <w:sz w:val="21"/>
              </w:rPr>
              <w:t>名</w:t>
            </w:r>
            <w:r>
              <w:rPr>
                <w:sz w:val="21"/>
              </w:rPr>
              <w:t>称</w:t>
            </w:r>
            <w:r>
              <w:rPr>
                <w:spacing w:val="-34"/>
                <w:sz w:val="21"/>
              </w:rPr>
              <w:t>）</w:t>
            </w:r>
            <w:r>
              <w:rPr>
                <w:spacing w:val="-34"/>
                <w:sz w:val="21"/>
                <w:u w:val="single"/>
              </w:rPr>
              <w:t xml:space="preserve"> </w:t>
            </w:r>
            <w:r>
              <w:rPr>
                <w:spacing w:val="-34"/>
                <w:sz w:val="21"/>
                <w:u w:val="single"/>
              </w:rPr>
              <w:tab/>
            </w:r>
            <w:r>
              <w:rPr>
                <w:sz w:val="21"/>
              </w:rPr>
              <w:t>标</w:t>
            </w:r>
            <w:r>
              <w:rPr>
                <w:spacing w:val="-3"/>
                <w:sz w:val="21"/>
              </w:rPr>
              <w:t>段</w:t>
            </w:r>
            <w:r>
              <w:rPr>
                <w:sz w:val="21"/>
              </w:rPr>
              <w:t>施工招</w:t>
            </w:r>
            <w:r>
              <w:rPr>
                <w:spacing w:val="-3"/>
                <w:sz w:val="21"/>
              </w:rPr>
              <w:t>标</w:t>
            </w:r>
            <w:r>
              <w:rPr>
                <w:sz w:val="21"/>
              </w:rPr>
              <w:t>第</w:t>
            </w:r>
            <w:r>
              <w:rPr>
                <w:spacing w:val="-3"/>
                <w:sz w:val="21"/>
              </w:rPr>
              <w:t>一</w:t>
            </w:r>
            <w:r>
              <w:rPr>
                <w:sz w:val="21"/>
              </w:rPr>
              <w:t>个</w:t>
            </w:r>
            <w:r>
              <w:rPr>
                <w:spacing w:val="-3"/>
                <w:sz w:val="21"/>
              </w:rPr>
              <w:t>信</w:t>
            </w:r>
            <w:r>
              <w:rPr>
                <w:sz w:val="21"/>
              </w:rPr>
              <w:t>封</w:t>
            </w:r>
          </w:p>
          <w:p>
            <w:pPr>
              <w:pStyle w:val="21"/>
              <w:tabs>
                <w:tab w:val="left" w:pos="2884"/>
              </w:tabs>
              <w:spacing w:before="91" w:line="321" w:lineRule="auto"/>
              <w:ind w:left="107" w:right="2120" w:hanging="106"/>
              <w:rPr>
                <w:rFonts w:ascii="Times New Roman" w:eastAsia="Times New Roman"/>
                <w:sz w:val="21"/>
              </w:rPr>
            </w:pPr>
            <w:r>
              <w:rPr>
                <w:sz w:val="21"/>
              </w:rPr>
              <w:t>（商</w:t>
            </w:r>
            <w:r>
              <w:rPr>
                <w:spacing w:val="-3"/>
                <w:sz w:val="21"/>
              </w:rPr>
              <w:t>务</w:t>
            </w:r>
            <w:r>
              <w:rPr>
                <w:sz w:val="21"/>
              </w:rPr>
              <w:t>及</w:t>
            </w:r>
            <w:r>
              <w:rPr>
                <w:spacing w:val="-3"/>
                <w:sz w:val="21"/>
              </w:rPr>
              <w:t>技</w:t>
            </w:r>
            <w:r>
              <w:rPr>
                <w:sz w:val="21"/>
              </w:rPr>
              <w:t>术</w:t>
            </w:r>
            <w:r>
              <w:rPr>
                <w:spacing w:val="-3"/>
                <w:sz w:val="21"/>
              </w:rPr>
              <w:t>文</w:t>
            </w:r>
            <w:r>
              <w:rPr>
                <w:sz w:val="21"/>
              </w:rPr>
              <w:t>件</w:t>
            </w:r>
            <w:r>
              <w:rPr>
                <w:spacing w:val="-3"/>
                <w:sz w:val="21"/>
              </w:rPr>
              <w:t>）</w:t>
            </w:r>
            <w:r>
              <w:rPr>
                <w:sz w:val="21"/>
              </w:rPr>
              <w:t>投</w:t>
            </w:r>
            <w:r>
              <w:rPr>
                <w:spacing w:val="-3"/>
                <w:sz w:val="21"/>
              </w:rPr>
              <w:t>标文</w:t>
            </w:r>
            <w:r>
              <w:rPr>
                <w:sz w:val="21"/>
              </w:rPr>
              <w:t>件招标</w:t>
            </w:r>
            <w:r>
              <w:rPr>
                <w:spacing w:val="-3"/>
                <w:sz w:val="21"/>
              </w:rPr>
              <w:t>项</w:t>
            </w:r>
            <w:r>
              <w:rPr>
                <w:sz w:val="21"/>
              </w:rPr>
              <w:t>目</w:t>
            </w:r>
            <w:r>
              <w:rPr>
                <w:spacing w:val="-3"/>
                <w:sz w:val="21"/>
              </w:rPr>
              <w:t>编</w:t>
            </w:r>
            <w:r>
              <w:rPr>
                <w:sz w:val="21"/>
              </w:rPr>
              <w:t>号</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21"/>
              <w:tabs>
                <w:tab w:val="left" w:pos="3935"/>
              </w:tabs>
              <w:spacing w:line="321" w:lineRule="auto"/>
              <w:ind w:left="107" w:right="1069"/>
              <w:rPr>
                <w:rFonts w:ascii="Times New Roman" w:eastAsia="Times New Roman"/>
                <w:sz w:val="21"/>
              </w:rPr>
            </w:pPr>
            <w:r>
              <w:rPr>
                <w:sz w:val="21"/>
              </w:rPr>
              <w:t>在</w:t>
            </w:r>
            <w:r>
              <w:rPr>
                <w:sz w:val="21"/>
                <w:u w:val="single"/>
              </w:rPr>
              <w:t xml:space="preserve">   </w:t>
            </w:r>
            <w:r>
              <w:rPr>
                <w:spacing w:val="1"/>
                <w:sz w:val="21"/>
                <w:u w:val="single"/>
              </w:rPr>
              <w:t xml:space="preserve"> </w:t>
            </w:r>
            <w:r>
              <w:rPr>
                <w:sz w:val="21"/>
              </w:rPr>
              <w:t>年</w:t>
            </w:r>
            <w:r>
              <w:rPr>
                <w:sz w:val="21"/>
                <w:u w:val="single"/>
              </w:rPr>
              <w:t xml:space="preserve">   </w:t>
            </w:r>
            <w:r>
              <w:rPr>
                <w:sz w:val="21"/>
              </w:rPr>
              <w:t>月</w:t>
            </w:r>
            <w:r>
              <w:rPr>
                <w:spacing w:val="103"/>
                <w:sz w:val="21"/>
                <w:u w:val="single"/>
              </w:rPr>
              <w:t xml:space="preserve"> </w:t>
            </w:r>
            <w:r>
              <w:rPr>
                <w:sz w:val="21"/>
              </w:rPr>
              <w:t>日</w:t>
            </w:r>
            <w:r>
              <w:rPr>
                <w:spacing w:val="103"/>
                <w:sz w:val="21"/>
                <w:u w:val="single"/>
              </w:rPr>
              <w:t xml:space="preserve"> </w:t>
            </w:r>
            <w:r>
              <w:rPr>
                <w:sz w:val="21"/>
              </w:rPr>
              <w:t>时</w:t>
            </w:r>
            <w:r>
              <w:rPr>
                <w:spacing w:val="100"/>
                <w:sz w:val="21"/>
                <w:u w:val="single"/>
              </w:rPr>
              <w:t xml:space="preserve"> </w:t>
            </w:r>
            <w:r>
              <w:rPr>
                <w:sz w:val="21"/>
              </w:rPr>
              <w:t>分前</w:t>
            </w:r>
            <w:r>
              <w:rPr>
                <w:spacing w:val="-3"/>
                <w:sz w:val="21"/>
              </w:rPr>
              <w:t>不</w:t>
            </w:r>
            <w:r>
              <w:rPr>
                <w:sz w:val="21"/>
              </w:rPr>
              <w:t>得</w:t>
            </w:r>
            <w:r>
              <w:rPr>
                <w:spacing w:val="-3"/>
                <w:sz w:val="21"/>
              </w:rPr>
              <w:t>开</w:t>
            </w:r>
            <w:r>
              <w:rPr>
                <w:sz w:val="21"/>
              </w:rPr>
              <w:t>启投标</w:t>
            </w:r>
            <w:r>
              <w:rPr>
                <w:spacing w:val="-3"/>
                <w:sz w:val="21"/>
              </w:rPr>
              <w:t>人</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1"/>
              <w:spacing w:before="12"/>
              <w:rPr>
                <w:sz w:val="27"/>
              </w:rPr>
            </w:pPr>
          </w:p>
          <w:p>
            <w:pPr>
              <w:pStyle w:val="21"/>
              <w:tabs>
                <w:tab w:val="left" w:pos="3304"/>
              </w:tabs>
              <w:spacing w:line="321" w:lineRule="auto"/>
              <w:ind w:left="107" w:right="1100"/>
              <w:rPr>
                <w:rFonts w:ascii="Times New Roman" w:eastAsia="Times New Roman"/>
                <w:sz w:val="21"/>
              </w:rPr>
            </w:pPr>
            <w:r>
              <w:rPr>
                <w:b/>
                <w:sz w:val="21"/>
              </w:rPr>
              <w:t>投标文件第二个信</w:t>
            </w:r>
            <w:r>
              <w:rPr>
                <w:b/>
                <w:spacing w:val="-3"/>
                <w:sz w:val="21"/>
              </w:rPr>
              <w:t>封</w:t>
            </w:r>
            <w:r>
              <w:rPr>
                <w:b/>
                <w:sz w:val="21"/>
              </w:rPr>
              <w:t>（</w:t>
            </w:r>
            <w:r>
              <w:rPr>
                <w:b/>
                <w:spacing w:val="-3"/>
                <w:sz w:val="21"/>
              </w:rPr>
              <w:t>报</w:t>
            </w:r>
            <w:r>
              <w:rPr>
                <w:b/>
                <w:sz w:val="21"/>
              </w:rPr>
              <w:t xml:space="preserve">价文件）封套： </w:t>
            </w:r>
            <w:r>
              <w:rPr>
                <w:sz w:val="21"/>
              </w:rPr>
              <w:t>招标</w:t>
            </w:r>
            <w:r>
              <w:rPr>
                <w:spacing w:val="-3"/>
                <w:sz w:val="21"/>
              </w:rPr>
              <w:t>人</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1"/>
              <w:tabs>
                <w:tab w:val="left" w:pos="3304"/>
              </w:tabs>
              <w:spacing w:line="268" w:lineRule="exact"/>
              <w:ind w:left="107"/>
              <w:rPr>
                <w:rFonts w:ascii="Times New Roman" w:eastAsia="Times New Roman"/>
                <w:sz w:val="21"/>
              </w:rPr>
            </w:pPr>
            <w:r>
              <w:rPr>
                <w:sz w:val="21"/>
              </w:rPr>
              <w:t>招标</w:t>
            </w:r>
            <w:r>
              <w:rPr>
                <w:spacing w:val="-3"/>
                <w:sz w:val="21"/>
              </w:rPr>
              <w:t>人</w:t>
            </w:r>
            <w:r>
              <w:rPr>
                <w:sz w:val="21"/>
              </w:rPr>
              <w:t>地</w:t>
            </w:r>
            <w:r>
              <w:rPr>
                <w:spacing w:val="-3"/>
                <w:sz w:val="21"/>
              </w:rPr>
              <w:t>址</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1"/>
              <w:tabs>
                <w:tab w:val="left" w:pos="738"/>
                <w:tab w:val="left" w:pos="2596"/>
              </w:tabs>
              <w:spacing w:before="91"/>
              <w:ind w:left="107"/>
              <w:rPr>
                <w:sz w:val="21"/>
              </w:rPr>
            </w:pPr>
            <w:r>
              <w:rPr>
                <w:rFonts w:ascii="Times New Roman" w:eastAsia="Times New Roman"/>
                <w:sz w:val="21"/>
                <w:u w:val="single"/>
              </w:rPr>
              <w:t xml:space="preserve"> </w:t>
            </w:r>
            <w:r>
              <w:rPr>
                <w:rFonts w:ascii="Times New Roman" w:eastAsia="Times New Roman"/>
                <w:sz w:val="21"/>
                <w:u w:val="single"/>
              </w:rPr>
              <w:tab/>
            </w:r>
            <w:r>
              <w:rPr>
                <w:sz w:val="21"/>
              </w:rPr>
              <w:t>（</w:t>
            </w:r>
            <w:r>
              <w:rPr>
                <w:spacing w:val="-3"/>
                <w:sz w:val="21"/>
              </w:rPr>
              <w:t>项</w:t>
            </w:r>
            <w:r>
              <w:rPr>
                <w:sz w:val="21"/>
              </w:rPr>
              <w:t>目</w:t>
            </w:r>
            <w:r>
              <w:rPr>
                <w:spacing w:val="-3"/>
                <w:sz w:val="21"/>
              </w:rPr>
              <w:t>名</w:t>
            </w:r>
            <w:r>
              <w:rPr>
                <w:sz w:val="21"/>
              </w:rPr>
              <w:t>称</w:t>
            </w:r>
            <w:r>
              <w:rPr>
                <w:spacing w:val="-34"/>
                <w:sz w:val="21"/>
              </w:rPr>
              <w:t>）</w:t>
            </w:r>
            <w:r>
              <w:rPr>
                <w:spacing w:val="-34"/>
                <w:sz w:val="21"/>
                <w:u w:val="single"/>
              </w:rPr>
              <w:t xml:space="preserve"> </w:t>
            </w:r>
            <w:r>
              <w:rPr>
                <w:spacing w:val="-34"/>
                <w:sz w:val="21"/>
                <w:u w:val="single"/>
              </w:rPr>
              <w:tab/>
            </w:r>
            <w:r>
              <w:rPr>
                <w:sz w:val="21"/>
              </w:rPr>
              <w:t>标</w:t>
            </w:r>
            <w:r>
              <w:rPr>
                <w:spacing w:val="-3"/>
                <w:sz w:val="21"/>
              </w:rPr>
              <w:t>段</w:t>
            </w:r>
            <w:r>
              <w:rPr>
                <w:sz w:val="21"/>
              </w:rPr>
              <w:t>施工招</w:t>
            </w:r>
            <w:r>
              <w:rPr>
                <w:spacing w:val="-3"/>
                <w:sz w:val="21"/>
              </w:rPr>
              <w:t>标</w:t>
            </w:r>
            <w:r>
              <w:rPr>
                <w:sz w:val="21"/>
              </w:rPr>
              <w:t>第</w:t>
            </w:r>
            <w:r>
              <w:rPr>
                <w:spacing w:val="-3"/>
                <w:sz w:val="21"/>
              </w:rPr>
              <w:t>二</w:t>
            </w:r>
            <w:r>
              <w:rPr>
                <w:sz w:val="21"/>
              </w:rPr>
              <w:t>个</w:t>
            </w:r>
            <w:r>
              <w:rPr>
                <w:spacing w:val="-3"/>
                <w:sz w:val="21"/>
              </w:rPr>
              <w:t>信</w:t>
            </w:r>
            <w:r>
              <w:rPr>
                <w:sz w:val="21"/>
              </w:rPr>
              <w:t>封</w:t>
            </w:r>
          </w:p>
          <w:p>
            <w:pPr>
              <w:pStyle w:val="21"/>
              <w:spacing w:before="91"/>
              <w:ind w:left="1"/>
              <w:rPr>
                <w:sz w:val="21"/>
              </w:rPr>
            </w:pPr>
            <w:r>
              <w:rPr>
                <w:sz w:val="21"/>
              </w:rPr>
              <w:t>（报价文件）投标文件</w:t>
            </w:r>
          </w:p>
          <w:p>
            <w:pPr>
              <w:pStyle w:val="21"/>
              <w:tabs>
                <w:tab w:val="left" w:pos="2884"/>
              </w:tabs>
              <w:spacing w:before="91"/>
              <w:ind w:left="107"/>
              <w:rPr>
                <w:rFonts w:ascii="Times New Roman" w:eastAsia="Times New Roman"/>
                <w:sz w:val="21"/>
              </w:rPr>
            </w:pPr>
            <w:r>
              <w:rPr>
                <w:sz w:val="21"/>
              </w:rPr>
              <w:t>招标</w:t>
            </w:r>
            <w:r>
              <w:rPr>
                <w:spacing w:val="-3"/>
                <w:sz w:val="21"/>
              </w:rPr>
              <w:t>项</w:t>
            </w:r>
            <w:r>
              <w:rPr>
                <w:sz w:val="21"/>
              </w:rPr>
              <w:t>目</w:t>
            </w:r>
            <w:r>
              <w:rPr>
                <w:spacing w:val="-3"/>
                <w:sz w:val="21"/>
              </w:rPr>
              <w:t>编</w:t>
            </w:r>
            <w:r>
              <w:rPr>
                <w:sz w:val="21"/>
              </w:rPr>
              <w:t>号</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21"/>
              <w:tabs>
                <w:tab w:val="left" w:pos="3935"/>
              </w:tabs>
              <w:spacing w:before="91" w:line="321" w:lineRule="auto"/>
              <w:ind w:left="107" w:right="96"/>
              <w:rPr>
                <w:rFonts w:ascii="Times New Roman" w:eastAsia="Times New Roman"/>
                <w:sz w:val="21"/>
              </w:rPr>
            </w:pPr>
            <w:r>
              <w:rPr>
                <w:sz w:val="21"/>
              </w:rPr>
              <w:t>在投</w:t>
            </w:r>
            <w:r>
              <w:rPr>
                <w:spacing w:val="-3"/>
                <w:sz w:val="21"/>
              </w:rPr>
              <w:t>标</w:t>
            </w:r>
            <w:r>
              <w:rPr>
                <w:sz w:val="21"/>
              </w:rPr>
              <w:t>文</w:t>
            </w:r>
            <w:r>
              <w:rPr>
                <w:spacing w:val="-3"/>
                <w:sz w:val="21"/>
              </w:rPr>
              <w:t>件</w:t>
            </w:r>
            <w:r>
              <w:rPr>
                <w:sz w:val="21"/>
              </w:rPr>
              <w:t>第</w:t>
            </w:r>
            <w:r>
              <w:rPr>
                <w:spacing w:val="-3"/>
                <w:sz w:val="21"/>
              </w:rPr>
              <w:t>二</w:t>
            </w:r>
            <w:r>
              <w:rPr>
                <w:sz w:val="21"/>
              </w:rPr>
              <w:t>个</w:t>
            </w:r>
            <w:r>
              <w:rPr>
                <w:spacing w:val="-3"/>
                <w:sz w:val="21"/>
              </w:rPr>
              <w:t>信</w:t>
            </w:r>
            <w:r>
              <w:rPr>
                <w:spacing w:val="-17"/>
                <w:sz w:val="21"/>
              </w:rPr>
              <w:t>封</w:t>
            </w:r>
            <w:r>
              <w:rPr>
                <w:spacing w:val="-3"/>
                <w:sz w:val="21"/>
              </w:rPr>
              <w:t>（</w:t>
            </w:r>
            <w:r>
              <w:rPr>
                <w:sz w:val="21"/>
              </w:rPr>
              <w:t>报价</w:t>
            </w:r>
            <w:r>
              <w:rPr>
                <w:spacing w:val="-3"/>
                <w:sz w:val="21"/>
              </w:rPr>
              <w:t>文件</w:t>
            </w:r>
            <w:r>
              <w:rPr>
                <w:spacing w:val="-14"/>
                <w:sz w:val="21"/>
              </w:rPr>
              <w:t>）</w:t>
            </w:r>
            <w:r>
              <w:rPr>
                <w:spacing w:val="-3"/>
                <w:sz w:val="21"/>
              </w:rPr>
              <w:t>开</w:t>
            </w:r>
            <w:r>
              <w:rPr>
                <w:sz w:val="21"/>
              </w:rPr>
              <w:t>标</w:t>
            </w:r>
            <w:r>
              <w:rPr>
                <w:spacing w:val="-3"/>
                <w:sz w:val="21"/>
              </w:rPr>
              <w:t>前</w:t>
            </w:r>
            <w:r>
              <w:rPr>
                <w:sz w:val="21"/>
              </w:rPr>
              <w:t>不</w:t>
            </w:r>
            <w:r>
              <w:rPr>
                <w:spacing w:val="-3"/>
                <w:sz w:val="21"/>
              </w:rPr>
              <w:t>得开</w:t>
            </w:r>
            <w:r>
              <w:rPr>
                <w:sz w:val="21"/>
              </w:rPr>
              <w:t>启投标</w:t>
            </w:r>
            <w:r>
              <w:rPr>
                <w:spacing w:val="-3"/>
                <w:sz w:val="21"/>
              </w:rPr>
              <w:t>人</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1"/>
              <w:tabs>
                <w:tab w:val="left" w:pos="3887"/>
              </w:tabs>
              <w:spacing w:line="269" w:lineRule="exact"/>
              <w:ind w:left="107"/>
              <w:rPr>
                <w:sz w:val="21"/>
              </w:rPr>
            </w:pPr>
            <w:r>
              <w:rPr>
                <w:sz w:val="21"/>
              </w:rPr>
              <w:t>投标</w:t>
            </w:r>
            <w:r>
              <w:rPr>
                <w:spacing w:val="-3"/>
                <w:sz w:val="21"/>
              </w:rPr>
              <w:t>人</w:t>
            </w:r>
            <w:r>
              <w:rPr>
                <w:sz w:val="21"/>
              </w:rPr>
              <w:t>地</w:t>
            </w:r>
            <w:r>
              <w:rPr>
                <w:spacing w:val="-3"/>
                <w:sz w:val="21"/>
              </w:rPr>
              <w:t>址</w:t>
            </w:r>
            <w:r>
              <w:rPr>
                <w:sz w:val="21"/>
              </w:rPr>
              <w:t>：</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z w:val="21"/>
                <w:u w:val="single"/>
              </w:rPr>
              <w:tab/>
            </w:r>
          </w:p>
          <w:p>
            <w:pPr>
              <w:pStyle w:val="21"/>
              <w:rPr>
                <w:sz w:val="20"/>
              </w:rPr>
            </w:pPr>
          </w:p>
          <w:p>
            <w:pPr>
              <w:pStyle w:val="21"/>
              <w:spacing w:before="2"/>
              <w:rPr>
                <w:sz w:val="15"/>
              </w:rPr>
            </w:pPr>
          </w:p>
          <w:p>
            <w:pPr>
              <w:pStyle w:val="21"/>
              <w:spacing w:before="1"/>
              <w:ind w:left="107"/>
              <w:rPr>
                <w:b/>
                <w:sz w:val="21"/>
              </w:rPr>
            </w:pPr>
            <w:r>
              <w:rPr>
                <w:b/>
                <w:sz w:val="21"/>
              </w:rPr>
              <w:t>银行保函封套：</w:t>
            </w:r>
          </w:p>
          <w:p>
            <w:pPr>
              <w:pStyle w:val="21"/>
              <w:tabs>
                <w:tab w:val="left" w:pos="3304"/>
              </w:tabs>
              <w:spacing w:before="90" w:line="321" w:lineRule="auto"/>
              <w:ind w:left="107" w:right="1700"/>
              <w:rPr>
                <w:rFonts w:ascii="Times New Roman" w:eastAsia="Times New Roman"/>
                <w:sz w:val="21"/>
              </w:rPr>
            </w:pPr>
            <w:r>
              <w:rPr>
                <w:sz w:val="21"/>
              </w:rPr>
              <w:t>招标</w:t>
            </w:r>
            <w:r>
              <w:rPr>
                <w:spacing w:val="-3"/>
                <w:sz w:val="21"/>
              </w:rPr>
              <w:t>人</w:t>
            </w:r>
            <w:r>
              <w:rPr>
                <w:sz w:val="21"/>
              </w:rPr>
              <w:t>名</w:t>
            </w:r>
            <w:r>
              <w:rPr>
                <w:spacing w:val="-3"/>
                <w:sz w:val="21"/>
              </w:rPr>
              <w:t>称</w:t>
            </w:r>
            <w:r>
              <w:rPr>
                <w:sz w:val="21"/>
              </w:rPr>
              <w:t>：</w:t>
            </w:r>
            <w:r>
              <w:rPr>
                <w:sz w:val="21"/>
                <w:u w:val="single"/>
              </w:rPr>
              <w:tab/>
            </w:r>
            <w:r>
              <w:rPr>
                <w:sz w:val="21"/>
                <w:u w:val="single"/>
              </w:rPr>
              <w:t xml:space="preserve">                 </w:t>
            </w:r>
            <w:r>
              <w:rPr>
                <w:sz w:val="21"/>
              </w:rPr>
              <w:t>招标</w:t>
            </w:r>
            <w:r>
              <w:rPr>
                <w:spacing w:val="-3"/>
                <w:sz w:val="21"/>
              </w:rPr>
              <w:t>人</w:t>
            </w:r>
            <w:r>
              <w:rPr>
                <w:sz w:val="21"/>
              </w:rPr>
              <w:t>地</w:t>
            </w:r>
            <w:r>
              <w:rPr>
                <w:spacing w:val="-3"/>
                <w:sz w:val="21"/>
              </w:rPr>
              <w:t>址</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1"/>
              <w:tabs>
                <w:tab w:val="left" w:pos="738"/>
                <w:tab w:val="left" w:pos="2596"/>
              </w:tabs>
              <w:spacing w:line="268" w:lineRule="exact"/>
              <w:ind w:left="107"/>
              <w:rPr>
                <w:sz w:val="21"/>
              </w:rPr>
            </w:pPr>
            <w:r>
              <w:rPr>
                <w:rFonts w:ascii="Times New Roman" w:eastAsia="Times New Roman"/>
                <w:sz w:val="21"/>
                <w:u w:val="single"/>
              </w:rPr>
              <w:t xml:space="preserve"> </w:t>
            </w:r>
            <w:r>
              <w:rPr>
                <w:rFonts w:ascii="Times New Roman" w:eastAsia="Times New Roman"/>
                <w:sz w:val="21"/>
                <w:u w:val="single"/>
              </w:rPr>
              <w:tab/>
            </w:r>
            <w:r>
              <w:rPr>
                <w:sz w:val="21"/>
              </w:rPr>
              <w:t>（</w:t>
            </w:r>
            <w:r>
              <w:rPr>
                <w:spacing w:val="-3"/>
                <w:sz w:val="21"/>
              </w:rPr>
              <w:t>项</w:t>
            </w:r>
            <w:r>
              <w:rPr>
                <w:sz w:val="21"/>
              </w:rPr>
              <w:t>目</w:t>
            </w:r>
            <w:r>
              <w:rPr>
                <w:spacing w:val="-3"/>
                <w:sz w:val="21"/>
              </w:rPr>
              <w:t>名</w:t>
            </w:r>
            <w:r>
              <w:rPr>
                <w:sz w:val="21"/>
              </w:rPr>
              <w:t>称</w:t>
            </w:r>
            <w:r>
              <w:rPr>
                <w:spacing w:val="-34"/>
                <w:sz w:val="21"/>
              </w:rPr>
              <w:t>）</w:t>
            </w:r>
            <w:r>
              <w:rPr>
                <w:spacing w:val="-34"/>
                <w:sz w:val="21"/>
                <w:u w:val="single"/>
              </w:rPr>
              <w:t xml:space="preserve"> </w:t>
            </w:r>
            <w:r>
              <w:rPr>
                <w:spacing w:val="-34"/>
                <w:sz w:val="21"/>
                <w:u w:val="single"/>
              </w:rPr>
              <w:tab/>
            </w:r>
            <w:r>
              <w:rPr>
                <w:sz w:val="21"/>
              </w:rPr>
              <w:t>标</w:t>
            </w:r>
            <w:r>
              <w:rPr>
                <w:spacing w:val="-3"/>
                <w:sz w:val="21"/>
              </w:rPr>
              <w:t>段</w:t>
            </w:r>
            <w:r>
              <w:rPr>
                <w:sz w:val="21"/>
              </w:rPr>
              <w:t>施工招</w:t>
            </w:r>
            <w:r>
              <w:rPr>
                <w:spacing w:val="-3"/>
                <w:sz w:val="21"/>
              </w:rPr>
              <w:t>标</w:t>
            </w:r>
            <w:r>
              <w:rPr>
                <w:sz w:val="21"/>
              </w:rPr>
              <w:t>投</w:t>
            </w:r>
            <w:r>
              <w:rPr>
                <w:spacing w:val="-3"/>
                <w:sz w:val="21"/>
              </w:rPr>
              <w:t>标</w:t>
            </w:r>
            <w:r>
              <w:rPr>
                <w:sz w:val="21"/>
              </w:rPr>
              <w:t>保</w:t>
            </w:r>
            <w:r>
              <w:rPr>
                <w:spacing w:val="-3"/>
                <w:sz w:val="21"/>
              </w:rPr>
              <w:t>证</w:t>
            </w:r>
            <w:r>
              <w:rPr>
                <w:sz w:val="21"/>
              </w:rPr>
              <w:t>金</w:t>
            </w:r>
          </w:p>
          <w:p>
            <w:pPr>
              <w:pStyle w:val="21"/>
              <w:spacing w:before="91"/>
              <w:ind w:left="1"/>
              <w:rPr>
                <w:sz w:val="21"/>
              </w:rPr>
            </w:pPr>
            <w:r>
              <w:rPr>
                <w:sz w:val="21"/>
              </w:rPr>
              <w:t>（银行保函原件）</w:t>
            </w:r>
          </w:p>
          <w:p>
            <w:pPr>
              <w:pStyle w:val="21"/>
              <w:tabs>
                <w:tab w:val="left" w:pos="2884"/>
              </w:tabs>
              <w:spacing w:before="91"/>
              <w:ind w:left="107"/>
              <w:rPr>
                <w:rFonts w:ascii="Times New Roman" w:eastAsia="Times New Roman"/>
                <w:sz w:val="21"/>
              </w:rPr>
            </w:pPr>
            <w:r>
              <w:rPr>
                <w:sz w:val="21"/>
              </w:rPr>
              <w:t>招标</w:t>
            </w:r>
            <w:r>
              <w:rPr>
                <w:spacing w:val="-3"/>
                <w:sz w:val="21"/>
              </w:rPr>
              <w:t>项</w:t>
            </w:r>
            <w:r>
              <w:rPr>
                <w:sz w:val="21"/>
              </w:rPr>
              <w:t>目</w:t>
            </w:r>
            <w:r>
              <w:rPr>
                <w:spacing w:val="-3"/>
                <w:sz w:val="21"/>
              </w:rPr>
              <w:t>编</w:t>
            </w:r>
            <w:r>
              <w:rPr>
                <w:sz w:val="21"/>
              </w:rPr>
              <w:t>号</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21"/>
              <w:tabs>
                <w:tab w:val="left" w:pos="3935"/>
              </w:tabs>
              <w:spacing w:before="91" w:line="247" w:lineRule="exact"/>
              <w:ind w:left="107"/>
              <w:rPr>
                <w:rFonts w:ascii="Times New Roman" w:eastAsia="Times New Roman"/>
                <w:sz w:val="21"/>
              </w:rPr>
            </w:pPr>
            <w:r>
              <w:rPr>
                <w:sz w:val="21"/>
              </w:rPr>
              <w:t>投标</w:t>
            </w:r>
            <w:r>
              <w:rPr>
                <w:spacing w:val="-3"/>
                <w:sz w:val="21"/>
              </w:rPr>
              <w:t>人</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37" w:type="dxa"/>
          </w:tcPr>
          <w:p>
            <w:pPr>
              <w:pStyle w:val="21"/>
              <w:spacing w:before="11"/>
            </w:pPr>
          </w:p>
          <w:p>
            <w:pPr>
              <w:pStyle w:val="21"/>
              <w:ind w:right="295"/>
              <w:jc w:val="right"/>
              <w:rPr>
                <w:rFonts w:ascii="Times New Roman"/>
                <w:sz w:val="21"/>
                <w:lang w:val="en-US"/>
              </w:rPr>
            </w:pPr>
            <w:r>
              <w:rPr>
                <w:rFonts w:ascii="Times New Roman"/>
                <w:sz w:val="21"/>
              </w:rPr>
              <w:t>4.2.</w:t>
            </w:r>
            <w:r>
              <w:rPr>
                <w:rFonts w:hint="eastAsia" w:ascii="Times New Roman"/>
                <w:sz w:val="21"/>
                <w:lang w:val="en-US"/>
              </w:rPr>
              <w:t>2</w:t>
            </w:r>
          </w:p>
        </w:tc>
        <w:tc>
          <w:tcPr>
            <w:tcW w:w="2953" w:type="dxa"/>
          </w:tcPr>
          <w:p>
            <w:pPr>
              <w:pStyle w:val="21"/>
              <w:rPr>
                <w:sz w:val="21"/>
              </w:rPr>
            </w:pPr>
          </w:p>
          <w:p>
            <w:pPr>
              <w:pStyle w:val="21"/>
              <w:ind w:left="5"/>
              <w:jc w:val="center"/>
              <w:rPr>
                <w:sz w:val="21"/>
              </w:rPr>
            </w:pPr>
            <w:r>
              <w:rPr>
                <w:sz w:val="21"/>
              </w:rPr>
              <w:t>是否退还投标文件</w:t>
            </w:r>
          </w:p>
        </w:tc>
        <w:tc>
          <w:tcPr>
            <w:tcW w:w="5017" w:type="dxa"/>
            <w:vAlign w:val="center"/>
          </w:tcPr>
          <w:p>
            <w:pPr>
              <w:pStyle w:val="21"/>
              <w:spacing w:before="90"/>
              <w:ind w:left="107"/>
              <w:jc w:val="both"/>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1037" w:type="dxa"/>
          </w:tcPr>
          <w:p>
            <w:pPr>
              <w:pStyle w:val="21"/>
              <w:rPr>
                <w:sz w:val="24"/>
              </w:rPr>
            </w:pPr>
          </w:p>
          <w:p>
            <w:pPr>
              <w:pStyle w:val="21"/>
              <w:rPr>
                <w:sz w:val="24"/>
              </w:rPr>
            </w:pPr>
          </w:p>
          <w:p>
            <w:pPr>
              <w:pStyle w:val="21"/>
              <w:rPr>
                <w:sz w:val="30"/>
              </w:rPr>
            </w:pPr>
          </w:p>
          <w:p>
            <w:pPr>
              <w:pStyle w:val="21"/>
              <w:ind w:left="331"/>
              <w:rPr>
                <w:sz w:val="11"/>
              </w:rPr>
            </w:pPr>
            <w:r>
              <w:rPr>
                <w:rFonts w:ascii="Times New Roman" w:hAnsi="Times New Roman"/>
                <w:sz w:val="21"/>
              </w:rPr>
              <w:t>5.1</w:t>
            </w:r>
          </w:p>
        </w:tc>
        <w:tc>
          <w:tcPr>
            <w:tcW w:w="2953" w:type="dxa"/>
          </w:tcPr>
          <w:p>
            <w:pPr>
              <w:pStyle w:val="21"/>
              <w:rPr>
                <w:sz w:val="20"/>
              </w:rPr>
            </w:pPr>
          </w:p>
          <w:p>
            <w:pPr>
              <w:pStyle w:val="21"/>
              <w:rPr>
                <w:sz w:val="20"/>
              </w:rPr>
            </w:pPr>
          </w:p>
          <w:p>
            <w:pPr>
              <w:pStyle w:val="21"/>
              <w:rPr>
                <w:sz w:val="20"/>
              </w:rPr>
            </w:pPr>
          </w:p>
          <w:p>
            <w:pPr>
              <w:pStyle w:val="21"/>
              <w:spacing w:before="3"/>
              <w:rPr>
                <w:sz w:val="17"/>
              </w:rPr>
            </w:pPr>
          </w:p>
          <w:p>
            <w:pPr>
              <w:pStyle w:val="21"/>
              <w:ind w:left="3"/>
              <w:jc w:val="center"/>
              <w:rPr>
                <w:sz w:val="21"/>
              </w:rPr>
            </w:pPr>
            <w:r>
              <w:rPr>
                <w:sz w:val="21"/>
              </w:rPr>
              <w:t>开标时间和地点</w:t>
            </w:r>
          </w:p>
        </w:tc>
        <w:tc>
          <w:tcPr>
            <w:tcW w:w="5017" w:type="dxa"/>
          </w:tcPr>
          <w:p>
            <w:pPr>
              <w:pStyle w:val="21"/>
              <w:spacing w:before="90" w:line="321" w:lineRule="auto"/>
              <w:ind w:left="107" w:right="63"/>
              <w:rPr>
                <w:sz w:val="21"/>
              </w:rPr>
            </w:pPr>
            <w:r>
              <w:rPr>
                <w:sz w:val="21"/>
              </w:rPr>
              <w:t>投标文件第一个信封（商务及技术文件）开标时间： 同投标截止时间</w:t>
            </w:r>
          </w:p>
          <w:p>
            <w:pPr>
              <w:pStyle w:val="21"/>
              <w:spacing w:line="321" w:lineRule="auto"/>
              <w:ind w:left="107" w:right="63"/>
              <w:rPr>
                <w:sz w:val="21"/>
              </w:rPr>
            </w:pPr>
            <w:r>
              <w:rPr>
                <w:sz w:val="21"/>
              </w:rPr>
              <w:t>投标文件第一个信封（商务及技术文件）开标地点： 同递交投标文件地点</w:t>
            </w:r>
          </w:p>
          <w:p>
            <w:pPr>
              <w:pStyle w:val="21"/>
              <w:tabs>
                <w:tab w:val="left" w:pos="4955"/>
              </w:tabs>
              <w:spacing w:line="268" w:lineRule="exact"/>
              <w:ind w:left="107"/>
              <w:rPr>
                <w:rFonts w:ascii="Times New Roman" w:eastAsia="Times New Roman"/>
                <w:sz w:val="21"/>
              </w:rPr>
            </w:pPr>
            <w:r>
              <w:rPr>
                <w:sz w:val="21"/>
              </w:rPr>
              <w:t>投标</w:t>
            </w:r>
            <w:r>
              <w:rPr>
                <w:spacing w:val="-3"/>
                <w:sz w:val="21"/>
              </w:rPr>
              <w:t>文</w:t>
            </w:r>
            <w:r>
              <w:rPr>
                <w:sz w:val="21"/>
              </w:rPr>
              <w:t>件</w:t>
            </w:r>
            <w:r>
              <w:rPr>
                <w:spacing w:val="-3"/>
                <w:sz w:val="21"/>
              </w:rPr>
              <w:t>第</w:t>
            </w:r>
            <w:r>
              <w:rPr>
                <w:sz w:val="21"/>
              </w:rPr>
              <w:t>二</w:t>
            </w:r>
            <w:r>
              <w:rPr>
                <w:spacing w:val="-3"/>
                <w:sz w:val="21"/>
              </w:rPr>
              <w:t>个</w:t>
            </w:r>
            <w:r>
              <w:rPr>
                <w:sz w:val="21"/>
              </w:rPr>
              <w:t>信</w:t>
            </w:r>
            <w:r>
              <w:rPr>
                <w:spacing w:val="-3"/>
                <w:sz w:val="21"/>
              </w:rPr>
              <w:t>封</w:t>
            </w:r>
            <w:r>
              <w:rPr>
                <w:sz w:val="21"/>
              </w:rPr>
              <w:t>（</w:t>
            </w:r>
            <w:r>
              <w:rPr>
                <w:spacing w:val="-3"/>
                <w:sz w:val="21"/>
              </w:rPr>
              <w:t>报</w:t>
            </w:r>
            <w:r>
              <w:rPr>
                <w:sz w:val="21"/>
              </w:rPr>
              <w:t>价文</w:t>
            </w:r>
            <w:r>
              <w:rPr>
                <w:spacing w:val="-3"/>
                <w:sz w:val="21"/>
              </w:rPr>
              <w:t>件</w:t>
            </w:r>
            <w:r>
              <w:rPr>
                <w:sz w:val="21"/>
              </w:rPr>
              <w:t>）</w:t>
            </w:r>
            <w:r>
              <w:rPr>
                <w:spacing w:val="-3"/>
                <w:sz w:val="21"/>
              </w:rPr>
              <w:t>开</w:t>
            </w:r>
            <w:r>
              <w:rPr>
                <w:sz w:val="21"/>
              </w:rPr>
              <w:t>标</w:t>
            </w:r>
            <w:r>
              <w:rPr>
                <w:spacing w:val="-3"/>
                <w:sz w:val="21"/>
              </w:rPr>
              <w:t>时</w:t>
            </w:r>
            <w:r>
              <w:rPr>
                <w:sz w:val="21"/>
              </w:rPr>
              <w:t>间</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21"/>
              <w:tabs>
                <w:tab w:val="left" w:pos="4955"/>
              </w:tabs>
              <w:spacing w:before="89" w:line="250" w:lineRule="exact"/>
              <w:ind w:left="107"/>
              <w:rPr>
                <w:rFonts w:ascii="Times New Roman" w:eastAsia="Times New Roman"/>
                <w:sz w:val="21"/>
              </w:rPr>
            </w:pPr>
            <w:r>
              <w:rPr>
                <w:sz w:val="21"/>
              </w:rPr>
              <w:t>投标</w:t>
            </w:r>
            <w:r>
              <w:rPr>
                <w:spacing w:val="-3"/>
                <w:sz w:val="21"/>
              </w:rPr>
              <w:t>文</w:t>
            </w:r>
            <w:r>
              <w:rPr>
                <w:sz w:val="21"/>
              </w:rPr>
              <w:t>件</w:t>
            </w:r>
            <w:r>
              <w:rPr>
                <w:spacing w:val="-3"/>
                <w:sz w:val="21"/>
              </w:rPr>
              <w:t>第</w:t>
            </w:r>
            <w:r>
              <w:rPr>
                <w:sz w:val="21"/>
              </w:rPr>
              <w:t>二</w:t>
            </w:r>
            <w:r>
              <w:rPr>
                <w:spacing w:val="-3"/>
                <w:sz w:val="21"/>
              </w:rPr>
              <w:t>个</w:t>
            </w:r>
            <w:r>
              <w:rPr>
                <w:sz w:val="21"/>
              </w:rPr>
              <w:t>信</w:t>
            </w:r>
            <w:r>
              <w:rPr>
                <w:spacing w:val="-3"/>
                <w:sz w:val="21"/>
              </w:rPr>
              <w:t>封</w:t>
            </w:r>
            <w:r>
              <w:rPr>
                <w:sz w:val="21"/>
              </w:rPr>
              <w:t>（</w:t>
            </w:r>
            <w:r>
              <w:rPr>
                <w:spacing w:val="-3"/>
                <w:sz w:val="21"/>
              </w:rPr>
              <w:t>报</w:t>
            </w:r>
            <w:r>
              <w:rPr>
                <w:sz w:val="21"/>
              </w:rPr>
              <w:t>价文</w:t>
            </w:r>
            <w:r>
              <w:rPr>
                <w:spacing w:val="-3"/>
                <w:sz w:val="21"/>
              </w:rPr>
              <w:t>件</w:t>
            </w:r>
            <w:r>
              <w:rPr>
                <w:sz w:val="21"/>
              </w:rPr>
              <w:t>）</w:t>
            </w:r>
            <w:r>
              <w:rPr>
                <w:spacing w:val="-3"/>
                <w:sz w:val="21"/>
              </w:rPr>
              <w:t>开</w:t>
            </w:r>
            <w:r>
              <w:rPr>
                <w:sz w:val="21"/>
              </w:rPr>
              <w:t>标</w:t>
            </w:r>
            <w:r>
              <w:rPr>
                <w:spacing w:val="-3"/>
                <w:sz w:val="21"/>
              </w:rPr>
              <w:t>地</w:t>
            </w:r>
            <w:r>
              <w:rPr>
                <w:sz w:val="21"/>
              </w:rPr>
              <w:t>点</w:t>
            </w:r>
            <w:r>
              <w:rPr>
                <w:spacing w:val="-3"/>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037" w:type="dxa"/>
          </w:tcPr>
          <w:p>
            <w:pPr>
              <w:pStyle w:val="21"/>
              <w:rPr>
                <w:sz w:val="24"/>
              </w:rPr>
            </w:pPr>
          </w:p>
          <w:p>
            <w:pPr>
              <w:pStyle w:val="21"/>
              <w:spacing w:before="155"/>
              <w:ind w:right="242"/>
              <w:jc w:val="right"/>
              <w:rPr>
                <w:sz w:val="11"/>
              </w:rPr>
            </w:pPr>
            <w:r>
              <w:rPr>
                <w:rFonts w:ascii="Times New Roman" w:hAnsi="Times New Roman"/>
                <w:sz w:val="21"/>
              </w:rPr>
              <w:t>5.2.1</w:t>
            </w:r>
          </w:p>
        </w:tc>
        <w:tc>
          <w:tcPr>
            <w:tcW w:w="2953" w:type="dxa"/>
          </w:tcPr>
          <w:p>
            <w:pPr>
              <w:pStyle w:val="21"/>
              <w:spacing w:before="3"/>
              <w:rPr>
                <w:sz w:val="21"/>
              </w:rPr>
            </w:pPr>
          </w:p>
          <w:p>
            <w:pPr>
              <w:pStyle w:val="21"/>
              <w:spacing w:line="321" w:lineRule="auto"/>
              <w:ind w:left="1053" w:right="-15" w:hanging="948"/>
              <w:rPr>
                <w:sz w:val="21"/>
              </w:rPr>
            </w:pPr>
            <w:r>
              <w:rPr>
                <w:spacing w:val="-21"/>
                <w:sz w:val="21"/>
              </w:rPr>
              <w:t>第一个信封</w:t>
            </w:r>
            <w:r>
              <w:rPr>
                <w:sz w:val="21"/>
              </w:rPr>
              <w:t>（</w:t>
            </w:r>
            <w:r>
              <w:rPr>
                <w:spacing w:val="-3"/>
                <w:sz w:val="21"/>
              </w:rPr>
              <w:t>商务及技术文件</w:t>
            </w:r>
            <w:r>
              <w:rPr>
                <w:sz w:val="21"/>
              </w:rPr>
              <w:t xml:space="preserve">） </w:t>
            </w:r>
            <w:r>
              <w:rPr>
                <w:spacing w:val="-1"/>
                <w:sz w:val="21"/>
              </w:rPr>
              <w:t>开标程序</w:t>
            </w:r>
          </w:p>
        </w:tc>
        <w:tc>
          <w:tcPr>
            <w:tcW w:w="5017" w:type="dxa"/>
          </w:tcPr>
          <w:p>
            <w:pPr>
              <w:pStyle w:val="21"/>
              <w:spacing w:before="93" w:line="321" w:lineRule="auto"/>
              <w:ind w:left="107" w:right="92"/>
              <w:rPr>
                <w:sz w:val="21"/>
              </w:rPr>
            </w:pPr>
            <w:r>
              <w:rPr>
                <w:sz w:val="21"/>
              </w:rPr>
              <w:t>（</w:t>
            </w:r>
            <w:r>
              <w:rPr>
                <w:rFonts w:ascii="Times New Roman" w:eastAsia="Times New Roman"/>
                <w:sz w:val="21"/>
              </w:rPr>
              <w:t>4</w:t>
            </w:r>
            <w:r>
              <w:rPr>
                <w:sz w:val="21"/>
              </w:rPr>
              <w:t>）密封情况检查：</w:t>
            </w:r>
            <w:r>
              <w:rPr>
                <w:sz w:val="21"/>
                <w:u w:val="single"/>
              </w:rPr>
              <w:t>检查商务及技术文件是否存在提前开启情况</w:t>
            </w:r>
          </w:p>
          <w:p>
            <w:pPr>
              <w:pStyle w:val="21"/>
              <w:tabs>
                <w:tab w:val="left" w:pos="3095"/>
              </w:tabs>
              <w:spacing w:line="249" w:lineRule="exact"/>
              <w:ind w:left="107"/>
              <w:rPr>
                <w:rFonts w:ascii="Times New Roman" w:eastAsia="Times New Roman"/>
                <w:sz w:val="21"/>
              </w:rPr>
            </w:pPr>
            <w:r>
              <w:rPr>
                <w:spacing w:val="-1"/>
                <w:sz w:val="21"/>
              </w:rPr>
              <w:t>（</w:t>
            </w:r>
            <w:r>
              <w:rPr>
                <w:rFonts w:ascii="Times New Roman" w:eastAsia="Times New Roman"/>
                <w:spacing w:val="-1"/>
                <w:sz w:val="21"/>
              </w:rPr>
              <w:t>5</w:t>
            </w:r>
            <w:r>
              <w:rPr>
                <w:spacing w:val="-1"/>
                <w:sz w:val="21"/>
              </w:rPr>
              <w:t>）</w:t>
            </w:r>
            <w:r>
              <w:rPr>
                <w:sz w:val="21"/>
              </w:rPr>
              <w:t>开</w:t>
            </w:r>
            <w:r>
              <w:rPr>
                <w:spacing w:val="-3"/>
                <w:sz w:val="21"/>
              </w:rPr>
              <w:t>标</w:t>
            </w:r>
            <w:r>
              <w:rPr>
                <w:sz w:val="21"/>
              </w:rPr>
              <w:t>顺</w:t>
            </w:r>
            <w:r>
              <w:rPr>
                <w:spacing w:val="-3"/>
                <w:sz w:val="21"/>
              </w:rPr>
              <w:t>序</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037" w:type="dxa"/>
          </w:tcPr>
          <w:p>
            <w:pPr>
              <w:pStyle w:val="21"/>
              <w:spacing w:before="10"/>
              <w:rPr>
                <w:sz w:val="35"/>
              </w:rPr>
            </w:pPr>
          </w:p>
          <w:p>
            <w:pPr>
              <w:pStyle w:val="21"/>
              <w:spacing w:before="1"/>
              <w:ind w:right="242"/>
              <w:jc w:val="right"/>
              <w:rPr>
                <w:sz w:val="11"/>
                <w:lang w:val="en-US"/>
              </w:rPr>
            </w:pPr>
            <w:r>
              <w:rPr>
                <w:rFonts w:ascii="Times New Roman" w:hAnsi="Times New Roman"/>
                <w:sz w:val="21"/>
              </w:rPr>
              <w:t>5.2.</w:t>
            </w:r>
            <w:r>
              <w:rPr>
                <w:rFonts w:hint="eastAsia" w:ascii="Times New Roman" w:hAnsi="Times New Roman"/>
                <w:sz w:val="21"/>
                <w:lang w:val="en-US"/>
              </w:rPr>
              <w:t>2</w:t>
            </w:r>
          </w:p>
        </w:tc>
        <w:tc>
          <w:tcPr>
            <w:tcW w:w="2953" w:type="dxa"/>
          </w:tcPr>
          <w:p>
            <w:pPr>
              <w:pStyle w:val="21"/>
              <w:rPr>
                <w:sz w:val="21"/>
              </w:rPr>
            </w:pPr>
          </w:p>
          <w:p>
            <w:pPr>
              <w:pStyle w:val="21"/>
              <w:spacing w:line="321" w:lineRule="auto"/>
              <w:ind w:left="1261" w:right="99" w:hanging="1155"/>
              <w:rPr>
                <w:sz w:val="21"/>
              </w:rPr>
            </w:pPr>
            <w:r>
              <w:rPr>
                <w:sz w:val="21"/>
              </w:rPr>
              <w:t>第二个信封（报价文件）开标程序</w:t>
            </w:r>
          </w:p>
        </w:tc>
        <w:tc>
          <w:tcPr>
            <w:tcW w:w="5017" w:type="dxa"/>
          </w:tcPr>
          <w:p>
            <w:pPr>
              <w:pStyle w:val="21"/>
              <w:spacing w:before="89" w:line="321" w:lineRule="auto"/>
              <w:ind w:left="107" w:right="92"/>
              <w:rPr>
                <w:sz w:val="21"/>
              </w:rPr>
            </w:pPr>
            <w:r>
              <w:rPr>
                <w:sz w:val="21"/>
              </w:rPr>
              <w:t>（</w:t>
            </w:r>
            <w:r>
              <w:rPr>
                <w:rFonts w:ascii="Times New Roman" w:eastAsia="Times New Roman"/>
                <w:sz w:val="21"/>
              </w:rPr>
              <w:t>4</w:t>
            </w:r>
            <w:r>
              <w:rPr>
                <w:sz w:val="21"/>
              </w:rPr>
              <w:t>）密封情况检查：</w:t>
            </w:r>
            <w:r>
              <w:rPr>
                <w:sz w:val="21"/>
                <w:u w:val="single"/>
              </w:rPr>
              <w:t>检查报价文件是否存在提前开启情况</w:t>
            </w:r>
          </w:p>
          <w:p>
            <w:pPr>
              <w:pStyle w:val="21"/>
              <w:tabs>
                <w:tab w:val="left" w:pos="3095"/>
              </w:tabs>
              <w:spacing w:line="249" w:lineRule="exact"/>
              <w:ind w:left="107"/>
              <w:rPr>
                <w:rFonts w:ascii="Times New Roman"/>
                <w:sz w:val="21"/>
                <w:lang w:val="en-US"/>
              </w:rPr>
            </w:pPr>
            <w:r>
              <w:rPr>
                <w:spacing w:val="-1"/>
                <w:sz w:val="21"/>
              </w:rPr>
              <w:t>（</w:t>
            </w:r>
            <w:r>
              <w:rPr>
                <w:rFonts w:ascii="Times New Roman" w:eastAsia="Times New Roman"/>
                <w:spacing w:val="-1"/>
                <w:sz w:val="21"/>
              </w:rPr>
              <w:t>5</w:t>
            </w:r>
            <w:r>
              <w:rPr>
                <w:spacing w:val="-1"/>
                <w:sz w:val="21"/>
              </w:rPr>
              <w:t>）</w:t>
            </w:r>
            <w:r>
              <w:rPr>
                <w:sz w:val="21"/>
              </w:rPr>
              <w:t>开</w:t>
            </w:r>
            <w:r>
              <w:rPr>
                <w:spacing w:val="-3"/>
                <w:sz w:val="21"/>
              </w:rPr>
              <w:t>标</w:t>
            </w:r>
            <w:r>
              <w:rPr>
                <w:sz w:val="21"/>
              </w:rPr>
              <w:t>顺</w:t>
            </w:r>
            <w:r>
              <w:rPr>
                <w:spacing w:val="-3"/>
                <w:sz w:val="21"/>
              </w:rPr>
              <w:t>序</w:t>
            </w:r>
            <w:r>
              <w:rPr>
                <w:sz w:val="21"/>
              </w:rPr>
              <w:t>：</w:t>
            </w:r>
            <w:r>
              <w:rPr>
                <w:rFonts w:ascii="Times New Roman" w:eastAsia="Times New Roman"/>
                <w:sz w:val="21"/>
                <w:u w:val="single"/>
              </w:rPr>
              <w:t xml:space="preserve"> </w:t>
            </w:r>
            <w:r>
              <w:rPr>
                <w:rFonts w:ascii="Times New Roman" w:eastAsia="Times New Roman"/>
                <w:sz w:val="21"/>
                <w:u w:val="single"/>
              </w:rPr>
              <w:tab/>
            </w:r>
            <w:r>
              <w:rPr>
                <w:rFonts w:hint="eastAsia" w:ascii="Times New Roman"/>
                <w:sz w:val="21"/>
                <w:lang w:val="en-US"/>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037" w:type="dxa"/>
          </w:tcPr>
          <w:p>
            <w:pPr>
              <w:pStyle w:val="21"/>
            </w:pPr>
          </w:p>
          <w:p>
            <w:pPr>
              <w:pStyle w:val="21"/>
              <w:spacing w:before="12"/>
              <w:rPr>
                <w:sz w:val="28"/>
              </w:rPr>
            </w:pPr>
          </w:p>
          <w:p>
            <w:pPr>
              <w:pStyle w:val="21"/>
              <w:ind w:left="181" w:right="172"/>
              <w:jc w:val="center"/>
              <w:rPr>
                <w:rFonts w:ascii="Times New Roman"/>
                <w:sz w:val="21"/>
              </w:rPr>
            </w:pPr>
            <w:r>
              <w:rPr>
                <w:rFonts w:ascii="Times New Roman"/>
                <w:sz w:val="21"/>
              </w:rPr>
              <w:t>6.1.1</w:t>
            </w:r>
          </w:p>
        </w:tc>
        <w:tc>
          <w:tcPr>
            <w:tcW w:w="2953" w:type="dxa"/>
          </w:tcPr>
          <w:p>
            <w:pPr>
              <w:pStyle w:val="21"/>
            </w:pPr>
          </w:p>
          <w:p>
            <w:pPr>
              <w:pStyle w:val="21"/>
              <w:spacing w:before="1"/>
              <w:rPr>
                <w:sz w:val="27"/>
              </w:rPr>
            </w:pPr>
          </w:p>
          <w:p>
            <w:pPr>
              <w:pStyle w:val="21"/>
              <w:spacing w:before="1"/>
              <w:ind w:left="3"/>
              <w:jc w:val="center"/>
              <w:rPr>
                <w:sz w:val="11"/>
              </w:rPr>
            </w:pPr>
            <w:r>
              <w:rPr>
                <w:sz w:val="21"/>
              </w:rPr>
              <w:t>评标委员会的组建</w:t>
            </w:r>
          </w:p>
        </w:tc>
        <w:tc>
          <w:tcPr>
            <w:tcW w:w="5017" w:type="dxa"/>
          </w:tcPr>
          <w:p>
            <w:pPr>
              <w:pStyle w:val="21"/>
              <w:tabs>
                <w:tab w:val="left" w:pos="949"/>
                <w:tab w:val="left" w:pos="2209"/>
                <w:tab w:val="left" w:pos="4521"/>
              </w:tabs>
              <w:spacing w:before="89" w:line="321" w:lineRule="auto"/>
              <w:ind w:left="107" w:right="65"/>
              <w:rPr>
                <w:sz w:val="21"/>
              </w:rPr>
            </w:pPr>
            <w:r>
              <w:rPr>
                <w:sz w:val="21"/>
              </w:rPr>
              <w:t>评标</w:t>
            </w:r>
            <w:r>
              <w:rPr>
                <w:spacing w:val="-3"/>
                <w:sz w:val="21"/>
              </w:rPr>
              <w:t>委</w:t>
            </w:r>
            <w:r>
              <w:rPr>
                <w:sz w:val="21"/>
              </w:rPr>
              <w:t>员</w:t>
            </w:r>
            <w:r>
              <w:rPr>
                <w:spacing w:val="-3"/>
                <w:sz w:val="21"/>
              </w:rPr>
              <w:t>会</w:t>
            </w:r>
            <w:r>
              <w:rPr>
                <w:sz w:val="21"/>
              </w:rPr>
              <w:t>构</w:t>
            </w:r>
            <w:r>
              <w:rPr>
                <w:spacing w:val="-3"/>
                <w:sz w:val="21"/>
              </w:rPr>
              <w:t>成</w:t>
            </w:r>
            <w:r>
              <w:rPr>
                <w:sz w:val="21"/>
              </w:rPr>
              <w:t>：</w:t>
            </w:r>
            <w:r>
              <w:rPr>
                <w:sz w:val="21"/>
                <w:u w:val="single"/>
              </w:rPr>
              <w:t xml:space="preserve"> </w:t>
            </w:r>
            <w:r>
              <w:rPr>
                <w:sz w:val="21"/>
                <w:u w:val="single"/>
              </w:rPr>
              <w:tab/>
            </w:r>
            <w:r>
              <w:rPr>
                <w:spacing w:val="-3"/>
                <w:sz w:val="21"/>
              </w:rPr>
              <w:t>人</w:t>
            </w:r>
            <w:r>
              <w:rPr>
                <w:rFonts w:hint="eastAsia"/>
                <w:spacing w:val="-3"/>
                <w:sz w:val="21"/>
              </w:rPr>
              <w:t>（</w:t>
            </w:r>
            <w:r>
              <w:rPr>
                <w:rFonts w:hint="eastAsia"/>
                <w:spacing w:val="-3"/>
                <w:sz w:val="21"/>
                <w:lang w:val="en-US"/>
              </w:rPr>
              <w:t>不少于5人</w:t>
            </w:r>
            <w:r>
              <w:rPr>
                <w:rFonts w:hint="eastAsia"/>
                <w:spacing w:val="-3"/>
                <w:sz w:val="21"/>
              </w:rPr>
              <w:t>）</w:t>
            </w:r>
            <w:r>
              <w:rPr>
                <w:sz w:val="21"/>
              </w:rPr>
              <w:t>，其</w:t>
            </w:r>
            <w:r>
              <w:rPr>
                <w:spacing w:val="-3"/>
                <w:sz w:val="21"/>
              </w:rPr>
              <w:t>中</w:t>
            </w:r>
            <w:r>
              <w:rPr>
                <w:sz w:val="21"/>
              </w:rPr>
              <w:t>招</w:t>
            </w:r>
            <w:r>
              <w:rPr>
                <w:spacing w:val="-3"/>
                <w:sz w:val="21"/>
              </w:rPr>
              <w:t>标</w:t>
            </w:r>
            <w:r>
              <w:rPr>
                <w:sz w:val="21"/>
              </w:rPr>
              <w:t>人</w:t>
            </w:r>
            <w:r>
              <w:rPr>
                <w:spacing w:val="-3"/>
                <w:sz w:val="21"/>
              </w:rPr>
              <w:t>代</w:t>
            </w:r>
            <w:r>
              <w:rPr>
                <w:sz w:val="21"/>
              </w:rPr>
              <w:t>表</w:t>
            </w:r>
            <w:r>
              <w:rPr>
                <w:sz w:val="21"/>
                <w:u w:val="single"/>
              </w:rPr>
              <w:t xml:space="preserve"> </w:t>
            </w:r>
            <w:r>
              <w:rPr>
                <w:sz w:val="21"/>
                <w:u w:val="single"/>
              </w:rPr>
              <w:tab/>
            </w:r>
            <w:r>
              <w:rPr>
                <w:spacing w:val="-3"/>
                <w:sz w:val="21"/>
              </w:rPr>
              <w:t xml:space="preserve">人， </w:t>
            </w:r>
            <w:r>
              <w:rPr>
                <w:sz w:val="21"/>
              </w:rPr>
              <w:t>专家</w:t>
            </w:r>
            <w:r>
              <w:rPr>
                <w:sz w:val="21"/>
                <w:u w:val="single"/>
              </w:rPr>
              <w:t xml:space="preserve"> </w:t>
            </w:r>
            <w:r>
              <w:rPr>
                <w:sz w:val="21"/>
                <w:u w:val="single"/>
              </w:rPr>
              <w:tab/>
            </w:r>
            <w:r>
              <w:rPr>
                <w:spacing w:val="-3"/>
                <w:sz w:val="21"/>
              </w:rPr>
              <w:t>人；</w:t>
            </w:r>
          </w:p>
          <w:p>
            <w:pPr>
              <w:pStyle w:val="21"/>
              <w:spacing w:line="268" w:lineRule="exact"/>
              <w:ind w:left="107"/>
              <w:rPr>
                <w:sz w:val="21"/>
              </w:rPr>
            </w:pPr>
            <w:r>
              <w:rPr>
                <w:sz w:val="21"/>
              </w:rPr>
              <w:t>评标专家确定方式：依法从相应评标专家库中随机抽</w:t>
            </w:r>
          </w:p>
          <w:p>
            <w:pPr>
              <w:pStyle w:val="21"/>
              <w:spacing w:before="91" w:line="250" w:lineRule="exact"/>
              <w:ind w:left="107"/>
              <w:rPr>
                <w:sz w:val="21"/>
              </w:rPr>
            </w:pPr>
            <w:r>
              <w:rPr>
                <w:sz w:val="21"/>
              </w:rPr>
              <w:t>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037" w:type="dxa"/>
            <w:vAlign w:val="center"/>
          </w:tcPr>
          <w:p>
            <w:pPr>
              <w:pStyle w:val="21"/>
              <w:ind w:left="181" w:right="172"/>
              <w:jc w:val="center"/>
              <w:rPr>
                <w:rFonts w:ascii="Times New Roman"/>
                <w:sz w:val="21"/>
                <w:lang w:val="en-US"/>
              </w:rPr>
            </w:pPr>
            <w:r>
              <w:rPr>
                <w:rFonts w:hint="eastAsia" w:ascii="Times New Roman"/>
                <w:sz w:val="21"/>
                <w:lang w:val="en-US"/>
              </w:rPr>
              <w:t>6.1.2</w:t>
            </w:r>
          </w:p>
        </w:tc>
        <w:tc>
          <w:tcPr>
            <w:tcW w:w="2953" w:type="dxa"/>
            <w:vAlign w:val="center"/>
          </w:tcPr>
          <w:p>
            <w:pPr>
              <w:pStyle w:val="21"/>
              <w:spacing w:before="1"/>
              <w:ind w:left="3"/>
              <w:jc w:val="center"/>
              <w:rPr>
                <w:sz w:val="21"/>
                <w:lang w:val="en-US"/>
              </w:rPr>
            </w:pPr>
            <w:r>
              <w:rPr>
                <w:rFonts w:hint="eastAsia"/>
                <w:sz w:val="21"/>
                <w:lang w:val="en-US"/>
              </w:rPr>
              <w:t>评标办法</w:t>
            </w:r>
          </w:p>
        </w:tc>
        <w:tc>
          <w:tcPr>
            <w:tcW w:w="5017" w:type="dxa"/>
          </w:tcPr>
          <w:p>
            <w:pPr>
              <w:pStyle w:val="21"/>
              <w:spacing w:before="91" w:line="250" w:lineRule="exact"/>
              <w:ind w:left="107"/>
              <w:rPr>
                <w:sz w:val="21"/>
                <w:lang w:val="en-US"/>
              </w:rPr>
            </w:pPr>
            <w:r>
              <w:rPr>
                <w:rFonts w:ascii="Times New Roman" w:hAnsi="Times New Roman" w:eastAsia="Times New Roman"/>
                <w:sz w:val="32"/>
              </w:rPr>
              <w:t>□</w:t>
            </w:r>
            <w:r>
              <w:rPr>
                <w:rFonts w:hint="eastAsia"/>
                <w:sz w:val="21"/>
                <w:lang w:val="en-US"/>
              </w:rPr>
              <w:t>合理低价法</w:t>
            </w:r>
          </w:p>
          <w:p>
            <w:pPr>
              <w:pStyle w:val="21"/>
              <w:spacing w:before="91" w:line="250" w:lineRule="exact"/>
              <w:ind w:left="107"/>
              <w:rPr>
                <w:sz w:val="21"/>
                <w:lang w:val="en-US"/>
              </w:rPr>
            </w:pPr>
            <w:r>
              <w:rPr>
                <w:rFonts w:ascii="Times New Roman" w:hAnsi="Times New Roman" w:eastAsia="Times New Roman"/>
                <w:sz w:val="32"/>
              </w:rPr>
              <w:t>□</w:t>
            </w:r>
            <w:r>
              <w:rPr>
                <w:rFonts w:hint="eastAsia"/>
                <w:sz w:val="21"/>
                <w:lang w:val="en-US"/>
              </w:rPr>
              <w:t>技术评分最低标价法</w:t>
            </w:r>
          </w:p>
          <w:p>
            <w:pPr>
              <w:pStyle w:val="21"/>
              <w:spacing w:before="91" w:line="250" w:lineRule="exact"/>
              <w:ind w:left="107"/>
              <w:rPr>
                <w:sz w:val="21"/>
                <w:lang w:val="en-US"/>
              </w:rPr>
            </w:pPr>
            <w:r>
              <w:rPr>
                <w:rFonts w:ascii="Times New Roman" w:hAnsi="Times New Roman" w:eastAsia="Times New Roman"/>
                <w:sz w:val="32"/>
              </w:rPr>
              <w:t>□</w:t>
            </w:r>
            <w:r>
              <w:rPr>
                <w:rFonts w:hint="eastAsia"/>
                <w:sz w:val="21"/>
                <w:lang w:val="en-US"/>
              </w:rPr>
              <w:t>综合评分法</w:t>
            </w:r>
          </w:p>
          <w:p>
            <w:pPr>
              <w:pStyle w:val="21"/>
              <w:spacing w:before="91" w:line="250" w:lineRule="exact"/>
              <w:ind w:left="107"/>
              <w:rPr>
                <w:sz w:val="21"/>
                <w:lang w:val="en-US"/>
              </w:rPr>
            </w:pPr>
            <w:r>
              <w:rPr>
                <w:rFonts w:ascii="Times New Roman" w:hAnsi="Times New Roman" w:eastAsia="Times New Roman"/>
                <w:sz w:val="32"/>
              </w:rPr>
              <w:t>□</w:t>
            </w:r>
            <w:r>
              <w:rPr>
                <w:rFonts w:hint="eastAsia"/>
                <w:sz w:val="21"/>
                <w:lang w:val="en-US"/>
              </w:rPr>
              <w:t>经评审的最低投标价法</w:t>
            </w:r>
          </w:p>
          <w:p>
            <w:pPr>
              <w:pStyle w:val="21"/>
              <w:keepNext w:val="0"/>
              <w:keepLines w:val="0"/>
              <w:pageBreakBefore w:val="0"/>
              <w:widowControl w:val="0"/>
              <w:kinsoku/>
              <w:wordWrap/>
              <w:overflowPunct/>
              <w:topLinePunct w:val="0"/>
              <w:autoSpaceDE w:val="0"/>
              <w:autoSpaceDN w:val="0"/>
              <w:bidi w:val="0"/>
              <w:adjustRightInd/>
              <w:snapToGrid/>
              <w:spacing w:line="312" w:lineRule="auto"/>
              <w:textAlignment w:val="auto"/>
              <w:rPr>
                <w:sz w:val="21"/>
                <w:lang w:val="en-US"/>
              </w:rPr>
            </w:pPr>
            <w:r>
              <w:rPr>
                <w:rFonts w:hint="eastAsia"/>
                <w:sz w:val="21"/>
                <w:lang w:val="en-US"/>
              </w:rPr>
              <w:t>注：</w:t>
            </w:r>
            <w:r>
              <w:rPr>
                <w:sz w:val="21"/>
                <w:lang w:val="en-US"/>
              </w:rPr>
              <w:t>按照四川省交通运输厅《关于印发&lt;四川省公路工程建设项目招标投标管理实施细则&gt;的通知》（川交发〔2019〕32号）第四十一条要求，公路工程建设项目施招标评标，一般采用合理低</w:t>
            </w:r>
            <w:r>
              <w:rPr>
                <w:rFonts w:hint="eastAsia"/>
                <w:sz w:val="21"/>
                <w:lang w:val="en-US"/>
              </w:rPr>
              <w:t>价</w:t>
            </w:r>
            <w:r>
              <w:rPr>
                <w:sz w:val="21"/>
                <w:lang w:val="en-US"/>
              </w:rPr>
              <w:t>法。技术特别复杂工程的主体施工可</w:t>
            </w:r>
            <w:r>
              <w:rPr>
                <w:rFonts w:hint="eastAsia"/>
                <w:sz w:val="21"/>
                <w:lang w:val="en-US"/>
              </w:rPr>
              <w:t>采</w:t>
            </w:r>
            <w:r>
              <w:rPr>
                <w:sz w:val="21"/>
                <w:lang w:val="en-US"/>
              </w:rPr>
              <w:t>用综合评分法或技术评分最低标价法。工程规模较小、技术量较低的工程施工，应采用经评审的最低投标价法。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37" w:type="dxa"/>
          </w:tcPr>
          <w:p>
            <w:pPr>
              <w:pStyle w:val="21"/>
              <w:spacing w:before="12"/>
            </w:pPr>
          </w:p>
          <w:p>
            <w:pPr>
              <w:pStyle w:val="21"/>
              <w:ind w:left="181" w:right="172"/>
              <w:jc w:val="center"/>
              <w:rPr>
                <w:rFonts w:ascii="Times New Roman"/>
                <w:sz w:val="21"/>
                <w:lang w:val="en-US"/>
              </w:rPr>
            </w:pPr>
            <w:r>
              <w:rPr>
                <w:rFonts w:ascii="Times New Roman"/>
                <w:sz w:val="21"/>
              </w:rPr>
              <w:t>6.</w:t>
            </w:r>
            <w:r>
              <w:rPr>
                <w:rFonts w:hint="eastAsia" w:ascii="Times New Roman"/>
                <w:sz w:val="21"/>
                <w:lang w:val="en-US"/>
              </w:rPr>
              <w:t>2</w:t>
            </w:r>
            <w:r>
              <w:rPr>
                <w:rFonts w:ascii="Times New Roman"/>
                <w:sz w:val="21"/>
              </w:rPr>
              <w:t>.</w:t>
            </w:r>
            <w:r>
              <w:rPr>
                <w:rFonts w:hint="eastAsia" w:ascii="Times New Roman"/>
                <w:sz w:val="21"/>
                <w:lang w:val="en-US"/>
              </w:rPr>
              <w:t>1</w:t>
            </w:r>
          </w:p>
        </w:tc>
        <w:tc>
          <w:tcPr>
            <w:tcW w:w="2953" w:type="dxa"/>
          </w:tcPr>
          <w:p>
            <w:pPr>
              <w:pStyle w:val="21"/>
              <w:spacing w:before="12" w:line="360" w:lineRule="exact"/>
              <w:ind w:left="1261" w:right="99" w:hanging="1155"/>
              <w:rPr>
                <w:sz w:val="21"/>
              </w:rPr>
            </w:pPr>
            <w:r>
              <w:rPr>
                <w:sz w:val="21"/>
              </w:rPr>
              <w:t>评标委员会推荐中标候选人的人数</w:t>
            </w:r>
          </w:p>
        </w:tc>
        <w:tc>
          <w:tcPr>
            <w:tcW w:w="5017" w:type="dxa"/>
            <w:vAlign w:val="center"/>
          </w:tcPr>
          <w:p>
            <w:pPr>
              <w:pStyle w:val="21"/>
              <w:jc w:val="both"/>
              <w:rPr>
                <w:rFonts w:ascii="Times New Roman"/>
                <w:sz w:val="20"/>
              </w:rPr>
            </w:pPr>
            <w:r>
              <w:rPr>
                <w:rFonts w:hint="eastAsia"/>
                <w:sz w:val="21"/>
              </w:rPr>
              <w:t>推荐的中标候选人数：1～3人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037" w:type="dxa"/>
          </w:tcPr>
          <w:p>
            <w:pPr>
              <w:pStyle w:val="21"/>
            </w:pPr>
          </w:p>
          <w:p>
            <w:pPr>
              <w:pStyle w:val="21"/>
              <w:spacing w:before="179"/>
              <w:ind w:left="181" w:right="172"/>
              <w:jc w:val="center"/>
              <w:rPr>
                <w:rFonts w:ascii="Times New Roman"/>
                <w:sz w:val="21"/>
              </w:rPr>
            </w:pPr>
            <w:r>
              <w:rPr>
                <w:rFonts w:ascii="Times New Roman"/>
                <w:sz w:val="21"/>
              </w:rPr>
              <w:t>7.1</w:t>
            </w:r>
          </w:p>
        </w:tc>
        <w:tc>
          <w:tcPr>
            <w:tcW w:w="2953" w:type="dxa"/>
          </w:tcPr>
          <w:p>
            <w:pPr>
              <w:pStyle w:val="21"/>
              <w:rPr>
                <w:sz w:val="20"/>
              </w:rPr>
            </w:pPr>
          </w:p>
          <w:p>
            <w:pPr>
              <w:pStyle w:val="21"/>
              <w:spacing w:before="2"/>
              <w:rPr>
                <w:sz w:val="14"/>
              </w:rPr>
            </w:pPr>
          </w:p>
          <w:p>
            <w:pPr>
              <w:pStyle w:val="21"/>
              <w:ind w:left="1"/>
              <w:jc w:val="center"/>
              <w:rPr>
                <w:sz w:val="21"/>
              </w:rPr>
            </w:pPr>
            <w:r>
              <w:rPr>
                <w:sz w:val="21"/>
              </w:rPr>
              <w:t>中标候选人公示媒介及期限</w:t>
            </w:r>
          </w:p>
        </w:tc>
        <w:tc>
          <w:tcPr>
            <w:tcW w:w="5017" w:type="dxa"/>
          </w:tcPr>
          <w:p>
            <w:pPr>
              <w:pStyle w:val="21"/>
              <w:spacing w:before="78"/>
              <w:ind w:left="107"/>
              <w:rPr>
                <w:sz w:val="21"/>
              </w:rPr>
            </w:pPr>
            <w:r>
              <w:rPr>
                <w:sz w:val="21"/>
              </w:rPr>
              <w:t>公示媒介：</w:t>
            </w:r>
          </w:p>
          <w:p>
            <w:pPr>
              <w:pStyle w:val="21"/>
              <w:tabs>
                <w:tab w:val="left" w:pos="2104"/>
              </w:tabs>
              <w:spacing w:before="91"/>
              <w:ind w:left="107"/>
              <w:rPr>
                <w:sz w:val="21"/>
              </w:rPr>
            </w:pPr>
            <w:r>
              <w:rPr>
                <w:sz w:val="21"/>
              </w:rPr>
              <w:t>公示</w:t>
            </w:r>
            <w:r>
              <w:rPr>
                <w:spacing w:val="-3"/>
                <w:sz w:val="21"/>
              </w:rPr>
              <w:t>期</w:t>
            </w:r>
            <w:r>
              <w:rPr>
                <w:sz w:val="21"/>
              </w:rPr>
              <w:t>限</w:t>
            </w:r>
            <w:r>
              <w:rPr>
                <w:spacing w:val="-3"/>
                <w:sz w:val="21"/>
              </w:rPr>
              <w:t>：</w:t>
            </w:r>
            <w:r>
              <w:rPr>
                <w:spacing w:val="-3"/>
                <w:sz w:val="21"/>
                <w:u w:val="single"/>
              </w:rPr>
              <w:t xml:space="preserve"> </w:t>
            </w:r>
            <w:r>
              <w:rPr>
                <w:spacing w:val="-3"/>
                <w:sz w:val="21"/>
                <w:u w:val="single"/>
              </w:rPr>
              <w:tab/>
            </w:r>
            <w:r>
              <w:rPr>
                <w:sz w:val="21"/>
              </w:rPr>
              <w:t>日</w:t>
            </w:r>
          </w:p>
          <w:p>
            <w:pPr>
              <w:pStyle w:val="21"/>
              <w:tabs>
                <w:tab w:val="left" w:pos="2780"/>
              </w:tabs>
              <w:spacing w:before="91" w:line="250" w:lineRule="exact"/>
              <w:ind w:left="107"/>
              <w:rPr>
                <w:rFonts w:ascii="Times New Roman" w:eastAsia="Times New Roman"/>
                <w:sz w:val="21"/>
              </w:rPr>
            </w:pPr>
            <w:r>
              <w:rPr>
                <w:sz w:val="21"/>
              </w:rPr>
              <w:t>公示</w:t>
            </w:r>
            <w:r>
              <w:rPr>
                <w:spacing w:val="-3"/>
                <w:sz w:val="21"/>
              </w:rPr>
              <w:t>的</w:t>
            </w:r>
            <w:r>
              <w:rPr>
                <w:sz w:val="21"/>
              </w:rPr>
              <w:t>其</w:t>
            </w:r>
            <w:r>
              <w:rPr>
                <w:spacing w:val="-3"/>
                <w:sz w:val="21"/>
              </w:rPr>
              <w:t>他</w:t>
            </w:r>
            <w:r>
              <w:rPr>
                <w:sz w:val="21"/>
              </w:rPr>
              <w:t>内</w:t>
            </w:r>
            <w:r>
              <w:rPr>
                <w:spacing w:val="-3"/>
                <w:sz w:val="21"/>
              </w:rPr>
              <w:t>容</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037" w:type="dxa"/>
          </w:tcPr>
          <w:p>
            <w:pPr>
              <w:pStyle w:val="21"/>
              <w:spacing w:before="8"/>
              <w:rPr>
                <w:sz w:val="23"/>
              </w:rPr>
            </w:pPr>
          </w:p>
          <w:p>
            <w:pPr>
              <w:pStyle w:val="21"/>
              <w:ind w:left="181" w:right="172"/>
              <w:jc w:val="center"/>
              <w:rPr>
                <w:rFonts w:ascii="Times New Roman"/>
                <w:sz w:val="21"/>
                <w:lang w:val="en-US"/>
              </w:rPr>
            </w:pPr>
            <w:r>
              <w:rPr>
                <w:rFonts w:ascii="Times New Roman"/>
                <w:sz w:val="21"/>
              </w:rPr>
              <w:t>7.</w:t>
            </w:r>
            <w:r>
              <w:rPr>
                <w:rFonts w:hint="eastAsia" w:ascii="Times New Roman"/>
                <w:sz w:val="21"/>
                <w:lang w:val="en-US"/>
              </w:rPr>
              <w:t>2</w:t>
            </w:r>
          </w:p>
        </w:tc>
        <w:tc>
          <w:tcPr>
            <w:tcW w:w="2953" w:type="dxa"/>
          </w:tcPr>
          <w:p>
            <w:pPr>
              <w:pStyle w:val="21"/>
              <w:spacing w:before="8" w:line="360" w:lineRule="atLeast"/>
              <w:ind w:left="1368" w:right="99" w:hanging="1261"/>
              <w:rPr>
                <w:sz w:val="21"/>
              </w:rPr>
            </w:pPr>
            <w:r>
              <w:rPr>
                <w:sz w:val="21"/>
              </w:rPr>
              <w:t>是否授权评标委员会确定中标人</w:t>
            </w:r>
          </w:p>
        </w:tc>
        <w:tc>
          <w:tcPr>
            <w:tcW w:w="5017" w:type="dxa"/>
            <w:vAlign w:val="center"/>
          </w:tcPr>
          <w:p>
            <w:pPr>
              <w:pStyle w:val="21"/>
              <w:spacing w:line="355" w:lineRule="exact"/>
              <w:ind w:left="107"/>
              <w:jc w:val="both"/>
              <w:rPr>
                <w:sz w:val="21"/>
              </w:rPr>
            </w:pPr>
            <w:r>
              <w:rPr>
                <w:rFonts w:hint="eastAsia"/>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37" w:type="dxa"/>
          </w:tcPr>
          <w:p>
            <w:pPr>
              <w:pStyle w:val="21"/>
              <w:spacing w:before="11"/>
            </w:pPr>
          </w:p>
          <w:p>
            <w:pPr>
              <w:pStyle w:val="21"/>
              <w:ind w:left="181" w:right="172"/>
              <w:jc w:val="center"/>
              <w:rPr>
                <w:rFonts w:ascii="Times New Roman"/>
                <w:sz w:val="21"/>
                <w:lang w:val="en-US"/>
              </w:rPr>
            </w:pPr>
            <w:r>
              <w:rPr>
                <w:rFonts w:ascii="Times New Roman"/>
                <w:sz w:val="21"/>
              </w:rPr>
              <w:t>7.</w:t>
            </w:r>
            <w:r>
              <w:rPr>
                <w:rFonts w:hint="eastAsia" w:ascii="Times New Roman"/>
                <w:sz w:val="21"/>
                <w:lang w:val="en-US"/>
              </w:rPr>
              <w:t>3</w:t>
            </w:r>
          </w:p>
        </w:tc>
        <w:tc>
          <w:tcPr>
            <w:tcW w:w="2953" w:type="dxa"/>
          </w:tcPr>
          <w:p>
            <w:pPr>
              <w:pStyle w:val="21"/>
              <w:spacing w:before="11" w:line="360" w:lineRule="exact"/>
              <w:ind w:left="1053" w:right="99" w:hanging="946"/>
              <w:rPr>
                <w:sz w:val="21"/>
              </w:rPr>
            </w:pPr>
            <w:r>
              <w:rPr>
                <w:sz w:val="21"/>
              </w:rPr>
              <w:t>中标通知书和中标结果通知发出的形式</w:t>
            </w:r>
          </w:p>
        </w:tc>
        <w:tc>
          <w:tcPr>
            <w:tcW w:w="501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037" w:type="dxa"/>
          </w:tcPr>
          <w:p>
            <w:pPr>
              <w:pStyle w:val="21"/>
              <w:spacing w:before="2"/>
            </w:pPr>
          </w:p>
          <w:p>
            <w:pPr>
              <w:pStyle w:val="21"/>
              <w:spacing w:before="1"/>
              <w:ind w:left="181" w:right="172"/>
              <w:jc w:val="center"/>
              <w:rPr>
                <w:rFonts w:ascii="Times New Roman"/>
                <w:sz w:val="21"/>
                <w:lang w:val="en-US"/>
              </w:rPr>
            </w:pPr>
            <w:r>
              <w:rPr>
                <w:rFonts w:ascii="Times New Roman"/>
                <w:sz w:val="21"/>
              </w:rPr>
              <w:t>7.</w:t>
            </w:r>
            <w:r>
              <w:rPr>
                <w:rFonts w:hint="eastAsia" w:ascii="Times New Roman"/>
                <w:sz w:val="21"/>
                <w:lang w:val="en-US"/>
              </w:rPr>
              <w:t>4</w:t>
            </w:r>
          </w:p>
        </w:tc>
        <w:tc>
          <w:tcPr>
            <w:tcW w:w="2953" w:type="dxa"/>
          </w:tcPr>
          <w:p>
            <w:pPr>
              <w:pStyle w:val="21"/>
              <w:spacing w:before="4"/>
              <w:rPr>
                <w:sz w:val="20"/>
              </w:rPr>
            </w:pPr>
          </w:p>
          <w:p>
            <w:pPr>
              <w:pStyle w:val="21"/>
              <w:spacing w:before="1"/>
              <w:ind w:left="3"/>
              <w:jc w:val="center"/>
              <w:rPr>
                <w:sz w:val="21"/>
              </w:rPr>
            </w:pPr>
            <w:r>
              <w:rPr>
                <w:sz w:val="21"/>
              </w:rPr>
              <w:t>中标结果公告媒介及期限</w:t>
            </w:r>
          </w:p>
        </w:tc>
        <w:tc>
          <w:tcPr>
            <w:tcW w:w="5017" w:type="dxa"/>
          </w:tcPr>
          <w:p>
            <w:pPr>
              <w:pStyle w:val="21"/>
              <w:spacing w:before="81"/>
              <w:ind w:left="107"/>
              <w:rPr>
                <w:sz w:val="21"/>
              </w:rPr>
            </w:pPr>
            <w:r>
              <w:rPr>
                <w:sz w:val="21"/>
              </w:rPr>
              <w:t>公告媒介：</w:t>
            </w:r>
          </w:p>
          <w:p>
            <w:pPr>
              <w:pStyle w:val="21"/>
              <w:tabs>
                <w:tab w:val="left" w:pos="2104"/>
              </w:tabs>
              <w:spacing w:before="91" w:line="250" w:lineRule="exact"/>
              <w:ind w:left="107"/>
              <w:rPr>
                <w:sz w:val="21"/>
              </w:rPr>
            </w:pPr>
            <w:r>
              <w:rPr>
                <w:sz w:val="21"/>
              </w:rPr>
              <w:t>公告</w:t>
            </w:r>
            <w:r>
              <w:rPr>
                <w:spacing w:val="-3"/>
                <w:sz w:val="21"/>
              </w:rPr>
              <w:t>期</w:t>
            </w:r>
            <w:r>
              <w:rPr>
                <w:sz w:val="21"/>
              </w:rPr>
              <w:t>限</w:t>
            </w:r>
            <w:r>
              <w:rPr>
                <w:spacing w:val="-3"/>
                <w:sz w:val="21"/>
              </w:rPr>
              <w:t>：</w:t>
            </w:r>
            <w:r>
              <w:rPr>
                <w:spacing w:val="-3"/>
                <w:sz w:val="21"/>
                <w:u w:val="single"/>
              </w:rPr>
              <w:t xml:space="preserve"> </w:t>
            </w:r>
            <w:r>
              <w:rPr>
                <w:spacing w:val="-3"/>
                <w:sz w:val="21"/>
                <w:u w:val="single"/>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1037" w:type="dxa"/>
          </w:tcPr>
          <w:p>
            <w:pPr>
              <w:pStyle w:val="21"/>
            </w:pPr>
          </w:p>
          <w:p>
            <w:pPr>
              <w:pStyle w:val="21"/>
            </w:pPr>
          </w:p>
          <w:p>
            <w:pPr>
              <w:pStyle w:val="21"/>
            </w:pPr>
          </w:p>
          <w:p>
            <w:pPr>
              <w:pStyle w:val="21"/>
            </w:pPr>
          </w:p>
          <w:p>
            <w:pPr>
              <w:pStyle w:val="21"/>
              <w:spacing w:before="9"/>
              <w:rPr>
                <w:sz w:val="19"/>
              </w:rPr>
            </w:pPr>
          </w:p>
          <w:p>
            <w:pPr>
              <w:pStyle w:val="21"/>
              <w:ind w:left="181" w:right="172"/>
              <w:jc w:val="center"/>
              <w:rPr>
                <w:rFonts w:ascii="Times New Roman"/>
                <w:sz w:val="21"/>
                <w:lang w:val="en-US"/>
              </w:rPr>
            </w:pPr>
            <w:r>
              <w:rPr>
                <w:rFonts w:ascii="Times New Roman"/>
                <w:sz w:val="21"/>
              </w:rPr>
              <w:t>7.</w:t>
            </w:r>
            <w:r>
              <w:rPr>
                <w:rFonts w:hint="eastAsia" w:ascii="Times New Roman"/>
                <w:sz w:val="21"/>
                <w:lang w:val="en-US"/>
              </w:rPr>
              <w:t>5</w:t>
            </w:r>
          </w:p>
        </w:tc>
        <w:tc>
          <w:tcPr>
            <w:tcW w:w="2953" w:type="dxa"/>
          </w:tcPr>
          <w:p>
            <w:pPr>
              <w:pStyle w:val="21"/>
              <w:rPr>
                <w:sz w:val="20"/>
              </w:rPr>
            </w:pPr>
          </w:p>
          <w:p>
            <w:pPr>
              <w:pStyle w:val="21"/>
              <w:rPr>
                <w:sz w:val="20"/>
              </w:rPr>
            </w:pPr>
          </w:p>
          <w:p>
            <w:pPr>
              <w:pStyle w:val="21"/>
              <w:rPr>
                <w:sz w:val="20"/>
              </w:rPr>
            </w:pPr>
          </w:p>
          <w:p>
            <w:pPr>
              <w:pStyle w:val="21"/>
              <w:rPr>
                <w:sz w:val="20"/>
              </w:rPr>
            </w:pPr>
          </w:p>
          <w:p>
            <w:pPr>
              <w:pStyle w:val="21"/>
              <w:spacing w:before="11"/>
              <w:rPr>
                <w:sz w:val="25"/>
              </w:rPr>
            </w:pPr>
          </w:p>
          <w:p>
            <w:pPr>
              <w:pStyle w:val="21"/>
              <w:ind w:left="6"/>
              <w:jc w:val="center"/>
              <w:rPr>
                <w:sz w:val="21"/>
              </w:rPr>
            </w:pPr>
            <w:r>
              <w:rPr>
                <w:sz w:val="21"/>
              </w:rPr>
              <w:t>履约保证金</w:t>
            </w:r>
          </w:p>
        </w:tc>
        <w:tc>
          <w:tcPr>
            <w:tcW w:w="5017" w:type="dxa"/>
          </w:tcPr>
          <w:p>
            <w:pPr>
              <w:pStyle w:val="21"/>
              <w:spacing w:line="364" w:lineRule="exact"/>
              <w:ind w:left="107"/>
              <w:rPr>
                <w:sz w:val="21"/>
              </w:rPr>
            </w:pPr>
            <w:r>
              <w:rPr>
                <w:sz w:val="21"/>
              </w:rPr>
              <w:t>履约保证金的形式：</w:t>
            </w:r>
            <w:r>
              <w:rPr>
                <w:sz w:val="21"/>
                <w:u w:val="single"/>
              </w:rPr>
              <w:t>银行保函或现金、支票</w:t>
            </w:r>
          </w:p>
          <w:p>
            <w:pPr>
              <w:pStyle w:val="21"/>
              <w:spacing w:before="88"/>
              <w:ind w:left="107"/>
              <w:rPr>
                <w:sz w:val="11"/>
              </w:rPr>
            </w:pPr>
            <w:r>
              <w:rPr>
                <w:sz w:val="21"/>
                <w:u w:val="single"/>
              </w:rPr>
              <w:t>形式</w:t>
            </w:r>
          </w:p>
          <w:p>
            <w:pPr>
              <w:pStyle w:val="21"/>
              <w:spacing w:before="91" w:line="321" w:lineRule="auto"/>
              <w:ind w:right="82" w:firstLine="202" w:firstLineChars="100"/>
              <w:jc w:val="both"/>
              <w:rPr>
                <w:sz w:val="11"/>
              </w:rPr>
            </w:pPr>
            <w:r>
              <w:rPr>
                <w:spacing w:val="-4"/>
                <w:sz w:val="21"/>
              </w:rPr>
              <w:t>履约保证金的金额：</w:t>
            </w:r>
            <w:r>
              <w:rPr>
                <w:spacing w:val="7"/>
                <w:sz w:val="21"/>
                <w:u w:val="single"/>
              </w:rPr>
              <w:t xml:space="preserve">   </w:t>
            </w:r>
            <w:r>
              <w:rPr>
                <w:spacing w:val="-4"/>
                <w:sz w:val="21"/>
              </w:rPr>
              <w:t>％签约合同价，被</w:t>
            </w:r>
            <w:r>
              <w:rPr>
                <w:spacing w:val="-13"/>
                <w:sz w:val="21"/>
              </w:rPr>
              <w:t>招标项目所在地省级交通运输主管部门评为</w:t>
            </w:r>
            <w:r>
              <w:rPr>
                <w:spacing w:val="5"/>
                <w:sz w:val="21"/>
                <w:u w:val="single"/>
              </w:rPr>
              <w:t xml:space="preserve">   </w:t>
            </w:r>
            <w:r>
              <w:rPr>
                <w:spacing w:val="-8"/>
                <w:sz w:val="21"/>
              </w:rPr>
              <w:t>信用等</w:t>
            </w:r>
            <w:r>
              <w:rPr>
                <w:spacing w:val="-15"/>
                <w:sz w:val="21"/>
              </w:rPr>
              <w:t>级的中标人，履约保证金金额为</w:t>
            </w:r>
            <w:r>
              <w:rPr>
                <w:spacing w:val="40"/>
                <w:sz w:val="21"/>
                <w:u w:val="single"/>
              </w:rPr>
              <w:t xml:space="preserve"> </w:t>
            </w:r>
            <w:r>
              <w:rPr>
                <w:rFonts w:ascii="Times New Roman" w:hAnsi="Times New Roman" w:eastAsia="Times New Roman"/>
                <w:sz w:val="21"/>
              </w:rPr>
              <w:t>%</w:t>
            </w:r>
            <w:r>
              <w:rPr>
                <w:spacing w:val="-1"/>
                <w:sz w:val="21"/>
              </w:rPr>
              <w:t>签约合同价</w:t>
            </w:r>
          </w:p>
          <w:p>
            <w:pPr>
              <w:pStyle w:val="21"/>
              <w:tabs>
                <w:tab w:val="left" w:pos="4955"/>
              </w:tabs>
              <w:spacing w:line="264" w:lineRule="exact"/>
              <w:ind w:firstLine="176" w:firstLineChars="100"/>
              <w:rPr>
                <w:rFonts w:ascii="Times New Roman" w:eastAsia="Times New Roman"/>
                <w:sz w:val="21"/>
              </w:rPr>
            </w:pPr>
            <w:r>
              <w:rPr>
                <w:spacing w:val="-17"/>
                <w:sz w:val="21"/>
              </w:rPr>
              <w:t>采用银行保函时，</w:t>
            </w:r>
            <w:r>
              <w:rPr>
                <w:spacing w:val="-20"/>
                <w:sz w:val="21"/>
              </w:rPr>
              <w:t>出</w:t>
            </w:r>
            <w:r>
              <w:rPr>
                <w:spacing w:val="-17"/>
                <w:sz w:val="21"/>
              </w:rPr>
              <w:t>具保</w:t>
            </w:r>
            <w:r>
              <w:rPr>
                <w:spacing w:val="-20"/>
                <w:sz w:val="21"/>
              </w:rPr>
              <w:t>函</w:t>
            </w:r>
            <w:r>
              <w:rPr>
                <w:spacing w:val="-17"/>
                <w:sz w:val="21"/>
              </w:rPr>
              <w:t>的银行级别</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21"/>
              <w:spacing w:line="352" w:lineRule="exact"/>
              <w:ind w:left="10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1037" w:type="dxa"/>
          </w:tcPr>
          <w:p>
            <w:pPr>
              <w:pStyle w:val="21"/>
            </w:pPr>
          </w:p>
          <w:p>
            <w:pPr>
              <w:pStyle w:val="21"/>
            </w:pPr>
          </w:p>
          <w:p>
            <w:pPr>
              <w:pStyle w:val="21"/>
              <w:spacing w:before="2"/>
              <w:rPr>
                <w:sz w:val="21"/>
              </w:rPr>
            </w:pPr>
          </w:p>
          <w:p>
            <w:pPr>
              <w:pStyle w:val="21"/>
              <w:spacing w:before="1"/>
              <w:ind w:left="181" w:right="172"/>
              <w:jc w:val="center"/>
              <w:rPr>
                <w:rFonts w:ascii="Times New Roman"/>
                <w:sz w:val="21"/>
              </w:rPr>
            </w:pPr>
            <w:r>
              <w:rPr>
                <w:rFonts w:ascii="Times New Roman"/>
                <w:sz w:val="21"/>
              </w:rPr>
              <w:t>8.</w:t>
            </w:r>
            <w:r>
              <w:rPr>
                <w:rFonts w:hint="eastAsia" w:ascii="Times New Roman"/>
                <w:sz w:val="21"/>
                <w:lang w:val="en-US"/>
              </w:rPr>
              <w:t>1</w:t>
            </w:r>
          </w:p>
        </w:tc>
        <w:tc>
          <w:tcPr>
            <w:tcW w:w="2953" w:type="dxa"/>
          </w:tcPr>
          <w:p>
            <w:pPr>
              <w:pStyle w:val="21"/>
              <w:rPr>
                <w:sz w:val="20"/>
              </w:rPr>
            </w:pPr>
          </w:p>
          <w:p>
            <w:pPr>
              <w:pStyle w:val="21"/>
              <w:rPr>
                <w:sz w:val="20"/>
              </w:rPr>
            </w:pPr>
          </w:p>
          <w:p>
            <w:pPr>
              <w:pStyle w:val="21"/>
              <w:spacing w:before="5"/>
              <w:rPr>
                <w:sz w:val="23"/>
              </w:rPr>
            </w:pPr>
          </w:p>
          <w:p>
            <w:pPr>
              <w:pStyle w:val="21"/>
              <w:ind w:left="5"/>
              <w:jc w:val="center"/>
              <w:rPr>
                <w:sz w:val="21"/>
              </w:rPr>
            </w:pPr>
            <w:r>
              <w:rPr>
                <w:sz w:val="21"/>
              </w:rPr>
              <w:t>监督部门</w:t>
            </w:r>
          </w:p>
        </w:tc>
        <w:tc>
          <w:tcPr>
            <w:tcW w:w="5017" w:type="dxa"/>
          </w:tcPr>
          <w:p>
            <w:pPr>
              <w:pStyle w:val="21"/>
              <w:tabs>
                <w:tab w:val="left" w:pos="2466"/>
              </w:tabs>
              <w:spacing w:before="1" w:line="360" w:lineRule="atLeast"/>
              <w:ind w:left="107" w:right="2538"/>
              <w:jc w:val="both"/>
              <w:rPr>
                <w:rFonts w:ascii="Times New Roman" w:eastAsia="Times New Roman"/>
                <w:sz w:val="21"/>
              </w:rPr>
            </w:pPr>
            <w:r>
              <w:rPr>
                <w:sz w:val="21"/>
              </w:rPr>
              <w:t>监督</w:t>
            </w:r>
            <w:r>
              <w:rPr>
                <w:spacing w:val="-3"/>
                <w:sz w:val="21"/>
              </w:rPr>
              <w:t>部</w:t>
            </w:r>
            <w:r>
              <w:rPr>
                <w:sz w:val="21"/>
              </w:rPr>
              <w:t>门</w:t>
            </w:r>
            <w:r>
              <w:rPr>
                <w:spacing w:val="-3"/>
                <w:sz w:val="21"/>
              </w:rPr>
              <w:t>：</w:t>
            </w:r>
            <w:r>
              <w:rPr>
                <w:spacing w:val="-3"/>
                <w:sz w:val="21"/>
                <w:u w:val="single"/>
              </w:rPr>
              <w:tab/>
            </w:r>
            <w:r>
              <w:rPr>
                <w:sz w:val="21"/>
                <w:u w:val="single"/>
              </w:rPr>
              <w:t xml:space="preserve">           </w:t>
            </w:r>
            <w:r>
              <w:rPr>
                <w:sz w:val="21"/>
              </w:rPr>
              <w:t>地   址：</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 xml:space="preserve">           </w:t>
            </w:r>
            <w:r>
              <w:rPr>
                <w:sz w:val="21"/>
              </w:rPr>
              <w:t>电   话：</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 xml:space="preserve">           </w:t>
            </w:r>
            <w:r>
              <w:rPr>
                <w:sz w:val="21"/>
              </w:rPr>
              <w:t>传   真：</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 xml:space="preserve">           </w:t>
            </w:r>
            <w:r>
              <w:rPr>
                <w:sz w:val="21"/>
              </w:rPr>
              <w:t>邮政</w:t>
            </w:r>
            <w:r>
              <w:rPr>
                <w:spacing w:val="-3"/>
                <w:sz w:val="21"/>
              </w:rPr>
              <w:t>编</w:t>
            </w:r>
            <w:r>
              <w:rPr>
                <w:sz w:val="21"/>
              </w:rPr>
              <w:t>码</w:t>
            </w:r>
            <w:r>
              <w:rPr>
                <w:spacing w:val="-3"/>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037" w:type="dxa"/>
          </w:tcPr>
          <w:p>
            <w:pPr>
              <w:pStyle w:val="21"/>
              <w:spacing w:before="115" w:line="231" w:lineRule="exact"/>
              <w:ind w:left="9"/>
              <w:jc w:val="center"/>
              <w:rPr>
                <w:rFonts w:ascii="Times New Roman"/>
                <w:sz w:val="21"/>
              </w:rPr>
            </w:pPr>
            <w:r>
              <w:rPr>
                <w:rFonts w:ascii="Times New Roman"/>
                <w:sz w:val="21"/>
              </w:rPr>
              <w:t>9</w:t>
            </w:r>
          </w:p>
        </w:tc>
        <w:tc>
          <w:tcPr>
            <w:tcW w:w="2953" w:type="dxa"/>
          </w:tcPr>
          <w:p>
            <w:pPr>
              <w:pStyle w:val="21"/>
              <w:spacing w:before="92" w:line="255" w:lineRule="exact"/>
              <w:ind w:left="3"/>
              <w:jc w:val="center"/>
              <w:rPr>
                <w:sz w:val="21"/>
              </w:rPr>
            </w:pPr>
            <w:r>
              <w:rPr>
                <w:sz w:val="21"/>
              </w:rPr>
              <w:t>是否采用电子招标投标</w:t>
            </w:r>
          </w:p>
        </w:tc>
        <w:tc>
          <w:tcPr>
            <w:tcW w:w="5017" w:type="dxa"/>
          </w:tcPr>
          <w:p>
            <w:pPr>
              <w:pStyle w:val="21"/>
              <w:spacing w:line="347" w:lineRule="exact"/>
              <w:ind w:left="107"/>
              <w:rPr>
                <w:sz w:val="21"/>
              </w:rPr>
            </w:pPr>
            <w:r>
              <w:rPr>
                <w:rFonts w:ascii="Times New Roman" w:hAnsi="Times New Roman" w:eastAsia="Times New Roman"/>
                <w:sz w:val="32"/>
              </w:rPr>
              <w:sym w:font="Wingdings 2" w:char="0052"/>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007" w:type="dxa"/>
            <w:gridSpan w:val="3"/>
          </w:tcPr>
          <w:p>
            <w:pPr>
              <w:pStyle w:val="21"/>
              <w:spacing w:before="89" w:line="250" w:lineRule="exact"/>
              <w:ind w:left="107"/>
              <w:rPr>
                <w:b/>
                <w:sz w:val="21"/>
              </w:rPr>
            </w:pPr>
            <w:r>
              <w:rPr>
                <w:b/>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037" w:type="dxa"/>
          </w:tcPr>
          <w:p>
            <w:pPr>
              <w:pStyle w:val="21"/>
              <w:rPr>
                <w:rFonts w:ascii="Times New Roman"/>
                <w:sz w:val="20"/>
              </w:rPr>
            </w:pPr>
          </w:p>
        </w:tc>
        <w:tc>
          <w:tcPr>
            <w:tcW w:w="7970"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37" w:type="dxa"/>
          </w:tcPr>
          <w:p>
            <w:pPr>
              <w:pStyle w:val="21"/>
              <w:rPr>
                <w:rFonts w:ascii="Times New Roman"/>
                <w:sz w:val="20"/>
              </w:rPr>
            </w:pPr>
          </w:p>
        </w:tc>
        <w:tc>
          <w:tcPr>
            <w:tcW w:w="7970"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37" w:type="dxa"/>
          </w:tcPr>
          <w:p>
            <w:pPr>
              <w:pStyle w:val="21"/>
              <w:rPr>
                <w:rFonts w:ascii="Times New Roman"/>
                <w:sz w:val="20"/>
              </w:rPr>
            </w:pPr>
          </w:p>
        </w:tc>
        <w:tc>
          <w:tcPr>
            <w:tcW w:w="7970" w:type="dxa"/>
            <w:gridSpan w:val="2"/>
          </w:tcPr>
          <w:p>
            <w:pPr>
              <w:pStyle w:val="21"/>
              <w:rPr>
                <w:rFonts w:ascii="Times New Roman"/>
                <w:sz w:val="20"/>
              </w:rPr>
            </w:pPr>
          </w:p>
        </w:tc>
      </w:tr>
    </w:tbl>
    <w:p>
      <w:pPr>
        <w:rPr>
          <w:rFonts w:ascii="Times New Roman"/>
          <w:sz w:val="20"/>
        </w:rPr>
        <w:sectPr>
          <w:pgSz w:w="11910" w:h="16850"/>
          <w:pgMar w:top="1480" w:right="1200" w:bottom="1040" w:left="1220" w:header="876" w:footer="853" w:gutter="0"/>
          <w:cols w:space="720" w:num="1"/>
        </w:sectPr>
      </w:pPr>
    </w:p>
    <w:p>
      <w:pPr>
        <w:pStyle w:val="11"/>
        <w:rPr>
          <w:rFonts w:ascii="Times New Roman"/>
          <w:sz w:val="26"/>
        </w:rPr>
      </w:pPr>
    </w:p>
    <w:p>
      <w:pPr>
        <w:tabs>
          <w:tab w:val="left" w:pos="1095"/>
        </w:tabs>
        <w:spacing w:before="69"/>
        <w:ind w:left="39"/>
        <w:jc w:val="center"/>
        <w:rPr>
          <w:rFonts w:ascii="黑体" w:hAnsi="黑体" w:eastAsia="黑体"/>
          <w:b/>
          <w:sz w:val="14"/>
        </w:rPr>
      </w:pPr>
      <w:r>
        <mc:AlternateContent>
          <mc:Choice Requires="wpg">
            <w:drawing>
              <wp:anchor distT="0" distB="0" distL="114300" distR="114300" simplePos="0" relativeHeight="251680768" behindDoc="1" locked="0" layoutInCell="1" allowOverlap="1">
                <wp:simplePos x="0" y="0"/>
                <wp:positionH relativeFrom="page">
                  <wp:posOffset>995680</wp:posOffset>
                </wp:positionH>
                <wp:positionV relativeFrom="paragraph">
                  <wp:posOffset>426085</wp:posOffset>
                </wp:positionV>
                <wp:extent cx="5608320" cy="7243445"/>
                <wp:effectExtent l="1905" t="1905" r="9525" b="12700"/>
                <wp:wrapNone/>
                <wp:docPr id="53" name="组合 110"/>
                <wp:cNvGraphicFramePr/>
                <a:graphic xmlns:a="http://schemas.openxmlformats.org/drawingml/2006/main">
                  <a:graphicData uri="http://schemas.microsoft.com/office/word/2010/wordprocessingGroup">
                    <wpg:wgp>
                      <wpg:cNvGrpSpPr/>
                      <wpg:grpSpPr>
                        <a:xfrm>
                          <a:off x="0" y="0"/>
                          <a:ext cx="5608320" cy="7243445"/>
                          <a:chOff x="1568" y="671"/>
                          <a:chExt cx="8832" cy="11407"/>
                        </a:xfrm>
                      </wpg:grpSpPr>
                      <wps:wsp>
                        <wps:cNvPr id="48" name="直线 115"/>
                        <wps:cNvSpPr/>
                        <wps:spPr>
                          <a:xfrm>
                            <a:off x="1577" y="675"/>
                            <a:ext cx="8812" cy="0"/>
                          </a:xfrm>
                          <a:prstGeom prst="line">
                            <a:avLst/>
                          </a:prstGeom>
                          <a:ln w="6096" cap="flat" cmpd="sng">
                            <a:solidFill>
                              <a:srgbClr val="000000"/>
                            </a:solidFill>
                            <a:prstDash val="solid"/>
                            <a:headEnd type="none" w="med" len="med"/>
                            <a:tailEnd type="none" w="med" len="med"/>
                          </a:ln>
                        </wps:spPr>
                        <wps:bodyPr upright="true"/>
                      </wps:wsp>
                      <wps:wsp>
                        <wps:cNvPr id="49" name="直线 114"/>
                        <wps:cNvSpPr/>
                        <wps:spPr>
                          <a:xfrm>
                            <a:off x="1577" y="1662"/>
                            <a:ext cx="8812" cy="0"/>
                          </a:xfrm>
                          <a:prstGeom prst="line">
                            <a:avLst/>
                          </a:prstGeom>
                          <a:ln w="6096" cap="flat" cmpd="sng">
                            <a:solidFill>
                              <a:srgbClr val="000000"/>
                            </a:solidFill>
                            <a:prstDash val="solid"/>
                            <a:headEnd type="none" w="med" len="med"/>
                            <a:tailEnd type="none" w="med" len="med"/>
                          </a:ln>
                        </wps:spPr>
                        <wps:bodyPr upright="true"/>
                      </wps:wsp>
                      <wps:wsp>
                        <wps:cNvPr id="50" name="直线 113"/>
                        <wps:cNvSpPr/>
                        <wps:spPr>
                          <a:xfrm>
                            <a:off x="1572" y="671"/>
                            <a:ext cx="0" cy="11406"/>
                          </a:xfrm>
                          <a:prstGeom prst="line">
                            <a:avLst/>
                          </a:prstGeom>
                          <a:ln w="6096" cap="flat" cmpd="sng">
                            <a:solidFill>
                              <a:srgbClr val="000000"/>
                            </a:solidFill>
                            <a:prstDash val="solid"/>
                            <a:headEnd type="none" w="med" len="med"/>
                            <a:tailEnd type="none" w="med" len="med"/>
                          </a:ln>
                        </wps:spPr>
                        <wps:bodyPr upright="true"/>
                      </wps:wsp>
                      <wps:wsp>
                        <wps:cNvPr id="51" name="直线 112"/>
                        <wps:cNvSpPr/>
                        <wps:spPr>
                          <a:xfrm>
                            <a:off x="1577" y="12072"/>
                            <a:ext cx="8812" cy="0"/>
                          </a:xfrm>
                          <a:prstGeom prst="line">
                            <a:avLst/>
                          </a:prstGeom>
                          <a:ln w="6097" cap="flat" cmpd="sng">
                            <a:solidFill>
                              <a:srgbClr val="000000"/>
                            </a:solidFill>
                            <a:prstDash val="solid"/>
                            <a:headEnd type="none" w="med" len="med"/>
                            <a:tailEnd type="none" w="med" len="med"/>
                          </a:ln>
                        </wps:spPr>
                        <wps:bodyPr upright="true"/>
                      </wps:wsp>
                      <wps:wsp>
                        <wps:cNvPr id="52" name="直线 111"/>
                        <wps:cNvSpPr/>
                        <wps:spPr>
                          <a:xfrm>
                            <a:off x="10394" y="671"/>
                            <a:ext cx="0" cy="11406"/>
                          </a:xfrm>
                          <a:prstGeom prst="line">
                            <a:avLst/>
                          </a:prstGeom>
                          <a:ln w="6096" cap="flat" cmpd="sng">
                            <a:solidFill>
                              <a:srgbClr val="000000"/>
                            </a:solidFill>
                            <a:prstDash val="solid"/>
                            <a:headEnd type="none" w="med" len="med"/>
                            <a:tailEnd type="none" w="med" len="med"/>
                          </a:ln>
                        </wps:spPr>
                        <wps:bodyPr upright="true"/>
                      </wps:wsp>
                    </wpg:wgp>
                  </a:graphicData>
                </a:graphic>
              </wp:anchor>
            </w:drawing>
          </mc:Choice>
          <mc:Fallback>
            <w:pict>
              <v:group id="组合 110" o:spid="_x0000_s1026" o:spt="203" style="position:absolute;left:0pt;margin-left:78.4pt;margin-top:33.55pt;height:570.35pt;width:441.6pt;mso-position-horizontal-relative:page;z-index:-251635712;mso-width-relative:page;mso-height-relative:page;" coordorigin="1568,671" coordsize="8832,11407" o:gfxdata="UEsFBgAAAAAAAAAAAAAAAAAAAAAAAFBLAwQKAAAAAACHTuJAAAAAAAAAAAAAAAAABAAAAGRycy9Q&#10;SwMEFAAAAAgAh07iQHeaT9bbAAAADAEAAA8AAABkcnMvZG93bnJldi54bWxNj0FrwkAQhe+F/odl&#10;Cr3V3dgaJWYjRdqepFAtFG9rdkyC2dmQXRP99x1P7W0e83jve/nq4loxYB8aTxqSiQKBVHrbUKXh&#10;e/f+tAARoiFrWk+o4YoBVsX9XW4y60f6wmEbK8EhFDKjoY6xy6QMZY3OhInvkPh39L0zkWVfSdub&#10;kcNdK6dKpdKZhrihNh2uayxP27PT8DGa8fU5eRs2p+P6ut/NPn82CWr9+JCoJYiIl/hnhhs+o0PB&#10;TAd/JhtEy3qWMnrUkM4TEDeDelG87sDXVM0XIItc/h9R/AJQSwMEFAAAAAgAh07iQN6+WeHFAgAA&#10;4wwAAA4AAABkcnMvZTJvRG9jLnhtbO2XvW7bMBDH9wJ9B4J7I8mWZEeInKH5WIo2QNoHYCRKIkCR&#10;BElb9t6hY/e+Rqd26NMUeY0eKdlJnABNHLTI4AwKxc+73/15Oh8dL1uOFlQbJkWOo4MQIyoKWTJR&#10;5/jTx7M3U4yMJaIkXAqa4xU1+Hj2+tVRpzI6ko3kJdUINhEm61SOG2tVFgSmaGhLzIFUVMBgJXVL&#10;LLzqOig16WD3lgejMEyDTupSaVlQY6D3pB/EM79/VdHCfqgqQy3iOQbbrH9q/7xyz2B2RLJaE9Ww&#10;YjCD7GBFS5iAQzdbnRBL0Fyze1u1rNDSyMoeFLINZFWxgnofwJso3PLmXMu58r7UWVerDSZAu8Vp&#10;522L94sLjViZ42SMkSAtxOj65+ffX7+gKPJ4OlVnMOtcq0t1oYGX66j7N+fxstKt+w++oKUHu9qA&#10;pUuLCuhM0nA6HgH/AsYmo3gcx0mPvmggPm5dlKQgFRhOJ9F66HRYPoXF/dooisOJGw7WBwd3zOkU&#10;yMjckDLPI3XZEEV9AIxjMJCKwdCB1Lfv1z9+ASnvjTscZm0wmcwAsQcYRclkMvg6YFiDmk6jwVPP&#10;fuMlyZQ29pzKFrlGjjkTzjCSkcU7Y3sg6ymumwvUAcvwMAVwBC5WxYmFZqsg1EbUfq2RnJVnjHO3&#10;wuj66i3XaEHcVfF/A+g709whJ8Q0/Tw/1IeroaQ8FSWyKwUaEnDbsTOhpSVGnEJycC1/3Sxh/DEz&#10;wXsuINSOa0/Sta5kuYJAzJVmdQMkrJ5Tb+gQeyfQ/yGCw3siiJ0Z7vCniSBK01EPZq+CB/TyolWQ&#10;QE7bSgXjp6oALvzttLcWwZAtXcZLvb7XGW+fC3xWfUG5IInuqcDf6B1ywSic/PNkAN+e/SfhWRXU&#10;w3VBAjd5Kxn4UubxMgjHh/E+G/y9htj1m+CLRaikff04VP2uVL/97guOm98m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B3mk/W2wAAAAwBAAAPAAAAAAAAAAEAIAAAADgAAABkcnMvZG93bnJldi54&#10;bWxQSwECFAAUAAAACACHTuJA3r5Z4cUCAADjDAAADgAAAAAAAAABACAAAABAAQAAZHJzL2Uyb0Rv&#10;Yy54bWxQSwUGAAAAAAYABgBZAQAAdwYAAAAA&#10;">
                <o:lock v:ext="edit" aspectratio="f"/>
                <v:line id="直线 115" o:spid="_x0000_s1026" o:spt="20" style="position:absolute;left:1577;top:675;height:0;width:8812;" filled="f" stroked="t" coordsize="21600,21600" o:gfxdata="UEsFBgAAAAAAAAAAAAAAAAAAAAAAAFBLAwQKAAAAAACHTuJAAAAAAAAAAAAAAAAABAAAAGRycy9Q&#10;SwMEFAAAAAgAh07iQLJ9rgy6AAAA2wAAAA8AAABkcnMvZG93bnJldi54bWxFT02LwjAQvS/4H8II&#10;3rapi7jdavSgrOhBltXieWjGtraZlCZa/ffmIHh8vO/58m4acaPOVZYVjKMYBHFudcWFguz4+5mA&#10;cB5ZY2OZFDzIwXIx+Jhjqm3P/3Q7+EKEEHYpKii9b1MpXV6SQRfZljhwZ9sZ9AF2hdQd9iHcNPIr&#10;jqfSYMWhocSWViXl9eFqFOwTubZ/9Sl/XPrjJkl29c/3LlNqNBzHMxCe7v4tfrm3WsEkjA1fwg+Q&#10;i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n2uDLoAAADbAAAADwAAAAAAAAABACAAAAA4AAAAZHJzL2Rvd25yZXYueG1s&#10;UEsBAhQAFAAAAAgAh07iQDMvBZ47AAAAOQAAABAAAAAAAAAAAQAgAAAAHwEAAGRycy9zaGFwZXht&#10;bC54bWxQSwUGAAAAAAYABgBbAQAAyQMAAAAA&#10;">
                  <v:fill on="f" focussize="0,0"/>
                  <v:stroke weight="0.48pt" color="#000000" joinstyle="round"/>
                  <v:imagedata o:title=""/>
                  <o:lock v:ext="edit" aspectratio="f"/>
                </v:line>
                <v:line id="直线 114" o:spid="_x0000_s1026" o:spt="20" style="position:absolute;left:1577;top:1662;height:0;width:8812;" filled="f" stroked="t" coordsize="21600,21600" o:gfxdata="UEsFBgAAAAAAAAAAAAAAAAAAAAAAAFBLAwQKAAAAAACHTuJAAAAAAAAAAAAAAAAABAAAAGRycy9Q&#10;SwMEFAAAAAgAh07iQN0xC5e+AAAA2wAAAA8AAABkcnMvZG93bnJldi54bWxFj0FrwkAUhO8F/8Py&#10;BG91kyIaU9cclBZzKFKVnh/Z1yRN9m3Ibo35911B6HGYmW+YTXYzrbhS72rLCuJ5BIK4sLrmUsHl&#10;/PacgHAeWWNrmRSM5CDbTp42mGo78CddT74UAcIuRQWV910qpSsqMujmtiMO3rftDfog+1LqHocA&#10;N618iaKlNFhzWKiwo11FRXP6NQo+Erm3x+arGH+G83uS5M16lV+Umk3j6BWEp5v/Dz/aB61gsYb7&#10;l/AD5P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0xC5e+AAAA2w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line id="直线 113" o:spid="_x0000_s1026" o:spt="20" style="position:absolute;left:1572;top:671;height:11406;width:0;" filled="f" stroked="t" coordsize="21600,21600" o:gfxdata="UEsFBgAAAAAAAAAAAAAAAAAAAAAAAFBLAwQKAAAAAACHTuJAAAAAAAAAAAAAAAAABAAAAGRycy9Q&#10;SwMEFAAAAAgAh07iQMnSNNe6AAAA2wAAAA8AAABkcnMvZG93bnJldi54bWxFT02LwjAQvS/4H8II&#10;3rapC7rdavSgrOhBltXieWjGtraZlCZa/ffmIHh8vO/58m4acaPOVZYVjKMYBHFudcWFguz4+5mA&#10;cB5ZY2OZFDzIwXIx+Jhjqm3P/3Q7+EKEEHYpKii9b1MpXV6SQRfZljhwZ9sZ9AF2hdQd9iHcNPIr&#10;jqfSYMWhocSWViXl9eFqFOwTubZ/9Sl/XPrjJkl29c/3LlNqNBzHMxCe7v4tfrm3WsEkrA9fwg+Q&#10;i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dI017oAAADbAAAADwAAAAAAAAABACAAAAA4AAAAZHJzL2Rvd25yZXYueG1s&#10;UEsBAhQAFAAAAAgAh07iQDMvBZ47AAAAOQAAABAAAAAAAAAAAQAgAAAAHwEAAGRycy9zaGFwZXht&#10;bC54bWxQSwUGAAAAAAYABgBbAQAAyQMAAAAA&#10;">
                  <v:fill on="f" focussize="0,0"/>
                  <v:stroke weight="0.48pt" color="#000000" joinstyle="round"/>
                  <v:imagedata o:title=""/>
                  <o:lock v:ext="edit" aspectratio="f"/>
                </v:line>
                <v:line id="直线 112" o:spid="_x0000_s1026" o:spt="20" style="position:absolute;left:1577;top:12072;height:0;width:8812;" filled="f" stroked="t" coordsize="21600,21600" o:gfxdata="UEsFBgAAAAAAAAAAAAAAAAAAAAAAAFBLAwQKAAAAAACHTuJAAAAAAAAAAAAAAAAABAAAAGRycy9Q&#10;SwMEFAAAAAgAh07iQO4IGyC9AAAA2wAAAA8AAABkcnMvZG93bnJldi54bWxFj09rwkAUxO+C32F5&#10;gjfdRBuR6CooFAKemraen9nXJDT7NmS3+dNP3y0Uehxm5jfM8TyaRvTUudqygngdgSAurK65VPD2&#10;+rzag3AeWWNjmRRM5OB8ms+OmGo78Av1uS9FgLBLUUHlfZtK6YqKDLq1bYmD92E7gz7IrpS6wyHA&#10;TSM3UbSTBmsOCxW2dK2o+My/jIKnfpxu31e6bB9ZPO2T8n3r7o1Sy0UcHUB4Gv1/+K+daQVJDL9f&#10;wg+Qp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ggbIL0AAADbAAAADwAAAAAAAAABACAAAAA4AAAAZHJzL2Rvd25yZXYu&#10;eG1sUEsBAhQAFAAAAAgAh07iQDMvBZ47AAAAOQAAABAAAAAAAAAAAQAgAAAAIgEAAGRycy9zaGFw&#10;ZXhtbC54bWxQSwUGAAAAAAYABgBbAQAAzAMAAAAA&#10;">
                  <v:fill on="f" focussize="0,0"/>
                  <v:stroke weight="0.48007874015748pt" color="#000000" joinstyle="round"/>
                  <v:imagedata o:title=""/>
                  <o:lock v:ext="edit" aspectratio="f"/>
                </v:line>
                <v:line id="直线 111" o:spid="_x0000_s1026" o:spt="20" style="position:absolute;left:10394;top:671;height:11406;width:0;" filled="f" stroked="t" coordsize="21600,21600" o:gfxdata="UEsFBgAAAAAAAAAAAAAAAAAAAAAAAFBLAwQKAAAAAACHTuJAAAAAAAAAAAAAAAAABAAAAGRycy9Q&#10;SwMEFAAAAAgAh07iQFZMDzu9AAAA2wAAAA8AAABkcnMvZG93bnJldi54bWxFj0GLwjAUhO+C/yE8&#10;wZumCrrdrtGDy4oeZLHKnh/N27a2eSlNtPrvjSB4HGbmG2axuplaXKl1pWUFk3EEgjizuuRcwen4&#10;M4pBOI+ssbZMCu7kYLXs9xaYaNvxga6pz0WAsEtQQeF9k0jpsoIMurFtiIP3b1uDPsg2l7rFLsBN&#10;LadRNJcGSw4LBTa0Liir0otRsI/lt/2t/rL7uTtu4nhXfX7sTkoNB5PoC4Snm3+HX+2tVjCbwvNL&#10;+AFy+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kwPO7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group>
            </w:pict>
          </mc:Fallback>
        </mc:AlternateContent>
      </w:r>
      <w:bookmarkStart w:id="11" w:name="_bookmark21"/>
      <w:bookmarkEnd w:id="11"/>
      <w:r>
        <w:rPr>
          <w:rFonts w:hint="eastAsia" w:ascii="黑体" w:hAnsi="黑体" w:eastAsia="黑体"/>
          <w:b/>
          <w:sz w:val="28"/>
        </w:rPr>
        <w:t>附录</w:t>
      </w:r>
      <w:r>
        <w:rPr>
          <w:rFonts w:hint="eastAsia" w:ascii="黑体" w:hAnsi="黑体" w:eastAsia="黑体"/>
          <w:b/>
          <w:spacing w:val="-71"/>
          <w:sz w:val="28"/>
        </w:rPr>
        <w:t xml:space="preserve"> </w:t>
      </w:r>
      <w:r>
        <w:rPr>
          <w:rFonts w:hint="eastAsia" w:ascii="黑体" w:hAnsi="黑体" w:eastAsia="黑体"/>
          <w:b/>
          <w:sz w:val="28"/>
        </w:rPr>
        <w:t>1</w:t>
      </w:r>
      <w:r>
        <w:rPr>
          <w:rFonts w:hint="eastAsia" w:ascii="黑体" w:hAnsi="黑体" w:eastAsia="黑体"/>
          <w:b/>
          <w:sz w:val="28"/>
        </w:rPr>
        <w:tab/>
      </w:r>
      <w:r>
        <w:rPr>
          <w:rFonts w:hint="eastAsia" w:ascii="黑体" w:hAnsi="黑体" w:eastAsia="黑体"/>
          <w:b/>
          <w:sz w:val="28"/>
        </w:rPr>
        <w:t>资格审查条件（资质最低要求）</w:t>
      </w:r>
      <w:r>
        <w:rPr>
          <w:rFonts w:hint="eastAsia" w:ascii="黑体" w:hAnsi="黑体" w:eastAsia="黑体"/>
          <w:b/>
          <w:position w:val="13"/>
          <w:sz w:val="14"/>
        </w:rPr>
        <w:t>①</w:t>
      </w:r>
    </w:p>
    <w:p>
      <w:pPr>
        <w:pStyle w:val="11"/>
        <w:rPr>
          <w:rFonts w:ascii="黑体"/>
          <w:b/>
          <w:sz w:val="28"/>
        </w:rPr>
      </w:pPr>
    </w:p>
    <w:p>
      <w:pPr>
        <w:pStyle w:val="11"/>
        <w:spacing w:before="2"/>
        <w:rPr>
          <w:rFonts w:ascii="黑体"/>
          <w:b/>
        </w:rPr>
      </w:pPr>
    </w:p>
    <w:p>
      <w:pPr>
        <w:spacing w:before="1"/>
        <w:ind w:left="1098" w:right="1056"/>
        <w:jc w:val="center"/>
        <w:rPr>
          <w:sz w:val="21"/>
        </w:rPr>
      </w:pPr>
      <w:r>
        <w:rPr>
          <w:sz w:val="21"/>
        </w:rPr>
        <w:t>施工企业资质等级要求</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17"/>
        </w:rPr>
      </w:pPr>
      <w:r>
        <mc:AlternateContent>
          <mc:Choice Requires="wps">
            <w:drawing>
              <wp:anchor distT="0" distB="0" distL="114300" distR="114300" simplePos="0" relativeHeight="251625472" behindDoc="0" locked="0" layoutInCell="1" allowOverlap="1">
                <wp:simplePos x="0" y="0"/>
                <wp:positionH relativeFrom="page">
                  <wp:posOffset>1009015</wp:posOffset>
                </wp:positionH>
                <wp:positionV relativeFrom="paragraph">
                  <wp:posOffset>166370</wp:posOffset>
                </wp:positionV>
                <wp:extent cx="1829435" cy="0"/>
                <wp:effectExtent l="0" t="0" r="0" b="0"/>
                <wp:wrapTopAndBottom/>
                <wp:docPr id="2" name="直线 109"/>
                <wp:cNvGraphicFramePr/>
                <a:graphic xmlns:a="http://schemas.openxmlformats.org/drawingml/2006/main">
                  <a:graphicData uri="http://schemas.microsoft.com/office/word/2010/wordprocessingShape">
                    <wps:wsp>
                      <wps:cNvSpPr/>
                      <wps:spPr>
                        <a:xfrm>
                          <a:off x="0" y="0"/>
                          <a:ext cx="1829435" cy="0"/>
                        </a:xfrm>
                        <a:prstGeom prst="line">
                          <a:avLst/>
                        </a:prstGeom>
                        <a:ln w="6097" cap="flat" cmpd="sng">
                          <a:solidFill>
                            <a:srgbClr val="000000"/>
                          </a:solidFill>
                          <a:prstDash val="solid"/>
                          <a:headEnd type="none" w="med" len="med"/>
                          <a:tailEnd type="none" w="med" len="med"/>
                        </a:ln>
                      </wps:spPr>
                      <wps:bodyPr upright="true"/>
                    </wps:wsp>
                  </a:graphicData>
                </a:graphic>
              </wp:anchor>
            </w:drawing>
          </mc:Choice>
          <mc:Fallback>
            <w:pict>
              <v:line id="直线 109" o:spid="_x0000_s1026" o:spt="20" style="position:absolute;left:0pt;margin-left:79.45pt;margin-top:13.1pt;height:0pt;width:144.05pt;mso-position-horizontal-relative:page;mso-wrap-distance-bottom:0pt;mso-wrap-distance-top:0pt;z-index:251625472;mso-width-relative:page;mso-height-relative:page;" filled="f" stroked="t" coordsize="21600,21600" o:gfxdata="UEsFBgAAAAAAAAAAAAAAAAAAAAAAAFBLAwQKAAAAAACHTuJAAAAAAAAAAAAAAAAABAAAAGRycy9Q&#10;SwMEFAAAAAgAh07iQIpZq5HXAAAACQEAAA8AAABkcnMvZG93bnJldi54bWxNj09Pg0AQxe8mfofN&#10;mHizC5RWRJYmNjEx8WT9c17YEYjsLGG3FPz0jvFQj+/NL2/eK3az7cWEo+8cKYhXEQik2pmOGgVv&#10;r483GQgfNBndO0IFC3rYlZcXhc6NO9ELTofQCA4hn2sFbQhDLqWvW7Tar9yAxLdPN1odWI6NNKM+&#10;cbjtZRJFW2l1R/yh1QPuW6y/DkerIJ3m5fl7jw/r6ilesk3zvvYfvVLXV3F0DyLgHM4w/Nbn6lBy&#10;p8odyXjRs95kd4wqSLYJCAbS9JbHVX+GLAv5f0H5A1BLAwQUAAAACACHTuJArGybn9EBAACSAwAA&#10;DgAAAGRycy9lMm9Eb2MueG1srVNLjhMxEN0jcQfLe6Y7AYZJK51ZEIYNgpFmOEDFn25L/snlpJOz&#10;cA1WbDjOXIOyk8nw2SBEFk7ZVX713nP18nrvLNuphCb4ns8uWs6UF0EaP/T88/3NiyvOMIOXYINX&#10;PT8o5Ner58+WU+zUPIzBSpUYgXjsptjzMefYNQ2KUTnAixCVp6QOyUGmbRoamWAidGebedteNlNI&#10;MqYgFCKdro9Jvqr4WiuRP2mNKjPbc+KW65rquilrs1pCNySIoxEnGvAPLBwYT03PUGvIwLbJ/AHl&#10;jEgBg84XIrgmaG2EqhpIzaz9Tc3dCFFVLWQOxrNN+P9gxcfdbWJG9nzOmQdHT/Tw5evDt+9s1i6K&#10;O1PEjoru4m067ZDCInWvkyv/JILtq6OHs6Nqn5mgw9nVfPHq5WvOxGOueboYE+b3KjhWgp5b44tY&#10;6GD3ATM1o9LHknJsPZt6ftku3hAc0KxoC5lCF4k9+qHexWCNvDHWlhuYhs1bm9gOyuvXX5FEuL+U&#10;lSZrwPFYV1PHuRgVyHdesnyI5IunAeaFglOSM6to3ktEgNBlMPZvKqm19cSguHr0sUSbIA/0CtuY&#10;zDCSEzltVSVakvTwlfJpSMtk/byvYE+f0u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ilmrkdcA&#10;AAAJAQAADwAAAAAAAAABACAAAAA4AAAAZHJzL2Rvd25yZXYueG1sUEsBAhQAFAAAAAgAh07iQKxs&#10;m5/RAQAAkgMAAA4AAAAAAAAAAQAgAAAAPAEAAGRycy9lMm9Eb2MueG1sUEsFBgAAAAAGAAYAWQEA&#10;AH8FAAAAAA==&#10;">
                <v:fill on="f" focussize="0,0"/>
                <v:stroke weight="0.48007874015748pt" color="#000000" joinstyle="round"/>
                <v:imagedata o:title=""/>
                <o:lock v:ext="edit" aspectratio="f"/>
                <w10:wrap type="topAndBottom"/>
              </v:line>
            </w:pict>
          </mc:Fallback>
        </mc:AlternateContent>
      </w:r>
    </w:p>
    <w:p>
      <w:pPr>
        <w:pStyle w:val="11"/>
        <w:spacing w:before="5"/>
        <w:rPr>
          <w:sz w:val="13"/>
        </w:rPr>
      </w:pPr>
    </w:p>
    <w:p>
      <w:pPr>
        <w:spacing w:before="77"/>
        <w:ind w:left="369"/>
        <w:rPr>
          <w:sz w:val="18"/>
        </w:rPr>
      </w:pPr>
      <w:r>
        <w:rPr>
          <w:position w:val="8"/>
          <w:sz w:val="9"/>
        </w:rPr>
        <w:t xml:space="preserve">① </w:t>
      </w:r>
      <w:r>
        <w:rPr>
          <w:sz w:val="18"/>
        </w:rPr>
        <w:t>具体资质要求由招标人在满足国家相关法律法规前提下，根据招标项目具体特点和实际情况确定。</w:t>
      </w:r>
    </w:p>
    <w:p>
      <w:pPr>
        <w:rPr>
          <w:sz w:val="18"/>
        </w:rPr>
        <w:sectPr>
          <w:pgSz w:w="11910" w:h="16850"/>
          <w:pgMar w:top="1480" w:right="1200" w:bottom="1080" w:left="1220" w:header="883" w:footer="884" w:gutter="0"/>
          <w:cols w:space="720" w:num="1"/>
        </w:sectPr>
      </w:pPr>
    </w:p>
    <w:p>
      <w:pPr>
        <w:tabs>
          <w:tab w:val="left" w:pos="3254"/>
        </w:tabs>
        <w:spacing w:before="109"/>
        <w:ind w:left="2198"/>
        <w:rPr>
          <w:rFonts w:ascii="黑体" w:hAnsi="黑体" w:eastAsia="黑体"/>
          <w:b/>
          <w:sz w:val="14"/>
        </w:rPr>
      </w:pPr>
      <w:bookmarkStart w:id="12" w:name="_bookmark22"/>
      <w:bookmarkEnd w:id="12"/>
      <w:r>
        <w:rPr>
          <w:rFonts w:hint="eastAsia" w:ascii="黑体" w:hAnsi="黑体" w:eastAsia="黑体"/>
          <w:b/>
          <w:sz w:val="28"/>
        </w:rPr>
        <w:t>附录</w:t>
      </w:r>
      <w:r>
        <w:rPr>
          <w:rFonts w:hint="eastAsia" w:ascii="黑体" w:hAnsi="黑体" w:eastAsia="黑体"/>
          <w:b/>
          <w:spacing w:val="-71"/>
          <w:sz w:val="28"/>
        </w:rPr>
        <w:t xml:space="preserve"> </w:t>
      </w:r>
      <w:r>
        <w:rPr>
          <w:rFonts w:hint="eastAsia" w:ascii="黑体" w:hAnsi="黑体" w:eastAsia="黑体"/>
          <w:b/>
          <w:sz w:val="28"/>
        </w:rPr>
        <w:t>2</w:t>
      </w:r>
      <w:r>
        <w:rPr>
          <w:rFonts w:hint="eastAsia" w:ascii="黑体" w:hAnsi="黑体" w:eastAsia="黑体"/>
          <w:b/>
          <w:sz w:val="28"/>
        </w:rPr>
        <w:tab/>
      </w:r>
      <w:r>
        <w:rPr>
          <w:rFonts w:hint="eastAsia" w:ascii="黑体" w:hAnsi="黑体" w:eastAsia="黑体"/>
          <w:b/>
          <w:sz w:val="28"/>
        </w:rPr>
        <w:t>资格审查条件（财务最低要求）</w:t>
      </w:r>
      <w:r>
        <w:rPr>
          <w:rFonts w:hint="eastAsia" w:ascii="黑体" w:hAnsi="黑体" w:eastAsia="黑体"/>
          <w:b/>
          <w:position w:val="13"/>
          <w:sz w:val="14"/>
        </w:rPr>
        <w:t>①</w:t>
      </w:r>
    </w:p>
    <w:p>
      <w:pPr>
        <w:pStyle w:val="11"/>
        <w:spacing w:before="6"/>
        <w:rPr>
          <w:rFonts w:ascii="黑体"/>
          <w:b/>
          <w:sz w:val="15"/>
        </w:rPr>
      </w:pPr>
      <w:r>
        <mc:AlternateContent>
          <mc:Choice Requires="wpg">
            <w:drawing>
              <wp:anchor distT="0" distB="0" distL="114300" distR="114300" simplePos="0" relativeHeight="251626496" behindDoc="0" locked="0" layoutInCell="1" allowOverlap="1">
                <wp:simplePos x="0" y="0"/>
                <wp:positionH relativeFrom="page">
                  <wp:posOffset>995680</wp:posOffset>
                </wp:positionH>
                <wp:positionV relativeFrom="paragraph">
                  <wp:posOffset>154305</wp:posOffset>
                </wp:positionV>
                <wp:extent cx="5608320" cy="6988810"/>
                <wp:effectExtent l="2540" t="1270" r="8890" b="20320"/>
                <wp:wrapTopAndBottom/>
                <wp:docPr id="11" name="组合 102"/>
                <wp:cNvGraphicFramePr/>
                <a:graphic xmlns:a="http://schemas.openxmlformats.org/drawingml/2006/main">
                  <a:graphicData uri="http://schemas.microsoft.com/office/word/2010/wordprocessingGroup">
                    <wpg:wgp>
                      <wpg:cNvGrpSpPr/>
                      <wpg:grpSpPr>
                        <a:xfrm>
                          <a:off x="0" y="0"/>
                          <a:ext cx="5608320" cy="6988810"/>
                          <a:chOff x="1568" y="243"/>
                          <a:chExt cx="8832" cy="11006"/>
                        </a:xfrm>
                      </wpg:grpSpPr>
                      <wps:wsp>
                        <wps:cNvPr id="4" name="直线 108"/>
                        <wps:cNvSpPr/>
                        <wps:spPr>
                          <a:xfrm>
                            <a:off x="1577" y="248"/>
                            <a:ext cx="8812" cy="0"/>
                          </a:xfrm>
                          <a:prstGeom prst="line">
                            <a:avLst/>
                          </a:prstGeom>
                          <a:ln w="6096" cap="flat" cmpd="sng">
                            <a:solidFill>
                              <a:srgbClr val="000000"/>
                            </a:solidFill>
                            <a:prstDash val="solid"/>
                            <a:headEnd type="none" w="med" len="med"/>
                            <a:tailEnd type="none" w="med" len="med"/>
                          </a:ln>
                        </wps:spPr>
                        <wps:bodyPr upright="true"/>
                      </wps:wsp>
                      <wps:wsp>
                        <wps:cNvPr id="6" name="直线 107"/>
                        <wps:cNvSpPr/>
                        <wps:spPr>
                          <a:xfrm>
                            <a:off x="1577" y="1232"/>
                            <a:ext cx="8812" cy="0"/>
                          </a:xfrm>
                          <a:prstGeom prst="line">
                            <a:avLst/>
                          </a:prstGeom>
                          <a:ln w="6096" cap="flat" cmpd="sng">
                            <a:solidFill>
                              <a:srgbClr val="000000"/>
                            </a:solidFill>
                            <a:prstDash val="solid"/>
                            <a:headEnd type="none" w="med" len="med"/>
                            <a:tailEnd type="none" w="med" len="med"/>
                          </a:ln>
                        </wps:spPr>
                        <wps:bodyPr upright="true"/>
                      </wps:wsp>
                      <wps:wsp>
                        <wps:cNvPr id="7" name="直线 106"/>
                        <wps:cNvSpPr/>
                        <wps:spPr>
                          <a:xfrm>
                            <a:off x="1572" y="243"/>
                            <a:ext cx="0" cy="11006"/>
                          </a:xfrm>
                          <a:prstGeom prst="line">
                            <a:avLst/>
                          </a:prstGeom>
                          <a:ln w="6096" cap="flat" cmpd="sng">
                            <a:solidFill>
                              <a:srgbClr val="000000"/>
                            </a:solidFill>
                            <a:prstDash val="solid"/>
                            <a:headEnd type="none" w="med" len="med"/>
                            <a:tailEnd type="none" w="med" len="med"/>
                          </a:ln>
                        </wps:spPr>
                        <wps:bodyPr upright="true"/>
                      </wps:wsp>
                      <wps:wsp>
                        <wps:cNvPr id="8" name="直线 105"/>
                        <wps:cNvSpPr/>
                        <wps:spPr>
                          <a:xfrm>
                            <a:off x="1577" y="11244"/>
                            <a:ext cx="8812" cy="0"/>
                          </a:xfrm>
                          <a:prstGeom prst="line">
                            <a:avLst/>
                          </a:prstGeom>
                          <a:ln w="6097" cap="flat" cmpd="sng">
                            <a:solidFill>
                              <a:srgbClr val="000000"/>
                            </a:solidFill>
                            <a:prstDash val="solid"/>
                            <a:headEnd type="none" w="med" len="med"/>
                            <a:tailEnd type="none" w="med" len="med"/>
                          </a:ln>
                        </wps:spPr>
                        <wps:bodyPr upright="true"/>
                      </wps:wsp>
                      <wps:wsp>
                        <wps:cNvPr id="9" name="直线 104"/>
                        <wps:cNvSpPr/>
                        <wps:spPr>
                          <a:xfrm>
                            <a:off x="10394" y="243"/>
                            <a:ext cx="0" cy="11006"/>
                          </a:xfrm>
                          <a:prstGeom prst="line">
                            <a:avLst/>
                          </a:prstGeom>
                          <a:ln w="6096" cap="flat" cmpd="sng">
                            <a:solidFill>
                              <a:srgbClr val="000000"/>
                            </a:solidFill>
                            <a:prstDash val="solid"/>
                            <a:headEnd type="none" w="med" len="med"/>
                            <a:tailEnd type="none" w="med" len="med"/>
                          </a:ln>
                        </wps:spPr>
                        <wps:bodyPr upright="true"/>
                      </wps:wsp>
                      <wps:wsp>
                        <wps:cNvPr id="10" name="文本框 103"/>
                        <wps:cNvSpPr txBox="true"/>
                        <wps:spPr>
                          <a:xfrm>
                            <a:off x="5405" y="697"/>
                            <a:ext cx="1178" cy="212"/>
                          </a:xfrm>
                          <a:prstGeom prst="rect">
                            <a:avLst/>
                          </a:prstGeom>
                          <a:noFill/>
                          <a:ln>
                            <a:noFill/>
                          </a:ln>
                        </wps:spPr>
                        <wps:txbx>
                          <w:txbxContent>
                            <w:p>
                              <w:pPr>
                                <w:spacing w:line="211" w:lineRule="exact"/>
                                <w:rPr>
                                  <w:sz w:val="21"/>
                                </w:rPr>
                              </w:pPr>
                              <w:r>
                                <w:rPr>
                                  <w:sz w:val="21"/>
                                </w:rPr>
                                <w:t>财 务 要 求</w:t>
                              </w:r>
                            </w:p>
                          </w:txbxContent>
                        </wps:txbx>
                        <wps:bodyPr lIns="0" tIns="0" rIns="0" bIns="0" upright="true"/>
                      </wps:wsp>
                    </wpg:wgp>
                  </a:graphicData>
                </a:graphic>
              </wp:anchor>
            </w:drawing>
          </mc:Choice>
          <mc:Fallback>
            <w:pict>
              <v:group id="组合 102" o:spid="_x0000_s1026" o:spt="203" style="position:absolute;left:0pt;margin-left:78.4pt;margin-top:12.15pt;height:550.3pt;width:441.6pt;mso-position-horizontal-relative:page;mso-wrap-distance-bottom:0pt;mso-wrap-distance-top:0pt;z-index:251626496;mso-width-relative:page;mso-height-relative:page;" coordorigin="1568,243" coordsize="8832,11006" o:gfxdata="UEsFBgAAAAAAAAAAAAAAAAAAAAAAAFBLAwQKAAAAAACHTuJAAAAAAAAAAAAAAAAABAAAAGRycy9Q&#10;SwMEFAAAAAgAh07iQAQSqtLbAAAADAEAAA8AAABkcnMvZG93bnJldi54bWxNj0FLw0AQhe+C/2EZ&#10;wZvdTZoWjdkUKeqpCLaCeNtmp0lodjZkt0n7752e9DaPebz3vWJ1dp0YcQitJw3JTIFAqrxtqdbw&#10;tXt7eAQRoiFrOk+o4YIBVuXtTWFy6yf6xHEba8EhFHKjoYmxz6UMVYPOhJnvkfh38IMzkeVQSzuY&#10;icNdJ1OlltKZlrihMT2uG6yO25PT8D6Z6WWevI6b42F9+dktPr43CWp9f5eoZxARz/HPDFd8RoeS&#10;mfb+RDaIjvViyehRQ5rNQVwNKlO8bs9XkmZPIMtC/h9R/gJQSwMEFAAAAAgAh07iQNcTlCo6AwAA&#10;eg4AAA4AAABkcnMvZTJvRG9jLnhtbO1Xy24TMRTdI/EP1uzpPJqkyahJJehDSAgqFT7AmfE8JI9t&#10;2U4m2SNgyYoNbNizZAULvob2N7j2eKYlDaUPgbpIFpM7ft577vGd4929RUXRnEhVcjb2wq3AQ4Ql&#10;PC1ZPvZevTx8NPSQ0pilmHJGxt6SKG9v8vDBbi1iEvGC05RIBIswFddi7BVai9j3VVKQCqstLgiD&#10;zozLCmt4lbmfSlzD6hX1oyAY+DWXqZA8IUpB637T6U3s+llGEv0iyxTRiI498E3bp7TPqXn6k10c&#10;5xKLokycG/gWXlS4ZLBpt9Q+1hjNZHlpqapMJFc801sJr3yeZWVCbAwQTRisRHMk+UzYWPK4zkUH&#10;E0C7gtOtl02ez48lKlPIXeghhivI0dn31z/fv0NhEBl4apHHMOpIihNxLF1D3ryZiBeZrMw/xIIW&#10;FthlByxZaJRAY38QDLcjwD+BvsFoOByGDvqkgPyYeWF/AFSB7qi33WQlKQ7c9CFMbuaGIeTcdPvt&#10;xr7xr3OnFkAjdY6UuhtSJwUWxCZAGQwcUr0OqI9fz779AKCGDVB2UIeSihUAtgaisL+z40K1E3Hc&#10;4gS4uEAtPF2QOBZS6SPCK2SMsUdLZvzCMZ4/U7rBox1imilDNSAdjAaAG4ZzlVGswawEZFqx3M5V&#10;nJbpYUmpmaFkPn1CJZpjc1Lsz+H82zCzyT5WRTPOdjXZKghOD1iK9FIAhRgcds+4UJHUQ5RAbTAW&#10;OIpjjUt6nZEQPWWQaZPTBkljTXm6hDzMhCzzApDQckasoy71hrD/gQOAqzssLQd2jBdmbyDKDTgQ&#10;RsBti8uGBGvocq9JAKd4hQS2Nt2EBHDcL9a8lgOuVF4ud5tKYGuqgfieVAL4aq2QoH/LShBGvd6/&#10;LgVA2c334E7qab0mGF1igU3l9UtBsD0CXbGpBX/TD/f6gwCq1hWD0w9vTz99Of38BtSh1bMXmID0&#10;4jEHydtKF9P1B6nY7wV9y4rByOqLc6kYhjtQeYyejkAzNgqwleKtEnRiUcIt6CqxyLgRgVaDGMGF&#10;465hPdh6MV04reNqMH3KQGmb+1VryNaYtsYVis1qeLjgWFnvLmPmBnXx3QrB8yvj5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WAAAAZHJz&#10;L1BLAQIUABQAAAAIAIdO4kAEEqrS2wAAAAwBAAAPAAAAAAAAAAEAIAAAADgAAABkcnMvZG93bnJl&#10;di54bWxQSwECFAAUAAAACACHTuJA1xOUKjoDAAB6DgAADgAAAAAAAAABACAAAABAAQAAZHJzL2Uy&#10;b0RvYy54bWxQSwUGAAAAAAYABgBZAQAA7AYAAAAA&#10;">
                <o:lock v:ext="edit" aspectratio="f"/>
                <v:line id="直线 108" o:spid="_x0000_s1026" o:spt="20" style="position:absolute;left:1577;top:248;height:0;width:8812;" filled="f" stroked="t" coordsize="21600,21600" o:gfxdata="UEsFBgAAAAAAAAAAAAAAAAAAAAAAAFBLAwQKAAAAAACHTuJAAAAAAAAAAAAAAAAABAAAAGRycy9Q&#10;SwMEFAAAAAgAh07iQNgZyZG8AAAA2gAAAA8AAABkcnMvZG93bnJldi54bWxFj0GLwjAUhO+C/yE8&#10;wZumiri1a/SgKHqQxSp7fjRv226bl9JEq//eLCx4HGbmG2a5fpha3Kl1pWUFk3EEgjizuuRcwfWy&#10;G8UgnEfWWFsmBU9ysF71e0tMtO34TPfU5yJA2CWooPC+SaR0WUEG3dg2xMH7sa1BH2SbS91iF+Cm&#10;ltMomkuDJYeFAhvaFJRV6c0oOMVya7+q7+z52132cXysFh/Hq1LDwST6BOHp4d/h//ZBK5jB35Vw&#10;A+Tq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YGcmRvAAAANoAAAAPAAAAAAAAAAEAIAAAADgAAABkcnMvZG93bnJldi54&#10;bWxQSwECFAAUAAAACACHTuJAMy8FnjsAAAA5AAAAEAAAAAAAAAABACAAAAAhAQAAZHJzL3NoYXBl&#10;eG1sLnhtbFBLBQYAAAAABgAGAFsBAADLAwAAAAA=&#10;">
                  <v:fill on="f" focussize="0,0"/>
                  <v:stroke weight="0.48pt" color="#000000" joinstyle="round"/>
                  <v:imagedata o:title=""/>
                  <o:lock v:ext="edit" aspectratio="f"/>
                </v:line>
                <v:line id="直线 107" o:spid="_x0000_s1026" o:spt="20" style="position:absolute;left:1577;top:1232;height:0;width:8812;" filled="f" stroked="t" coordsize="21600,21600" o:gfxdata="UEsFBgAAAAAAAAAAAAAAAAAAAAAAAFBLAwQKAAAAAACHTuJAAAAAAAAAAAAAAAAABAAAAGRycy9Q&#10;SwMEFAAAAAgAh07iQEeH8n29AAAA2gAAAA8AAABkcnMvZG93bnJldi54bWxFj09rg0AUxO+Bfofl&#10;FXJL1vRgjHXNoaUlHkrJH3p+uK9qdd+Ku1Xz7buBQo7DzPyGyfaz6cRIg2ssK9isIxDEpdUNVwou&#10;57dVAsJ5ZI2dZVJwJQf7/GGRYartxEcaT74SAcIuRQW1930qpStrMujWticO3rcdDPogh0rqAacA&#10;N518iqJYGmw4LNTY00tNZXv6NQo+EvlqP9uv8voznd+TpGh32+Ki1PJxEz2D8DT7e/i/fdAKYrhd&#10;CTdA5n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4fyfb0AAADa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直线 106" o:spid="_x0000_s1026" o:spt="20" style="position:absolute;left:1572;top:243;height:11006;width:0;" filled="f" stroked="t" coordsize="21600,21600" o:gfxdata="UEsFBgAAAAAAAAAAAAAAAAAAAAAAAFBLAwQKAAAAAACHTuJAAAAAAAAAAAAAAAAABAAAAGRycy9Q&#10;SwMEFAAAAAgAh07iQCjLV+a9AAAA2gAAAA8AAABkcnMvZG93bnJldi54bWxFj09rwkAUxO8Fv8Py&#10;Ct7qxh40RlcPlYo5SKmK50f2NUmTfRuya/58e1co9DjMzG+YzW4wteiodaVlBfNZBII4s7rkXMH1&#10;8vkWg3AeWWNtmRSM5GC3nbxsMNG252/qzj4XAcIuQQWF900ipcsKMuhmtiEO3o9tDfog21zqFvsA&#10;N7V8j6KFNFhyWCiwoY+Csup8NwpOsdzbr+qWjb/95RDHabVaplelpq/zaA3C0+D/w3/to1awhOeV&#10;cAPk9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MtX5r0AAADa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直线 105" o:spid="_x0000_s1026" o:spt="20" style="position:absolute;left:1577;top:11244;height:0;width:8812;" filled="f" stroked="t" coordsize="21600,21600" o:gfxdata="UEsFBgAAAAAAAAAAAAAAAAAAAAAAAFBLAwQKAAAAAACHTuJAAAAAAAAAAAAAAAAABAAAAGRycy9Q&#10;SwMEFAAAAAgAh07iQA3xwBi5AAAA2gAAAA8AAABkcnMvZG93bnJldi54bWxFT8tqg0AU3Qf6D8Mt&#10;ZBdHk7SIdQwkUBCyin2sb50blTh3xJka7dd3FoUuD+edH2bTi4lG11lWkEQxCOLa6o4bBe9vr5sU&#10;hPPIGnvLpGAhB4fiYZVjpu2dLzRVvhEhhF2GClrvh0xKV7dk0EV2IA7c1Y4GfYBjI/WI9xBuermN&#10;42dpsOPQ0OJAp5bqW/VtFOyneTn/nOi4+yqTJX1qPnbus1dq/ZjELyA8zf5f/OcutYKwNVwJN0AW&#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N8cAYuQAAANoAAAAPAAAAAAAAAAEAIAAAADgAAABkcnMvZG93bnJldi54bWxQ&#10;SwECFAAUAAAACACHTuJAMy8FnjsAAAA5AAAAEAAAAAAAAAABACAAAAAeAQAAZHJzL3NoYXBleG1s&#10;LnhtbFBLBQYAAAAABgAGAFsBAADIAwAAAAA=&#10;">
                  <v:fill on="f" focussize="0,0"/>
                  <v:stroke weight="0.48007874015748pt" color="#000000" joinstyle="round"/>
                  <v:imagedata o:title=""/>
                  <o:lock v:ext="edit" aspectratio="f"/>
                </v:line>
                <v:line id="直线 104" o:spid="_x0000_s1026" o:spt="20" style="position:absolute;left:10394;top:243;height:11006;width:0;" filled="f" stroked="t" coordsize="21600,21600" o:gfxdata="UEsFBgAAAAAAAAAAAAAAAAAAAAAAAFBLAwQKAAAAAACHTuJAAAAAAAAAAAAAAAAABAAAAGRycy9Q&#10;SwMEFAAAAAgAh07iQDYYZg+7AAAA2gAAAA8AAABkcnMvZG93bnJldi54bWxFj0GLwjAUhO8L/ofw&#10;BG9rqget1ehBUfQgsiqeH82zrW1eShOt/nsjCHscZuYbZrZ4mko8qHGFZQWDfgSCOLW64EzB+bT+&#10;jUE4j6yxskwKXuRgMe/8zDDRtuU/ehx9JgKEXYIKcu/rREqX5mTQ9W1NHLyrbQz6IJtM6gbbADeV&#10;HEbRSBosOCzkWNMyp7Q83o2CfSxX9lBe0tetPW3ieFdOxruzUr3uIJqC8PT0/+Fve6sVTOBzJdwA&#10;OX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YYZg+7AAAA2gAAAA8AAAAAAAAAAQAgAAAAOAAAAGRycy9kb3ducmV2Lnht&#10;bFBLAQIUABQAAAAIAIdO4kAzLwWeOwAAADkAAAAQAAAAAAAAAAEAIAAAACABAABkcnMvc2hhcGV4&#10;bWwueG1sUEsFBgAAAAAGAAYAWwEAAMoDAAAAAA==&#10;">
                  <v:fill on="f" focussize="0,0"/>
                  <v:stroke weight="0.48pt" color="#000000" joinstyle="round"/>
                  <v:imagedata o:title=""/>
                  <o:lock v:ext="edit" aspectratio="f"/>
                </v:line>
                <v:shape id="文本框 103" o:spid="_x0000_s1026" o:spt="202" type="#_x0000_t202" style="position:absolute;left:5405;top:697;height:212;width:1178;" filled="f" stroked="f" coordsize="21600,21600" o:gfxdata="UEsFBgAAAAAAAAAAAAAAAAAAAAAAAFBLAwQKAAAAAACHTuJAAAAAAAAAAAAAAAAABAAAAGRycy9Q&#10;SwMEFAAAAAgAh07iQAoK8bi+AAAA2wAAAA8AAABkcnMvZG93bnJldi54bWxFj0FrAjEQhe+F/ocw&#10;hd5qogfRrVFEKhQKpet68DjdjLvBzWS7SdX++85B8DbDe/PeN4vVNXTqTEPykS2MRwYUcR2d58bC&#10;vtq+zECljOywi0wW/ijBavn4sMDCxQuXdN7lRkkIpwIttDn3hdapbilgGsWeWLRjHAJmWYdGuwEv&#10;Eh46PTFmqgN6loYWe9q0VJ92v8HC+sDlm//5/P4qj6Wvqrnhj+nJ2uensXkFlema7+bb9bsTfKGX&#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oK8bi+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211" w:lineRule="exact"/>
                          <w:rPr>
                            <w:sz w:val="21"/>
                          </w:rPr>
                        </w:pPr>
                        <w:r>
                          <w:rPr>
                            <w:sz w:val="21"/>
                          </w:rPr>
                          <w:t>财 务 要 求</w:t>
                        </w:r>
                      </w:p>
                    </w:txbxContent>
                  </v:textbox>
                </v:shape>
                <w10:wrap type="topAndBottom"/>
              </v:group>
            </w:pict>
          </mc:Fallback>
        </mc:AlternateContent>
      </w: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spacing w:before="1"/>
        <w:rPr>
          <w:rFonts w:ascii="黑体"/>
          <w:b/>
          <w:sz w:val="26"/>
        </w:rPr>
      </w:pPr>
      <w:r>
        <mc:AlternateContent>
          <mc:Choice Requires="wps">
            <w:drawing>
              <wp:anchor distT="0" distB="0" distL="114300" distR="114300" simplePos="0" relativeHeight="251627520" behindDoc="0" locked="0" layoutInCell="1" allowOverlap="1">
                <wp:simplePos x="0" y="0"/>
                <wp:positionH relativeFrom="page">
                  <wp:posOffset>1009015</wp:posOffset>
                </wp:positionH>
                <wp:positionV relativeFrom="paragraph">
                  <wp:posOffset>240665</wp:posOffset>
                </wp:positionV>
                <wp:extent cx="1829435" cy="0"/>
                <wp:effectExtent l="0" t="0" r="0" b="0"/>
                <wp:wrapTopAndBottom/>
                <wp:docPr id="12" name="直线 101"/>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01" o:spid="_x0000_s1026" o:spt="20" style="position:absolute;left:0pt;margin-left:79.45pt;margin-top:18.95pt;height:0pt;width:144.05pt;mso-position-horizontal-relative:page;mso-wrap-distance-bottom:0pt;mso-wrap-distance-top:0pt;z-index:251627520;mso-width-relative:page;mso-height-relative:page;" filled="f" stroked="t" coordsize="21600,21600" o:gfxdata="UEsFBgAAAAAAAAAAAAAAAAAAAAAAAFBLAwQKAAAAAACHTuJAAAAAAAAAAAAAAAAABAAAAGRycy9Q&#10;SwMEFAAAAAgAh07iQEf/CiPYAAAACQEAAA8AAABkcnMvZG93bnJldi54bWxNj0FPwzAMhe9I/IfI&#10;SNxYOhg065ruAAJpBzSxTZyzxmtLG6dqsnX79xhxgJP17Kfn7+XLs+vECYfQeNIwnSQgkEpvG6o0&#10;7LavdwpEiIas6TyhhgsGWBbXV7nJrB/pA0+bWAkOoZAZDXWMfSZlKGt0Jkx8j8S3gx+ciSyHStrB&#10;jBzuOnmfJE/SmYb4Q216fK6xbDdHp+FdyRe/bj/Ly9e4fVNq1c7T1U7r25tpsgAR8Rz/zPCDz+hQ&#10;MNPeH8kG0bF+VHO2anhIebJhNku53P53IYtc/m9QfANQSwMEFAAAAAgAh07iQCWZQbTRAQAAkwMA&#10;AA4AAABkcnMvZTJvRG9jLnhtbK1TS44TMRDdI3EHy3vSnQDRTCudWRCGDYKRBg5Q8afbkn9yOenk&#10;LFyDFRuOM9eg7GQyfDYIkYVTdpWf33tVvbo5OMv2KqEJvufzWcuZ8iJI44eef/50++KKM8zgJdjg&#10;Vc+PCvnN+vmz1RQ7tQhjsFIlRiAeuyn2fMw5dk2DYlQOcBai8pTUITnItE1DIxNMhO5ss2jbZTOF&#10;JGMKQiHS6eaU5OuKr7US+aPWqDKzPSduua6prtuyNusVdEOCOBpxpgH/wMKB8fToBWoDGdgumT+g&#10;nBEpYNB5JoJrgtZGqKqB1Mzb39TcjxBV1ULmYLzYhP8PVnzY3yVmJPVuwZkHRz16+PL14dt3Nm/n&#10;xZ4pYkdV9/EunXdIYdF60MmVf1LBDtXS48VSdchM0OH8anH96uVrzsRjrnm6GBPmdyo4VoKeW+OL&#10;Wuhg/x4zPUaljyXl2Ho29XzZXi8JDmhYtIVMoYtEH/1Q72KwRt4aa8sNTMP2jU1sD6X99VckEe4v&#10;ZeWRDeB4qqup02CMCuRbL1k+RvLF0wTzQsEpyZlVNPAlIkDoMhj7N5X0tPXEoLh68rFE2yCP1IZd&#10;TGYYyYmcdqoSLUnqfKV8ntIyWj/vK9jTt7T+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f/CiPY&#10;AAAACQEAAA8AAAAAAAAAAQAgAAAAOAAAAGRycy9kb3ducmV2LnhtbFBLAQIUABQAAAAIAIdO4kAl&#10;mUG00QEAAJMDAAAOAAAAAAAAAAEAIAAAAD0BAABkcnMvZTJvRG9jLnhtbFBLBQYAAAAABgAGAFkB&#10;AACABQAAAAA=&#10;">
                <v:fill on="f" focussize="0,0"/>
                <v:stroke weight="0.48pt" color="#000000" joinstyle="round"/>
                <v:imagedata o:title=""/>
                <o:lock v:ext="edit" aspectratio="f"/>
                <w10:wrap type="topAndBottom"/>
              </v:line>
            </w:pict>
          </mc:Fallback>
        </mc:AlternateContent>
      </w:r>
    </w:p>
    <w:p>
      <w:pPr>
        <w:spacing w:before="62" w:line="242" w:lineRule="auto"/>
        <w:ind w:left="549" w:right="472" w:hanging="180"/>
        <w:rPr>
          <w:sz w:val="18"/>
        </w:rPr>
      </w:pPr>
      <w:r>
        <w:rPr>
          <w:position w:val="8"/>
          <w:sz w:val="9"/>
        </w:rPr>
        <w:t xml:space="preserve">① </w:t>
      </w:r>
      <w:r>
        <w:rPr>
          <w:sz w:val="18"/>
        </w:rPr>
        <w:t>具体财务要求由招标人在满足国家相关法律法规前提下，根据招标项目具体特点和实际情况确定。例如招标人可对投标人近三年的平均营业额、流动比率、资产负债率、净资产等提出要求。</w:t>
      </w:r>
    </w:p>
    <w:p>
      <w:pPr>
        <w:spacing w:line="242" w:lineRule="auto"/>
        <w:rPr>
          <w:sz w:val="18"/>
        </w:rPr>
        <w:sectPr>
          <w:pgSz w:w="11910" w:h="16850"/>
          <w:pgMar w:top="1480" w:right="1200" w:bottom="1040" w:left="1220" w:header="876" w:footer="853" w:gutter="0"/>
          <w:cols w:space="720" w:num="1"/>
        </w:sectPr>
      </w:pPr>
    </w:p>
    <w:p>
      <w:pPr>
        <w:pStyle w:val="11"/>
        <w:spacing w:before="10"/>
        <w:rPr>
          <w:sz w:val="21"/>
        </w:rPr>
      </w:pPr>
    </w:p>
    <w:p>
      <w:pPr>
        <w:tabs>
          <w:tab w:val="left" w:pos="1095"/>
        </w:tabs>
        <w:spacing w:before="70"/>
        <w:ind w:left="39"/>
        <w:jc w:val="center"/>
        <w:rPr>
          <w:rFonts w:ascii="黑体" w:hAnsi="黑体" w:eastAsia="黑体"/>
          <w:b/>
          <w:sz w:val="14"/>
        </w:rPr>
      </w:pPr>
      <w:r>
        <mc:AlternateContent>
          <mc:Choice Requires="wpg">
            <w:drawing>
              <wp:anchor distT="0" distB="0" distL="114300" distR="114300" simplePos="0" relativeHeight="251681792" behindDoc="1" locked="0" layoutInCell="1" allowOverlap="1">
                <wp:simplePos x="0" y="0"/>
                <wp:positionH relativeFrom="page">
                  <wp:posOffset>995680</wp:posOffset>
                </wp:positionH>
                <wp:positionV relativeFrom="paragraph">
                  <wp:posOffset>426720</wp:posOffset>
                </wp:positionV>
                <wp:extent cx="5608320" cy="7243445"/>
                <wp:effectExtent l="1905" t="1905" r="9525" b="12700"/>
                <wp:wrapNone/>
                <wp:docPr id="61" name="组合 93"/>
                <wp:cNvGraphicFramePr/>
                <a:graphic xmlns:a="http://schemas.openxmlformats.org/drawingml/2006/main">
                  <a:graphicData uri="http://schemas.microsoft.com/office/word/2010/wordprocessingGroup">
                    <wpg:wgp>
                      <wpg:cNvGrpSpPr/>
                      <wpg:grpSpPr>
                        <a:xfrm>
                          <a:off x="0" y="0"/>
                          <a:ext cx="5608320" cy="7243445"/>
                          <a:chOff x="1568" y="672"/>
                          <a:chExt cx="8832" cy="11407"/>
                        </a:xfrm>
                      </wpg:grpSpPr>
                      <wps:wsp>
                        <wps:cNvPr id="54" name="直线 100"/>
                        <wps:cNvSpPr/>
                        <wps:spPr>
                          <a:xfrm>
                            <a:off x="1577" y="676"/>
                            <a:ext cx="8812" cy="0"/>
                          </a:xfrm>
                          <a:prstGeom prst="line">
                            <a:avLst/>
                          </a:prstGeom>
                          <a:ln w="6096" cap="flat" cmpd="sng">
                            <a:solidFill>
                              <a:srgbClr val="000000"/>
                            </a:solidFill>
                            <a:prstDash val="solid"/>
                            <a:headEnd type="none" w="med" len="med"/>
                            <a:tailEnd type="none" w="med" len="med"/>
                          </a:ln>
                        </wps:spPr>
                        <wps:bodyPr upright="true"/>
                      </wps:wsp>
                      <wps:wsp>
                        <wps:cNvPr id="55" name="直线 99"/>
                        <wps:cNvSpPr/>
                        <wps:spPr>
                          <a:xfrm>
                            <a:off x="1577" y="1660"/>
                            <a:ext cx="8812" cy="0"/>
                          </a:xfrm>
                          <a:prstGeom prst="line">
                            <a:avLst/>
                          </a:prstGeom>
                          <a:ln w="6096" cap="flat" cmpd="sng">
                            <a:solidFill>
                              <a:srgbClr val="000000"/>
                            </a:solidFill>
                            <a:prstDash val="solid"/>
                            <a:headEnd type="none" w="med" len="med"/>
                            <a:tailEnd type="none" w="med" len="med"/>
                          </a:ln>
                        </wps:spPr>
                        <wps:bodyPr upright="true"/>
                      </wps:wsp>
                      <wps:wsp>
                        <wps:cNvPr id="56" name="直线 98"/>
                        <wps:cNvSpPr/>
                        <wps:spPr>
                          <a:xfrm>
                            <a:off x="1572" y="672"/>
                            <a:ext cx="0" cy="11396"/>
                          </a:xfrm>
                          <a:prstGeom prst="line">
                            <a:avLst/>
                          </a:prstGeom>
                          <a:ln w="6096" cap="flat" cmpd="sng">
                            <a:solidFill>
                              <a:srgbClr val="000000"/>
                            </a:solidFill>
                            <a:prstDash val="solid"/>
                            <a:headEnd type="none" w="med" len="med"/>
                            <a:tailEnd type="none" w="med" len="med"/>
                          </a:ln>
                        </wps:spPr>
                        <wps:bodyPr upright="true"/>
                      </wps:wsp>
                      <wps:wsp>
                        <wps:cNvPr id="57" name="矩形 97"/>
                        <wps:cNvSpPr/>
                        <wps:spPr>
                          <a:xfrm>
                            <a:off x="1567" y="12068"/>
                            <a:ext cx="10" cy="10"/>
                          </a:xfrm>
                          <a:prstGeom prst="rect">
                            <a:avLst/>
                          </a:prstGeom>
                          <a:solidFill>
                            <a:srgbClr val="000000"/>
                          </a:solidFill>
                          <a:ln>
                            <a:noFill/>
                          </a:ln>
                        </wps:spPr>
                        <wps:bodyPr upright="true"/>
                      </wps:wsp>
                      <wps:wsp>
                        <wps:cNvPr id="58" name="直线 96"/>
                        <wps:cNvSpPr/>
                        <wps:spPr>
                          <a:xfrm>
                            <a:off x="1577" y="12073"/>
                            <a:ext cx="8812" cy="0"/>
                          </a:xfrm>
                          <a:prstGeom prst="line">
                            <a:avLst/>
                          </a:prstGeom>
                          <a:ln w="6096" cap="flat" cmpd="sng">
                            <a:solidFill>
                              <a:srgbClr val="000000"/>
                            </a:solidFill>
                            <a:prstDash val="solid"/>
                            <a:headEnd type="none" w="med" len="med"/>
                            <a:tailEnd type="none" w="med" len="med"/>
                          </a:ln>
                        </wps:spPr>
                        <wps:bodyPr upright="true"/>
                      </wps:wsp>
                      <wps:wsp>
                        <wps:cNvPr id="59" name="直线 95"/>
                        <wps:cNvSpPr/>
                        <wps:spPr>
                          <a:xfrm>
                            <a:off x="10394" y="672"/>
                            <a:ext cx="0" cy="11396"/>
                          </a:xfrm>
                          <a:prstGeom prst="line">
                            <a:avLst/>
                          </a:prstGeom>
                          <a:ln w="6096" cap="flat" cmpd="sng">
                            <a:solidFill>
                              <a:srgbClr val="000000"/>
                            </a:solidFill>
                            <a:prstDash val="solid"/>
                            <a:headEnd type="none" w="med" len="med"/>
                            <a:tailEnd type="none" w="med" len="med"/>
                          </a:ln>
                        </wps:spPr>
                        <wps:bodyPr upright="true"/>
                      </wps:wsp>
                      <wps:wsp>
                        <wps:cNvPr id="60" name="矩形 94"/>
                        <wps:cNvSpPr/>
                        <wps:spPr>
                          <a:xfrm>
                            <a:off x="10389" y="12068"/>
                            <a:ext cx="10" cy="10"/>
                          </a:xfrm>
                          <a:prstGeom prst="rect">
                            <a:avLst/>
                          </a:prstGeom>
                          <a:solidFill>
                            <a:srgbClr val="000000"/>
                          </a:solidFill>
                          <a:ln>
                            <a:noFill/>
                          </a:ln>
                        </wps:spPr>
                        <wps:bodyPr upright="true"/>
                      </wps:wsp>
                    </wpg:wgp>
                  </a:graphicData>
                </a:graphic>
              </wp:anchor>
            </w:drawing>
          </mc:Choice>
          <mc:Fallback>
            <w:pict>
              <v:group id="组合 93" o:spid="_x0000_s1026" o:spt="203" style="position:absolute;left:0pt;margin-left:78.4pt;margin-top:33.6pt;height:570.35pt;width:441.6pt;mso-position-horizontal-relative:page;z-index:-251634688;mso-width-relative:page;mso-height-relative:page;" coordorigin="1568,672" coordsize="8832,11407" o:gfxdata="UEsFBgAAAAAAAAAAAAAAAAAAAAAAAFBLAwQKAAAAAACHTuJAAAAAAAAAAAAAAAAABAAAAGRycy9Q&#10;SwMEFAAAAAgAh07iQNQGNtLbAAAADAEAAA8AAABkcnMvZG93bnJldi54bWxNj8FOwzAQRO9I/IO1&#10;SNyonUBTCHEqVAGnCokWCXHbxtskamxHsZu0f8/2BLcd7WjmTbE82U6MNITWOw3JTIEgV3nTulrD&#10;1/bt7hFEiOgMdt6RhjMFWJbXVwXmxk/uk8ZNrAWHuJCjhibGPpcyVA1ZDDPfk+Pf3g8WI8uhlmbA&#10;icNtJ1OlMmmxddzQYE+rhqrD5mg1vE84vdwnr+P6sF+df7bzj+91Qlrf3iTqGUSkU/wzwwWf0aFk&#10;pp0/OhNEx3qeMXrUkC1SEBeDelC8bsdXqhZPIMtC/h9R/gJQSwMEFAAAAAgAh07iQN4/uQMfAwAA&#10;5w8AAA4AAABkcnMvZTJvRG9jLnhtbO1Xu27bMBTdC/QfCO2NJD9kS4idoXksRRsg7QcwEvUAKJIg&#10;acveO3Ts3qFAt+6ZWhT9miC/0UuKchw3aOIUKIzCHmRKfN177rnnkodHi5qiOZGq4mzihQeBhwhL&#10;eVaxYuK9e3v6YuwhpTHLMOWMTLwlUd7R9Pmzw0YkpMdLTjMiESzCVNKIiVdqLRLfV2lJaqwOuCAM&#10;OnMua6zhVRZ+JnEDq9fU7wVB5DdcZkLylCgFX4/bTm9q189zkuo3ea6IRnTigW3aPqV9XpqnPz3E&#10;SSGxKKvUmYGfYEWNKwabrpY6xhqjmax+W6quUskVz/VBymuf53mVEusDeBMGG96cST4T1pciaQqx&#10;ggmg3cDpycumr+fnElXZxItCDzFcQ4xuvr+//vgBxX2DTiOKBAadSXEhzqX7ULRvxuFFLmvzD66g&#10;hcV1ucKVLDRK4eMwCsb9HsCfQt+oN+gPBsMW+bSE8Jh54TACpkB3NOp1XSdu+hgmt3PDcBCMTLff&#10;bewb+1bmNAJYpG6BUn8H1EWJBbH4K4OBA2o4WAH16erm208UBpZHZnMYtYJJJQoQuwejcDgaOV+j&#10;1tcOqPE4dJ7aFVde4kRIpc8Ir5FpTDxaMWMYTvD8ldItIN0Q85ky1ACWQRwBcBjyKqdYQ7MWEGnF&#10;CjtXcVplpxWlZoaSxeVLKtEcm0yxPwf0nWFmk2Osynac7WpdKAnOTliG9FIAhRgku2dMqEnmIUpA&#10;G0wLDMWJxhV9zEjwnjIItcG1RdK0Lnm2hEDMhKyKEpDQckasoS72hrH/ggTDDRLEsbHC7L0dB8Io&#10;ciq0J8E9dNltEkB2OclslSAeb0sCSPd10es44LQyDPuQwet6t1cCq6m7pASg5Y4En79e//iCYluh&#10;tlCCqK0GYS+AGmglsqNB2PHggXIg4Zzzp3JwR8IfqfRGe3HCuCkQLQN3WI3h7HA3EW3WbBEDV5Eh&#10;BiN77MFJF4N9TV6r3rstx/EmC+wp8/EsCPoxnO32evzQGW6nWQDHqU4LnB4PtivKQX8MRAIW/J+C&#10;bG9McJu0lyh38zXX1fV3e+q+vZ9P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WAAAAZHJzL1BLAQIUABQAAAAIAIdO4kDUBjbS2wAAAAwB&#10;AAAPAAAAAAAAAAEAIAAAADgAAABkcnMvZG93bnJldi54bWxQSwECFAAUAAAACACHTuJA3j+5Ax8D&#10;AADnDwAADgAAAAAAAAABACAAAABAAQAAZHJzL2Uyb0RvYy54bWxQSwUGAAAAAAYABgBZAQAA0QYA&#10;AAAA&#10;">
                <o:lock v:ext="edit" aspectratio="f"/>
                <v:line id="直线 100" o:spid="_x0000_s1026" o:spt="20" style="position:absolute;left:1577;top:676;height:0;width:8812;" filled="f" stroked="t" coordsize="21600,21600" o:gfxdata="UEsFBgAAAAAAAAAAAAAAAAAAAAAAAFBLAwQKAAAAAACHTuJAAAAAAAAAAAAAAAAABAAAAGRycy9Q&#10;SwMEFAAAAAgAh07iQLbpMtS/AAAA2wAAAA8AAABkcnMvZG93bnJldi54bWxFj0FrwkAUhO+C/2F5&#10;Qm/NxtLWGF09tLQ0h1IaxfMj+0xism9DdmvMv3eFgsdhZr5h1tuLacWZeldbVjCPYhDEhdU1lwr2&#10;u4/HBITzyBpby6RgJAfbzXSyxlTbgX/pnPtSBAi7FBVU3neplK6oyKCLbEccvKPtDfog+1LqHocA&#10;N618iuNXabDmsFBhR28VFU3+ZxR8J/Ld/jSHYjwNu88kyZrlItsr9TCbxysQni7+Hv5vf2kFL89w&#10;+xJ+gNxc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26TLUvwAAANsAAAAPAAAAAAAAAAEAIAAAADgAAABkcnMvZG93bnJl&#10;di54bWxQSwECFAAUAAAACACHTuJAMy8FnjsAAAA5AAAAEAAAAAAAAAABACAAAAAkAQAAZHJzL3No&#10;YXBleG1sLnhtbFBLBQYAAAAABgAGAFsBAADOAwAAAAA=&#10;">
                  <v:fill on="f" focussize="0,0"/>
                  <v:stroke weight="0.48pt" color="#000000" joinstyle="round"/>
                  <v:imagedata o:title=""/>
                  <o:lock v:ext="edit" aspectratio="f"/>
                </v:line>
                <v:line id="直线 99" o:spid="_x0000_s1026" o:spt="20" style="position:absolute;left:1577;top:1660;height:0;width:8812;" filled="f" stroked="t" coordsize="21600,21600" o:gfxdata="UEsFBgAAAAAAAAAAAAAAAAAAAAAAAFBLAwQKAAAAAACHTuJAAAAAAAAAAAAAAAAABAAAAGRycy9Q&#10;SwMEFAAAAAgAh07iQNmll0++AAAA2wAAAA8AAABkcnMvZG93bnJldi54bWxFj0FrwkAUhO9C/8Py&#10;Ct50YyFtmrrm0KLUg5QmoedH9jVJk30bsqvRf+8KQo/DzHzDrLOz6cWJRtdaVrBaRiCIK6tbrhWU&#10;xXaRgHAeWWNvmRRcyEG2eZitMdV24m865b4WAcIuRQWN90MqpasaMuiWdiAO3q8dDfogx1rqEacA&#10;N718iqJnabDlsNDgQO8NVV1+NAoOifywX91Pdfmbil2S7LvXl32p1PxxFb2B8HT2/+F7+1MriGO4&#10;fQk/QG6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mll0++AAAA2w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line id="直线 98" o:spid="_x0000_s1026" o:spt="20" style="position:absolute;left:1572;top:672;height:11396;width:0;" filled="f" stroked="t" coordsize="21600,21600" o:gfxdata="UEsFBgAAAAAAAAAAAAAAAAAAAAAAAFBLAwQKAAAAAACHTuJAAAAAAAAAAAAAAAAABAAAAGRycy9Q&#10;SwMEFAAAAAgAh07iQCl3CTi9AAAA2wAAAA8AAABkcnMvZG93bnJldi54bWxFj0GLwjAUhO+C/yE8&#10;YW+auqBbq9GDi7IelsUqnh/Ns61tXkoTrf77jSB4HGbmG2axupta3Kh1pWUF41EEgjizuuRcwfGw&#10;GcYgnEfWWFsmBQ9ysFr2ewtMtO14T7fU5yJA2CWooPC+SaR0WUEG3cg2xME729agD7LNpW6xC3BT&#10;y88omkqDJYeFAhtaF5RV6dUo+I3lt/2rTtnj0h22cbyrZl+7o1Ifg3E0B+Hp7t/hV/tHK5hM4fkl&#10;/AC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XcJOL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矩形 97" o:spid="_x0000_s1026" o:spt="1" style="position:absolute;left:1567;top:12068;height:10;width:10;" fillcolor="#000000" filled="t" stroked="f" coordsize="21600,21600" o:gfxdata="UEsFBgAAAAAAAAAAAAAAAAAAAAAAAFBLAwQKAAAAAACHTuJAAAAAAAAAAAAAAAAABAAAAGRycy9Q&#10;SwMEFAAAAAgAh07iQK8fXNm+AAAA2wAAAA8AAABkcnMvZG93bnJldi54bWxFj81rAjEUxO9C/4fw&#10;BG+aKH6uRsFCoZdC/Tjo7bl57i5uXrZJqrZ/fVMQPA4z8xtmsbrbWlzJh8qxhn5PgSDOnam40LDf&#10;vXWnIEJENlg7Jg0/FGC1fGktMDPuxhu6bmMhEoRDhhrKGJtMypCXZDH0XEOcvLPzFmOSvpDG4y3B&#10;bS0HSo2lxYrTQokNvZaUX7bfVsN6Nl1/fQ7543dzOtLxcLqMBl5p3Wn31RxEpHt8hh/td6NhNIH/&#10;L+kHyO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8fXNm+AAAA2wAAAA8AAAAAAAAAAQAgAAAAOAAAAGRycy9kb3ducmV2&#10;LnhtbFBLAQIUABQAAAAIAIdO4kAzLwWeOwAAADkAAAAQAAAAAAAAAAEAIAAAACMBAABkcnMvc2hh&#10;cGV4bWwueG1sUEsFBgAAAAAGAAYAWwEAAM0DAAAAAA==&#10;">
                  <v:fill on="t" focussize="0,0"/>
                  <v:stroke on="f"/>
                  <v:imagedata o:title=""/>
                  <o:lock v:ext="edit" aspectratio="f"/>
                </v:rect>
                <v:line id="直线 96" o:spid="_x0000_s1026" o:spt="20" style="position:absolute;left:1577;top:12073;height:0;width:8812;" filled="f" stroked="t" coordsize="21600,21600" o:gfxdata="UEsFBgAAAAAAAAAAAAAAAAAAAAAAAFBLAwQKAAAAAACHTuJAAAAAAAAAAAAAAAAABAAAAGRycy9Q&#10;SwMEFAAAAAgAh07iQDekONG6AAAA2wAAAA8AAABkcnMvZG93bnJldi54bWxFT02LwjAQvS/4H8II&#10;3rapC7rdavSgrOhBltXieWjGtraZlCZa/ffmIHh8vO/58m4acaPOVZYVjKMYBHFudcWFguz4+5mA&#10;cB5ZY2OZFDzIwXIx+Jhjqm3P/3Q7+EKEEHYpKii9b1MpXV6SQRfZljhwZ9sZ9AF2hdQd9iHcNPIr&#10;jqfSYMWhocSWViXl9eFqFOwTubZ/9Sl/XPrjJkl29c/3LlNqNBzHMxCe7v4tfrm3WsEkjA1fwg+Q&#10;i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6Q40boAAADbAAAADwAAAAAAAAABACAAAAA4AAAAZHJzL2Rvd25yZXYueG1s&#10;UEsBAhQAFAAAAAgAh07iQDMvBZ47AAAAOQAAABAAAAAAAAAAAQAgAAAAHwEAAGRycy9zaGFwZXht&#10;bC54bWxQSwUGAAAAAAYABgBbAQAAyQMAAAAA&#10;">
                  <v:fill on="f" focussize="0,0"/>
                  <v:stroke weight="0.48pt" color="#000000" joinstyle="round"/>
                  <v:imagedata o:title=""/>
                  <o:lock v:ext="edit" aspectratio="f"/>
                </v:line>
                <v:line id="直线 95" o:spid="_x0000_s1026" o:spt="20" style="position:absolute;left:10394;top:672;height:11396;width:0;" filled="f" stroked="t" coordsize="21600,21600" o:gfxdata="UEsFBgAAAAAAAAAAAAAAAAAAAAAAAFBLAwQKAAAAAACHTuJAAAAAAAAAAAAAAAAABAAAAGRycy9Q&#10;SwMEFAAAAAgAh07iQFjonUq+AAAA2wAAAA8AAABkcnMvZG93bnJldi54bWxFj0FrwkAUhO8F/8Py&#10;BG91k4IaU9cclBZzKFKVnh/Z1yRN9m3Ibo35911B6HGYmW+YTXYzrbhS72rLCuJ5BIK4sLrmUsHl&#10;/PacgHAeWWNrmRSM5CDbTp42mGo78CddT74UAcIuRQWV910qpSsqMujmtiMO3rftDfog+1LqHocA&#10;N618iaKlNFhzWKiwo11FRXP6NQo+Erm3x+arGH+G83uS5M16lV+Umk3j6BWEp5v/Dz/aB61gsYb7&#10;l/AD5P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jonUq+AAAA2w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rect id="矩形 94" o:spid="_x0000_s1026" o:spt="1" style="position:absolute;left:10389;top:12068;height:10;width:10;" fillcolor="#000000" filled="t" stroked="f" coordsize="21600,21600" o:gfxdata="UEsFBgAAAAAAAAAAAAAAAAAAAAAAAFBLAwQKAAAAAACHTuJAAAAAAAAAAAAAAAAABAAAAGRycy9Q&#10;SwMEFAAAAAgAh07iQO6aDhC7AAAA2wAAAA8AAABkcnMvZG93bnJldi54bWxFT8tqAjEU3Qv9h3AF&#10;d5ooKjoaBQWhG8FHF3V3nVxnBic30yT10a9vFoLLw3nPlw9bixv5UDnW0O8pEMS5MxUXGr6Om+4E&#10;RIjIBmvHpOFJAZaLj9YcM+PuvKfbIRYihXDIUEMZY5NJGfKSLIaea4gTd3HeYkzQF9J4vKdwW8uB&#10;UmNpseLUUGJD65Ly6+HXalhNJ6uf3ZC3f/vziU7f5+to4JXWnXZfzUBEesS3+OX+NBrGaX36kn6A&#10;XPw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6aDhC7AAAA2wAAAA8AAAAAAAAAAQAgAAAAOAAAAGRycy9kb3ducmV2Lnht&#10;bFBLAQIUABQAAAAIAIdO4kAzLwWeOwAAADkAAAAQAAAAAAAAAAEAIAAAACABAABkcnMvc2hhcGV4&#10;bWwueG1sUEsFBgAAAAAGAAYAWwEAAMoDAAAAAA==&#10;">
                  <v:fill on="t" focussize="0,0"/>
                  <v:stroke on="f"/>
                  <v:imagedata o:title=""/>
                  <o:lock v:ext="edit" aspectratio="f"/>
                </v:rect>
              </v:group>
            </w:pict>
          </mc:Fallback>
        </mc:AlternateContent>
      </w:r>
      <w:bookmarkStart w:id="13" w:name="_bookmark23"/>
      <w:bookmarkEnd w:id="13"/>
      <w:r>
        <w:rPr>
          <w:rFonts w:hint="eastAsia" w:ascii="黑体" w:hAnsi="黑体" w:eastAsia="黑体"/>
          <w:b/>
          <w:sz w:val="28"/>
        </w:rPr>
        <w:t>附录</w:t>
      </w:r>
      <w:r>
        <w:rPr>
          <w:rFonts w:hint="eastAsia" w:ascii="黑体" w:hAnsi="黑体" w:eastAsia="黑体"/>
          <w:b/>
          <w:spacing w:val="-71"/>
          <w:sz w:val="28"/>
        </w:rPr>
        <w:t xml:space="preserve"> </w:t>
      </w:r>
      <w:r>
        <w:rPr>
          <w:rFonts w:hint="eastAsia" w:ascii="黑体" w:hAnsi="黑体" w:eastAsia="黑体"/>
          <w:b/>
          <w:sz w:val="28"/>
        </w:rPr>
        <w:t>3</w:t>
      </w:r>
      <w:r>
        <w:rPr>
          <w:rFonts w:hint="eastAsia" w:ascii="黑体" w:hAnsi="黑体" w:eastAsia="黑体"/>
          <w:b/>
          <w:sz w:val="28"/>
        </w:rPr>
        <w:tab/>
      </w:r>
      <w:r>
        <w:rPr>
          <w:rFonts w:hint="eastAsia" w:ascii="黑体" w:hAnsi="黑体" w:eastAsia="黑体"/>
          <w:b/>
          <w:sz w:val="28"/>
        </w:rPr>
        <w:t>资格审查条件（业绩最低要求）</w:t>
      </w:r>
      <w:r>
        <w:rPr>
          <w:rFonts w:hint="eastAsia" w:ascii="黑体" w:hAnsi="黑体" w:eastAsia="黑体"/>
          <w:b/>
          <w:position w:val="13"/>
          <w:sz w:val="14"/>
        </w:rPr>
        <w:t>①</w:t>
      </w:r>
    </w:p>
    <w:p>
      <w:pPr>
        <w:pStyle w:val="11"/>
        <w:rPr>
          <w:rFonts w:ascii="黑体"/>
          <w:b/>
          <w:sz w:val="28"/>
        </w:rPr>
      </w:pPr>
    </w:p>
    <w:p>
      <w:pPr>
        <w:pStyle w:val="11"/>
        <w:spacing w:before="2"/>
        <w:rPr>
          <w:rFonts w:ascii="黑体"/>
          <w:b/>
        </w:rPr>
      </w:pPr>
    </w:p>
    <w:p>
      <w:pPr>
        <w:ind w:left="1098" w:right="1056"/>
        <w:jc w:val="center"/>
        <w:rPr>
          <w:sz w:val="21"/>
        </w:rPr>
      </w:pPr>
      <w:r>
        <w:rPr>
          <w:sz w:val="21"/>
        </w:rPr>
        <w:t>业 绩 要 求</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6"/>
      </w:pPr>
      <w:r>
        <mc:AlternateContent>
          <mc:Choice Requires="wps">
            <w:drawing>
              <wp:anchor distT="0" distB="0" distL="114300" distR="114300" simplePos="0" relativeHeight="251628544" behindDoc="0" locked="0" layoutInCell="1" allowOverlap="1">
                <wp:simplePos x="0" y="0"/>
                <wp:positionH relativeFrom="page">
                  <wp:posOffset>1009015</wp:posOffset>
                </wp:positionH>
                <wp:positionV relativeFrom="paragraph">
                  <wp:posOffset>227330</wp:posOffset>
                </wp:positionV>
                <wp:extent cx="1829435" cy="0"/>
                <wp:effectExtent l="0" t="0" r="0" b="0"/>
                <wp:wrapTopAndBottom/>
                <wp:docPr id="13" name="直线 92"/>
                <wp:cNvGraphicFramePr/>
                <a:graphic xmlns:a="http://schemas.openxmlformats.org/drawingml/2006/main">
                  <a:graphicData uri="http://schemas.microsoft.com/office/word/2010/wordprocessingShape">
                    <wps:wsp>
                      <wps:cNvSpPr/>
                      <wps:spPr>
                        <a:xfrm>
                          <a:off x="0" y="0"/>
                          <a:ext cx="1829435" cy="0"/>
                        </a:xfrm>
                        <a:prstGeom prst="line">
                          <a:avLst/>
                        </a:prstGeom>
                        <a:ln w="6097" cap="flat" cmpd="sng">
                          <a:solidFill>
                            <a:srgbClr val="000000"/>
                          </a:solidFill>
                          <a:prstDash val="solid"/>
                          <a:headEnd type="none" w="med" len="med"/>
                          <a:tailEnd type="none" w="med" len="med"/>
                        </a:ln>
                      </wps:spPr>
                      <wps:bodyPr upright="true"/>
                    </wps:wsp>
                  </a:graphicData>
                </a:graphic>
              </wp:anchor>
            </w:drawing>
          </mc:Choice>
          <mc:Fallback>
            <w:pict>
              <v:line id="直线 92" o:spid="_x0000_s1026" o:spt="20" style="position:absolute;left:0pt;margin-left:79.45pt;margin-top:17.9pt;height:0pt;width:144.05pt;mso-position-horizontal-relative:page;mso-wrap-distance-bottom:0pt;mso-wrap-distance-top:0pt;z-index:251628544;mso-width-relative:page;mso-height-relative:page;" filled="f" stroked="t" coordsize="21600,21600" o:gfxdata="UEsFBgAAAAAAAAAAAAAAAAAAAAAAAFBLAwQKAAAAAACHTuJAAAAAAAAAAAAAAAAABAAAAGRycy9Q&#10;SwMEFAAAAAgAh07iQG1QFIrWAAAACQEAAA8AAABkcnMvZG93bnJldi54bWxNj81OhEAQhO8mvsOk&#10;Tby5AwKKyLCJm5iYeHL9OQ/QAnGmhzCzLPj0tvGwHqv6S3VVuV2sETNOfnCkIN5EIJAa1w7UKXh7&#10;fbzKQfigqdXGESpY0cO2Oj8rddG6I73gvA+d4BDyhVbQhzAWUvqmR6v9xo1IfPt0k9WB5dTJdtJH&#10;DrdGXkfRjbR6IP7Q6xF3PTZf+4NVkM7L+vy9w4ekforXPOveE/9hlLq8iKN7EAGXcILhtz5Xh4o7&#10;1e5ArReGdZbfMaogyXgCA2l6y+PqP0NWpfy/oPoBUEsDBBQAAAAIAIdO4kCNqpxi0QEAAJIDAAAO&#10;AAAAZHJzL2Uyb0RvYy54bWytU0uOEzEQ3SNxB8t70kkGhkkrnVkQhg2CkQYOUPGn25J/cjnp5Cxc&#10;gxUbjjPXoOxkMsBsRogsnLKr/Pzeq+rl9d5ZtlMJTfAdn02mnCkvgjS+7/jXLzevrjjDDF6CDV51&#10;/KCQX69evliOsVXzMAQrVWIE4rEdY8eHnGPbNCgG5QAnISpPSR2Sg0zb1DcywUjozjbz6fSyGUOS&#10;MQWhEOl0fUzyVcXXWon8WWtUmdmOE7dc11TXTVmb1RLaPkEcjDjRgH9g4cB4evQMtYYMbJvMEyhn&#10;RAoYdJ6I4JqgtRGqaiA1s+lfau4GiKpqIXMwnm3C/wcrPu1uEzOSenfBmQdHPbr/9v3+x0+2mBd3&#10;xogtFd3F23TaIYVF6l4nV/5JBNtXRw9nR9U+M0GHs6v54vXFG87EQ655vBgT5g8qOFaCjlvji1ho&#10;YfcRMz1GpQ8l5dh6Nnb8crp4S3BAs6ItZApdJPbo+3oXgzXyxlhbbmDqN+9sYjso3a+/Iolw/ygr&#10;j6wBh2NdTR3nYlAg33vJ8iGSLZ4GmBcKTknOrKJ5LxEBQpvB2OdU0tPWE4Pi6tHHEm2CPFAXtjGZ&#10;fiAnctqqSrQkqfGV8mlIy2T9vq9gj5/S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tUBSK1gAA&#10;AAkBAAAPAAAAAAAAAAEAIAAAADgAAABkcnMvZG93bnJldi54bWxQSwECFAAUAAAACACHTuJAjaqc&#10;YtEBAACSAwAADgAAAAAAAAABACAAAAA7AQAAZHJzL2Uyb0RvYy54bWxQSwUGAAAAAAYABgBZAQAA&#10;fgUAAAAA&#10;">
                <v:fill on="f" focussize="0,0"/>
                <v:stroke weight="0.48007874015748pt" color="#000000" joinstyle="round"/>
                <v:imagedata o:title=""/>
                <o:lock v:ext="edit" aspectratio="f"/>
                <w10:wrap type="topAndBottom"/>
              </v:line>
            </w:pict>
          </mc:Fallback>
        </mc:AlternateContent>
      </w:r>
    </w:p>
    <w:p>
      <w:pPr>
        <w:spacing w:before="129" w:line="312" w:lineRule="auto"/>
        <w:ind w:left="549" w:right="472" w:hanging="180"/>
        <w:rPr>
          <w:sz w:val="18"/>
        </w:rPr>
      </w:pPr>
      <w:r>
        <w:rPr>
          <w:position w:val="8"/>
          <w:sz w:val="9"/>
        </w:rPr>
        <w:t xml:space="preserve">① </w:t>
      </w:r>
      <w:r>
        <w:rPr>
          <w:sz w:val="18"/>
        </w:rPr>
        <w:t>具体业绩要求由招标人在满足国家相关法律法规前提下，根据招标项目具体特点和实际情况确定，但不得设置过高的业绩资格条件。</w:t>
      </w:r>
    </w:p>
    <w:p>
      <w:pPr>
        <w:spacing w:line="312" w:lineRule="auto"/>
        <w:rPr>
          <w:sz w:val="18"/>
        </w:rPr>
        <w:sectPr>
          <w:pgSz w:w="11910" w:h="16850"/>
          <w:pgMar w:top="1480" w:right="1200" w:bottom="1080" w:left="1220" w:header="883" w:footer="884" w:gutter="0"/>
          <w:cols w:space="720" w:num="1"/>
        </w:sectPr>
      </w:pPr>
    </w:p>
    <w:p>
      <w:pPr>
        <w:tabs>
          <w:tab w:val="left" w:pos="1095"/>
        </w:tabs>
        <w:spacing w:before="109"/>
        <w:ind w:left="39"/>
        <w:jc w:val="center"/>
        <w:rPr>
          <w:rFonts w:ascii="黑体" w:hAnsi="黑体" w:eastAsia="黑体"/>
          <w:b/>
          <w:sz w:val="14"/>
        </w:rPr>
      </w:pPr>
      <w:r>
        <mc:AlternateContent>
          <mc:Choice Requires="wpg">
            <w:drawing>
              <wp:anchor distT="0" distB="0" distL="114300" distR="114300" simplePos="0" relativeHeight="251682816" behindDoc="1" locked="0" layoutInCell="1" allowOverlap="1">
                <wp:simplePos x="0" y="0"/>
                <wp:positionH relativeFrom="page">
                  <wp:posOffset>995680</wp:posOffset>
                </wp:positionH>
                <wp:positionV relativeFrom="paragraph">
                  <wp:posOffset>451485</wp:posOffset>
                </wp:positionV>
                <wp:extent cx="5608320" cy="7243445"/>
                <wp:effectExtent l="1905" t="1905" r="9525" b="12700"/>
                <wp:wrapNone/>
                <wp:docPr id="69" name="组合 84"/>
                <wp:cNvGraphicFramePr/>
                <a:graphic xmlns:a="http://schemas.openxmlformats.org/drawingml/2006/main">
                  <a:graphicData uri="http://schemas.microsoft.com/office/word/2010/wordprocessingGroup">
                    <wpg:wgp>
                      <wpg:cNvGrpSpPr/>
                      <wpg:grpSpPr>
                        <a:xfrm>
                          <a:off x="0" y="0"/>
                          <a:ext cx="5608320" cy="7243445"/>
                          <a:chOff x="1568" y="711"/>
                          <a:chExt cx="8832" cy="11407"/>
                        </a:xfrm>
                      </wpg:grpSpPr>
                      <wps:wsp>
                        <wps:cNvPr id="62" name="直线 91"/>
                        <wps:cNvSpPr/>
                        <wps:spPr>
                          <a:xfrm>
                            <a:off x="1577" y="715"/>
                            <a:ext cx="8812" cy="0"/>
                          </a:xfrm>
                          <a:prstGeom prst="line">
                            <a:avLst/>
                          </a:prstGeom>
                          <a:ln w="6096" cap="flat" cmpd="sng">
                            <a:solidFill>
                              <a:srgbClr val="000000"/>
                            </a:solidFill>
                            <a:prstDash val="solid"/>
                            <a:headEnd type="none" w="med" len="med"/>
                            <a:tailEnd type="none" w="med" len="med"/>
                          </a:ln>
                        </wps:spPr>
                        <wps:bodyPr upright="true"/>
                      </wps:wsp>
                      <wps:wsp>
                        <wps:cNvPr id="63" name="直线 90"/>
                        <wps:cNvSpPr/>
                        <wps:spPr>
                          <a:xfrm>
                            <a:off x="1577" y="1699"/>
                            <a:ext cx="8812" cy="0"/>
                          </a:xfrm>
                          <a:prstGeom prst="line">
                            <a:avLst/>
                          </a:prstGeom>
                          <a:ln w="6096" cap="flat" cmpd="sng">
                            <a:solidFill>
                              <a:srgbClr val="000000"/>
                            </a:solidFill>
                            <a:prstDash val="solid"/>
                            <a:headEnd type="none" w="med" len="med"/>
                            <a:tailEnd type="none" w="med" len="med"/>
                          </a:ln>
                        </wps:spPr>
                        <wps:bodyPr upright="true"/>
                      </wps:wsp>
                      <wps:wsp>
                        <wps:cNvPr id="64" name="直线 89"/>
                        <wps:cNvSpPr/>
                        <wps:spPr>
                          <a:xfrm>
                            <a:off x="1572" y="711"/>
                            <a:ext cx="0" cy="11396"/>
                          </a:xfrm>
                          <a:prstGeom prst="line">
                            <a:avLst/>
                          </a:prstGeom>
                          <a:ln w="6096" cap="flat" cmpd="sng">
                            <a:solidFill>
                              <a:srgbClr val="000000"/>
                            </a:solidFill>
                            <a:prstDash val="solid"/>
                            <a:headEnd type="none" w="med" len="med"/>
                            <a:tailEnd type="none" w="med" len="med"/>
                          </a:ln>
                        </wps:spPr>
                        <wps:bodyPr upright="true"/>
                      </wps:wsp>
                      <wps:wsp>
                        <wps:cNvPr id="65" name="矩形 88"/>
                        <wps:cNvSpPr/>
                        <wps:spPr>
                          <a:xfrm>
                            <a:off x="1567" y="12107"/>
                            <a:ext cx="10" cy="10"/>
                          </a:xfrm>
                          <a:prstGeom prst="rect">
                            <a:avLst/>
                          </a:prstGeom>
                          <a:solidFill>
                            <a:srgbClr val="000000"/>
                          </a:solidFill>
                          <a:ln>
                            <a:noFill/>
                          </a:ln>
                        </wps:spPr>
                        <wps:bodyPr upright="true"/>
                      </wps:wsp>
                      <wps:wsp>
                        <wps:cNvPr id="66" name="直线 87"/>
                        <wps:cNvSpPr/>
                        <wps:spPr>
                          <a:xfrm>
                            <a:off x="1577" y="12112"/>
                            <a:ext cx="8812" cy="0"/>
                          </a:xfrm>
                          <a:prstGeom prst="line">
                            <a:avLst/>
                          </a:prstGeom>
                          <a:ln w="6096" cap="flat" cmpd="sng">
                            <a:solidFill>
                              <a:srgbClr val="000000"/>
                            </a:solidFill>
                            <a:prstDash val="solid"/>
                            <a:headEnd type="none" w="med" len="med"/>
                            <a:tailEnd type="none" w="med" len="med"/>
                          </a:ln>
                        </wps:spPr>
                        <wps:bodyPr upright="true"/>
                      </wps:wsp>
                      <wps:wsp>
                        <wps:cNvPr id="67" name="直线 86"/>
                        <wps:cNvSpPr/>
                        <wps:spPr>
                          <a:xfrm>
                            <a:off x="10394" y="711"/>
                            <a:ext cx="0" cy="11396"/>
                          </a:xfrm>
                          <a:prstGeom prst="line">
                            <a:avLst/>
                          </a:prstGeom>
                          <a:ln w="6096" cap="flat" cmpd="sng">
                            <a:solidFill>
                              <a:srgbClr val="000000"/>
                            </a:solidFill>
                            <a:prstDash val="solid"/>
                            <a:headEnd type="none" w="med" len="med"/>
                            <a:tailEnd type="none" w="med" len="med"/>
                          </a:ln>
                        </wps:spPr>
                        <wps:bodyPr upright="true"/>
                      </wps:wsp>
                      <wps:wsp>
                        <wps:cNvPr id="68" name="矩形 85"/>
                        <wps:cNvSpPr/>
                        <wps:spPr>
                          <a:xfrm>
                            <a:off x="10389" y="12107"/>
                            <a:ext cx="10" cy="10"/>
                          </a:xfrm>
                          <a:prstGeom prst="rect">
                            <a:avLst/>
                          </a:prstGeom>
                          <a:solidFill>
                            <a:srgbClr val="000000"/>
                          </a:solidFill>
                          <a:ln>
                            <a:noFill/>
                          </a:ln>
                        </wps:spPr>
                        <wps:bodyPr upright="true"/>
                      </wps:wsp>
                    </wpg:wgp>
                  </a:graphicData>
                </a:graphic>
              </wp:anchor>
            </w:drawing>
          </mc:Choice>
          <mc:Fallback>
            <w:pict>
              <v:group id="组合 84" o:spid="_x0000_s1026" o:spt="203" style="position:absolute;left:0pt;margin-left:78.4pt;margin-top:35.55pt;height:570.35pt;width:441.6pt;mso-position-horizontal-relative:page;z-index:-251633664;mso-width-relative:page;mso-height-relative:page;" coordorigin="1568,711" coordsize="8832,11407" o:gfxdata="UEsFBgAAAAAAAAAAAAAAAAAAAAAAAFBLAwQKAAAAAACHTuJAAAAAAAAAAAAAAAAABAAAAGRycy9Q&#10;SwMEFAAAAAgAh07iQI112HDaAAAADAEAAA8AAABkcnMvZG93bnJldi54bWxNj8FOwzAQRO9I/IO1&#10;SNyo7UJLFeJUqAJOFRItEuK2jbdJ1NiOYjdp/57tid52tKOZN/ny5FoxUB+b4A3oiQJBvgy28ZWB&#10;7+37wwJETOgttsGTgTNFWBa3NzlmNoz+i4ZNqgSH+JihgTqlLpMyljU5jJPQkeffPvQOE8u+krbH&#10;kcNdK6dKzaXDxnNDjR2taioPm6Mz8DHi+Pqo34b1Yb86/25nnz9rTcbc32n1AiLRKf2b4YLP6FAw&#10;0y4cvY2iZT2bM3oy8Kw1iItBPSlet+NrqvUCZJHL6xHFH1BLAwQUAAAACACHTuJA0CoWxRgDAADm&#10;DwAADgAAAGRycy9lMm9Eb2MueG1s7Ve7jhMxFO2R+AdrenbGeU5Gm1CwjwbBSgsf4J3xPCSPbdlO&#10;JukpKOkpkOjoqUCIr1ntb3DteWwSVuxmkVCEkmLit+899/hc+/j5smRoQZUuBJ96+CjwEOWxSAqe&#10;Tb23b86ehR7ShvCEMMHp1FtR7T2fPX1yXMmI9kQuWEIVgkW4jio59XJjZOT7Os5pSfSRkJRDZypU&#10;SQxUVeYnilSwesn8XhCM/EqoRCoRU62h9aTu9GZu/TSlsXmdppoaxKYe2GbcV7nvlf36s2MSZYrI&#10;vIgbM8gjrChJwWHTbqkTYgiaq+K3pcoiVkKL1BzFovRFmhYxdT6ANzjY8uZcibl0vmRRlckOJoB2&#10;C6dHLxu/WlwoVCRTbzTxECclxOjm+7vrD+9ROLDoVDKLYNC5kpfyQjUNWV2zDi9TVdp/cAUtHa6r&#10;Dle6NCiGxuEoCPs9gD+GvnFv0B8MhjXycQ7hsfPwcARMsd0Yt12nzfQQJtdzMR4EY9vttxv71r7O&#10;nEoCi/QtUPrvgLrMiaQOf20xaIECYxqgPn69+fYTTZzFdm8Y1KGkIw2A3QERHo7HjasNCi1OYYgb&#10;Rx0xOydJJJU251SUyBamHiu4tYtEZPFSmxqPdohtZhxVENFgMgLcCByrlBEDxVJCoDXP3FwtWJGc&#10;FYzZGVplVy+YQgtiD4r7NThvDLObnBCd1+NcVx2tnJLklCfIrCQwiMNZ96wJJU08xChIgy2BoSQy&#10;pGAPGQneMw6RtrjWSNrSlUhWEIe5VEWWAxJGzakztAm9Jey/4EB/mwMuYnbv3TiAR5NJjcuBBHfQ&#10;Zb9JMNgiQehCuQsJ4Liva17LgUYqMe7DCV6Xu4MSOE21EO+LEgw7Enz6cv3jMwpDG7EdSDCqswHu&#10;4Tq3kailAW55cE86UHDN+VM62JDwByq91V4ScWETRM3APVZjSHMbGTl0l4QdYtBkZIgBZGCXptoY&#10;HHLyWvbebzmGc7TJAqedD2dB0J+Aoh/0+L473H6zAJ4RDQsaPXaX7F1YAGncsuD/FGT3YILHpHtD&#10;NQ9f+1pdr7tb9+3zfPY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FgAAAGRycy9QSwECFAAUAAAACACHTuJAjXXYcNoAAAAMAQAADwAAAAAA&#10;AAABACAAAAA4AAAAZHJzL2Rvd25yZXYueG1sUEsBAhQAFAAAAAgAh07iQNAqFsUYAwAA5g8AAA4A&#10;AAAAAAAAAQAgAAAAPwEAAGRycy9lMm9Eb2MueG1sUEsFBgAAAAAGAAYAWQEAAMkGAAAAAA==&#10;">
                <o:lock v:ext="edit" aspectratio="f"/>
                <v:line id="直线 91" o:spid="_x0000_s1026" o:spt="20" style="position:absolute;left:1577;top:715;height:0;width:8812;" filled="f" stroked="t" coordsize="21600,21600" o:gfxdata="UEsFBgAAAAAAAAAAAAAAAAAAAAAAAFBLAwQKAAAAAACHTuJAAAAAAAAAAAAAAAAABAAAAGRycy9Q&#10;SwMEFAAAAAgAh07iQJggxYa9AAAA2wAAAA8AAABkcnMvZG93bnJldi54bWxFj0+LwjAUxO+C3yE8&#10;wZumetDabephxUUPi/gHz4/mbdtt81KarNVvvxEEj8PM/IZJ13fTiBt1rrKsYDaNQBDnVldcKLic&#10;t5MYhPPIGhvLpOBBDtbZcJBiom3PR7qdfCEChF2CCkrv20RKl5dk0E1tSxy8H9sZ9EF2hdQd9gFu&#10;GjmPooU0WHFYKLGlz5Ly+vRnFHzHcmMP9TV//Pbnrzje16vl/qLUeDSLPkB4uvt3+NXeaQWLOTy/&#10;hB8gs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CDFhr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直线 90" o:spid="_x0000_s1026" o:spt="20" style="position:absolute;left:1577;top:1699;height:0;width:8812;" filled="f" stroked="t" coordsize="21600,21600" o:gfxdata="UEsFBgAAAAAAAAAAAAAAAAAAAAAAAFBLAwQKAAAAAACHTuJAAAAAAAAAAAAAAAAABAAAAGRycy9Q&#10;SwMEFAAAAAgAh07iQPdsYB29AAAA2wAAAA8AAABkcnMvZG93bnJldi54bWxFj0GLwjAUhO+C/yE8&#10;YW+auoJbq9GDi7IelsUqnh/Ns61tXkoTrf77jSB4HGbmG2axupta3Kh1pWUF41EEgjizuuRcwfGw&#10;GcYgnEfWWFsmBQ9ysFr2ewtMtO14T7fU5yJA2CWooPC+SaR0WUEG3cg2xME729agD7LNpW6xC3BT&#10;y88omkqDJYeFAhtaF5RV6dUo+I3lt/2rTtnj0h22cbyrZl+7o1Ifg3E0B+Hp7t/hV/tHK5hO4Pkl&#10;/AC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2xgHb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直线 89" o:spid="_x0000_s1026" o:spt="20" style="position:absolute;left:1572;top:711;height:11396;width:0;" filled="f" stroked="t" coordsize="21600,21600" o:gfxdata="UEsFBgAAAAAAAAAAAAAAAAAAAAAAAFBLAwQKAAAAAACHTuJAAAAAAAAAAAAAAAAABAAAAGRycy9Q&#10;SwMEFAAAAAgAh07iQHiF+Gm9AAAA2wAAAA8AAABkcnMvZG93bnJldi54bWxFj0GLwjAUhO+C/yE8&#10;YW+auohbq9GDi7IelsUqnh/Ns61tXkoTrf77jSB4HGbmG2axupta3Kh1pWUF41EEgjizuuRcwfGw&#10;GcYgnEfWWFsmBQ9ysFr2ewtMtO14T7fU5yJA2CWooPC+SaR0WUEG3cg2xME729agD7LNpW6xC3BT&#10;y88omkqDJYeFAhtaF5RV6dUo+I3lt/2rTtnj0h22cbyrZl+7o1Ifg3E0B+Hp7t/hV/tHK5hO4Pkl&#10;/AC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IX4ab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矩形 88" o:spid="_x0000_s1026" o:spt="1" style="position:absolute;left:1567;top:12107;height:10;width:10;" fillcolor="#000000" filled="t" stroked="f" coordsize="21600,21600" o:gfxdata="UEsFBgAAAAAAAAAAAAAAAAAAAAAAAFBLAwQKAAAAAACHTuJAAAAAAAAAAAAAAAAABAAAAGRycy9Q&#10;SwMEFAAAAAgAh07iQP7trYi+AAAA2wAAAA8AAABkcnMvZG93bnJldi54bWxFj81rAjEUxO+C/0N4&#10;Qm81UaroahQsFLwU6sdBb8/Nc3dx87Im8aP9641Q8DjMzG+Y6fxua3ElHyrHGnpdBYI4d6biQsN2&#10;8/U+AhEissHaMWn4pQDzWbs1xcy4G6/ouo6FSBAOGWooY2wyKUNeksXQdQ1x8o7OW4xJ+kIaj7cE&#10;t7XsKzWUFitOCyU29FlSflpfrIbFeLQ4/3zw99/qsKf97nAa9L3S+q3TUxMQke7xFf5vL42G4QCe&#10;X9IPkLM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7trYi+AAAA2wAAAA8AAAAAAAAAAQAgAAAAOAAAAGRycy9kb3ducmV2&#10;LnhtbFBLAQIUABQAAAAIAIdO4kAzLwWeOwAAADkAAAAQAAAAAAAAAAEAIAAAACMBAABkcnMvc2hh&#10;cGV4bWwueG1sUEsFBgAAAAAGAAYAWwEAAM0DAAAAAA==&#10;">
                  <v:fill on="t" focussize="0,0"/>
                  <v:stroke on="f"/>
                  <v:imagedata o:title=""/>
                  <o:lock v:ext="edit" aspectratio="f"/>
                </v:rect>
                <v:line id="直线 87" o:spid="_x0000_s1026" o:spt="20" style="position:absolute;left:1577;top:12112;height:0;width:8812;" filled="f" stroked="t" coordsize="21600,21600" o:gfxdata="UEsFBgAAAAAAAAAAAAAAAAAAAAAAAFBLAwQKAAAAAACHTuJAAAAAAAAAAAAAAAAABAAAAGRycy9Q&#10;SwMEFAAAAAgAh07iQOcbw4W9AAAA2wAAAA8AAABkcnMvZG93bnJldi54bWxFj0GLwjAUhO/C/ofw&#10;Frxpqodu7Ro97KLoQcQqe340z7a2eSlNtPrvzYLgcZiZb5j58m4acaPOVZYVTMYRCOLc6ooLBafj&#10;apSAcB5ZY2OZFDzIwXLxMZhjqm3PB7plvhABwi5FBaX3bSqly0sy6Ma2JQ7e2XYGfZBdIXWHfYCb&#10;Rk6jKJYGKw4LJbb0U1JeZ1ejYJfIX7uv//LHpT+uk2Rbz762J6WGn5PoG4Snu3+HX+2NVhDH8P8l&#10;/AC5e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xvDhb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直线 86" o:spid="_x0000_s1026" o:spt="20" style="position:absolute;left:10394;top:711;height:11396;width:0;" filled="f" stroked="t" coordsize="21600,21600" o:gfxdata="UEsFBgAAAAAAAAAAAAAAAAAAAAAAAFBLAwQKAAAAAACHTuJAAAAAAAAAAAAAAAAABAAAAGRycy9Q&#10;SwMEFAAAAAgAh07iQIhXZh69AAAA2wAAAA8AAABkcnMvZG93bnJldi54bWxFj0+LwjAUxO+C3yE8&#10;wZumetBut6mHFUUPsviHPT+at223zUtpotVvb4QFj8PM/IZJV3fTiBt1rrKsYDaNQBDnVldcKLic&#10;N5MYhPPIGhvLpOBBDlbZcJBiom3PR7qdfCEChF2CCkrv20RKl5dk0E1tSxy8X9sZ9EF2hdQd9gFu&#10;GjmPooU0WHFYKLGlr5Ly+nQ1Cg6xXNvv+id//PXnbRzv64/l/qLUeDSLPkF4uvt3+L+90woWS3h9&#10;CT9AZk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FdmHr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矩形 85" o:spid="_x0000_s1026" o:spt="1" style="position:absolute;left:10389;top:12107;height:10;width:10;" fillcolor="#000000" filled="t" stroked="f" coordsize="21600,21600" o:gfxdata="UEsFBgAAAAAAAAAAAAAAAAAAAAAAAFBLAwQKAAAAAACHTuJAAAAAAAAAAAAAAAAABAAAAGRycy9Q&#10;SwMEFAAAAAgAh07iQBDsAha7AAAA2wAAAA8AAABkcnMvZG93bnJldi54bWxFT8tqAjEU3Qv9h3AF&#10;d5ooKjoaBQWhG8FHF3V3nVxnBic30yT10a9vFoLLw3nPlw9bixv5UDnW0O8pEMS5MxUXGr6Om+4E&#10;RIjIBmvHpOFJAZaLj9YcM+PuvKfbIRYihXDIUEMZY5NJGfKSLIaea4gTd3HeYkzQF9J4vKdwW8uB&#10;UmNpseLUUGJD65Ly6+HXalhNJ6uf3ZC3f/vziU7f5+to4JXWnXZfzUBEesS3+OX+NBrGaWz6kn6A&#10;XPw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DsAha7AAAA2wAAAA8AAAAAAAAAAQAgAAAAOAAAAGRycy9kb3ducmV2Lnht&#10;bFBLAQIUABQAAAAIAIdO4kAzLwWeOwAAADkAAAAQAAAAAAAAAAEAIAAAACABAABkcnMvc2hhcGV4&#10;bWwueG1sUEsFBgAAAAAGAAYAWwEAAMoDAAAAAA==&#10;">
                  <v:fill on="t" focussize="0,0"/>
                  <v:stroke on="f"/>
                  <v:imagedata o:title=""/>
                  <o:lock v:ext="edit" aspectratio="f"/>
                </v:rect>
              </v:group>
            </w:pict>
          </mc:Fallback>
        </mc:AlternateContent>
      </w:r>
      <w:bookmarkStart w:id="14" w:name="_bookmark24"/>
      <w:bookmarkEnd w:id="14"/>
      <w:r>
        <w:rPr>
          <w:rFonts w:hint="eastAsia" w:ascii="黑体" w:hAnsi="黑体" w:eastAsia="黑体"/>
          <w:b/>
          <w:sz w:val="28"/>
        </w:rPr>
        <w:t>附录</w:t>
      </w:r>
      <w:r>
        <w:rPr>
          <w:rFonts w:hint="eastAsia" w:ascii="黑体" w:hAnsi="黑体" w:eastAsia="黑体"/>
          <w:b/>
          <w:spacing w:val="-71"/>
          <w:sz w:val="28"/>
        </w:rPr>
        <w:t xml:space="preserve"> </w:t>
      </w:r>
      <w:r>
        <w:rPr>
          <w:rFonts w:hint="eastAsia" w:ascii="黑体" w:hAnsi="黑体" w:eastAsia="黑体"/>
          <w:b/>
          <w:sz w:val="28"/>
        </w:rPr>
        <w:t>4</w:t>
      </w:r>
      <w:r>
        <w:rPr>
          <w:rFonts w:hint="eastAsia" w:ascii="黑体" w:hAnsi="黑体" w:eastAsia="黑体"/>
          <w:b/>
          <w:sz w:val="28"/>
        </w:rPr>
        <w:tab/>
      </w:r>
      <w:r>
        <w:rPr>
          <w:rFonts w:hint="eastAsia" w:ascii="黑体" w:hAnsi="黑体" w:eastAsia="黑体"/>
          <w:b/>
          <w:sz w:val="28"/>
        </w:rPr>
        <w:t>资格审查条件（信誉最低要求）</w:t>
      </w:r>
      <w:r>
        <w:rPr>
          <w:rFonts w:hint="eastAsia" w:ascii="黑体" w:hAnsi="黑体" w:eastAsia="黑体"/>
          <w:b/>
          <w:position w:val="13"/>
          <w:sz w:val="14"/>
        </w:rPr>
        <w:t>①</w:t>
      </w:r>
    </w:p>
    <w:p>
      <w:pPr>
        <w:pStyle w:val="11"/>
        <w:rPr>
          <w:rFonts w:ascii="黑体"/>
          <w:b/>
          <w:sz w:val="28"/>
        </w:rPr>
      </w:pPr>
    </w:p>
    <w:p>
      <w:pPr>
        <w:pStyle w:val="11"/>
        <w:spacing w:before="2"/>
        <w:rPr>
          <w:rFonts w:ascii="黑体"/>
          <w:b/>
        </w:rPr>
      </w:pPr>
    </w:p>
    <w:p>
      <w:pPr>
        <w:ind w:left="1098" w:right="1056"/>
        <w:jc w:val="center"/>
        <w:rPr>
          <w:sz w:val="21"/>
        </w:rPr>
      </w:pPr>
      <w:r>
        <w:rPr>
          <w:sz w:val="21"/>
        </w:rPr>
        <w:t>信 誉 要 求</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6"/>
      </w:pPr>
      <w:r>
        <mc:AlternateContent>
          <mc:Choice Requires="wps">
            <w:drawing>
              <wp:anchor distT="0" distB="0" distL="114300" distR="114300" simplePos="0" relativeHeight="251629568" behindDoc="0" locked="0" layoutInCell="1" allowOverlap="1">
                <wp:simplePos x="0" y="0"/>
                <wp:positionH relativeFrom="page">
                  <wp:posOffset>1009015</wp:posOffset>
                </wp:positionH>
                <wp:positionV relativeFrom="paragraph">
                  <wp:posOffset>227330</wp:posOffset>
                </wp:positionV>
                <wp:extent cx="1829435" cy="0"/>
                <wp:effectExtent l="0" t="0" r="0" b="0"/>
                <wp:wrapTopAndBottom/>
                <wp:docPr id="14" name="直线 83"/>
                <wp:cNvGraphicFramePr/>
                <a:graphic xmlns:a="http://schemas.openxmlformats.org/drawingml/2006/main">
                  <a:graphicData uri="http://schemas.microsoft.com/office/word/2010/wordprocessingShape">
                    <wps:wsp>
                      <wps:cNvSpPr/>
                      <wps:spPr>
                        <a:xfrm>
                          <a:off x="0" y="0"/>
                          <a:ext cx="1829435" cy="0"/>
                        </a:xfrm>
                        <a:prstGeom prst="line">
                          <a:avLst/>
                        </a:prstGeom>
                        <a:ln w="6097" cap="flat" cmpd="sng">
                          <a:solidFill>
                            <a:srgbClr val="000000"/>
                          </a:solidFill>
                          <a:prstDash val="solid"/>
                          <a:headEnd type="none" w="med" len="med"/>
                          <a:tailEnd type="none" w="med" len="med"/>
                        </a:ln>
                      </wps:spPr>
                      <wps:bodyPr upright="true"/>
                    </wps:wsp>
                  </a:graphicData>
                </a:graphic>
              </wp:anchor>
            </w:drawing>
          </mc:Choice>
          <mc:Fallback>
            <w:pict>
              <v:line id="直线 83" o:spid="_x0000_s1026" o:spt="20" style="position:absolute;left:0pt;margin-left:79.45pt;margin-top:17.9pt;height:0pt;width:144.05pt;mso-position-horizontal-relative:page;mso-wrap-distance-bottom:0pt;mso-wrap-distance-top:0pt;z-index:251629568;mso-width-relative:page;mso-height-relative:page;" filled="f" stroked="t" coordsize="21600,21600" o:gfxdata="UEsFBgAAAAAAAAAAAAAAAAAAAAAAAFBLAwQKAAAAAACHTuJAAAAAAAAAAAAAAAAABAAAAGRycy9Q&#10;SwMEFAAAAAgAh07iQG1QFIrWAAAACQEAAA8AAABkcnMvZG93bnJldi54bWxNj81OhEAQhO8mvsOk&#10;Tby5AwKKyLCJm5iYeHL9OQ/QAnGmhzCzLPj0tvGwHqv6S3VVuV2sETNOfnCkIN5EIJAa1w7UKXh7&#10;fbzKQfigqdXGESpY0cO2Oj8rddG6I73gvA+d4BDyhVbQhzAWUvqmR6v9xo1IfPt0k9WB5dTJdtJH&#10;DrdGXkfRjbR6IP7Q6xF3PTZf+4NVkM7L+vy9w4ekforXPOveE/9hlLq8iKN7EAGXcILhtz5Xh4o7&#10;1e5ArReGdZbfMaogyXgCA2l6y+PqP0NWpfy/oPoBUEsDBBQAAAAIAIdO4kDl5zE80QEAAJIDAAAO&#10;AAAAZHJzL2Uyb0RvYy54bWytU0uOEzEQ3SNxB8t70klmGDKtdGZBGDYIRprhABV/ui35J5eTTs7C&#10;NVix4ThzDcpOJsNngxBZOGVX+fm9V9XLm72zbKcSmuA7PptMOVNeBGl83/HPD7evFpxhBi/BBq86&#10;flDIb1YvXyzH2Kp5GIKVKjEC8diOseNDzrFtGhSDcoCTEJWnpA7JQaZt6huZYCR0Z5v5dHrVjCHJ&#10;mIJQiHS6Pib5quJrrUT+pDWqzGzHiVuua6rrpqzNagltnyAORpxowD+wcGA8PXqGWkMGtk3mDyhn&#10;RAoYdJ6I4JqgtRGqaiA1s+lvau4HiKpqIXMwnm3C/wcrPu7uEjOSenfJmQdHPXr88vXx23e2uCju&#10;jBFbKrqPd+m0QwqL1L1OrvyTCLavjh7Ojqp9ZoIOZ4v59eXFa87EU655vhgT5vcqOFaCjlvji1ho&#10;YfcBMz1GpU8l5dh6Nnb8anr9huCAZkVbyBS6SOzR9/UuBmvkrbG23MDUb97axHZQul9/RRLh/lJW&#10;HlkDDse6mjrOxaBAvvOS5UMkWzwNMC8UnJKcWUXzXiIChDaDsX9TSU9bTwyKq0cfS7QJ8kBd2MZk&#10;+oGcyGmrKtGSpMZXyqchLZP1876CPX9K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tUBSK1gAA&#10;AAkBAAAPAAAAAAAAAAEAIAAAADgAAABkcnMvZG93bnJldi54bWxQSwECFAAUAAAACACHTuJA5ecx&#10;PNEBAACSAwAADgAAAAAAAAABACAAAAA7AQAAZHJzL2Uyb0RvYy54bWxQSwUGAAAAAAYABgBZAQAA&#10;fgUAAAAA&#10;">
                <v:fill on="f" focussize="0,0"/>
                <v:stroke weight="0.48007874015748pt" color="#000000" joinstyle="round"/>
                <v:imagedata o:title=""/>
                <o:lock v:ext="edit" aspectratio="f"/>
                <w10:wrap type="topAndBottom"/>
              </v:line>
            </w:pict>
          </mc:Fallback>
        </mc:AlternateContent>
      </w:r>
    </w:p>
    <w:p>
      <w:pPr>
        <w:pStyle w:val="11"/>
        <w:spacing w:before="5"/>
        <w:rPr>
          <w:sz w:val="13"/>
        </w:rPr>
      </w:pPr>
    </w:p>
    <w:p>
      <w:pPr>
        <w:spacing w:before="77"/>
        <w:ind w:left="369"/>
        <w:rPr>
          <w:sz w:val="18"/>
        </w:rPr>
      </w:pPr>
      <w:r>
        <w:rPr>
          <w:position w:val="8"/>
          <w:sz w:val="9"/>
        </w:rPr>
        <w:t xml:space="preserve">① </w:t>
      </w:r>
      <w:r>
        <w:rPr>
          <w:sz w:val="18"/>
        </w:rPr>
        <w:t>具体信誉要求由招标人在满足国家相关法律法规前提下，根据招标项目具体特点和实际情况确定，但不得与</w:t>
      </w:r>
    </w:p>
    <w:p>
      <w:pPr>
        <w:pStyle w:val="11"/>
        <w:spacing w:before="10"/>
        <w:rPr>
          <w:sz w:val="14"/>
        </w:rPr>
      </w:pPr>
    </w:p>
    <w:p>
      <w:pPr>
        <w:ind w:left="580"/>
        <w:rPr>
          <w:sz w:val="18"/>
        </w:rPr>
      </w:pPr>
      <w:r>
        <w:rPr>
          <w:rFonts w:ascii="Times New Roman" w:hAnsi="Times New Roman" w:eastAsia="Times New Roman"/>
          <w:sz w:val="18"/>
        </w:rPr>
        <w:t>“</w:t>
      </w:r>
      <w:r>
        <w:rPr>
          <w:sz w:val="18"/>
        </w:rPr>
        <w:t>投标人须知</w:t>
      </w:r>
      <w:r>
        <w:rPr>
          <w:rFonts w:ascii="Times New Roman" w:hAnsi="Times New Roman" w:eastAsia="Times New Roman"/>
          <w:sz w:val="18"/>
        </w:rPr>
        <w:t>”</w:t>
      </w:r>
      <w:r>
        <w:rPr>
          <w:sz w:val="18"/>
        </w:rPr>
        <w:t xml:space="preserve">第 </w:t>
      </w:r>
      <w:r>
        <w:rPr>
          <w:rFonts w:ascii="Times New Roman" w:hAnsi="Times New Roman" w:eastAsia="Times New Roman"/>
          <w:sz w:val="18"/>
        </w:rPr>
        <w:t>1.4.</w:t>
      </w:r>
      <w:r>
        <w:rPr>
          <w:rFonts w:hint="eastAsia" w:ascii="Times New Roman" w:hAnsi="Times New Roman"/>
          <w:sz w:val="18"/>
          <w:lang w:val="en-US"/>
        </w:rPr>
        <w:t>3及1.4.4</w:t>
      </w:r>
      <w:r>
        <w:rPr>
          <w:rFonts w:ascii="Times New Roman" w:hAnsi="Times New Roman" w:eastAsia="Times New Roman"/>
          <w:sz w:val="18"/>
        </w:rPr>
        <w:t xml:space="preserve"> </w:t>
      </w:r>
      <w:r>
        <w:rPr>
          <w:sz w:val="18"/>
        </w:rPr>
        <w:t>项规定的内容重复。</w:t>
      </w:r>
    </w:p>
    <w:p>
      <w:pPr>
        <w:rPr>
          <w:sz w:val="18"/>
        </w:rPr>
        <w:sectPr>
          <w:pgSz w:w="11910" w:h="16850"/>
          <w:pgMar w:top="1480" w:right="1200" w:bottom="1040" w:left="1220" w:header="876" w:footer="853" w:gutter="0"/>
          <w:cols w:space="720" w:num="1"/>
        </w:sectPr>
      </w:pPr>
    </w:p>
    <w:p>
      <w:pPr>
        <w:pStyle w:val="11"/>
        <w:rPr>
          <w:sz w:val="20"/>
        </w:rPr>
      </w:pPr>
    </w:p>
    <w:p>
      <w:pPr>
        <w:pStyle w:val="11"/>
        <w:rPr>
          <w:sz w:val="20"/>
        </w:rPr>
      </w:pPr>
    </w:p>
    <w:p>
      <w:pPr>
        <w:pStyle w:val="11"/>
        <w:rPr>
          <w:sz w:val="20"/>
        </w:rPr>
      </w:pPr>
    </w:p>
    <w:p>
      <w:pPr>
        <w:tabs>
          <w:tab w:val="left" w:pos="2269"/>
        </w:tabs>
        <w:spacing w:before="226"/>
        <w:ind w:left="1214"/>
        <w:rPr>
          <w:rFonts w:ascii="黑体" w:hAnsi="黑体" w:eastAsia="黑体"/>
          <w:b/>
          <w:sz w:val="14"/>
        </w:rPr>
      </w:pPr>
      <w:bookmarkStart w:id="15" w:name="_bookmark25"/>
      <w:bookmarkEnd w:id="15"/>
      <w:r>
        <w:rPr>
          <w:rFonts w:hint="eastAsia" w:ascii="黑体" w:hAnsi="黑体" w:eastAsia="黑体"/>
          <w:b/>
          <w:sz w:val="28"/>
        </w:rPr>
        <w:t>附录</w:t>
      </w:r>
      <w:r>
        <w:rPr>
          <w:rFonts w:hint="eastAsia" w:ascii="黑体" w:hAnsi="黑体" w:eastAsia="黑体"/>
          <w:b/>
          <w:spacing w:val="-72"/>
          <w:sz w:val="28"/>
        </w:rPr>
        <w:t xml:space="preserve"> </w:t>
      </w:r>
      <w:r>
        <w:rPr>
          <w:rFonts w:hint="eastAsia" w:ascii="黑体" w:hAnsi="黑体" w:eastAsia="黑体"/>
          <w:b/>
          <w:sz w:val="28"/>
        </w:rPr>
        <w:t>5</w:t>
      </w:r>
      <w:r>
        <w:rPr>
          <w:rFonts w:hint="eastAsia" w:ascii="黑体" w:hAnsi="黑体" w:eastAsia="黑体"/>
          <w:b/>
          <w:sz w:val="28"/>
        </w:rPr>
        <w:tab/>
      </w:r>
      <w:r>
        <w:rPr>
          <w:rFonts w:hint="eastAsia" w:ascii="黑体" w:hAnsi="黑体" w:eastAsia="黑体"/>
          <w:b/>
          <w:sz w:val="28"/>
        </w:rPr>
        <w:t>资格审查条件（项目经理和项目总工最低要求）</w:t>
      </w:r>
      <w:r>
        <w:rPr>
          <w:rFonts w:hint="eastAsia" w:ascii="黑体" w:hAnsi="黑体" w:eastAsia="黑体"/>
          <w:b/>
          <w:position w:val="13"/>
          <w:sz w:val="14"/>
        </w:rPr>
        <w:t>①</w:t>
      </w:r>
    </w:p>
    <w:p>
      <w:pPr>
        <w:pStyle w:val="11"/>
        <w:spacing w:before="12"/>
        <w:rPr>
          <w:rFonts w:ascii="黑体"/>
          <w:b/>
          <w:sz w:val="18"/>
        </w:rPr>
      </w:pPr>
    </w:p>
    <w:tbl>
      <w:tblPr>
        <w:tblStyle w:val="19"/>
        <w:tblW w:w="9006"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0"/>
        <w:gridCol w:w="1558"/>
        <w:gridCol w:w="2890"/>
        <w:gridCol w:w="2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670" w:type="dxa"/>
          </w:tcPr>
          <w:p>
            <w:pPr>
              <w:pStyle w:val="21"/>
              <w:tabs>
                <w:tab w:val="left" w:pos="432"/>
              </w:tabs>
              <w:spacing w:before="171"/>
              <w:ind w:left="9"/>
              <w:jc w:val="center"/>
              <w:rPr>
                <w:sz w:val="21"/>
              </w:rPr>
            </w:pPr>
            <w:r>
              <w:rPr>
                <w:sz w:val="21"/>
              </w:rPr>
              <w:t>人</w:t>
            </w:r>
            <w:r>
              <w:rPr>
                <w:sz w:val="21"/>
              </w:rPr>
              <w:tab/>
            </w:r>
            <w:r>
              <w:rPr>
                <w:sz w:val="21"/>
              </w:rPr>
              <w:t>员</w:t>
            </w:r>
          </w:p>
        </w:tc>
        <w:tc>
          <w:tcPr>
            <w:tcW w:w="1558" w:type="dxa"/>
          </w:tcPr>
          <w:p>
            <w:pPr>
              <w:pStyle w:val="21"/>
              <w:tabs>
                <w:tab w:val="left" w:pos="883"/>
              </w:tabs>
              <w:spacing w:before="171"/>
              <w:ind w:left="460"/>
              <w:rPr>
                <w:sz w:val="21"/>
              </w:rPr>
            </w:pPr>
            <w:r>
              <w:rPr>
                <w:sz w:val="21"/>
              </w:rPr>
              <w:t>数</w:t>
            </w:r>
            <w:r>
              <w:rPr>
                <w:sz w:val="21"/>
              </w:rPr>
              <w:tab/>
            </w:r>
            <w:r>
              <w:rPr>
                <w:sz w:val="21"/>
              </w:rPr>
              <w:t>量</w:t>
            </w:r>
          </w:p>
        </w:tc>
        <w:tc>
          <w:tcPr>
            <w:tcW w:w="2890" w:type="dxa"/>
          </w:tcPr>
          <w:p>
            <w:pPr>
              <w:pStyle w:val="21"/>
              <w:spacing w:before="171"/>
              <w:ind w:left="866"/>
              <w:rPr>
                <w:sz w:val="21"/>
              </w:rPr>
            </w:pPr>
            <w:r>
              <w:rPr>
                <w:sz w:val="21"/>
              </w:rPr>
              <w:t>资 格 要 求</w:t>
            </w:r>
          </w:p>
        </w:tc>
        <w:tc>
          <w:tcPr>
            <w:tcW w:w="2888" w:type="dxa"/>
          </w:tcPr>
          <w:p>
            <w:pPr>
              <w:pStyle w:val="21"/>
              <w:spacing w:before="171"/>
              <w:ind w:left="1001" w:right="996"/>
              <w:jc w:val="center"/>
              <w:rPr>
                <w:sz w:val="21"/>
              </w:rPr>
            </w:pPr>
            <w:r>
              <w:rPr>
                <w:sz w:val="21"/>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1670" w:type="dxa"/>
          </w:tcPr>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spacing w:before="157"/>
              <w:ind w:left="12"/>
              <w:jc w:val="center"/>
              <w:rPr>
                <w:sz w:val="21"/>
              </w:rPr>
            </w:pPr>
            <w:r>
              <w:rPr>
                <w:sz w:val="21"/>
              </w:rPr>
              <w:t>项目经理</w:t>
            </w:r>
          </w:p>
        </w:tc>
        <w:tc>
          <w:tcPr>
            <w:tcW w:w="1558" w:type="dxa"/>
          </w:tcPr>
          <w:p>
            <w:pPr>
              <w:pStyle w:val="21"/>
              <w:rPr>
                <w:rFonts w:ascii="Times New Roman"/>
                <w:sz w:val="20"/>
              </w:rPr>
            </w:pPr>
          </w:p>
        </w:tc>
        <w:tc>
          <w:tcPr>
            <w:tcW w:w="2890" w:type="dxa"/>
          </w:tcPr>
          <w:p>
            <w:pPr>
              <w:pStyle w:val="21"/>
              <w:rPr>
                <w:rFonts w:ascii="Times New Roman"/>
                <w:sz w:val="20"/>
              </w:rPr>
            </w:pPr>
          </w:p>
        </w:tc>
        <w:tc>
          <w:tcPr>
            <w:tcW w:w="2888" w:type="dxa"/>
            <w:vMerge w:val="restart"/>
          </w:tcPr>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spacing w:before="2"/>
              <w:rPr>
                <w:rFonts w:ascii="黑体"/>
                <w:b/>
                <w:sz w:val="18"/>
              </w:rPr>
            </w:pPr>
          </w:p>
          <w:p>
            <w:pPr>
              <w:pStyle w:val="21"/>
              <w:spacing w:before="1" w:line="302" w:lineRule="auto"/>
              <w:ind w:left="105" w:right="95"/>
              <w:jc w:val="both"/>
              <w:rPr>
                <w:sz w:val="21"/>
              </w:rPr>
            </w:pPr>
            <w:r>
              <w:rPr>
                <w:spacing w:val="-14"/>
                <w:sz w:val="21"/>
              </w:rPr>
              <w:t>无在岗项目</w:t>
            </w:r>
            <w:r>
              <w:rPr>
                <w:sz w:val="21"/>
              </w:rPr>
              <w:t>（</w:t>
            </w:r>
            <w:r>
              <w:rPr>
                <w:spacing w:val="-3"/>
                <w:sz w:val="21"/>
              </w:rPr>
              <w:t>指目前未在其他</w:t>
            </w:r>
            <w:r>
              <w:rPr>
                <w:spacing w:val="-10"/>
                <w:sz w:val="21"/>
              </w:rPr>
              <w:t>项目上任职，或虽在其他项目</w:t>
            </w:r>
            <w:r>
              <w:rPr>
                <w:spacing w:val="8"/>
                <w:sz w:val="21"/>
              </w:rPr>
              <w:t>上任职但本项目中标后能够</w:t>
            </w:r>
            <w:r>
              <w:rPr>
                <w:sz w:val="21"/>
              </w:rPr>
              <w:t>从该项目撤离）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1670" w:type="dxa"/>
          </w:tcPr>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spacing w:before="157"/>
              <w:ind w:left="12"/>
              <w:jc w:val="center"/>
              <w:rPr>
                <w:sz w:val="21"/>
              </w:rPr>
            </w:pPr>
            <w:r>
              <w:rPr>
                <w:sz w:val="21"/>
              </w:rPr>
              <w:t>项目总工</w:t>
            </w:r>
          </w:p>
        </w:tc>
        <w:tc>
          <w:tcPr>
            <w:tcW w:w="1558" w:type="dxa"/>
          </w:tcPr>
          <w:p>
            <w:pPr>
              <w:pStyle w:val="21"/>
              <w:rPr>
                <w:rFonts w:ascii="Times New Roman"/>
                <w:sz w:val="20"/>
              </w:rPr>
            </w:pPr>
          </w:p>
        </w:tc>
        <w:tc>
          <w:tcPr>
            <w:tcW w:w="2890" w:type="dxa"/>
          </w:tcPr>
          <w:p>
            <w:pPr>
              <w:pStyle w:val="21"/>
              <w:rPr>
                <w:rFonts w:ascii="Times New Roman"/>
                <w:sz w:val="20"/>
              </w:rPr>
            </w:pPr>
          </w:p>
        </w:tc>
        <w:tc>
          <w:tcPr>
            <w:tcW w:w="2888" w:type="dxa"/>
            <w:vMerge w:val="continue"/>
            <w:tcBorders>
              <w:top w:val="nil"/>
            </w:tcBorders>
          </w:tcPr>
          <w:p>
            <w:pPr>
              <w:rPr>
                <w:sz w:val="2"/>
                <w:szCs w:val="2"/>
              </w:rPr>
            </w:pPr>
          </w:p>
        </w:tc>
      </w:tr>
    </w:tbl>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spacing w:before="3"/>
        <w:rPr>
          <w:rFonts w:ascii="黑体"/>
          <w:b/>
          <w:sz w:val="21"/>
        </w:rPr>
      </w:pPr>
      <w:r>
        <mc:AlternateContent>
          <mc:Choice Requires="wps">
            <w:drawing>
              <wp:anchor distT="0" distB="0" distL="114300" distR="114300" simplePos="0" relativeHeight="251630592" behindDoc="0" locked="0" layoutInCell="1" allowOverlap="1">
                <wp:simplePos x="0" y="0"/>
                <wp:positionH relativeFrom="page">
                  <wp:posOffset>1009015</wp:posOffset>
                </wp:positionH>
                <wp:positionV relativeFrom="paragraph">
                  <wp:posOffset>200660</wp:posOffset>
                </wp:positionV>
                <wp:extent cx="1829435" cy="0"/>
                <wp:effectExtent l="0" t="0" r="0" b="0"/>
                <wp:wrapTopAndBottom/>
                <wp:docPr id="15" name="直线 82"/>
                <wp:cNvGraphicFramePr/>
                <a:graphic xmlns:a="http://schemas.openxmlformats.org/drawingml/2006/main">
                  <a:graphicData uri="http://schemas.microsoft.com/office/word/2010/wordprocessingShape">
                    <wps:wsp>
                      <wps:cNvSpPr/>
                      <wps:spPr>
                        <a:xfrm>
                          <a:off x="0" y="0"/>
                          <a:ext cx="1829435" cy="0"/>
                        </a:xfrm>
                        <a:prstGeom prst="line">
                          <a:avLst/>
                        </a:prstGeom>
                        <a:ln w="6097" cap="flat" cmpd="sng">
                          <a:solidFill>
                            <a:srgbClr val="000000"/>
                          </a:solidFill>
                          <a:prstDash val="solid"/>
                          <a:headEnd type="none" w="med" len="med"/>
                          <a:tailEnd type="none" w="med" len="med"/>
                        </a:ln>
                      </wps:spPr>
                      <wps:bodyPr upright="true"/>
                    </wps:wsp>
                  </a:graphicData>
                </a:graphic>
              </wp:anchor>
            </w:drawing>
          </mc:Choice>
          <mc:Fallback>
            <w:pict>
              <v:line id="直线 82" o:spid="_x0000_s1026" o:spt="20" style="position:absolute;left:0pt;margin-left:79.45pt;margin-top:15.8pt;height:0pt;width:144.05pt;mso-position-horizontal-relative:page;mso-wrap-distance-bottom:0pt;mso-wrap-distance-top:0pt;z-index:251630592;mso-width-relative:page;mso-height-relative:page;" filled="f" stroked="t" coordsize="21600,21600" o:gfxdata="UEsFBgAAAAAAAAAAAAAAAAAAAAAAAFBLAwQKAAAAAACHTuJAAAAAAAAAAAAAAAAABAAAAGRycy9Q&#10;SwMEFAAAAAgAh07iQM+9t4fWAAAACQEAAA8AAABkcnMvZG93bnJldi54bWxNj0FPg0AQhe8m/ofN&#10;mHizC0IrRZYmNjEx8WTVnhd2BCI7S9gtBX+9Yzzo8b358ua9YjfbXkw4+s6RgngVgUCqnemoUfD2&#10;+niTgfBBk9G9I1SwoIddeXlR6Ny4M73gdAiN4BDyuVbQhjDkUvq6Rav9yg1IfPtwo9WB5dhIM+oz&#10;h9te3kbRRlrdEX9o9YD7FuvPw8kqSKd5ef7a40NSPcVLtm7eE3/slbq+iqN7EAHn8AfDT32uDiV3&#10;qtyJjBc963W2ZVRBEm9AMJCmdzyu+jVkWcj/C8pvUEsDBBQAAAAIAIdO4kBr7uAW0AEAAJIDAAAO&#10;AAAAZHJzL2Uyb0RvYy54bWytU0uOEzEQ3SNxB8t70kmAIdNKZxaEYYNgpBkOUPGn25J/cjnp5Cxc&#10;gxUbjjPXoOxkMjCzQYgsnLKr/Pzeq+rl1d5ZtlMJTfAdn02mnCkvgjS+7/jXu+tXC84wg5dgg1cd&#10;PyjkV6uXL5ZjbNU8DMFKlRiBeGzH2PEh59g2DYpBOcBJiMpTUofkINM29Y1MMBK6s818Or1oxpBk&#10;TEEoRDpdH5N8VfG1ViJ/0RpVZrbjxC3XNdV1U9ZmtYS2TxAHI0404B9YODCeHj1DrSED2ybzDMoZ&#10;kQIGnSciuCZobYSqGkjNbPpEze0AUVUtZA7Gs034/2DF591NYkZS795y5sFRj+6/fb//8ZMt5sWd&#10;MWJLRbfxJp12SGGRutfJlX8SwfbV0cPZUbXPTNDhbDG/fPOakMVDrnm8GBPmjyo4VoKOW+OLWGhh&#10;9wkzPUalDyXl2Ho2dvxievmO4IBmRVvIFLpI7NH39S4Ga+S1sbbcwNRv3tvEdlC6X39FEuH+UVYe&#10;WQMOx7qaOs7FoEB+8JLlQyRbPA0wLxSckpxZRfNeIgKENoOxf1NJT1tPDIqrRx9LtAnyQF3YxmT6&#10;gZzIaasq0ZKkxlfKpyEtk/X7voI9fkq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9t4fWAAAA&#10;CQEAAA8AAAAAAAAAAQAgAAAAOAAAAGRycy9kb3ducmV2LnhtbFBLAQIUABQAAAAIAIdO4kBr7uAW&#10;0AEAAJIDAAAOAAAAAAAAAAEAIAAAADsBAABkcnMvZTJvRG9jLnhtbFBLBQYAAAAABgAGAFkBAAB9&#10;BQAAAAA=&#10;">
                <v:fill on="f" focussize="0,0"/>
                <v:stroke weight="0.48007874015748pt" color="#000000" joinstyle="round"/>
                <v:imagedata o:title=""/>
                <o:lock v:ext="edit" aspectratio="f"/>
                <w10:wrap type="topAndBottom"/>
              </v:line>
            </w:pict>
          </mc:Fallback>
        </mc:AlternateContent>
      </w:r>
    </w:p>
    <w:p>
      <w:pPr>
        <w:spacing w:before="189" w:line="374" w:lineRule="auto"/>
        <w:ind w:left="549" w:right="471" w:hanging="180"/>
        <w:rPr>
          <w:sz w:val="18"/>
        </w:rPr>
      </w:pPr>
      <w:r>
        <w:rPr>
          <w:position w:val="8"/>
          <w:sz w:val="9"/>
        </w:rPr>
        <w:t xml:space="preserve">① </w:t>
      </w:r>
      <w:r>
        <w:rPr>
          <w:sz w:val="18"/>
        </w:rPr>
        <w:t>对项目经理和项目总工的具体资格要求由招标人在满足国家相关法律法规前提下，根据招标项目具体特点和实际情况确定，但不得设置过高的资格条件。</w:t>
      </w:r>
    </w:p>
    <w:p>
      <w:pPr>
        <w:spacing w:line="374" w:lineRule="auto"/>
        <w:rPr>
          <w:sz w:val="18"/>
        </w:rPr>
        <w:sectPr>
          <w:pgSz w:w="11910" w:h="16850"/>
          <w:pgMar w:top="1480" w:right="1200" w:bottom="1080" w:left="1220" w:header="883" w:footer="884" w:gutter="0"/>
          <w:cols w:space="720" w:num="1"/>
        </w:sectPr>
      </w:pPr>
    </w:p>
    <w:p>
      <w:pPr>
        <w:pStyle w:val="11"/>
        <w:spacing w:before="10"/>
        <w:rPr>
          <w:sz w:val="21"/>
        </w:rPr>
      </w:pPr>
    </w:p>
    <w:p>
      <w:pPr>
        <w:tabs>
          <w:tab w:val="left" w:pos="2269"/>
        </w:tabs>
        <w:spacing w:before="70"/>
        <w:ind w:left="1214"/>
        <w:rPr>
          <w:rFonts w:ascii="黑体" w:hAnsi="黑体" w:eastAsia="黑体"/>
          <w:b/>
          <w:sz w:val="14"/>
        </w:rPr>
      </w:pPr>
      <w:bookmarkStart w:id="16" w:name="_bookmark26"/>
      <w:bookmarkEnd w:id="16"/>
      <w:r>
        <w:rPr>
          <w:rFonts w:hint="eastAsia" w:ascii="黑体" w:hAnsi="黑体" w:eastAsia="黑体"/>
          <w:b/>
          <w:sz w:val="28"/>
        </w:rPr>
        <w:t>附录</w:t>
      </w:r>
      <w:r>
        <w:rPr>
          <w:rFonts w:hint="eastAsia" w:ascii="黑体" w:hAnsi="黑体" w:eastAsia="黑体"/>
          <w:b/>
          <w:spacing w:val="-72"/>
          <w:sz w:val="28"/>
        </w:rPr>
        <w:t xml:space="preserve"> </w:t>
      </w:r>
      <w:r>
        <w:rPr>
          <w:rFonts w:hint="eastAsia" w:ascii="黑体" w:hAnsi="黑体" w:eastAsia="黑体"/>
          <w:b/>
          <w:sz w:val="28"/>
        </w:rPr>
        <w:t>6</w:t>
      </w:r>
      <w:r>
        <w:rPr>
          <w:rFonts w:hint="eastAsia" w:ascii="黑体" w:hAnsi="黑体" w:eastAsia="黑体"/>
          <w:b/>
          <w:sz w:val="28"/>
        </w:rPr>
        <w:tab/>
      </w:r>
      <w:r>
        <w:rPr>
          <w:rFonts w:hint="eastAsia" w:ascii="黑体" w:hAnsi="黑体" w:eastAsia="黑体"/>
          <w:b/>
          <w:sz w:val="28"/>
        </w:rPr>
        <w:t>资格审查条件（其他管理和技术人员最低要求）</w:t>
      </w:r>
      <w:r>
        <w:rPr>
          <w:rFonts w:hint="eastAsia" w:ascii="黑体" w:hAnsi="黑体" w:eastAsia="黑体"/>
          <w:b/>
          <w:position w:val="13"/>
          <w:sz w:val="14"/>
        </w:rPr>
        <w:t>①</w:t>
      </w:r>
    </w:p>
    <w:p>
      <w:pPr>
        <w:pStyle w:val="11"/>
        <w:spacing w:before="12"/>
        <w:rPr>
          <w:rFonts w:ascii="黑体"/>
          <w:b/>
          <w:sz w:val="18"/>
        </w:rPr>
      </w:pPr>
    </w:p>
    <w:tbl>
      <w:tblPr>
        <w:tblStyle w:val="19"/>
        <w:tblW w:w="9006"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6"/>
        <w:gridCol w:w="1330"/>
        <w:gridCol w:w="5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826" w:type="dxa"/>
          </w:tcPr>
          <w:p>
            <w:pPr>
              <w:pStyle w:val="21"/>
              <w:spacing w:before="6"/>
              <w:rPr>
                <w:rFonts w:ascii="黑体"/>
                <w:b/>
                <w:sz w:val="24"/>
              </w:rPr>
            </w:pPr>
          </w:p>
          <w:p>
            <w:pPr>
              <w:pStyle w:val="21"/>
              <w:tabs>
                <w:tab w:val="left" w:pos="1031"/>
              </w:tabs>
              <w:ind w:left="551"/>
              <w:rPr>
                <w:sz w:val="24"/>
              </w:rPr>
            </w:pPr>
            <w:r>
              <w:rPr>
                <w:sz w:val="24"/>
              </w:rPr>
              <w:t>人</w:t>
            </w:r>
            <w:r>
              <w:rPr>
                <w:sz w:val="24"/>
              </w:rPr>
              <w:tab/>
            </w:r>
            <w:r>
              <w:rPr>
                <w:sz w:val="24"/>
              </w:rPr>
              <w:t>员</w:t>
            </w:r>
          </w:p>
        </w:tc>
        <w:tc>
          <w:tcPr>
            <w:tcW w:w="1330" w:type="dxa"/>
          </w:tcPr>
          <w:p>
            <w:pPr>
              <w:pStyle w:val="21"/>
              <w:spacing w:before="6"/>
              <w:rPr>
                <w:rFonts w:ascii="黑体"/>
                <w:b/>
                <w:sz w:val="24"/>
              </w:rPr>
            </w:pPr>
          </w:p>
          <w:p>
            <w:pPr>
              <w:pStyle w:val="21"/>
              <w:tabs>
                <w:tab w:val="left" w:pos="783"/>
              </w:tabs>
              <w:ind w:left="302"/>
              <w:rPr>
                <w:sz w:val="24"/>
              </w:rPr>
            </w:pPr>
            <w:r>
              <w:rPr>
                <w:sz w:val="24"/>
              </w:rPr>
              <w:t>数</w:t>
            </w:r>
            <w:r>
              <w:rPr>
                <w:sz w:val="24"/>
              </w:rPr>
              <w:tab/>
            </w:r>
            <w:r>
              <w:rPr>
                <w:sz w:val="24"/>
              </w:rPr>
              <w:t>量</w:t>
            </w:r>
          </w:p>
        </w:tc>
        <w:tc>
          <w:tcPr>
            <w:tcW w:w="5850" w:type="dxa"/>
          </w:tcPr>
          <w:p>
            <w:pPr>
              <w:pStyle w:val="21"/>
              <w:spacing w:before="6"/>
              <w:rPr>
                <w:rFonts w:ascii="黑体"/>
                <w:b/>
                <w:sz w:val="24"/>
              </w:rPr>
            </w:pPr>
          </w:p>
          <w:p>
            <w:pPr>
              <w:pStyle w:val="21"/>
              <w:ind w:left="2243" w:right="2236"/>
              <w:jc w:val="center"/>
              <w:rPr>
                <w:sz w:val="24"/>
              </w:rPr>
            </w:pPr>
            <w:r>
              <w:rPr>
                <w:sz w:val="24"/>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826" w:type="dxa"/>
          </w:tcPr>
          <w:p>
            <w:pPr>
              <w:pStyle w:val="21"/>
              <w:rPr>
                <w:rFonts w:ascii="Times New Roman"/>
                <w:sz w:val="18"/>
              </w:rPr>
            </w:pPr>
          </w:p>
        </w:tc>
        <w:tc>
          <w:tcPr>
            <w:tcW w:w="1330" w:type="dxa"/>
          </w:tcPr>
          <w:p>
            <w:pPr>
              <w:pStyle w:val="21"/>
              <w:rPr>
                <w:rFonts w:ascii="Times New Roman"/>
                <w:sz w:val="18"/>
              </w:rPr>
            </w:pPr>
          </w:p>
        </w:tc>
        <w:tc>
          <w:tcPr>
            <w:tcW w:w="5850" w:type="dxa"/>
          </w:tcPr>
          <w:p>
            <w:pPr>
              <w:pStyle w:val="21"/>
              <w:rPr>
                <w:rFonts w:ascii="Times New Roman"/>
                <w:sz w:val="18"/>
              </w:rPr>
            </w:pPr>
          </w:p>
        </w:tc>
      </w:tr>
    </w:tbl>
    <w:p>
      <w:pPr>
        <w:pStyle w:val="11"/>
        <w:rPr>
          <w:rFonts w:ascii="黑体"/>
          <w:b/>
          <w:sz w:val="28"/>
        </w:rPr>
      </w:pPr>
    </w:p>
    <w:p>
      <w:pPr>
        <w:pStyle w:val="11"/>
        <w:rPr>
          <w:rFonts w:ascii="黑体"/>
          <w:b/>
          <w:sz w:val="28"/>
        </w:rPr>
      </w:pPr>
    </w:p>
    <w:p>
      <w:pPr>
        <w:spacing w:before="199"/>
        <w:ind w:left="369"/>
        <w:rPr>
          <w:sz w:val="18"/>
        </w:rPr>
      </w:pPr>
      <w:r>
        <w:rPr>
          <w:position w:val="9"/>
          <w:sz w:val="9"/>
        </w:rPr>
        <w:t>①</w:t>
      </w:r>
      <w:r>
        <w:rPr>
          <w:sz w:val="9"/>
        </w:rPr>
        <w:t xml:space="preserve"> </w:t>
      </w:r>
      <w:r>
        <w:rPr>
          <w:sz w:val="18"/>
        </w:rPr>
        <w:t>本表仅适用于特别复杂的特大桥梁和特长隧道项目主体工程以及其他有特殊要求的工程。对其他管理和技术</w:t>
      </w:r>
    </w:p>
    <w:p>
      <w:pPr>
        <w:spacing w:before="70" w:line="312" w:lineRule="auto"/>
        <w:ind w:left="549" w:right="278"/>
        <w:rPr>
          <w:sz w:val="18"/>
        </w:rPr>
      </w:pPr>
      <w:r>
        <w:rPr>
          <w:sz w:val="18"/>
        </w:rPr>
        <w:t xml:space="preserve">人员（例如项目副经理、专业工程师等）的最低要求，由招标人在满足国家相关法律法规前提下，根据招标项目具体特点和实际情况确定，但不得设置过高的资格条件。 </w:t>
      </w:r>
    </w:p>
    <w:p>
      <w:pPr>
        <w:spacing w:line="312" w:lineRule="auto"/>
        <w:rPr>
          <w:sz w:val="18"/>
        </w:rPr>
        <w:sectPr>
          <w:footerReference r:id="rId11" w:type="default"/>
          <w:footerReference r:id="rId12" w:type="even"/>
          <w:pgSz w:w="11910" w:h="16850"/>
          <w:pgMar w:top="1480" w:right="1200" w:bottom="1580" w:left="1220" w:header="876" w:footer="1389" w:gutter="0"/>
          <w:cols w:space="720" w:num="1"/>
        </w:sectPr>
      </w:pPr>
    </w:p>
    <w:p>
      <w:pPr>
        <w:pStyle w:val="11"/>
        <w:spacing w:before="10"/>
        <w:rPr>
          <w:sz w:val="21"/>
        </w:rPr>
      </w:pPr>
    </w:p>
    <w:p>
      <w:pPr>
        <w:tabs>
          <w:tab w:val="left" w:pos="1705"/>
        </w:tabs>
        <w:spacing w:before="70"/>
        <w:ind w:left="650"/>
        <w:rPr>
          <w:rFonts w:ascii="黑体" w:hAnsi="黑体" w:eastAsia="黑体"/>
          <w:b/>
          <w:sz w:val="14"/>
        </w:rPr>
      </w:pPr>
      <w:bookmarkStart w:id="17" w:name="_bookmark27"/>
      <w:bookmarkEnd w:id="17"/>
      <w:r>
        <w:rPr>
          <w:rFonts w:hint="eastAsia" w:ascii="黑体" w:hAnsi="黑体" w:eastAsia="黑体"/>
          <w:b/>
          <w:sz w:val="28"/>
        </w:rPr>
        <w:t>附录</w:t>
      </w:r>
      <w:r>
        <w:rPr>
          <w:rFonts w:hint="eastAsia" w:ascii="黑体" w:hAnsi="黑体" w:eastAsia="黑体"/>
          <w:b/>
          <w:spacing w:val="-72"/>
          <w:sz w:val="28"/>
        </w:rPr>
        <w:t xml:space="preserve"> </w:t>
      </w:r>
      <w:r>
        <w:rPr>
          <w:rFonts w:hint="eastAsia" w:ascii="黑体" w:hAnsi="黑体" w:eastAsia="黑体"/>
          <w:b/>
          <w:sz w:val="28"/>
        </w:rPr>
        <w:t>7</w:t>
      </w:r>
      <w:r>
        <w:rPr>
          <w:rFonts w:hint="eastAsia" w:ascii="黑体" w:hAnsi="黑体" w:eastAsia="黑体"/>
          <w:b/>
          <w:sz w:val="28"/>
        </w:rPr>
        <w:tab/>
      </w:r>
      <w:r>
        <w:rPr>
          <w:rFonts w:hint="eastAsia" w:ascii="黑体" w:hAnsi="黑体" w:eastAsia="黑体"/>
          <w:b/>
          <w:sz w:val="28"/>
        </w:rPr>
        <w:t>资格审查条件（主要机械设备和试验检测设备最低要求）</w:t>
      </w:r>
      <w:r>
        <w:rPr>
          <w:rFonts w:hint="eastAsia" w:ascii="黑体" w:hAnsi="黑体" w:eastAsia="黑体"/>
          <w:b/>
          <w:position w:val="13"/>
          <w:sz w:val="14"/>
        </w:rPr>
        <w:t>①</w:t>
      </w:r>
    </w:p>
    <w:p>
      <w:pPr>
        <w:pStyle w:val="11"/>
        <w:spacing w:before="12"/>
        <w:rPr>
          <w:rFonts w:ascii="黑体"/>
          <w:b/>
          <w:sz w:val="18"/>
        </w:rPr>
      </w:pPr>
    </w:p>
    <w:tbl>
      <w:tblPr>
        <w:tblStyle w:val="19"/>
        <w:tblW w:w="8701" w:type="dxa"/>
        <w:tblInd w:w="4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3225"/>
        <w:gridCol w:w="1198"/>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pPr>
              <w:pStyle w:val="21"/>
              <w:spacing w:before="201"/>
              <w:ind w:left="470"/>
              <w:rPr>
                <w:sz w:val="24"/>
              </w:rPr>
            </w:pPr>
            <w:r>
              <w:rPr>
                <w:sz w:val="24"/>
              </w:rPr>
              <w:t>设备名称</w:t>
            </w:r>
          </w:p>
        </w:tc>
        <w:tc>
          <w:tcPr>
            <w:tcW w:w="3225" w:type="dxa"/>
          </w:tcPr>
          <w:p>
            <w:pPr>
              <w:pStyle w:val="21"/>
              <w:spacing w:before="201"/>
              <w:ind w:left="647"/>
              <w:rPr>
                <w:sz w:val="24"/>
              </w:rPr>
            </w:pPr>
            <w:r>
              <w:rPr>
                <w:sz w:val="24"/>
              </w:rPr>
              <w:t>规格、功率及容量</w:t>
            </w:r>
          </w:p>
        </w:tc>
        <w:tc>
          <w:tcPr>
            <w:tcW w:w="1198" w:type="dxa"/>
          </w:tcPr>
          <w:p>
            <w:pPr>
              <w:pStyle w:val="21"/>
              <w:spacing w:before="201"/>
              <w:ind w:left="353"/>
              <w:rPr>
                <w:sz w:val="24"/>
              </w:rPr>
            </w:pPr>
            <w:r>
              <w:rPr>
                <w:sz w:val="24"/>
              </w:rPr>
              <w:t>单位</w:t>
            </w:r>
          </w:p>
        </w:tc>
        <w:tc>
          <w:tcPr>
            <w:tcW w:w="2372" w:type="dxa"/>
          </w:tcPr>
          <w:p>
            <w:pPr>
              <w:pStyle w:val="21"/>
              <w:spacing w:before="201"/>
              <w:ind w:left="461"/>
              <w:rPr>
                <w:sz w:val="24"/>
              </w:rPr>
            </w:pPr>
            <w:r>
              <w:rPr>
                <w:sz w:val="24"/>
              </w:rPr>
              <w:t>最低数量要求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06" w:type="dxa"/>
          </w:tcPr>
          <w:p>
            <w:pPr>
              <w:pStyle w:val="21"/>
              <w:rPr>
                <w:rFonts w:ascii="Times New Roman"/>
                <w:sz w:val="20"/>
              </w:rPr>
            </w:pPr>
          </w:p>
        </w:tc>
        <w:tc>
          <w:tcPr>
            <w:tcW w:w="3225" w:type="dxa"/>
          </w:tcPr>
          <w:p>
            <w:pPr>
              <w:pStyle w:val="21"/>
              <w:rPr>
                <w:rFonts w:ascii="Times New Roman"/>
                <w:sz w:val="20"/>
              </w:rPr>
            </w:pPr>
          </w:p>
        </w:tc>
        <w:tc>
          <w:tcPr>
            <w:tcW w:w="1198" w:type="dxa"/>
          </w:tcPr>
          <w:p>
            <w:pPr>
              <w:pStyle w:val="21"/>
              <w:rPr>
                <w:rFonts w:ascii="Times New Roman"/>
                <w:sz w:val="20"/>
              </w:rPr>
            </w:pPr>
          </w:p>
        </w:tc>
        <w:tc>
          <w:tcPr>
            <w:tcW w:w="2372" w:type="dxa"/>
          </w:tcPr>
          <w:p>
            <w:pPr>
              <w:pStyle w:val="21"/>
              <w:rPr>
                <w:rFonts w:ascii="Times New Roman"/>
                <w:sz w:val="20"/>
              </w:rPr>
            </w:pPr>
          </w:p>
        </w:tc>
      </w:tr>
    </w:tbl>
    <w:p>
      <w:pPr>
        <w:pStyle w:val="11"/>
        <w:rPr>
          <w:rFonts w:ascii="黑体"/>
          <w:b/>
          <w:sz w:val="20"/>
        </w:rPr>
      </w:pPr>
    </w:p>
    <w:p>
      <w:pPr>
        <w:pStyle w:val="11"/>
        <w:rPr>
          <w:rFonts w:ascii="黑体"/>
          <w:b/>
          <w:sz w:val="20"/>
        </w:rPr>
      </w:pPr>
    </w:p>
    <w:p>
      <w:pPr>
        <w:pStyle w:val="11"/>
        <w:rPr>
          <w:rFonts w:ascii="黑体"/>
          <w:b/>
          <w:sz w:val="20"/>
        </w:rPr>
      </w:pPr>
    </w:p>
    <w:p>
      <w:pPr>
        <w:pStyle w:val="11"/>
        <w:spacing w:before="2"/>
        <w:rPr>
          <w:rFonts w:ascii="黑体"/>
          <w:b/>
          <w:sz w:val="13"/>
        </w:rPr>
      </w:pPr>
      <w:r>
        <mc:AlternateContent>
          <mc:Choice Requires="wps">
            <w:drawing>
              <wp:anchor distT="0" distB="0" distL="114300" distR="114300" simplePos="0" relativeHeight="251631616" behindDoc="0" locked="0" layoutInCell="1" allowOverlap="1">
                <wp:simplePos x="0" y="0"/>
                <wp:positionH relativeFrom="page">
                  <wp:posOffset>1009015</wp:posOffset>
                </wp:positionH>
                <wp:positionV relativeFrom="paragraph">
                  <wp:posOffset>135255</wp:posOffset>
                </wp:positionV>
                <wp:extent cx="1829435" cy="0"/>
                <wp:effectExtent l="0" t="0" r="0" b="0"/>
                <wp:wrapTopAndBottom/>
                <wp:docPr id="16" name="直线 81"/>
                <wp:cNvGraphicFramePr/>
                <a:graphic xmlns:a="http://schemas.openxmlformats.org/drawingml/2006/main">
                  <a:graphicData uri="http://schemas.microsoft.com/office/word/2010/wordprocessingShape">
                    <wps:wsp>
                      <wps:cNvSpPr/>
                      <wps:spPr>
                        <a:xfrm>
                          <a:off x="0" y="0"/>
                          <a:ext cx="1829435" cy="0"/>
                        </a:xfrm>
                        <a:prstGeom prst="line">
                          <a:avLst/>
                        </a:prstGeom>
                        <a:ln w="6097" cap="flat" cmpd="sng">
                          <a:solidFill>
                            <a:srgbClr val="000000"/>
                          </a:solidFill>
                          <a:prstDash val="solid"/>
                          <a:headEnd type="none" w="med" len="med"/>
                          <a:tailEnd type="none" w="med" len="med"/>
                        </a:ln>
                      </wps:spPr>
                      <wps:bodyPr upright="true"/>
                    </wps:wsp>
                  </a:graphicData>
                </a:graphic>
              </wp:anchor>
            </w:drawing>
          </mc:Choice>
          <mc:Fallback>
            <w:pict>
              <v:line id="直线 81" o:spid="_x0000_s1026" o:spt="20" style="position:absolute;left:0pt;margin-left:79.45pt;margin-top:10.65pt;height:0pt;width:144.05pt;mso-position-horizontal-relative:page;mso-wrap-distance-bottom:0pt;mso-wrap-distance-top:0pt;z-index:251631616;mso-width-relative:page;mso-height-relative:page;" filled="f" stroked="t" coordsize="21600,21600" o:gfxdata="UEsFBgAAAAAAAAAAAAAAAAAAAAAAAFBLAwQKAAAAAACHTuJAAAAAAAAAAAAAAAAABAAAAGRycy9Q&#10;SwMEFAAAAAgAh07iQAvCTwbWAAAACQEAAA8AAABkcnMvZG93bnJldi54bWxNj0FPg0AQhe8m/ofN&#10;mHizC4UqRZYmNjEx8WTVnhd2BCI7S9gtBX+9Yzzo8b358ua9YjfbXkw4+s6RgngVgUCqnemoUfD2&#10;+niTgfBBk9G9I1SwoIddeXlR6Ny4M73gdAiN4BDyuVbQhjDkUvq6Rav9yg1IfPtwo9WB5dhIM+oz&#10;h9terqPoVlrdEX9o9YD7FuvPw8kqSKd5ef7a40NSPcVLtmneE3/slbq+iqN7EAHn8AfDT32uDiV3&#10;qtyJjBc96022ZVTBOk5AMJCmdzyu+jVkWcj/C8pvUEsDBBQAAAAIAIdO4kD59JNp0QEAAJIDAAAO&#10;AAAAZHJzL2Uyb0RvYy54bWytU0uOEzEQ3SNxB8t70kmAkGmlMwvCsEEw0gwHqPjTbck/uZx0chau&#10;wYoNx5lrUHYyGT4bhMjCKbvKz++9ql5dH5xle5XQBN/x2WTKmfIiSOP7jn++v3mx5AwzeAk2eNXx&#10;o0J+vX7+bDXGVs3DEKxUiRGIx3aMHR9yjm3ToBiUA5yEqDwldUgOMm1T38gEI6E728yn00UzhiRj&#10;CkIh0unmlOTriq+1EvmT1qgysx0nbrmuqa7bsjbrFbR9gjgYcaYB/8DCgfH06AVqAxnYLpk/oJwR&#10;KWDQeSKCa4LWRqiqgdTMpr+puRsgqqqFzMF4sQn/H6z4uL9NzEjq3YIzD4569PDl68O372w5K+6M&#10;EVsquou36bxDCovUg06u/JMIdqiOHi+OqkNmgg5ny/nVq5evOROPuebpYkyY36vgWAk6bo0vYqGF&#10;/QfM9BiVPpaUY+vZ2PHF9OoNwQHNiraQKXSR2KPv610M1sgbY225ganfvrWJ7aF0v/6KJML9paw8&#10;sgEcTnU1dZqLQYF85yXLx0i2eBpgXig4JTmziua9RAQIbQZj/6aSnraeGBRXTz6WaBvkkbqwi8n0&#10;AzmR005VoiVJja+Uz0NaJuvnfQV7+pT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Lwk8G1gAA&#10;AAkBAAAPAAAAAAAAAAEAIAAAADgAAABkcnMvZG93bnJldi54bWxQSwECFAAUAAAACACHTuJA+fST&#10;adEBAACSAwAADgAAAAAAAAABACAAAAA7AQAAZHJzL2Uyb0RvYy54bWxQSwUGAAAAAAYABgBZAQAA&#10;fgUAAAAA&#10;">
                <v:fill on="f" focussize="0,0"/>
                <v:stroke weight="0.48007874015748pt" color="#000000" joinstyle="round"/>
                <v:imagedata o:title=""/>
                <o:lock v:ext="edit" aspectratio="f"/>
                <w10:wrap type="topAndBottom"/>
              </v:line>
            </w:pict>
          </mc:Fallback>
        </mc:AlternateContent>
      </w:r>
    </w:p>
    <w:p>
      <w:pPr>
        <w:spacing w:before="129"/>
        <w:ind w:left="369"/>
        <w:rPr>
          <w:sz w:val="18"/>
        </w:rPr>
      </w:pPr>
      <w:r>
        <w:rPr>
          <w:position w:val="9"/>
          <w:sz w:val="9"/>
        </w:rPr>
        <w:t>①</w:t>
      </w:r>
      <w:r>
        <w:rPr>
          <w:sz w:val="9"/>
        </w:rPr>
        <w:t xml:space="preserve"> </w:t>
      </w:r>
      <w:r>
        <w:rPr>
          <w:sz w:val="18"/>
        </w:rPr>
        <w:t>本表仅适用于特别复杂的特大桥梁和特长隧道项目主体工程以及其他有特殊要求的工程。对主要机械设备和</w:t>
      </w:r>
    </w:p>
    <w:p>
      <w:pPr>
        <w:spacing w:before="69" w:line="312" w:lineRule="auto"/>
        <w:ind w:left="549" w:right="332"/>
        <w:rPr>
          <w:sz w:val="18"/>
        </w:rPr>
      </w:pPr>
      <w:r>
        <w:rPr>
          <w:sz w:val="18"/>
        </w:rPr>
        <w:t xml:space="preserve">试验检测设备的最低要求，由招标人在满足国家相关法律法规前提下，根据招标项目具体特点和实际情况确定。 </w:t>
      </w:r>
    </w:p>
    <w:p>
      <w:pPr>
        <w:spacing w:line="312" w:lineRule="auto"/>
        <w:rPr>
          <w:sz w:val="18"/>
        </w:rPr>
        <w:sectPr>
          <w:pgSz w:w="11910" w:h="16850"/>
          <w:pgMar w:top="1480" w:right="1200" w:bottom="1080" w:left="1220" w:header="883" w:footer="884" w:gutter="0"/>
          <w:cols w:space="720" w:num="1"/>
        </w:sectPr>
      </w:pPr>
    </w:p>
    <w:p>
      <w:pPr>
        <w:pStyle w:val="11"/>
        <w:spacing w:before="5"/>
        <w:rPr>
          <w:sz w:val="22"/>
        </w:rPr>
      </w:pPr>
    </w:p>
    <w:p>
      <w:pPr>
        <w:numPr>
          <w:ilvl w:val="0"/>
          <w:numId w:val="2"/>
        </w:numPr>
        <w:tabs>
          <w:tab w:val="left" w:pos="790"/>
        </w:tabs>
        <w:spacing w:before="62"/>
        <w:rPr>
          <w:rFonts w:ascii="黑体" w:eastAsia="黑体"/>
          <w:sz w:val="28"/>
        </w:rPr>
      </w:pPr>
      <w:bookmarkStart w:id="18" w:name="_bookmark28"/>
      <w:bookmarkEnd w:id="18"/>
      <w:r>
        <w:rPr>
          <w:rFonts w:hint="eastAsia" w:ascii="黑体" w:eastAsia="黑体"/>
          <w:sz w:val="28"/>
        </w:rPr>
        <w:t>总则</w:t>
      </w:r>
    </w:p>
    <w:p>
      <w:pPr>
        <w:pStyle w:val="20"/>
        <w:numPr>
          <w:ilvl w:val="1"/>
          <w:numId w:val="2"/>
        </w:numPr>
        <w:tabs>
          <w:tab w:val="left" w:pos="850"/>
        </w:tabs>
        <w:spacing w:before="243"/>
        <w:ind w:left="849" w:hanging="480"/>
        <w:rPr>
          <w:rFonts w:ascii="黑体" w:eastAsia="黑体"/>
          <w:sz w:val="24"/>
        </w:rPr>
      </w:pPr>
      <w:bookmarkStart w:id="19" w:name="_bookmark29"/>
      <w:bookmarkEnd w:id="19"/>
      <w:r>
        <w:rPr>
          <w:rFonts w:hint="eastAsia" w:ascii="黑体" w:eastAsia="黑体"/>
          <w:sz w:val="24"/>
        </w:rPr>
        <w:t>项目概况</w:t>
      </w:r>
    </w:p>
    <w:p>
      <w:pPr>
        <w:pStyle w:val="11"/>
        <w:rPr>
          <w:rFonts w:ascii="黑体"/>
          <w:sz w:val="26"/>
        </w:rPr>
      </w:pPr>
    </w:p>
    <w:p>
      <w:pPr>
        <w:pStyle w:val="20"/>
        <w:tabs>
          <w:tab w:val="left" w:pos="1450"/>
        </w:tabs>
        <w:ind w:left="849" w:firstLine="0"/>
        <w:rPr>
          <w:sz w:val="24"/>
        </w:rPr>
      </w:pPr>
      <w:r>
        <w:rPr>
          <w:rFonts w:hint="eastAsia"/>
          <w:spacing w:val="-11"/>
          <w:sz w:val="24"/>
          <w:lang w:val="en-US"/>
        </w:rPr>
        <w:t xml:space="preserve">1.1.1 </w:t>
      </w:r>
      <w:r>
        <w:rPr>
          <w:spacing w:val="-11"/>
          <w:sz w:val="24"/>
        </w:rPr>
        <w:t>根据《中华人民共和国招标投标法</w:t>
      </w:r>
      <w:r>
        <w:rPr>
          <w:spacing w:val="-17"/>
          <w:sz w:val="24"/>
        </w:rPr>
        <w:t>》《中华人民共和国招标投标法实施条例》</w:t>
      </w:r>
    </w:p>
    <w:p>
      <w:pPr>
        <w:pStyle w:val="11"/>
        <w:spacing w:before="91" w:line="312" w:lineRule="auto"/>
        <w:ind w:left="369" w:right="331" w:hanging="120"/>
      </w:pPr>
      <w:r>
        <w:t>《公路工程建设项目招标投标管理办法》等有关法律、法规和规章的规定，本招标项目已具备招标条件，现对本标段施工进行招标。</w:t>
      </w:r>
    </w:p>
    <w:p>
      <w:pPr>
        <w:pStyle w:val="11"/>
        <w:spacing w:before="30"/>
        <w:ind w:left="849"/>
        <w:rPr>
          <w:rFonts w:ascii="Times New Roman"/>
          <w:u w:val="single"/>
          <w:lang w:val="en-US"/>
        </w:rPr>
      </w:pPr>
      <w:r>
        <w:rPr>
          <w:rFonts w:ascii="Times New Roman"/>
        </w:rPr>
        <w:t>1.1.2</w:t>
      </w:r>
      <w:r>
        <w:rPr>
          <w:rFonts w:hint="eastAsia" w:ascii="Times New Roman"/>
          <w:lang w:val="en-US"/>
        </w:rPr>
        <w:t xml:space="preserve">   </w:t>
      </w:r>
      <w:r>
        <w:rPr>
          <w:rFonts w:hint="eastAsia" w:ascii="Times New Roman"/>
          <w:u w:val="single"/>
          <w:lang w:val="en-US"/>
        </w:rPr>
        <w:t xml:space="preserve">                                                                    </w:t>
      </w:r>
    </w:p>
    <w:p>
      <w:pPr>
        <w:pStyle w:val="11"/>
        <w:spacing w:before="123"/>
        <w:ind w:left="849"/>
        <w:rPr>
          <w:rFonts w:ascii="Times New Roman"/>
          <w:lang w:val="en-US"/>
        </w:rPr>
      </w:pPr>
      <w:r>
        <w:rPr>
          <w:rFonts w:ascii="Times New Roman"/>
        </w:rPr>
        <w:t>1.1.3</w:t>
      </w:r>
      <w:r>
        <w:rPr>
          <w:rFonts w:hint="eastAsia" w:ascii="Times New Roman"/>
          <w:lang w:val="en-US"/>
        </w:rPr>
        <w:t xml:space="preserve">   </w:t>
      </w:r>
      <w:r>
        <w:rPr>
          <w:rFonts w:hint="eastAsia" w:ascii="Times New Roman"/>
          <w:u w:val="single"/>
          <w:lang w:val="en-US"/>
        </w:rPr>
        <w:t xml:space="preserve">                                                                    </w:t>
      </w:r>
    </w:p>
    <w:p>
      <w:pPr>
        <w:pStyle w:val="11"/>
        <w:spacing w:before="125"/>
        <w:ind w:left="849"/>
        <w:rPr>
          <w:rFonts w:ascii="Times New Roman"/>
          <w:lang w:val="en-US"/>
        </w:rPr>
      </w:pPr>
      <w:r>
        <w:rPr>
          <w:rFonts w:ascii="Times New Roman"/>
        </w:rPr>
        <w:t>1.1.4</w:t>
      </w:r>
      <w:r>
        <w:rPr>
          <w:rFonts w:hint="eastAsia" w:ascii="Times New Roman"/>
          <w:lang w:val="en-US"/>
        </w:rPr>
        <w:t xml:space="preserve">   </w:t>
      </w:r>
      <w:r>
        <w:rPr>
          <w:rFonts w:hint="eastAsia" w:ascii="Times New Roman"/>
          <w:u w:val="single"/>
          <w:lang w:val="en-US"/>
        </w:rPr>
        <w:t xml:space="preserve">                                                                    </w:t>
      </w:r>
    </w:p>
    <w:p>
      <w:pPr>
        <w:pStyle w:val="11"/>
        <w:spacing w:before="125"/>
        <w:ind w:left="849"/>
        <w:rPr>
          <w:rFonts w:ascii="Times New Roman"/>
          <w:lang w:val="en-US"/>
        </w:rPr>
      </w:pPr>
      <w:r>
        <w:rPr>
          <w:rFonts w:ascii="Times New Roman"/>
        </w:rPr>
        <w:t>1.1.5</w:t>
      </w:r>
      <w:r>
        <w:rPr>
          <w:rFonts w:hint="eastAsia" w:ascii="Times New Roman"/>
          <w:lang w:val="en-US"/>
        </w:rPr>
        <w:t xml:space="preserve">   </w:t>
      </w:r>
      <w:r>
        <w:rPr>
          <w:rFonts w:hint="eastAsia" w:ascii="Times New Roman"/>
          <w:u w:val="single"/>
          <w:lang w:val="en-US"/>
        </w:rPr>
        <w:t xml:space="preserve">                                                                    </w:t>
      </w:r>
    </w:p>
    <w:p>
      <w:pPr>
        <w:pStyle w:val="11"/>
        <w:spacing w:before="4"/>
        <w:rPr>
          <w:rFonts w:ascii="Times New Roman"/>
          <w:sz w:val="21"/>
        </w:rPr>
      </w:pPr>
    </w:p>
    <w:p>
      <w:pPr>
        <w:pStyle w:val="20"/>
        <w:numPr>
          <w:ilvl w:val="1"/>
          <w:numId w:val="2"/>
        </w:numPr>
        <w:tabs>
          <w:tab w:val="left" w:pos="850"/>
        </w:tabs>
        <w:ind w:left="849" w:hanging="480"/>
        <w:rPr>
          <w:rFonts w:ascii="黑体" w:eastAsia="黑体"/>
          <w:sz w:val="24"/>
        </w:rPr>
      </w:pPr>
      <w:bookmarkStart w:id="20" w:name="_bookmark30"/>
      <w:bookmarkEnd w:id="20"/>
      <w:r>
        <w:rPr>
          <w:rFonts w:hint="eastAsia" w:ascii="黑体" w:eastAsia="黑体"/>
          <w:sz w:val="24"/>
        </w:rPr>
        <w:t>招标项目的资金来源和落实情况</w:t>
      </w:r>
    </w:p>
    <w:p>
      <w:pPr>
        <w:pStyle w:val="11"/>
        <w:rPr>
          <w:rFonts w:ascii="黑体"/>
          <w:sz w:val="26"/>
        </w:rPr>
      </w:pPr>
    </w:p>
    <w:p>
      <w:pPr>
        <w:pStyle w:val="20"/>
        <w:tabs>
          <w:tab w:val="left" w:pos="1450"/>
        </w:tabs>
        <w:ind w:left="849" w:firstLine="0"/>
        <w:rPr>
          <w:sz w:val="24"/>
        </w:rPr>
      </w:pPr>
      <w:r>
        <w:rPr>
          <w:rFonts w:hint="eastAsia"/>
          <w:sz w:val="24"/>
          <w:lang w:val="en-US"/>
        </w:rPr>
        <w:t xml:space="preserve">1.2.1 </w:t>
      </w:r>
      <w:r>
        <w:rPr>
          <w:sz w:val="24"/>
        </w:rPr>
        <w:t>资金来源及比例：见投标人须知前附表。</w:t>
      </w:r>
    </w:p>
    <w:p>
      <w:pPr>
        <w:pStyle w:val="20"/>
        <w:tabs>
          <w:tab w:val="left" w:pos="1450"/>
        </w:tabs>
        <w:spacing w:before="93"/>
        <w:ind w:left="849" w:firstLine="0"/>
        <w:rPr>
          <w:sz w:val="24"/>
        </w:rPr>
      </w:pPr>
      <w:r>
        <w:rPr>
          <w:rFonts w:hint="eastAsia"/>
          <w:sz w:val="24"/>
          <w:lang w:val="en-US"/>
        </w:rPr>
        <w:t xml:space="preserve">1.2.2 </w:t>
      </w:r>
      <w:r>
        <w:rPr>
          <w:sz w:val="24"/>
        </w:rPr>
        <w:t>资金落实情况：见投标人须知前附表。</w:t>
      </w:r>
    </w:p>
    <w:p>
      <w:pPr>
        <w:pStyle w:val="11"/>
        <w:spacing w:before="12"/>
        <w:rPr>
          <w:sz w:val="18"/>
        </w:rPr>
      </w:pPr>
    </w:p>
    <w:p>
      <w:pPr>
        <w:pStyle w:val="20"/>
        <w:numPr>
          <w:ilvl w:val="1"/>
          <w:numId w:val="2"/>
        </w:numPr>
        <w:tabs>
          <w:tab w:val="left" w:pos="850"/>
        </w:tabs>
        <w:ind w:left="849" w:hanging="480"/>
        <w:rPr>
          <w:rFonts w:ascii="黑体" w:eastAsia="黑体"/>
          <w:sz w:val="24"/>
        </w:rPr>
      </w:pPr>
      <w:bookmarkStart w:id="21" w:name="_bookmark31"/>
      <w:bookmarkEnd w:id="21"/>
      <w:r>
        <w:rPr>
          <w:rFonts w:hint="eastAsia" w:ascii="黑体" w:eastAsia="黑体"/>
          <w:sz w:val="24"/>
        </w:rPr>
        <w:t>招标范围、计划工期、质量要求和安全目标</w:t>
      </w:r>
    </w:p>
    <w:p>
      <w:pPr>
        <w:pStyle w:val="11"/>
        <w:rPr>
          <w:rFonts w:ascii="黑体"/>
          <w:sz w:val="26"/>
        </w:rPr>
      </w:pPr>
    </w:p>
    <w:p>
      <w:pPr>
        <w:pStyle w:val="20"/>
        <w:tabs>
          <w:tab w:val="left" w:pos="1450"/>
        </w:tabs>
        <w:spacing w:line="312" w:lineRule="auto"/>
        <w:ind w:left="850" w:firstLine="0"/>
        <w:rPr>
          <w:sz w:val="24"/>
        </w:rPr>
      </w:pPr>
      <w:r>
        <w:rPr>
          <w:rFonts w:hint="eastAsia"/>
          <w:sz w:val="24"/>
          <w:lang w:val="en-US"/>
        </w:rPr>
        <w:t xml:space="preserve">1.3.1  </w:t>
      </w:r>
      <w:r>
        <w:rPr>
          <w:sz w:val="24"/>
        </w:rPr>
        <w:t>招标范围：见投标人须知前附表。</w:t>
      </w:r>
    </w:p>
    <w:p>
      <w:pPr>
        <w:pStyle w:val="20"/>
        <w:tabs>
          <w:tab w:val="left" w:pos="1450"/>
        </w:tabs>
        <w:spacing w:line="312" w:lineRule="auto"/>
        <w:ind w:left="850" w:firstLine="0"/>
        <w:rPr>
          <w:sz w:val="24"/>
          <w:lang w:val="en-US"/>
        </w:rPr>
      </w:pPr>
      <w:r>
        <w:rPr>
          <w:rFonts w:hint="eastAsia"/>
          <w:sz w:val="24"/>
          <w:lang w:val="en-US"/>
        </w:rPr>
        <w:t xml:space="preserve">1.3.2  </w:t>
      </w:r>
      <w:r>
        <w:rPr>
          <w:rFonts w:hint="eastAsia" w:ascii="Times New Roman"/>
          <w:u w:val="single"/>
          <w:lang w:val="en-US"/>
        </w:rPr>
        <w:t xml:space="preserve">                                                                    </w:t>
      </w:r>
      <w:r>
        <w:rPr>
          <w:rFonts w:hint="eastAsia"/>
          <w:sz w:val="24"/>
          <w:lang w:val="en-US"/>
        </w:rPr>
        <w:t xml:space="preserve">                                                                       </w:t>
      </w:r>
    </w:p>
    <w:p>
      <w:pPr>
        <w:pStyle w:val="20"/>
        <w:tabs>
          <w:tab w:val="left" w:pos="1450"/>
        </w:tabs>
        <w:spacing w:line="312" w:lineRule="auto"/>
        <w:ind w:left="850" w:firstLine="0"/>
        <w:rPr>
          <w:rFonts w:ascii="Times New Roman"/>
          <w:sz w:val="24"/>
          <w:lang w:val="en-US"/>
        </w:rPr>
      </w:pPr>
      <w:r>
        <w:rPr>
          <w:rFonts w:hint="eastAsia"/>
          <w:sz w:val="24"/>
          <w:lang w:val="en-US"/>
        </w:rPr>
        <w:t xml:space="preserve">1.3.3 </w:t>
      </w:r>
      <w:r>
        <w:rPr>
          <w:rFonts w:hint="eastAsia" w:ascii="Times New Roman"/>
          <w:sz w:val="24"/>
          <w:lang w:val="en-US"/>
        </w:rPr>
        <w:t xml:space="preserve">  </w:t>
      </w:r>
      <w:r>
        <w:rPr>
          <w:rFonts w:hint="eastAsia" w:ascii="Times New Roman"/>
          <w:u w:val="single"/>
          <w:lang w:val="en-US"/>
        </w:rPr>
        <w:t xml:space="preserve">                                                                    </w:t>
      </w:r>
    </w:p>
    <w:p>
      <w:pPr>
        <w:pStyle w:val="20"/>
        <w:tabs>
          <w:tab w:val="left" w:pos="1450"/>
        </w:tabs>
        <w:spacing w:before="97" w:line="312" w:lineRule="auto"/>
        <w:ind w:left="850" w:firstLine="0"/>
        <w:rPr>
          <w:sz w:val="24"/>
        </w:rPr>
      </w:pPr>
      <w:r>
        <w:rPr>
          <w:rFonts w:hint="eastAsia"/>
          <w:sz w:val="24"/>
          <w:lang w:val="en-US"/>
        </w:rPr>
        <w:t xml:space="preserve">1.3.4 </w:t>
      </w:r>
      <w:r>
        <w:rPr>
          <w:sz w:val="24"/>
        </w:rPr>
        <w:t>本标段的安全目标：见投标人须知前附表。</w:t>
      </w:r>
    </w:p>
    <w:p>
      <w:pPr>
        <w:pStyle w:val="11"/>
        <w:spacing w:before="1"/>
        <w:rPr>
          <w:sz w:val="19"/>
        </w:rPr>
      </w:pPr>
    </w:p>
    <w:p>
      <w:pPr>
        <w:pStyle w:val="20"/>
        <w:numPr>
          <w:ilvl w:val="1"/>
          <w:numId w:val="3"/>
        </w:numPr>
        <w:tabs>
          <w:tab w:val="left" w:pos="850"/>
        </w:tabs>
        <w:rPr>
          <w:rFonts w:ascii="黑体" w:eastAsia="黑体"/>
          <w:sz w:val="24"/>
        </w:rPr>
      </w:pPr>
      <w:bookmarkStart w:id="22" w:name="_bookmark33"/>
      <w:bookmarkEnd w:id="22"/>
      <w:bookmarkStart w:id="23" w:name="_bookmark32"/>
      <w:bookmarkEnd w:id="23"/>
      <w:r>
        <w:rPr>
          <w:rFonts w:hint="eastAsia" w:ascii="黑体" w:eastAsia="黑体"/>
          <w:sz w:val="24"/>
        </w:rPr>
        <w:t>投标人资格要求</w:t>
      </w:r>
    </w:p>
    <w:p>
      <w:pPr>
        <w:pStyle w:val="11"/>
        <w:spacing w:before="1"/>
        <w:rPr>
          <w:rFonts w:ascii="黑体"/>
          <w:sz w:val="26"/>
        </w:rPr>
      </w:pPr>
    </w:p>
    <w:p>
      <w:pPr>
        <w:pStyle w:val="20"/>
        <w:numPr>
          <w:ilvl w:val="2"/>
          <w:numId w:val="3"/>
        </w:numPr>
        <w:tabs>
          <w:tab w:val="left" w:pos="1450"/>
        </w:tabs>
        <w:rPr>
          <w:sz w:val="24"/>
        </w:rPr>
      </w:pPr>
      <w:r>
        <w:rPr>
          <w:sz w:val="24"/>
        </w:rPr>
        <w:t>投标人应具备承担本标段施工的资质条件、能力和信誉。</w:t>
      </w:r>
    </w:p>
    <w:p>
      <w:pPr>
        <w:pStyle w:val="11"/>
        <w:spacing w:before="93"/>
        <w:ind w:left="729"/>
      </w:pPr>
      <w:r>
        <w:t>（</w:t>
      </w:r>
      <w:r>
        <w:rPr>
          <w:rFonts w:ascii="Times New Roman" w:eastAsia="Times New Roman"/>
        </w:rPr>
        <w:t>1</w:t>
      </w:r>
      <w:r>
        <w:t>）资质要求：见投标人须知前附表；</w:t>
      </w:r>
    </w:p>
    <w:p>
      <w:pPr>
        <w:pStyle w:val="11"/>
        <w:spacing w:before="91"/>
        <w:ind w:left="729"/>
      </w:pPr>
      <w:r>
        <w:t>（</w:t>
      </w:r>
      <w:r>
        <w:rPr>
          <w:rFonts w:ascii="Times New Roman" w:eastAsia="Times New Roman"/>
        </w:rPr>
        <w:t>2</w:t>
      </w:r>
      <w:r>
        <w:t>）财务要求：见投标人须知前附表；</w:t>
      </w:r>
    </w:p>
    <w:p>
      <w:pPr>
        <w:pStyle w:val="11"/>
        <w:spacing w:before="94"/>
        <w:ind w:left="729"/>
      </w:pPr>
      <w:r>
        <w:t>（</w:t>
      </w:r>
      <w:r>
        <w:rPr>
          <w:rFonts w:ascii="Times New Roman" w:eastAsia="Times New Roman"/>
        </w:rPr>
        <w:t>3</w:t>
      </w:r>
      <w:r>
        <w:t>）业绩要求：见投标人须知前附表；</w:t>
      </w:r>
    </w:p>
    <w:p>
      <w:pPr>
        <w:pStyle w:val="11"/>
        <w:spacing w:before="93"/>
        <w:ind w:left="729"/>
      </w:pPr>
      <w:r>
        <w:t>（</w:t>
      </w:r>
      <w:r>
        <w:rPr>
          <w:rFonts w:ascii="Times New Roman" w:eastAsia="Times New Roman"/>
        </w:rPr>
        <w:t>4</w:t>
      </w:r>
      <w:r>
        <w:t>）信誉要求：见投标人须知前附表；</w:t>
      </w:r>
    </w:p>
    <w:p>
      <w:pPr>
        <w:pStyle w:val="11"/>
        <w:spacing w:before="91"/>
        <w:ind w:left="729"/>
      </w:pPr>
      <w:r>
        <w:t>（</w:t>
      </w:r>
      <w:r>
        <w:rPr>
          <w:rFonts w:ascii="Times New Roman" w:eastAsia="Times New Roman"/>
        </w:rPr>
        <w:t>5</w:t>
      </w:r>
      <w:r>
        <w:t>）项目经理和项目总工资格：见投标人须知前附表；</w:t>
      </w:r>
    </w:p>
    <w:p>
      <w:pPr>
        <w:pStyle w:val="11"/>
        <w:spacing w:before="93"/>
        <w:ind w:left="729"/>
      </w:pPr>
      <w:r>
        <w:t>（</w:t>
      </w:r>
      <w:r>
        <w:rPr>
          <w:rFonts w:ascii="Times New Roman" w:eastAsia="Times New Roman"/>
        </w:rPr>
        <w:t>6</w:t>
      </w:r>
      <w:r>
        <w:t>）其他要求：见投标人须知前附表。</w:t>
      </w:r>
    </w:p>
    <w:p>
      <w:pPr>
        <w:pStyle w:val="11"/>
        <w:spacing w:before="94"/>
        <w:ind w:left="849"/>
      </w:pPr>
      <w:r>
        <w:t xml:space="preserve">需要提交的相关证明材料见本章第 </w:t>
      </w:r>
      <w:r>
        <w:rPr>
          <w:rFonts w:ascii="Times New Roman" w:eastAsia="Times New Roman"/>
        </w:rPr>
        <w:t xml:space="preserve">3.5 </w:t>
      </w:r>
      <w:r>
        <w:t>款的规定。</w:t>
      </w:r>
    </w:p>
    <w:p>
      <w:pPr>
        <w:pStyle w:val="20"/>
        <w:numPr>
          <w:ilvl w:val="2"/>
          <w:numId w:val="3"/>
        </w:numPr>
        <w:tabs>
          <w:tab w:val="left" w:pos="1454"/>
        </w:tabs>
        <w:spacing w:before="91"/>
        <w:ind w:left="1454" w:hanging="605"/>
        <w:rPr>
          <w:rFonts w:ascii="Times New Roman" w:eastAsia="Times New Roman"/>
          <w:sz w:val="24"/>
        </w:rPr>
      </w:pPr>
      <w:r>
        <w:rPr>
          <w:spacing w:val="1"/>
          <w:sz w:val="24"/>
        </w:rPr>
        <w:t xml:space="preserve">投标人须知前附表规定接受联合体投标的，联合体除应符合本章第 </w:t>
      </w:r>
      <w:r>
        <w:rPr>
          <w:rFonts w:ascii="Times New Roman" w:eastAsia="Times New Roman"/>
          <w:sz w:val="24"/>
        </w:rPr>
        <w:t>1.4.1</w:t>
      </w:r>
    </w:p>
    <w:p>
      <w:pPr>
        <w:pStyle w:val="11"/>
        <w:spacing w:before="93"/>
        <w:ind w:left="369"/>
      </w:pPr>
      <w:r>
        <w:t>项和投标人须知前附表的要求外，还应遵守以下规定：</w:t>
      </w:r>
    </w:p>
    <w:p>
      <w:pPr>
        <w:sectPr>
          <w:footerReference r:id="rId13" w:type="default"/>
          <w:footerReference r:id="rId14" w:type="even"/>
          <w:pgSz w:w="11910" w:h="16850"/>
          <w:pgMar w:top="1480" w:right="1200" w:bottom="1040" w:left="1220" w:header="876" w:footer="853" w:gutter="0"/>
          <w:pgNumType w:start="40"/>
          <w:cols w:space="720" w:num="1"/>
        </w:sectPr>
      </w:pPr>
    </w:p>
    <w:p>
      <w:pPr>
        <w:pStyle w:val="11"/>
        <w:spacing w:before="7"/>
        <w:rPr>
          <w:sz w:val="9"/>
        </w:rPr>
      </w:pPr>
    </w:p>
    <w:p>
      <w:pPr>
        <w:pStyle w:val="11"/>
        <w:spacing w:before="74" w:line="312" w:lineRule="auto"/>
        <w:ind w:left="369" w:right="326" w:firstLine="360"/>
      </w:pPr>
      <w:r>
        <w:rPr>
          <w:spacing w:val="-16"/>
        </w:rPr>
        <w:t>（</w:t>
      </w:r>
      <w:r>
        <w:rPr>
          <w:rFonts w:ascii="Times New Roman" w:eastAsia="Times New Roman"/>
          <w:spacing w:val="-16"/>
        </w:rPr>
        <w:t>1</w:t>
      </w:r>
      <w:r>
        <w:rPr>
          <w:spacing w:val="-16"/>
        </w:rPr>
        <w:t>）</w:t>
      </w:r>
      <w:r>
        <w:rPr>
          <w:spacing w:val="-2"/>
        </w:rPr>
        <w:t>联合体各方应按招标文件提供的格式签订联合体协议书，明确联合体牵头人和各方权利义务，并承诺就中标项目向招标人承担连带责任；</w:t>
      </w:r>
    </w:p>
    <w:p>
      <w:pPr>
        <w:pStyle w:val="11"/>
        <w:spacing w:line="307" w:lineRule="exact"/>
        <w:ind w:left="729"/>
      </w:pPr>
      <w:r>
        <w:t>（</w:t>
      </w:r>
      <w:r>
        <w:rPr>
          <w:rFonts w:ascii="Times New Roman" w:eastAsia="Times New Roman"/>
        </w:rPr>
        <w:t>2</w:t>
      </w:r>
      <w:r>
        <w:t>）由同一专业的单位组成的联合体，按照资质等级较低的单位确定资质等级；</w:t>
      </w:r>
    </w:p>
    <w:p>
      <w:pPr>
        <w:pStyle w:val="11"/>
        <w:spacing w:before="94"/>
        <w:ind w:left="729"/>
      </w:pPr>
      <w:r>
        <w:t>（</w:t>
      </w:r>
      <w:r>
        <w:rPr>
          <w:rFonts w:ascii="Times New Roman" w:eastAsia="Times New Roman"/>
        </w:rPr>
        <w:t>3</w:t>
      </w:r>
      <w:r>
        <w:t>）联合体各方不得再以自</w:t>
      </w:r>
      <w:bookmarkStart w:id="308" w:name="_GoBack"/>
      <w:bookmarkEnd w:id="308"/>
      <w:r>
        <w:t>己名义单独或参加其他联合体在同一标段中投标；</w:t>
      </w:r>
    </w:p>
    <w:p>
      <w:pPr>
        <w:pStyle w:val="11"/>
        <w:spacing w:before="91" w:line="312" w:lineRule="auto"/>
        <w:ind w:left="369" w:right="326" w:firstLine="360"/>
        <w:jc w:val="both"/>
      </w:pPr>
      <w:r>
        <w:rPr>
          <w:spacing w:val="-11"/>
        </w:rPr>
        <w:t>（</w:t>
      </w:r>
      <w:r>
        <w:rPr>
          <w:rFonts w:ascii="Times New Roman" w:eastAsia="Times New Roman"/>
          <w:spacing w:val="-11"/>
        </w:rPr>
        <w:t>4</w:t>
      </w:r>
      <w:r>
        <w:rPr>
          <w:spacing w:val="-11"/>
        </w:rPr>
        <w:t>）</w:t>
      </w:r>
      <w:r>
        <w:rPr>
          <w:spacing w:val="-3"/>
        </w:rPr>
        <w:t>联合体各方应分别按照本招标文件的要求，填写投标文件中的相应表格，并</w:t>
      </w:r>
      <w:r>
        <w:rPr>
          <w:spacing w:val="-6"/>
        </w:rPr>
        <w:t>由联合体牵头人负责对联合体各成员的资料进行统一汇总后一并提交给招标人；联合体牵头人所提交的投标文件应认为已代表了联合体各成员的真实情况；</w:t>
      </w:r>
    </w:p>
    <w:p>
      <w:pPr>
        <w:pStyle w:val="11"/>
        <w:spacing w:before="1" w:line="312" w:lineRule="auto"/>
        <w:ind w:left="369" w:right="327" w:firstLine="360"/>
      </w:pPr>
      <w:r>
        <w:rPr>
          <w:spacing w:val="-11"/>
        </w:rPr>
        <w:t>（</w:t>
      </w:r>
      <w:r>
        <w:rPr>
          <w:rFonts w:ascii="Times New Roman" w:eastAsia="Times New Roman"/>
          <w:spacing w:val="-11"/>
        </w:rPr>
        <w:t>5</w:t>
      </w:r>
      <w:r>
        <w:rPr>
          <w:spacing w:val="-11"/>
        </w:rPr>
        <w:t>）</w:t>
      </w:r>
      <w:r>
        <w:rPr>
          <w:spacing w:val="-5"/>
        </w:rPr>
        <w:t>尽管委任了联合体牵头人，但联合体各成员在投标、签订合同与履行合同过程中，仍负有连带的和各自的法律责任。</w:t>
      </w:r>
    </w:p>
    <w:p>
      <w:pPr>
        <w:pStyle w:val="20"/>
        <w:numPr>
          <w:ilvl w:val="2"/>
          <w:numId w:val="3"/>
        </w:numPr>
        <w:tabs>
          <w:tab w:val="left" w:pos="1450"/>
        </w:tabs>
        <w:spacing w:before="2"/>
        <w:rPr>
          <w:sz w:val="24"/>
        </w:rPr>
      </w:pPr>
      <w:r>
        <w:rPr>
          <w:sz w:val="24"/>
        </w:rPr>
        <w:t>投标人（包括联合体各成员）不得与本标段相关单位存在下列关联关系：</w:t>
      </w:r>
    </w:p>
    <w:p>
      <w:pPr>
        <w:pStyle w:val="11"/>
        <w:spacing w:before="91"/>
        <w:ind w:left="729"/>
      </w:pPr>
      <w:r>
        <w:rPr>
          <w:spacing w:val="-1"/>
        </w:rPr>
        <w:t>（</w:t>
      </w:r>
      <w:r>
        <w:rPr>
          <w:rFonts w:ascii="Times New Roman" w:eastAsia="Times New Roman"/>
        </w:rPr>
        <w:t>1</w:t>
      </w:r>
      <w:r>
        <w:t>）为招标人不具有独立法人资格的附属机构（单位</w:t>
      </w:r>
      <w:r>
        <w:rPr>
          <w:spacing w:val="-120"/>
        </w:rPr>
        <w:t>）</w:t>
      </w:r>
      <w:r>
        <w:t>；</w:t>
      </w:r>
    </w:p>
    <w:p>
      <w:pPr>
        <w:pStyle w:val="11"/>
        <w:spacing w:before="93"/>
        <w:ind w:left="729"/>
      </w:pPr>
      <w:r>
        <w:t>（</w:t>
      </w:r>
      <w:r>
        <w:rPr>
          <w:rFonts w:ascii="Times New Roman" w:eastAsia="Times New Roman"/>
        </w:rPr>
        <w:t>2</w:t>
      </w:r>
      <w:r>
        <w:t>）与招标人存在利害关系且可能影响招标公正性；</w:t>
      </w:r>
    </w:p>
    <w:p>
      <w:pPr>
        <w:pStyle w:val="11"/>
        <w:spacing w:before="94"/>
        <w:ind w:left="729"/>
      </w:pPr>
      <w:r>
        <w:t>（</w:t>
      </w:r>
      <w:r>
        <w:rPr>
          <w:rFonts w:ascii="Times New Roman" w:eastAsia="Times New Roman"/>
        </w:rPr>
        <w:t>3</w:t>
      </w:r>
      <w:r>
        <w:t>）与本标段的其他投标人同为一个单位负责人；</w:t>
      </w:r>
    </w:p>
    <w:p>
      <w:pPr>
        <w:pStyle w:val="11"/>
        <w:spacing w:before="91"/>
        <w:ind w:left="729"/>
      </w:pPr>
      <w:r>
        <w:t>（</w:t>
      </w:r>
      <w:r>
        <w:rPr>
          <w:rFonts w:ascii="Times New Roman" w:eastAsia="Times New Roman"/>
        </w:rPr>
        <w:t>4</w:t>
      </w:r>
      <w:r>
        <w:t>）与本标段的其他投标人存在控股、管理关系；</w:t>
      </w:r>
    </w:p>
    <w:p>
      <w:pPr>
        <w:pStyle w:val="11"/>
        <w:spacing w:before="93"/>
        <w:ind w:left="729"/>
      </w:pPr>
      <w:r>
        <w:rPr>
          <w:spacing w:val="-1"/>
        </w:rPr>
        <w:t>（</w:t>
      </w:r>
      <w:r>
        <w:rPr>
          <w:rFonts w:ascii="Times New Roman" w:eastAsia="Times New Roman"/>
        </w:rPr>
        <w:t>5</w:t>
      </w:r>
      <w:r>
        <w:t>）为本标段前期准备提供设计或咨询服务的法人或其任何附属机构（单位</w:t>
      </w:r>
      <w:r>
        <w:rPr>
          <w:spacing w:val="-120"/>
        </w:rPr>
        <w:t>）</w:t>
      </w:r>
      <w:r>
        <w:t>；</w:t>
      </w:r>
    </w:p>
    <w:p>
      <w:pPr>
        <w:pStyle w:val="11"/>
        <w:spacing w:before="94"/>
        <w:ind w:left="729"/>
      </w:pPr>
      <w:r>
        <w:t>（</w:t>
      </w:r>
      <w:r>
        <w:rPr>
          <w:rFonts w:ascii="Times New Roman" w:eastAsia="Times New Roman"/>
        </w:rPr>
        <w:t>6</w:t>
      </w:r>
      <w:r>
        <w:t>）为本标段的监理人；</w:t>
      </w:r>
    </w:p>
    <w:p>
      <w:pPr>
        <w:pStyle w:val="11"/>
        <w:spacing w:before="90"/>
        <w:ind w:left="729"/>
      </w:pPr>
      <w:r>
        <w:t>（</w:t>
      </w:r>
      <w:r>
        <w:rPr>
          <w:rFonts w:ascii="Times New Roman" w:eastAsia="Times New Roman"/>
        </w:rPr>
        <w:t>7</w:t>
      </w:r>
      <w:r>
        <w:t>）为本标段的代建人；</w:t>
      </w:r>
    </w:p>
    <w:p>
      <w:pPr>
        <w:pStyle w:val="11"/>
        <w:spacing w:before="94"/>
        <w:ind w:left="729"/>
      </w:pPr>
      <w:r>
        <w:t>（</w:t>
      </w:r>
      <w:r>
        <w:rPr>
          <w:rFonts w:ascii="Times New Roman" w:eastAsia="Times New Roman"/>
        </w:rPr>
        <w:t>8</w:t>
      </w:r>
      <w:r>
        <w:t>）为本标段的招标代理机构；</w:t>
      </w:r>
    </w:p>
    <w:p>
      <w:pPr>
        <w:pStyle w:val="11"/>
        <w:spacing w:before="93"/>
        <w:ind w:left="729"/>
      </w:pPr>
      <w:r>
        <w:t>（</w:t>
      </w:r>
      <w:r>
        <w:rPr>
          <w:rFonts w:ascii="Times New Roman" w:eastAsia="Times New Roman"/>
        </w:rPr>
        <w:t>9</w:t>
      </w:r>
      <w:r>
        <w:t>）与本标段的监理人或代建人或招标代理机构同为一个法定代表人；</w:t>
      </w:r>
    </w:p>
    <w:p>
      <w:pPr>
        <w:pStyle w:val="11"/>
        <w:spacing w:before="91"/>
        <w:ind w:left="729"/>
      </w:pPr>
      <w:r>
        <w:t>（</w:t>
      </w:r>
      <w:r>
        <w:rPr>
          <w:rFonts w:ascii="Times New Roman" w:eastAsia="Times New Roman"/>
        </w:rPr>
        <w:t>10</w:t>
      </w:r>
      <w:r>
        <w:t>）与本标段的监理人或代建人或招标代理机构存在控股或参股关系；</w:t>
      </w:r>
    </w:p>
    <w:p>
      <w:pPr>
        <w:pStyle w:val="11"/>
        <w:spacing w:before="93"/>
        <w:ind w:left="729"/>
      </w:pPr>
      <w:r>
        <w:t>（</w:t>
      </w:r>
      <w:r>
        <w:rPr>
          <w:rFonts w:ascii="Times New Roman" w:eastAsia="Times New Roman"/>
        </w:rPr>
        <w:t>11</w:t>
      </w:r>
      <w:r>
        <w:t>）法律法规或投标人须知前附表规定的其他情形。</w:t>
      </w:r>
    </w:p>
    <w:p>
      <w:pPr>
        <w:pStyle w:val="20"/>
        <w:numPr>
          <w:ilvl w:val="2"/>
          <w:numId w:val="3"/>
        </w:numPr>
        <w:tabs>
          <w:tab w:val="left" w:pos="1450"/>
        </w:tabs>
        <w:spacing w:before="94"/>
        <w:rPr>
          <w:sz w:val="24"/>
        </w:rPr>
      </w:pPr>
      <w:r>
        <w:rPr>
          <w:sz w:val="24"/>
        </w:rPr>
        <w:t>投标人（包括联合体各成员）不得存在下列不良状况或不良信用记录：</w:t>
      </w:r>
    </w:p>
    <w:p>
      <w:pPr>
        <w:pStyle w:val="11"/>
        <w:spacing w:before="90" w:line="314" w:lineRule="auto"/>
        <w:ind w:left="369" w:right="326" w:firstLine="360"/>
      </w:pPr>
      <w:r>
        <w:rPr>
          <w:spacing w:val="-31"/>
        </w:rPr>
        <w:t>（</w:t>
      </w:r>
      <w:r>
        <w:rPr>
          <w:rFonts w:ascii="Times New Roman" w:eastAsia="Times New Roman"/>
          <w:spacing w:val="-31"/>
        </w:rPr>
        <w:t>1</w:t>
      </w:r>
      <w:r>
        <w:rPr>
          <w:spacing w:val="-31"/>
        </w:rPr>
        <w:t>）</w:t>
      </w:r>
      <w:r>
        <w:t>被省级及以上交通运输主管部门取消招标项目所在地的投标资格且处于有效期内；</w:t>
      </w:r>
    </w:p>
    <w:p>
      <w:pPr>
        <w:pStyle w:val="11"/>
        <w:spacing w:line="304" w:lineRule="exact"/>
        <w:ind w:left="729"/>
      </w:pPr>
      <w:r>
        <w:t>（</w:t>
      </w:r>
      <w:r>
        <w:rPr>
          <w:rFonts w:ascii="Times New Roman" w:eastAsia="Times New Roman"/>
        </w:rPr>
        <w:t>2</w:t>
      </w:r>
      <w:r>
        <w:t>）被责令停业，暂扣或吊销执照，或吊销资质证书；</w:t>
      </w:r>
    </w:p>
    <w:p>
      <w:pPr>
        <w:pStyle w:val="11"/>
        <w:spacing w:before="91"/>
        <w:ind w:left="729"/>
      </w:pPr>
      <w:r>
        <w:t>（</w:t>
      </w:r>
      <w:r>
        <w:rPr>
          <w:rFonts w:ascii="Times New Roman" w:eastAsia="Times New Roman"/>
        </w:rPr>
        <w:t>3</w:t>
      </w:r>
      <w:r>
        <w:t>）进入清算程序，或被宣告破产，或其他丧失履约能力的情形；</w:t>
      </w:r>
    </w:p>
    <w:p>
      <w:pPr>
        <w:pStyle w:val="11"/>
        <w:spacing w:before="94" w:line="312" w:lineRule="auto"/>
        <w:ind w:left="369" w:right="280" w:firstLine="360"/>
      </w:pPr>
      <w:r>
        <w:t>（</w:t>
      </w:r>
      <w:r>
        <w:rPr>
          <w:rFonts w:ascii="Times New Roman" w:eastAsia="Times New Roman"/>
        </w:rPr>
        <w:t>4</w:t>
      </w:r>
      <w:r>
        <w:t>）在国家企业信用信息公示系统（</w:t>
      </w:r>
      <w:r>
        <w:fldChar w:fldCharType="begin"/>
      </w:r>
      <w:r>
        <w:instrText xml:space="preserve"> HYPERLINK "http://www.gsxt.gov.cn/" \h </w:instrText>
      </w:r>
      <w:r>
        <w:fldChar w:fldCharType="separate"/>
      </w:r>
      <w:r>
        <w:rPr>
          <w:rFonts w:ascii="Times New Roman" w:eastAsia="Times New Roman"/>
        </w:rPr>
        <w:t>http://www.gsxt.gov.cn/</w:t>
      </w:r>
      <w:r>
        <w:rPr>
          <w:rFonts w:ascii="Times New Roman" w:eastAsia="Times New Roman"/>
        </w:rPr>
        <w:fldChar w:fldCharType="end"/>
      </w:r>
      <w:r>
        <w:t>）中被列入严重违法失信企业名单；</w:t>
      </w:r>
    </w:p>
    <w:p>
      <w:pPr>
        <w:pStyle w:val="11"/>
        <w:spacing w:line="312" w:lineRule="auto"/>
        <w:ind w:left="369" w:right="324" w:firstLine="360"/>
      </w:pPr>
      <w:r>
        <w:t>（</w:t>
      </w:r>
      <w:r>
        <w:rPr>
          <w:rFonts w:ascii="Times New Roman" w:hAnsi="Times New Roman" w:eastAsia="Times New Roman"/>
        </w:rPr>
        <w:t>5</w:t>
      </w:r>
      <w:r>
        <w:t>）在“信用中国”网站（</w:t>
      </w:r>
      <w:r>
        <w:fldChar w:fldCharType="begin"/>
      </w:r>
      <w:r>
        <w:instrText xml:space="preserve"> HYPERLINK "http://www.creditchina.gov.cn/" \h </w:instrText>
      </w:r>
      <w:r>
        <w:fldChar w:fldCharType="separate"/>
      </w:r>
      <w:r>
        <w:rPr>
          <w:rFonts w:ascii="Times New Roman" w:hAnsi="Times New Roman" w:eastAsia="Times New Roman"/>
        </w:rPr>
        <w:t>http://www.creditchina.gov.cn/</w:t>
      </w:r>
      <w:r>
        <w:rPr>
          <w:rFonts w:ascii="Times New Roman" w:hAnsi="Times New Roman" w:eastAsia="Times New Roman"/>
        </w:rPr>
        <w:fldChar w:fldCharType="end"/>
      </w:r>
      <w:r>
        <w:t>）中被列入失信被执行人名单；</w:t>
      </w:r>
    </w:p>
    <w:p>
      <w:pPr>
        <w:pStyle w:val="11"/>
        <w:spacing w:before="2" w:line="312" w:lineRule="auto"/>
        <w:ind w:left="369" w:right="325" w:firstLine="360"/>
      </w:pPr>
      <w:r>
        <w:rPr>
          <w:spacing w:val="-1"/>
        </w:rPr>
        <w:t>（</w:t>
      </w:r>
      <w:r>
        <w:rPr>
          <w:rFonts w:ascii="Times New Roman" w:eastAsia="Times New Roman"/>
        </w:rPr>
        <w:t>6</w:t>
      </w:r>
      <w:r>
        <w:rPr>
          <w:spacing w:val="-111"/>
        </w:rPr>
        <w:t>）</w:t>
      </w:r>
      <w:r>
        <w:rPr>
          <w:spacing w:val="-15"/>
        </w:rPr>
        <w:t>投标人或其法定代表人、拟委任的项目经理在近三年内有行贿犯罪行为的</w:t>
      </w:r>
      <w:r>
        <w:t>（行贿犯罪行为的认定以检察机关职务犯罪预防部门出具的查询结果为准</w:t>
      </w:r>
      <w:r>
        <w:rPr>
          <w:spacing w:val="-119"/>
        </w:rPr>
        <w:t>）</w:t>
      </w:r>
      <w:r>
        <w:t>；</w:t>
      </w:r>
    </w:p>
    <w:p>
      <w:pPr>
        <w:pStyle w:val="11"/>
        <w:spacing w:line="307" w:lineRule="exact"/>
        <w:ind w:left="729"/>
      </w:pPr>
      <w:r>
        <w:t>（</w:t>
      </w:r>
      <w:r>
        <w:rPr>
          <w:rFonts w:ascii="Times New Roman" w:eastAsia="Times New Roman"/>
        </w:rPr>
        <w:t>7</w:t>
      </w:r>
      <w:r>
        <w:t>）法律法规或投标人须知前附表规定的其他情形。</w:t>
      </w:r>
    </w:p>
    <w:p>
      <w:pPr>
        <w:pStyle w:val="20"/>
        <w:numPr>
          <w:ilvl w:val="2"/>
          <w:numId w:val="3"/>
        </w:numPr>
        <w:tabs>
          <w:tab w:val="left" w:pos="1450"/>
        </w:tabs>
        <w:spacing w:before="93"/>
        <w:rPr>
          <w:sz w:val="24"/>
        </w:rPr>
      </w:pPr>
      <w:r>
        <w:rPr>
          <w:sz w:val="24"/>
        </w:rPr>
        <w:t>投标人（包括联合体各成员）应进入交通运输部“全国公路建设市场信用</w:t>
      </w:r>
    </w:p>
    <w:p>
      <w:pPr>
        <w:rPr>
          <w:sz w:val="24"/>
        </w:rPr>
        <w:sectPr>
          <w:pgSz w:w="11910" w:h="16850"/>
          <w:pgMar w:top="1480" w:right="1200" w:bottom="1080" w:left="1220" w:header="883" w:footer="884" w:gutter="0"/>
          <w:cols w:space="720" w:num="1"/>
        </w:sectPr>
      </w:pPr>
    </w:p>
    <w:p>
      <w:pPr>
        <w:pStyle w:val="11"/>
        <w:spacing w:before="7"/>
        <w:rPr>
          <w:sz w:val="9"/>
        </w:rPr>
      </w:pPr>
    </w:p>
    <w:p>
      <w:pPr>
        <w:pStyle w:val="11"/>
        <w:spacing w:before="74" w:line="312" w:lineRule="auto"/>
        <w:ind w:left="369" w:right="324"/>
        <w:jc w:val="both"/>
        <w:rPr>
          <w:sz w:val="12"/>
        </w:rPr>
      </w:pPr>
      <w:r>
        <w:rPr>
          <w:spacing w:val="-4"/>
        </w:rPr>
        <w:t>信息管理系统</w:t>
      </w:r>
      <w:r>
        <w:rPr>
          <w:spacing w:val="-1"/>
        </w:rPr>
        <w:t>（</w:t>
      </w:r>
      <w:r>
        <w:rPr>
          <w:rFonts w:ascii="Times New Roman" w:hAnsi="Times New Roman" w:eastAsia="Times New Roman"/>
        </w:rPr>
        <w:t>http</w:t>
      </w:r>
      <w:r>
        <w:rPr>
          <w:spacing w:val="-24"/>
        </w:rPr>
        <w:t>：</w:t>
      </w:r>
      <w:r>
        <w:rPr>
          <w:rFonts w:ascii="Times New Roman" w:hAnsi="Times New Roman" w:eastAsia="Times New Roman"/>
        </w:rPr>
        <w:t>//</w:t>
      </w:r>
      <w:r>
        <w:rPr>
          <w:rFonts w:ascii="Times New Roman" w:hAnsi="Times New Roman" w:eastAsia="Times New Roman"/>
          <w:spacing w:val="-3"/>
        </w:rPr>
        <w:t>g</w:t>
      </w:r>
      <w:r>
        <w:rPr>
          <w:rFonts w:ascii="Times New Roman" w:hAnsi="Times New Roman" w:eastAsia="Times New Roman"/>
        </w:rPr>
        <w:t>l</w:t>
      </w:r>
      <w:r>
        <w:rPr>
          <w:rFonts w:ascii="Times New Roman" w:hAnsi="Times New Roman" w:eastAsia="Times New Roman"/>
          <w:spacing w:val="5"/>
        </w:rPr>
        <w:t>x</w:t>
      </w:r>
      <w:r>
        <w:rPr>
          <w:rFonts w:ascii="Times New Roman" w:hAnsi="Times New Roman" w:eastAsia="Times New Roman"/>
          <w:spacing w:val="-22"/>
        </w:rPr>
        <w:t>y</w:t>
      </w:r>
      <w:r>
        <w:rPr>
          <w:rFonts w:ascii="Times New Roman" w:hAnsi="Times New Roman" w:eastAsia="Times New Roman"/>
        </w:rPr>
        <w:t>.mot</w:t>
      </w:r>
      <w:r>
        <w:rPr>
          <w:rFonts w:ascii="Times New Roman" w:hAnsi="Times New Roman" w:eastAsia="Times New Roman"/>
          <w:spacing w:val="1"/>
        </w:rPr>
        <w:t>.</w:t>
      </w:r>
      <w:r>
        <w:rPr>
          <w:rFonts w:ascii="Times New Roman" w:hAnsi="Times New Roman" w:eastAsia="Times New Roman"/>
          <w:spacing w:val="-3"/>
        </w:rPr>
        <w:t>g</w:t>
      </w:r>
      <w:r>
        <w:rPr>
          <w:rFonts w:ascii="Times New Roman" w:hAnsi="Times New Roman" w:eastAsia="Times New Roman"/>
        </w:rPr>
        <w:t>o</w:t>
      </w:r>
      <w:r>
        <w:rPr>
          <w:rFonts w:ascii="Times New Roman" w:hAnsi="Times New Roman" w:eastAsia="Times New Roman"/>
          <w:spacing w:val="-15"/>
        </w:rPr>
        <w:t>v</w:t>
      </w:r>
      <w:r>
        <w:rPr>
          <w:rFonts w:ascii="Times New Roman" w:hAnsi="Times New Roman" w:eastAsia="Times New Roman"/>
        </w:rPr>
        <w:t>.</w:t>
      </w:r>
      <w:r>
        <w:rPr>
          <w:rFonts w:ascii="Times New Roman" w:hAnsi="Times New Roman" w:eastAsia="Times New Roman"/>
          <w:spacing w:val="-1"/>
        </w:rPr>
        <w:t>c</w:t>
      </w:r>
      <w:r>
        <w:rPr>
          <w:rFonts w:ascii="Times New Roman" w:hAnsi="Times New Roman" w:eastAsia="Times New Roman"/>
        </w:rPr>
        <w:t>n</w:t>
      </w:r>
      <w:r>
        <w:rPr>
          <w:spacing w:val="-120"/>
        </w:rPr>
        <w:t>）</w:t>
      </w:r>
      <w:r>
        <w:rPr>
          <w:spacing w:val="-7"/>
        </w:rPr>
        <w:t>”中的公路工程施工资质企业名录，且投标人</w:t>
      </w:r>
      <w:r>
        <w:rPr>
          <w:spacing w:val="-11"/>
        </w:rPr>
        <w:t>名称和资质与该名录中的相应企业名称和资质完全一致。投标人不满足本项规定条件的，将被否决投标。</w:t>
      </w:r>
    </w:p>
    <w:p>
      <w:pPr>
        <w:pStyle w:val="20"/>
        <w:numPr>
          <w:ilvl w:val="1"/>
          <w:numId w:val="3"/>
        </w:numPr>
        <w:tabs>
          <w:tab w:val="left" w:pos="850"/>
        </w:tabs>
        <w:spacing w:before="152"/>
        <w:rPr>
          <w:rFonts w:ascii="黑体" w:eastAsia="黑体"/>
          <w:sz w:val="24"/>
        </w:rPr>
      </w:pPr>
      <w:bookmarkStart w:id="24" w:name="_bookmark34"/>
      <w:bookmarkEnd w:id="24"/>
      <w:r>
        <w:rPr>
          <w:rFonts w:hint="eastAsia" w:ascii="黑体" w:eastAsia="黑体"/>
          <w:sz w:val="24"/>
        </w:rPr>
        <w:t>费用承担</w:t>
      </w:r>
    </w:p>
    <w:p>
      <w:pPr>
        <w:pStyle w:val="11"/>
        <w:spacing w:before="12"/>
        <w:rPr>
          <w:rFonts w:ascii="黑体"/>
          <w:sz w:val="18"/>
        </w:rPr>
      </w:pPr>
    </w:p>
    <w:p>
      <w:pPr>
        <w:pStyle w:val="20"/>
        <w:numPr>
          <w:ilvl w:val="1"/>
          <w:numId w:val="3"/>
        </w:numPr>
        <w:tabs>
          <w:tab w:val="left" w:pos="850"/>
        </w:tabs>
        <w:rPr>
          <w:rFonts w:ascii="黑体" w:eastAsia="黑体"/>
          <w:sz w:val="24"/>
        </w:rPr>
      </w:pPr>
      <w:bookmarkStart w:id="25" w:name="_bookmark35"/>
      <w:bookmarkEnd w:id="25"/>
      <w:r>
        <w:rPr>
          <w:rFonts w:hint="eastAsia" w:ascii="黑体" w:eastAsia="黑体"/>
          <w:sz w:val="24"/>
        </w:rPr>
        <w:t>保密</w:t>
      </w:r>
    </w:p>
    <w:p>
      <w:pPr>
        <w:pStyle w:val="11"/>
        <w:rPr>
          <w:rFonts w:ascii="黑体"/>
          <w:sz w:val="26"/>
        </w:rPr>
      </w:pPr>
    </w:p>
    <w:p>
      <w:pPr>
        <w:pStyle w:val="11"/>
        <w:spacing w:line="314" w:lineRule="auto"/>
        <w:ind w:left="369" w:right="235" w:firstLine="479"/>
      </w:pPr>
      <w:r>
        <w:t>参与招标投标活动的各方应对招标文件和投标文件中的商业和技术等秘密保密， 否则应承担相应的法律责任。</w:t>
      </w:r>
    </w:p>
    <w:p>
      <w:pPr>
        <w:pStyle w:val="20"/>
        <w:numPr>
          <w:ilvl w:val="1"/>
          <w:numId w:val="3"/>
        </w:numPr>
        <w:tabs>
          <w:tab w:val="left" w:pos="850"/>
        </w:tabs>
        <w:spacing w:before="145"/>
        <w:rPr>
          <w:rFonts w:ascii="黑体" w:eastAsia="黑体"/>
          <w:sz w:val="24"/>
        </w:rPr>
      </w:pPr>
      <w:bookmarkStart w:id="26" w:name="_bookmark36"/>
      <w:bookmarkEnd w:id="26"/>
      <w:r>
        <w:rPr>
          <w:rFonts w:hint="eastAsia" w:ascii="黑体" w:eastAsia="黑体"/>
          <w:sz w:val="24"/>
        </w:rPr>
        <w:t>语言文字</w:t>
      </w:r>
    </w:p>
    <w:p>
      <w:pPr>
        <w:pStyle w:val="11"/>
        <w:rPr>
          <w:rFonts w:ascii="黑体"/>
          <w:sz w:val="26"/>
        </w:rPr>
      </w:pPr>
    </w:p>
    <w:p>
      <w:pPr>
        <w:pStyle w:val="11"/>
        <w:spacing w:before="1"/>
        <w:ind w:left="849"/>
      </w:pPr>
      <w:r>
        <w:t>招标投标文件使用的语言文字为中文。专用术语使用外文的，应附有中文注释。</w:t>
      </w:r>
    </w:p>
    <w:p>
      <w:pPr>
        <w:pStyle w:val="11"/>
        <w:rPr>
          <w:sz w:val="19"/>
        </w:rPr>
      </w:pPr>
    </w:p>
    <w:p>
      <w:pPr>
        <w:pStyle w:val="20"/>
        <w:numPr>
          <w:ilvl w:val="1"/>
          <w:numId w:val="3"/>
        </w:numPr>
        <w:tabs>
          <w:tab w:val="left" w:pos="850"/>
        </w:tabs>
        <w:spacing w:before="1"/>
        <w:rPr>
          <w:rFonts w:ascii="黑体" w:eastAsia="黑体"/>
          <w:sz w:val="24"/>
        </w:rPr>
      </w:pPr>
      <w:bookmarkStart w:id="27" w:name="_bookmark37"/>
      <w:bookmarkEnd w:id="27"/>
      <w:r>
        <w:rPr>
          <w:rFonts w:hint="eastAsia" w:ascii="黑体" w:eastAsia="黑体"/>
          <w:sz w:val="24"/>
        </w:rPr>
        <w:t>计量单位</w:t>
      </w:r>
    </w:p>
    <w:p>
      <w:pPr>
        <w:pStyle w:val="11"/>
        <w:spacing w:before="11"/>
        <w:rPr>
          <w:rFonts w:ascii="黑体"/>
          <w:sz w:val="18"/>
        </w:rPr>
      </w:pPr>
    </w:p>
    <w:p>
      <w:pPr>
        <w:pStyle w:val="20"/>
        <w:numPr>
          <w:ilvl w:val="1"/>
          <w:numId w:val="3"/>
        </w:numPr>
        <w:tabs>
          <w:tab w:val="left" w:pos="970"/>
        </w:tabs>
        <w:spacing w:before="108"/>
        <w:ind w:left="969" w:hanging="600"/>
        <w:rPr>
          <w:rFonts w:ascii="黑体" w:eastAsia="黑体"/>
          <w:sz w:val="24"/>
        </w:rPr>
      </w:pPr>
      <w:bookmarkStart w:id="28" w:name="_bookmark39"/>
      <w:bookmarkEnd w:id="28"/>
      <w:bookmarkStart w:id="29" w:name="_bookmark40"/>
      <w:bookmarkEnd w:id="29"/>
      <w:bookmarkStart w:id="30" w:name="_bookmark38"/>
      <w:bookmarkEnd w:id="30"/>
      <w:r>
        <w:rPr>
          <w:rFonts w:hint="eastAsia" w:ascii="黑体" w:eastAsia="黑体"/>
          <w:sz w:val="24"/>
        </w:rPr>
        <w:t>分包</w:t>
      </w:r>
    </w:p>
    <w:p>
      <w:pPr>
        <w:pStyle w:val="11"/>
        <w:spacing w:before="10"/>
        <w:rPr>
          <w:rFonts w:ascii="黑体"/>
          <w:sz w:val="25"/>
        </w:rPr>
      </w:pPr>
    </w:p>
    <w:p>
      <w:pPr>
        <w:pStyle w:val="20"/>
        <w:numPr>
          <w:ilvl w:val="2"/>
          <w:numId w:val="3"/>
        </w:numPr>
        <w:tabs>
          <w:tab w:val="left" w:pos="1560"/>
        </w:tabs>
        <w:spacing w:before="1" w:line="312" w:lineRule="auto"/>
        <w:ind w:left="369" w:right="244" w:firstLine="480"/>
        <w:rPr>
          <w:sz w:val="24"/>
        </w:rPr>
      </w:pPr>
      <w:r>
        <w:rPr>
          <w:sz w:val="24"/>
        </w:rPr>
        <w:t>投标人拟在中标后将中标项目的部分非主体、非关键性工作进行分包的， 应符合以下规定：</w:t>
      </w:r>
    </w:p>
    <w:p>
      <w:pPr>
        <w:pStyle w:val="11"/>
        <w:spacing w:before="2" w:line="312" w:lineRule="auto"/>
        <w:ind w:left="369" w:right="326" w:firstLine="360"/>
        <w:jc w:val="both"/>
      </w:pPr>
      <w:r>
        <w:rPr>
          <w:spacing w:val="-16"/>
        </w:rPr>
        <w:t>（</w:t>
      </w:r>
      <w:r>
        <w:rPr>
          <w:rFonts w:ascii="Times New Roman" w:eastAsia="Times New Roman"/>
          <w:spacing w:val="-16"/>
        </w:rPr>
        <w:t>1</w:t>
      </w:r>
      <w:r>
        <w:rPr>
          <w:spacing w:val="-16"/>
        </w:rPr>
        <w:t>）</w:t>
      </w:r>
      <w:r>
        <w:rPr>
          <w:spacing w:val="-7"/>
        </w:rPr>
        <w:t>分包内容要求：允许分包的工程范围仅限于非关键性工程或适合专业化队伍</w:t>
      </w:r>
      <w:r>
        <w:rPr>
          <w:spacing w:val="-10"/>
        </w:rPr>
        <w:t>施工的专项工程。招标人允许分包或不允许分包的专项工程</w:t>
      </w:r>
      <w:r>
        <w:t>（如有</w:t>
      </w:r>
      <w:r>
        <w:rPr>
          <w:spacing w:val="-29"/>
        </w:rPr>
        <w:t>）</w:t>
      </w:r>
      <w:r>
        <w:t>应在投标人须知前附表中载明。</w:t>
      </w:r>
    </w:p>
    <w:p>
      <w:pPr>
        <w:pStyle w:val="11"/>
        <w:spacing w:line="312" w:lineRule="auto"/>
        <w:ind w:left="369" w:right="326" w:firstLine="360"/>
        <w:jc w:val="both"/>
      </w:pPr>
      <w:r>
        <w:rPr>
          <w:spacing w:val="-16"/>
        </w:rPr>
        <w:t>（</w:t>
      </w:r>
      <w:r>
        <w:rPr>
          <w:rFonts w:ascii="Times New Roman" w:eastAsia="Times New Roman"/>
          <w:spacing w:val="-16"/>
        </w:rPr>
        <w:t>2</w:t>
      </w:r>
      <w:r>
        <w:rPr>
          <w:spacing w:val="-16"/>
        </w:rPr>
        <w:t>）</w:t>
      </w:r>
      <w:r>
        <w:rPr>
          <w:spacing w:val="-4"/>
        </w:rPr>
        <w:t>接受分包的第三人资格要求：分包人的资格能力应与其分包工程的标准和规模相适应，且具备投标人须知前附表中规定的资格条件。</w:t>
      </w:r>
    </w:p>
    <w:p>
      <w:pPr>
        <w:pStyle w:val="11"/>
        <w:spacing w:before="1"/>
        <w:ind w:left="729"/>
      </w:pPr>
      <w:r>
        <w:t>（</w:t>
      </w:r>
      <w:r>
        <w:rPr>
          <w:rFonts w:ascii="Times New Roman" w:hAnsi="Times New Roman" w:eastAsia="Times New Roman"/>
        </w:rPr>
        <w:t>3</w:t>
      </w:r>
      <w:r>
        <w:t>）其他要求：投标人如有分包计划，应按第九章“投标文件格式”的要求填写</w:t>
      </w:r>
    </w:p>
    <w:p>
      <w:pPr>
        <w:pStyle w:val="11"/>
        <w:spacing w:before="93" w:line="312" w:lineRule="auto"/>
        <w:ind w:left="369" w:right="324" w:hanging="120"/>
      </w:pPr>
      <w:r>
        <w:rPr>
          <w:spacing w:val="-15"/>
        </w:rPr>
        <w:t>“拟分包项目情况表”，明确拟分包的工程及规模，且投标人中标后的分包应满足合同</w:t>
      </w:r>
      <w:r>
        <w:rPr>
          <w:spacing w:val="-27"/>
        </w:rPr>
        <w:t xml:space="preserve">条款第 </w:t>
      </w:r>
      <w:r>
        <w:rPr>
          <w:rFonts w:ascii="Times New Roman" w:hAnsi="Times New Roman" w:eastAsia="Times New Roman"/>
        </w:rPr>
        <w:t xml:space="preserve">4.3 </w:t>
      </w:r>
      <w:r>
        <w:t>款的相关要求。</w:t>
      </w:r>
    </w:p>
    <w:p>
      <w:pPr>
        <w:pStyle w:val="20"/>
        <w:numPr>
          <w:ilvl w:val="2"/>
          <w:numId w:val="3"/>
        </w:numPr>
        <w:tabs>
          <w:tab w:val="left" w:pos="1560"/>
        </w:tabs>
        <w:spacing w:line="312" w:lineRule="auto"/>
        <w:ind w:left="369" w:right="326" w:firstLine="480"/>
        <w:rPr>
          <w:sz w:val="24"/>
        </w:rPr>
      </w:pPr>
      <w:r>
        <w:rPr>
          <w:spacing w:val="-5"/>
          <w:sz w:val="24"/>
        </w:rPr>
        <w:t>中标人不得向他人转让中标项目，接受分包的人不得再次分包。中标人应就分包项目向招标人负责，接受分包的人就分包项目承担连带责任。</w:t>
      </w:r>
    </w:p>
    <w:p>
      <w:pPr>
        <w:pStyle w:val="20"/>
        <w:numPr>
          <w:ilvl w:val="1"/>
          <w:numId w:val="3"/>
        </w:numPr>
        <w:tabs>
          <w:tab w:val="left" w:pos="970"/>
        </w:tabs>
        <w:spacing w:before="151"/>
        <w:ind w:left="969" w:hanging="600"/>
        <w:rPr>
          <w:rFonts w:ascii="黑体" w:eastAsia="黑体"/>
          <w:sz w:val="24"/>
        </w:rPr>
      </w:pPr>
      <w:bookmarkStart w:id="31" w:name="_bookmark41"/>
      <w:bookmarkEnd w:id="31"/>
      <w:r>
        <w:rPr>
          <w:rFonts w:hint="eastAsia" w:ascii="黑体" w:eastAsia="黑体"/>
          <w:sz w:val="24"/>
        </w:rPr>
        <w:t>响应和偏差</w:t>
      </w:r>
    </w:p>
    <w:p>
      <w:pPr>
        <w:pStyle w:val="11"/>
        <w:rPr>
          <w:rFonts w:ascii="黑体"/>
          <w:sz w:val="26"/>
        </w:rPr>
      </w:pPr>
    </w:p>
    <w:p>
      <w:pPr>
        <w:pStyle w:val="20"/>
        <w:numPr>
          <w:ilvl w:val="2"/>
          <w:numId w:val="3"/>
        </w:numPr>
        <w:tabs>
          <w:tab w:val="left" w:pos="1570"/>
        </w:tabs>
        <w:spacing w:line="312" w:lineRule="auto"/>
        <w:ind w:left="369" w:right="324" w:firstLine="480"/>
        <w:rPr>
          <w:sz w:val="24"/>
        </w:rPr>
      </w:pPr>
      <w:r>
        <w:rPr>
          <w:spacing w:val="-6"/>
          <w:sz w:val="24"/>
        </w:rPr>
        <w:t>投标文件偏离招标文件某些要求，视为投标文件存在偏差。偏差包括重大偏差和细微偏差。</w:t>
      </w:r>
    </w:p>
    <w:p>
      <w:pPr>
        <w:pStyle w:val="20"/>
        <w:numPr>
          <w:ilvl w:val="2"/>
          <w:numId w:val="3"/>
        </w:numPr>
        <w:tabs>
          <w:tab w:val="left" w:pos="1574"/>
        </w:tabs>
        <w:spacing w:line="312" w:lineRule="auto"/>
        <w:ind w:left="369" w:right="321" w:firstLine="480"/>
        <w:rPr>
          <w:sz w:val="24"/>
        </w:rPr>
      </w:pPr>
      <w:r>
        <w:rPr>
          <w:spacing w:val="2"/>
          <w:sz w:val="24"/>
        </w:rPr>
        <w:t>投标文件应对招标文件的实质性要求和条件作出满足性或更有利于招标</w:t>
      </w:r>
      <w:r>
        <w:rPr>
          <w:sz w:val="24"/>
        </w:rPr>
        <w:t>人的响应，否则，视为投标文件存在重大偏差，投标人的投标将被否决。</w:t>
      </w:r>
    </w:p>
    <w:p>
      <w:pPr>
        <w:pStyle w:val="11"/>
        <w:spacing w:before="2" w:line="312" w:lineRule="auto"/>
        <w:ind w:left="369" w:right="327" w:firstLine="479"/>
      </w:pPr>
      <w:r>
        <w:rPr>
          <w:spacing w:val="-7"/>
        </w:rPr>
        <w:t>投标文件存在第三章“评标办法”中所列任一否决投标情形的，均属于存在重大偏差。</w:t>
      </w:r>
    </w:p>
    <w:p>
      <w:pPr>
        <w:pStyle w:val="20"/>
        <w:numPr>
          <w:ilvl w:val="2"/>
          <w:numId w:val="3"/>
        </w:numPr>
        <w:tabs>
          <w:tab w:val="left" w:pos="1570"/>
        </w:tabs>
        <w:spacing w:line="307" w:lineRule="exact"/>
        <w:ind w:left="369" w:firstLine="480"/>
        <w:rPr>
          <w:sz w:val="24"/>
        </w:rPr>
      </w:pPr>
      <w:r>
        <w:rPr>
          <w:sz w:val="24"/>
        </w:rPr>
        <w:t>投标文件中的下列偏差为细微偏差：</w:t>
      </w:r>
    </w:p>
    <w:p>
      <w:pPr>
        <w:pStyle w:val="11"/>
        <w:spacing w:before="94" w:line="312" w:lineRule="auto"/>
        <w:ind w:left="369" w:right="326" w:firstLine="360"/>
        <w:jc w:val="both"/>
      </w:pPr>
      <w:r>
        <w:rPr>
          <w:spacing w:val="-11"/>
        </w:rPr>
        <w:t>（</w:t>
      </w:r>
      <w:r>
        <w:rPr>
          <w:rFonts w:ascii="Times New Roman" w:hAnsi="Times New Roman" w:eastAsia="Times New Roman"/>
          <w:spacing w:val="-11"/>
        </w:rPr>
        <w:t>1</w:t>
      </w:r>
      <w:r>
        <w:rPr>
          <w:spacing w:val="-11"/>
        </w:rPr>
        <w:t>）</w:t>
      </w:r>
      <w:r>
        <w:rPr>
          <w:spacing w:val="-9"/>
        </w:rPr>
        <w:t>在按照第三章“评标办法”的规定对投标价进行算术性错误修正及其他错误</w:t>
      </w:r>
      <w:r>
        <w:rPr>
          <w:spacing w:val="-8"/>
        </w:rPr>
        <w:t>修正后，最终投标报价未超过最高投标限价</w:t>
      </w:r>
      <w:r>
        <w:t>（如有</w:t>
      </w:r>
      <w:r>
        <w:rPr>
          <w:spacing w:val="-20"/>
        </w:rPr>
        <w:t>）</w:t>
      </w:r>
      <w:r>
        <w:rPr>
          <w:spacing w:val="-6"/>
        </w:rPr>
        <w:t>的情况下，出现第三章“评标办法”规定的算术性错误和投标报价的其他错误；</w:t>
      </w:r>
    </w:p>
    <w:p>
      <w:pPr>
        <w:pStyle w:val="11"/>
        <w:spacing w:before="1"/>
        <w:ind w:left="729"/>
      </w:pPr>
      <w:r>
        <w:t>（</w:t>
      </w:r>
      <w:r>
        <w:rPr>
          <w:rFonts w:ascii="Times New Roman" w:eastAsia="Times New Roman"/>
        </w:rPr>
        <w:t>2</w:t>
      </w:r>
      <w:r>
        <w:t>）施工组织设计（含关键工程技术方案）和项目管理机构不够完善；</w:t>
      </w:r>
    </w:p>
    <w:p>
      <w:pPr>
        <w:pStyle w:val="11"/>
        <w:spacing w:before="91" w:line="312" w:lineRule="auto"/>
        <w:ind w:left="369" w:right="326" w:firstLine="360"/>
        <w:jc w:val="both"/>
      </w:pPr>
      <w:r>
        <w:rPr>
          <w:spacing w:val="-11"/>
        </w:rPr>
        <w:t>（</w:t>
      </w:r>
      <w:r>
        <w:rPr>
          <w:rFonts w:ascii="Times New Roman" w:eastAsia="Times New Roman"/>
          <w:spacing w:val="-11"/>
        </w:rPr>
        <w:t>3</w:t>
      </w:r>
      <w:r>
        <w:rPr>
          <w:spacing w:val="-11"/>
        </w:rPr>
        <w:t>）</w:t>
      </w:r>
      <w:r>
        <w:rPr>
          <w:spacing w:val="-6"/>
        </w:rPr>
        <w:t>投标文件页码不连续、采用活页夹装订、个别文字有遗漏错误等不影响投标文件实质性内容的偏差。</w:t>
      </w:r>
    </w:p>
    <w:p>
      <w:pPr>
        <w:pStyle w:val="20"/>
        <w:numPr>
          <w:ilvl w:val="2"/>
          <w:numId w:val="3"/>
        </w:numPr>
        <w:tabs>
          <w:tab w:val="left" w:pos="1570"/>
        </w:tabs>
        <w:spacing w:before="2"/>
        <w:ind w:left="369" w:firstLine="480"/>
        <w:rPr>
          <w:sz w:val="24"/>
        </w:rPr>
      </w:pPr>
      <w:r>
        <w:rPr>
          <w:sz w:val="24"/>
        </w:rPr>
        <w:t>评标委员会对投标文件中的细微偏差按如下规定处理：</w:t>
      </w:r>
    </w:p>
    <w:p>
      <w:pPr>
        <w:pStyle w:val="11"/>
        <w:spacing w:before="91" w:line="312" w:lineRule="auto"/>
        <w:ind w:left="369" w:right="325" w:firstLine="360"/>
        <w:jc w:val="both"/>
      </w:pPr>
      <w:r>
        <w:t>（</w:t>
      </w:r>
      <w:r>
        <w:rPr>
          <w:rFonts w:ascii="Times New Roman" w:hAnsi="Times New Roman" w:eastAsia="Times New Roman"/>
        </w:rPr>
        <w:t>1</w:t>
      </w:r>
      <w:r>
        <w:t>）</w:t>
      </w:r>
      <w:r>
        <w:rPr>
          <w:spacing w:val="-8"/>
        </w:rPr>
        <w:t xml:space="preserve">对于本章第 </w:t>
      </w:r>
      <w:r>
        <w:rPr>
          <w:rFonts w:ascii="Times New Roman" w:hAnsi="Times New Roman" w:eastAsia="Times New Roman"/>
        </w:rPr>
        <w:t xml:space="preserve">1.12.3 </w:t>
      </w:r>
      <w:r>
        <w:t>项（</w:t>
      </w:r>
      <w:r>
        <w:rPr>
          <w:rFonts w:ascii="Times New Roman" w:hAnsi="Times New Roman" w:eastAsia="Times New Roman"/>
        </w:rPr>
        <w:t>1</w:t>
      </w:r>
      <w:r>
        <w:t>）目所述的细微偏差，按照第三章“评标办法”的规定予以修正并要求投标人进行澄清；</w:t>
      </w:r>
    </w:p>
    <w:p>
      <w:pPr>
        <w:pStyle w:val="11"/>
        <w:spacing w:before="2" w:line="312" w:lineRule="auto"/>
        <w:ind w:left="369" w:right="325" w:firstLine="360"/>
        <w:jc w:val="both"/>
      </w:pPr>
      <w:r>
        <w:t>（</w:t>
      </w:r>
      <w:r>
        <w:rPr>
          <w:rFonts w:ascii="Times New Roman" w:eastAsia="Times New Roman"/>
        </w:rPr>
        <w:t>2</w:t>
      </w:r>
      <w:r>
        <w:t>）</w:t>
      </w:r>
      <w:r>
        <w:rPr>
          <w:spacing w:val="-8"/>
        </w:rPr>
        <w:t xml:space="preserve">对于本章第 </w:t>
      </w:r>
      <w:r>
        <w:rPr>
          <w:rFonts w:ascii="Times New Roman" w:eastAsia="Times New Roman"/>
        </w:rPr>
        <w:t xml:space="preserve">1.12.3 </w:t>
      </w:r>
      <w:r>
        <w:t>项（</w:t>
      </w:r>
      <w:r>
        <w:rPr>
          <w:rFonts w:ascii="Times New Roman" w:eastAsia="Times New Roman"/>
        </w:rPr>
        <w:t>2</w:t>
      </w:r>
      <w:r>
        <w:t>）目所述的细微偏差，如果采用合理低价法或经评</w:t>
      </w:r>
      <w:r>
        <w:rPr>
          <w:spacing w:val="-7"/>
        </w:rPr>
        <w:t>审的最低投标价法评标，应要求投标人对细微偏差进行澄清，只有投标人的澄清文件</w:t>
      </w:r>
      <w:r>
        <w:rPr>
          <w:spacing w:val="-8"/>
        </w:rPr>
        <w:t>被评标委员会接受，投标人才能参加评标价的最终评比。如果采用技术评分最低标价法或综合评分法评标，可在相关评分因素的评分中酌情扣分；</w:t>
      </w:r>
    </w:p>
    <w:p>
      <w:pPr>
        <w:pStyle w:val="11"/>
        <w:spacing w:line="312" w:lineRule="auto"/>
        <w:ind w:left="369" w:right="272" w:firstLine="360"/>
      </w:pPr>
      <w:r>
        <w:t>（</w:t>
      </w:r>
      <w:r>
        <w:rPr>
          <w:rFonts w:ascii="Times New Roman" w:eastAsia="Times New Roman"/>
        </w:rPr>
        <w:t>3</w:t>
      </w:r>
      <w:r>
        <w:t xml:space="preserve">）对于本章第 </w:t>
      </w:r>
      <w:r>
        <w:rPr>
          <w:rFonts w:ascii="Times New Roman" w:eastAsia="Times New Roman"/>
        </w:rPr>
        <w:t xml:space="preserve">1.12.3 </w:t>
      </w:r>
      <w:r>
        <w:t>项（</w:t>
      </w:r>
      <w:r>
        <w:rPr>
          <w:rFonts w:ascii="Times New Roman" w:eastAsia="Times New Roman"/>
        </w:rPr>
        <w:t>3</w:t>
      </w:r>
      <w:r>
        <w:t>）目所述的细微偏差，可要求投标人对细微偏差进行澄清。</w:t>
      </w:r>
    </w:p>
    <w:p>
      <w:pPr>
        <w:pStyle w:val="20"/>
        <w:numPr>
          <w:ilvl w:val="2"/>
          <w:numId w:val="3"/>
        </w:numPr>
        <w:tabs>
          <w:tab w:val="left" w:pos="1574"/>
        </w:tabs>
        <w:spacing w:line="312" w:lineRule="auto"/>
        <w:ind w:left="369" w:right="320" w:firstLine="480"/>
        <w:jc w:val="both"/>
        <w:rPr>
          <w:sz w:val="24"/>
        </w:rPr>
      </w:pPr>
      <w:r>
        <w:rPr>
          <w:spacing w:val="2"/>
          <w:sz w:val="24"/>
        </w:rPr>
        <w:t>投标人应根据招标文件的要求提供施工组织设计等内容以对招标文件作</w:t>
      </w:r>
      <w:r>
        <w:rPr>
          <w:sz w:val="24"/>
        </w:rPr>
        <w:t>出响应。</w:t>
      </w:r>
    </w:p>
    <w:p>
      <w:pPr>
        <w:pStyle w:val="11"/>
        <w:spacing w:before="4"/>
        <w:rPr>
          <w:sz w:val="21"/>
        </w:rPr>
      </w:pPr>
    </w:p>
    <w:p>
      <w:pPr>
        <w:numPr>
          <w:ilvl w:val="0"/>
          <w:numId w:val="2"/>
        </w:numPr>
        <w:tabs>
          <w:tab w:val="left" w:pos="790"/>
        </w:tabs>
        <w:rPr>
          <w:rFonts w:ascii="黑体" w:eastAsia="黑体"/>
          <w:sz w:val="28"/>
        </w:rPr>
      </w:pPr>
      <w:bookmarkStart w:id="32" w:name="_bookmark42"/>
      <w:bookmarkEnd w:id="32"/>
      <w:r>
        <w:rPr>
          <w:rFonts w:hint="eastAsia" w:ascii="黑体" w:eastAsia="黑体"/>
          <w:sz w:val="28"/>
        </w:rPr>
        <w:t>招标文件</w:t>
      </w:r>
    </w:p>
    <w:p>
      <w:pPr>
        <w:pStyle w:val="20"/>
        <w:numPr>
          <w:ilvl w:val="1"/>
          <w:numId w:val="2"/>
        </w:numPr>
        <w:tabs>
          <w:tab w:val="left" w:pos="850"/>
        </w:tabs>
        <w:spacing w:before="244"/>
        <w:ind w:left="849" w:hanging="480"/>
        <w:rPr>
          <w:rFonts w:ascii="黑体" w:eastAsia="黑体"/>
          <w:sz w:val="24"/>
        </w:rPr>
      </w:pPr>
      <w:bookmarkStart w:id="33" w:name="_bookmark43"/>
      <w:bookmarkEnd w:id="33"/>
      <w:r>
        <w:rPr>
          <w:rFonts w:hint="eastAsia" w:ascii="黑体" w:eastAsia="黑体"/>
          <w:sz w:val="24"/>
        </w:rPr>
        <w:t>招标文件的组成</w:t>
      </w:r>
    </w:p>
    <w:p>
      <w:pPr>
        <w:pStyle w:val="11"/>
        <w:rPr>
          <w:rFonts w:ascii="黑体"/>
          <w:sz w:val="26"/>
        </w:rPr>
      </w:pPr>
    </w:p>
    <w:p>
      <w:pPr>
        <w:pStyle w:val="11"/>
        <w:ind w:left="849"/>
      </w:pPr>
      <w:r>
        <w:t>本招标文件包括：</w:t>
      </w:r>
    </w:p>
    <w:p>
      <w:pPr>
        <w:pStyle w:val="11"/>
        <w:spacing w:before="91"/>
        <w:ind w:left="729"/>
      </w:pPr>
      <w:r>
        <w:rPr>
          <w:spacing w:val="-1"/>
        </w:rPr>
        <w:t>（</w:t>
      </w:r>
      <w:r>
        <w:rPr>
          <w:rFonts w:ascii="Times New Roman" w:eastAsia="Times New Roman"/>
        </w:rPr>
        <w:t>1</w:t>
      </w:r>
      <w:r>
        <w:t>）招标公告；</w:t>
      </w:r>
    </w:p>
    <w:p>
      <w:pPr>
        <w:pStyle w:val="11"/>
        <w:spacing w:before="93"/>
        <w:ind w:left="729"/>
      </w:pPr>
      <w:r>
        <w:t>（</w:t>
      </w:r>
      <w:r>
        <w:rPr>
          <w:rFonts w:ascii="Times New Roman" w:eastAsia="Times New Roman"/>
        </w:rPr>
        <w:t>2</w:t>
      </w:r>
      <w:r>
        <w:t>）投标人须知；</w:t>
      </w:r>
    </w:p>
    <w:p>
      <w:pPr>
        <w:pStyle w:val="11"/>
        <w:spacing w:before="93"/>
        <w:ind w:left="729"/>
      </w:pPr>
      <w:r>
        <w:t>（</w:t>
      </w:r>
      <w:r>
        <w:rPr>
          <w:rFonts w:ascii="Times New Roman" w:eastAsia="Times New Roman"/>
        </w:rPr>
        <w:t>3</w:t>
      </w:r>
      <w:r>
        <w:t>）评标办法；</w:t>
      </w:r>
    </w:p>
    <w:p>
      <w:pPr>
        <w:pStyle w:val="11"/>
        <w:spacing w:before="91"/>
        <w:ind w:left="729"/>
      </w:pPr>
      <w:r>
        <w:t>（</w:t>
      </w:r>
      <w:r>
        <w:rPr>
          <w:rFonts w:ascii="Times New Roman" w:eastAsia="Times New Roman"/>
        </w:rPr>
        <w:t>4</w:t>
      </w:r>
      <w:r>
        <w:t>）合同条款及格式；</w:t>
      </w:r>
    </w:p>
    <w:p>
      <w:pPr>
        <w:pStyle w:val="11"/>
        <w:spacing w:before="94"/>
        <w:ind w:left="729"/>
      </w:pPr>
      <w:r>
        <w:t>（</w:t>
      </w:r>
      <w:r>
        <w:rPr>
          <w:rFonts w:ascii="Times New Roman" w:eastAsia="Times New Roman"/>
        </w:rPr>
        <w:t>5</w:t>
      </w:r>
      <w:r>
        <w:t>）工程量清单；</w:t>
      </w:r>
    </w:p>
    <w:p>
      <w:pPr>
        <w:pStyle w:val="11"/>
        <w:spacing w:before="93"/>
        <w:ind w:left="729"/>
      </w:pPr>
      <w:r>
        <w:t>（</w:t>
      </w:r>
      <w:r>
        <w:rPr>
          <w:rFonts w:ascii="Times New Roman" w:eastAsia="Times New Roman"/>
        </w:rPr>
        <w:t>6</w:t>
      </w:r>
      <w:r>
        <w:t>）图纸；</w:t>
      </w:r>
    </w:p>
    <w:p>
      <w:pPr>
        <w:pStyle w:val="11"/>
        <w:spacing w:before="91"/>
        <w:ind w:left="729"/>
      </w:pPr>
      <w:r>
        <w:t>（</w:t>
      </w:r>
      <w:r>
        <w:rPr>
          <w:rFonts w:ascii="Times New Roman" w:eastAsia="Times New Roman"/>
        </w:rPr>
        <w:t>7</w:t>
      </w:r>
      <w:r>
        <w:t>）技术规范；</w:t>
      </w:r>
    </w:p>
    <w:p>
      <w:pPr>
        <w:pStyle w:val="11"/>
        <w:spacing w:before="93"/>
        <w:ind w:left="729"/>
      </w:pPr>
      <w:r>
        <w:t>（</w:t>
      </w:r>
      <w:r>
        <w:rPr>
          <w:rFonts w:ascii="Times New Roman" w:eastAsia="Times New Roman"/>
        </w:rPr>
        <w:t>8</w:t>
      </w:r>
      <w:r>
        <w:t>）工程量清单计量规则；</w:t>
      </w:r>
    </w:p>
    <w:p>
      <w:pPr>
        <w:pStyle w:val="11"/>
        <w:spacing w:before="94"/>
        <w:ind w:left="729"/>
      </w:pPr>
      <w:r>
        <w:t>（</w:t>
      </w:r>
      <w:r>
        <w:rPr>
          <w:rFonts w:ascii="Times New Roman" w:eastAsia="Times New Roman"/>
        </w:rPr>
        <w:t>9</w:t>
      </w:r>
      <w:r>
        <w:t>）投标文件格式；</w:t>
      </w:r>
    </w:p>
    <w:p>
      <w:pPr>
        <w:pStyle w:val="11"/>
        <w:spacing w:before="91"/>
        <w:ind w:left="729"/>
      </w:pPr>
      <w:r>
        <w:t>（</w:t>
      </w:r>
      <w:r>
        <w:rPr>
          <w:rFonts w:ascii="Times New Roman" w:eastAsia="Times New Roman"/>
        </w:rPr>
        <w:t>10</w:t>
      </w:r>
      <w:r>
        <w:t>）投标人须知前附表规定的其他资料。</w:t>
      </w:r>
    </w:p>
    <w:p>
      <w:pPr>
        <w:pStyle w:val="11"/>
        <w:spacing w:before="93" w:line="312" w:lineRule="auto"/>
        <w:ind w:left="369" w:right="323" w:firstLine="479"/>
        <w:jc w:val="both"/>
      </w:pPr>
      <w:r>
        <w:rPr>
          <w:spacing w:val="-10"/>
        </w:rPr>
        <w:t xml:space="preserve">根据本章第 </w:t>
      </w:r>
      <w:r>
        <w:rPr>
          <w:rFonts w:ascii="Times New Roman" w:eastAsia="Times New Roman"/>
        </w:rPr>
        <w:t xml:space="preserve">1.10 </w:t>
      </w:r>
      <w:r>
        <w:rPr>
          <w:spacing w:val="-18"/>
        </w:rPr>
        <w:t xml:space="preserve">款、第 </w:t>
      </w:r>
      <w:r>
        <w:rPr>
          <w:rFonts w:ascii="Times New Roman" w:eastAsia="Times New Roman"/>
        </w:rPr>
        <w:t xml:space="preserve">2.2 </w:t>
      </w:r>
      <w:r>
        <w:rPr>
          <w:spacing w:val="-15"/>
        </w:rPr>
        <w:t xml:space="preserve">款和第 </w:t>
      </w:r>
      <w:r>
        <w:rPr>
          <w:rFonts w:ascii="Times New Roman" w:eastAsia="Times New Roman"/>
        </w:rPr>
        <w:t xml:space="preserve">2.3 </w:t>
      </w:r>
      <w:r>
        <w:rPr>
          <w:spacing w:val="-2"/>
        </w:rPr>
        <w:t>款对招标文件所作的澄清、修改，构成招标文件的组成部分。</w:t>
      </w:r>
    </w:p>
    <w:p>
      <w:pPr>
        <w:pStyle w:val="11"/>
        <w:spacing w:line="312" w:lineRule="auto"/>
        <w:ind w:left="369" w:right="326" w:firstLine="479"/>
        <w:jc w:val="both"/>
      </w:pPr>
      <w:r>
        <w:rPr>
          <w:spacing w:val="-9"/>
        </w:rPr>
        <w:t>当招标文件、招标文件的澄清或修改等在同一内容的表述上不一致时，以最后发出的书面文件为准。</w:t>
      </w:r>
    </w:p>
    <w:p>
      <w:pPr>
        <w:pStyle w:val="20"/>
        <w:numPr>
          <w:ilvl w:val="1"/>
          <w:numId w:val="2"/>
        </w:numPr>
        <w:tabs>
          <w:tab w:val="left" w:pos="850"/>
        </w:tabs>
        <w:spacing w:before="153"/>
        <w:ind w:left="849" w:hanging="480"/>
        <w:rPr>
          <w:rFonts w:ascii="黑体" w:eastAsia="黑体"/>
          <w:sz w:val="24"/>
        </w:rPr>
      </w:pPr>
      <w:bookmarkStart w:id="34" w:name="_bookmark44"/>
      <w:bookmarkEnd w:id="34"/>
      <w:r>
        <w:rPr>
          <w:rFonts w:hint="eastAsia" w:ascii="黑体" w:eastAsia="黑体"/>
          <w:sz w:val="24"/>
        </w:rPr>
        <w:t>招标文件的澄清</w:t>
      </w:r>
    </w:p>
    <w:p>
      <w:pPr>
        <w:pStyle w:val="11"/>
        <w:spacing w:before="11"/>
        <w:rPr>
          <w:rFonts w:ascii="黑体"/>
          <w:sz w:val="25"/>
        </w:rPr>
      </w:pPr>
    </w:p>
    <w:p>
      <w:pPr>
        <w:pStyle w:val="20"/>
        <w:tabs>
          <w:tab w:val="left" w:pos="1450"/>
        </w:tabs>
        <w:spacing w:line="312" w:lineRule="auto"/>
        <w:ind w:left="440" w:leftChars="200" w:right="325" w:firstLine="660" w:firstLineChars="275"/>
        <w:jc w:val="both"/>
        <w:rPr>
          <w:sz w:val="24"/>
        </w:rPr>
      </w:pPr>
      <w:r>
        <w:rPr>
          <w:rFonts w:hint="eastAsia"/>
          <w:sz w:val="24"/>
          <w:lang w:val="en-US"/>
        </w:rPr>
        <w:t xml:space="preserve">2.2.1  </w:t>
      </w:r>
      <w:r>
        <w:rPr>
          <w:sz w:val="24"/>
        </w:rPr>
        <w:t xml:space="preserve">投标人应仔细阅读和检查招标文件的全部内容。如发现缺页或附件不全， </w:t>
      </w:r>
      <w:r>
        <w:rPr>
          <w:spacing w:val="-8"/>
          <w:sz w:val="24"/>
        </w:rPr>
        <w:t>应及时向招标人提出，以便补齐。如有疑问，应按投标人须知前附表规定的时间和形式将提出的问题送达招标人，要求招标人对招标文件予以澄清。</w:t>
      </w:r>
    </w:p>
    <w:p>
      <w:pPr>
        <w:pStyle w:val="20"/>
        <w:tabs>
          <w:tab w:val="left" w:pos="1450"/>
        </w:tabs>
        <w:spacing w:before="1" w:line="312" w:lineRule="auto"/>
        <w:ind w:left="440" w:right="205" w:firstLine="660" w:firstLineChars="275"/>
        <w:jc w:val="both"/>
        <w:rPr>
          <w:sz w:val="24"/>
        </w:rPr>
      </w:pPr>
      <w:r>
        <w:rPr>
          <w:rFonts w:hint="eastAsia"/>
          <w:sz w:val="24"/>
          <w:lang w:val="en-US"/>
        </w:rPr>
        <w:t xml:space="preserve">2.2.2  </w:t>
      </w:r>
      <w:r>
        <w:rPr>
          <w:sz w:val="24"/>
        </w:rPr>
        <w:t>招标文件的澄清以投标人须知前附表规定的形式发给所有购买招标文件的</w:t>
      </w:r>
      <w:r>
        <w:rPr>
          <w:spacing w:val="-2"/>
          <w:sz w:val="24"/>
        </w:rPr>
        <w:t xml:space="preserve">投标人，但不指明澄清问题的来源。澄清发出的时间距本章第 </w:t>
      </w:r>
      <w:r>
        <w:rPr>
          <w:rFonts w:ascii="Times New Roman" w:eastAsia="Times New Roman"/>
          <w:sz w:val="24"/>
        </w:rPr>
        <w:t>4.2.1</w:t>
      </w:r>
      <w:r>
        <w:rPr>
          <w:rFonts w:ascii="Times New Roman" w:eastAsia="Times New Roman"/>
          <w:spacing w:val="12"/>
          <w:sz w:val="24"/>
        </w:rPr>
        <w:t xml:space="preserve"> </w:t>
      </w:r>
      <w:r>
        <w:rPr>
          <w:sz w:val="24"/>
        </w:rPr>
        <w:t>项规定的投标截</w:t>
      </w:r>
      <w:r>
        <w:rPr>
          <w:spacing w:val="-11"/>
          <w:sz w:val="24"/>
        </w:rPr>
        <w:t xml:space="preserve">止时间不足 </w:t>
      </w:r>
      <w:r>
        <w:rPr>
          <w:rFonts w:ascii="Times New Roman" w:eastAsia="Times New Roman"/>
          <w:sz w:val="24"/>
        </w:rPr>
        <w:t xml:space="preserve">15 </w:t>
      </w:r>
      <w:r>
        <w:rPr>
          <w:spacing w:val="-9"/>
          <w:sz w:val="24"/>
        </w:rPr>
        <w:t>日，且澄清内容可能影响投标文件编制的，将相应延长投标截止时间。</w:t>
      </w:r>
    </w:p>
    <w:p>
      <w:pPr>
        <w:pStyle w:val="11"/>
        <w:spacing w:before="2"/>
        <w:ind w:left="440" w:leftChars="200" w:firstLine="720" w:firstLineChars="300"/>
      </w:pPr>
      <w:r>
        <w:rPr>
          <w:rFonts w:hint="eastAsia"/>
          <w:lang w:val="en-US"/>
        </w:rPr>
        <w:t xml:space="preserve">2.2.3  </w:t>
      </w:r>
      <w:r>
        <w:t>投标人在收到澄清后，应按投标人须知前附表规定的时间和形式通知招标人，确认已收到该澄清。</w:t>
      </w:r>
    </w:p>
    <w:p>
      <w:pPr>
        <w:pStyle w:val="20"/>
        <w:tabs>
          <w:tab w:val="left" w:pos="1450"/>
        </w:tabs>
        <w:spacing w:before="91" w:line="312" w:lineRule="auto"/>
        <w:ind w:left="440" w:right="327" w:firstLine="660" w:firstLineChars="275"/>
        <w:rPr>
          <w:sz w:val="24"/>
        </w:rPr>
      </w:pPr>
      <w:r>
        <w:rPr>
          <w:rFonts w:hint="eastAsia"/>
          <w:sz w:val="24"/>
          <w:lang w:val="en-US"/>
        </w:rPr>
        <w:t xml:space="preserve">2.2.4  </w:t>
      </w:r>
      <w:r>
        <w:rPr>
          <w:sz w:val="24"/>
        </w:rPr>
        <w:t>除非招标人认为确有必要答复，否则，招标人有权拒绝回复投标人在本章</w:t>
      </w:r>
      <w:r>
        <w:rPr>
          <w:spacing w:val="-30"/>
          <w:sz w:val="24"/>
        </w:rPr>
        <w:t xml:space="preserve">第 </w:t>
      </w:r>
      <w:r>
        <w:rPr>
          <w:rFonts w:ascii="Times New Roman" w:eastAsia="Times New Roman"/>
          <w:sz w:val="24"/>
        </w:rPr>
        <w:t>2.2.1</w:t>
      </w:r>
      <w:r>
        <w:rPr>
          <w:rFonts w:ascii="Times New Roman" w:eastAsia="Times New Roman"/>
          <w:spacing w:val="-1"/>
          <w:sz w:val="24"/>
        </w:rPr>
        <w:t xml:space="preserve"> </w:t>
      </w:r>
      <w:r>
        <w:rPr>
          <w:sz w:val="24"/>
        </w:rPr>
        <w:t>项规定的时间后提出的任何澄清要求。</w:t>
      </w:r>
    </w:p>
    <w:p>
      <w:pPr>
        <w:pStyle w:val="20"/>
        <w:numPr>
          <w:ilvl w:val="1"/>
          <w:numId w:val="2"/>
        </w:numPr>
        <w:tabs>
          <w:tab w:val="left" w:pos="850"/>
        </w:tabs>
        <w:spacing w:before="153"/>
        <w:ind w:left="849" w:hanging="480"/>
        <w:rPr>
          <w:rFonts w:ascii="黑体" w:eastAsia="黑体"/>
          <w:sz w:val="24"/>
        </w:rPr>
      </w:pPr>
      <w:bookmarkStart w:id="35" w:name="_bookmark45"/>
      <w:bookmarkEnd w:id="35"/>
      <w:r>
        <w:rPr>
          <w:rFonts w:hint="eastAsia" w:ascii="黑体" w:eastAsia="黑体"/>
          <w:sz w:val="24"/>
        </w:rPr>
        <w:t>招标文件的修改</w:t>
      </w:r>
    </w:p>
    <w:p>
      <w:pPr>
        <w:pStyle w:val="11"/>
        <w:spacing w:before="10"/>
        <w:rPr>
          <w:rFonts w:ascii="黑体"/>
          <w:sz w:val="25"/>
        </w:rPr>
      </w:pPr>
    </w:p>
    <w:p>
      <w:pPr>
        <w:pStyle w:val="20"/>
        <w:tabs>
          <w:tab w:val="left" w:pos="1450"/>
        </w:tabs>
        <w:spacing w:line="312" w:lineRule="auto"/>
        <w:ind w:left="440" w:right="325" w:firstLine="660" w:firstLineChars="275"/>
      </w:pPr>
      <w:r>
        <w:rPr>
          <w:rFonts w:hint="eastAsia"/>
          <w:sz w:val="24"/>
          <w:lang w:val="en-US"/>
        </w:rPr>
        <w:t xml:space="preserve">2.3.1  </w:t>
      </w:r>
      <w:r>
        <w:rPr>
          <w:sz w:val="24"/>
        </w:rPr>
        <w:t>招标人以投标人须知前附表规定的形式修改招标文件，并通知所有已购买</w:t>
      </w:r>
      <w:r>
        <w:rPr>
          <w:spacing w:val="-2"/>
          <w:sz w:val="24"/>
        </w:rPr>
        <w:t>招标文件的投标人。修改招标文件的时间距本章第 4.2.1 项规定的投标截止时间不足15 日，且修改内容可能影响投标文件编制的，将相应延长投标截止时间。</w:t>
      </w:r>
    </w:p>
    <w:p>
      <w:pPr>
        <w:pStyle w:val="20"/>
        <w:tabs>
          <w:tab w:val="left" w:pos="1450"/>
        </w:tabs>
        <w:spacing w:before="91" w:line="312" w:lineRule="auto"/>
        <w:ind w:left="449" w:right="331" w:firstLine="650" w:firstLineChars="271"/>
        <w:rPr>
          <w:sz w:val="24"/>
        </w:rPr>
      </w:pPr>
      <w:r>
        <w:rPr>
          <w:rFonts w:hint="eastAsia"/>
          <w:sz w:val="24"/>
          <w:lang w:val="en-US"/>
        </w:rPr>
        <w:t xml:space="preserve">2.3.2  </w:t>
      </w:r>
      <w:r>
        <w:rPr>
          <w:sz w:val="24"/>
        </w:rPr>
        <w:t>投标人收到修改内容后，应按投标人须知前附表规定的时间和形式通知招标人，确认已收到该修改。</w:t>
      </w:r>
    </w:p>
    <w:p>
      <w:pPr>
        <w:pStyle w:val="20"/>
        <w:numPr>
          <w:ilvl w:val="1"/>
          <w:numId w:val="2"/>
        </w:numPr>
        <w:tabs>
          <w:tab w:val="left" w:pos="850"/>
        </w:tabs>
        <w:spacing w:before="153"/>
        <w:ind w:left="849" w:hanging="480"/>
        <w:rPr>
          <w:rFonts w:ascii="黑体" w:eastAsia="黑体"/>
          <w:sz w:val="24"/>
        </w:rPr>
      </w:pPr>
      <w:bookmarkStart w:id="36" w:name="_bookmark46"/>
      <w:bookmarkEnd w:id="36"/>
      <w:r>
        <w:rPr>
          <w:rFonts w:hint="eastAsia" w:ascii="黑体" w:eastAsia="黑体"/>
          <w:sz w:val="24"/>
        </w:rPr>
        <w:t>招标文件的异议</w:t>
      </w:r>
    </w:p>
    <w:p>
      <w:pPr>
        <w:pStyle w:val="11"/>
        <w:spacing w:before="11"/>
        <w:rPr>
          <w:rFonts w:ascii="黑体"/>
          <w:sz w:val="25"/>
        </w:rPr>
      </w:pPr>
    </w:p>
    <w:p>
      <w:pPr>
        <w:pStyle w:val="11"/>
        <w:ind w:left="849"/>
      </w:pPr>
      <w:r>
        <w:t xml:space="preserve">投标人或其他利害关系人对招标文件有异议的，应在投标截止时间 </w:t>
      </w:r>
      <w:r>
        <w:rPr>
          <w:rFonts w:ascii="Times New Roman" w:eastAsia="Times New Roman"/>
        </w:rPr>
        <w:t xml:space="preserve">10 </w:t>
      </w:r>
      <w:r>
        <w:t>日前以书</w:t>
      </w:r>
    </w:p>
    <w:p>
      <w:pPr>
        <w:pStyle w:val="11"/>
        <w:spacing w:before="93" w:line="312" w:lineRule="auto"/>
        <w:ind w:left="369" w:right="328"/>
      </w:pPr>
      <w:r>
        <w:rPr>
          <w:spacing w:val="-9"/>
        </w:rPr>
        <w:t xml:space="preserve">面形式提出。招标人将在收到异议之日起 </w:t>
      </w:r>
      <w:r>
        <w:rPr>
          <w:rFonts w:ascii="Times New Roman" w:eastAsia="Times New Roman"/>
        </w:rPr>
        <w:t xml:space="preserve">3 </w:t>
      </w:r>
      <w:r>
        <w:rPr>
          <w:spacing w:val="-8"/>
        </w:rPr>
        <w:t>日内作出答复；作出答复前，将暂停招标投标活动。</w:t>
      </w:r>
    </w:p>
    <w:p>
      <w:pPr>
        <w:pStyle w:val="11"/>
        <w:spacing w:before="3"/>
        <w:rPr>
          <w:sz w:val="21"/>
        </w:rPr>
      </w:pPr>
    </w:p>
    <w:p>
      <w:pPr>
        <w:numPr>
          <w:ilvl w:val="0"/>
          <w:numId w:val="2"/>
        </w:numPr>
        <w:tabs>
          <w:tab w:val="left" w:pos="790"/>
        </w:tabs>
        <w:rPr>
          <w:rFonts w:ascii="黑体" w:eastAsia="黑体"/>
          <w:sz w:val="28"/>
        </w:rPr>
      </w:pPr>
      <w:bookmarkStart w:id="37" w:name="_bookmark47"/>
      <w:bookmarkEnd w:id="37"/>
      <w:r>
        <w:rPr>
          <w:rFonts w:hint="eastAsia" w:ascii="黑体" w:eastAsia="黑体"/>
          <w:sz w:val="28"/>
        </w:rPr>
        <w:t>投标文件</w:t>
      </w:r>
    </w:p>
    <w:p>
      <w:pPr>
        <w:pStyle w:val="20"/>
        <w:numPr>
          <w:ilvl w:val="1"/>
          <w:numId w:val="2"/>
        </w:numPr>
        <w:tabs>
          <w:tab w:val="left" w:pos="790"/>
        </w:tabs>
        <w:spacing w:before="246"/>
        <w:ind w:left="789" w:hanging="420"/>
        <w:rPr>
          <w:rFonts w:ascii="黑体" w:eastAsia="黑体"/>
          <w:sz w:val="24"/>
        </w:rPr>
      </w:pPr>
      <w:bookmarkStart w:id="38" w:name="_bookmark48"/>
      <w:bookmarkEnd w:id="38"/>
      <w:r>
        <w:rPr>
          <w:rFonts w:hint="eastAsia" w:ascii="黑体" w:eastAsia="黑体"/>
          <w:sz w:val="24"/>
        </w:rPr>
        <w:t>投标文件的组成</w:t>
      </w:r>
    </w:p>
    <w:p>
      <w:pPr>
        <w:pStyle w:val="20"/>
        <w:tabs>
          <w:tab w:val="left" w:pos="1450"/>
        </w:tabs>
        <w:spacing w:before="2" w:line="312" w:lineRule="auto"/>
        <w:ind w:left="849" w:right="5154" w:firstLine="0"/>
        <w:rPr>
          <w:sz w:val="24"/>
        </w:rPr>
      </w:pPr>
      <w:r>
        <w:rPr>
          <w:sz w:val="24"/>
        </w:rPr>
        <w:t xml:space="preserve">投标文件应包括下列内容： </w:t>
      </w:r>
    </w:p>
    <w:p>
      <w:pPr>
        <w:pStyle w:val="20"/>
        <w:tabs>
          <w:tab w:val="left" w:pos="1450"/>
        </w:tabs>
        <w:spacing w:before="2" w:line="312" w:lineRule="auto"/>
        <w:ind w:left="849" w:right="5154" w:firstLine="0"/>
        <w:rPr>
          <w:sz w:val="24"/>
        </w:rPr>
      </w:pPr>
      <w:r>
        <w:rPr>
          <w:sz w:val="24"/>
        </w:rPr>
        <w:t>第一个信封（商务及技术文件</w:t>
      </w:r>
      <w:r>
        <w:rPr>
          <w:spacing w:val="-120"/>
          <w:sz w:val="24"/>
        </w:rPr>
        <w:t>）</w:t>
      </w:r>
      <w:r>
        <w:rPr>
          <w:sz w:val="24"/>
        </w:rPr>
        <w:t>：</w:t>
      </w:r>
    </w:p>
    <w:p>
      <w:pPr>
        <w:pStyle w:val="11"/>
        <w:spacing w:before="1"/>
        <w:ind w:left="729"/>
      </w:pPr>
      <w:r>
        <w:t>（</w:t>
      </w:r>
      <w:r>
        <w:rPr>
          <w:rFonts w:ascii="Times New Roman" w:eastAsia="Times New Roman"/>
        </w:rPr>
        <w:t>1</w:t>
      </w:r>
      <w:r>
        <w:t>）投标函及投标函附录；</w:t>
      </w:r>
    </w:p>
    <w:p>
      <w:pPr>
        <w:pStyle w:val="11"/>
        <w:spacing w:before="93"/>
        <w:ind w:left="729"/>
      </w:pPr>
      <w:r>
        <w:t>（</w:t>
      </w:r>
      <w:r>
        <w:rPr>
          <w:rFonts w:ascii="Times New Roman" w:eastAsia="Times New Roman"/>
        </w:rPr>
        <w:t>2</w:t>
      </w:r>
      <w:r>
        <w:t>）授权委托书或法定代表人身份证明；</w:t>
      </w:r>
    </w:p>
    <w:p>
      <w:pPr>
        <w:pStyle w:val="11"/>
        <w:spacing w:before="91"/>
        <w:ind w:left="729"/>
      </w:pPr>
      <w:r>
        <w:t>（</w:t>
      </w:r>
      <w:r>
        <w:rPr>
          <w:rFonts w:ascii="Times New Roman" w:eastAsia="Times New Roman"/>
        </w:rPr>
        <w:t>3</w:t>
      </w:r>
      <w:r>
        <w:t>）联合体协议书；</w:t>
      </w:r>
    </w:p>
    <w:p>
      <w:pPr>
        <w:pStyle w:val="11"/>
        <w:spacing w:before="93"/>
        <w:ind w:left="729"/>
      </w:pPr>
      <w:r>
        <w:t>（</w:t>
      </w:r>
      <w:r>
        <w:rPr>
          <w:rFonts w:ascii="Times New Roman" w:eastAsia="Times New Roman"/>
        </w:rPr>
        <w:t>4</w:t>
      </w:r>
      <w:r>
        <w:t>）投标保证金；</w:t>
      </w:r>
    </w:p>
    <w:p>
      <w:pPr>
        <w:pStyle w:val="11"/>
        <w:spacing w:before="93"/>
        <w:ind w:left="729"/>
      </w:pPr>
      <w:r>
        <w:t>（</w:t>
      </w:r>
      <w:r>
        <w:rPr>
          <w:rFonts w:ascii="Times New Roman" w:eastAsia="Times New Roman"/>
        </w:rPr>
        <w:t>5</w:t>
      </w:r>
      <w:r>
        <w:t>）施工组织设计；</w:t>
      </w:r>
    </w:p>
    <w:p>
      <w:pPr>
        <w:pStyle w:val="11"/>
        <w:spacing w:before="91"/>
        <w:ind w:left="729"/>
      </w:pPr>
      <w:r>
        <w:t>（</w:t>
      </w:r>
      <w:r>
        <w:rPr>
          <w:rFonts w:ascii="Times New Roman" w:eastAsia="Times New Roman"/>
        </w:rPr>
        <w:t>6</w:t>
      </w:r>
      <w:r>
        <w:t>）项目管理机构；</w:t>
      </w:r>
    </w:p>
    <w:p>
      <w:pPr>
        <w:pStyle w:val="11"/>
        <w:spacing w:before="94"/>
        <w:ind w:left="729"/>
      </w:pPr>
      <w:r>
        <w:t>（</w:t>
      </w:r>
      <w:r>
        <w:rPr>
          <w:rFonts w:ascii="Times New Roman" w:eastAsia="Times New Roman"/>
        </w:rPr>
        <w:t>7</w:t>
      </w:r>
      <w:r>
        <w:t>）拟分包项目情况表；</w:t>
      </w:r>
    </w:p>
    <w:p>
      <w:pPr>
        <w:pStyle w:val="11"/>
        <w:spacing w:before="93"/>
        <w:ind w:left="729"/>
      </w:pPr>
      <w:r>
        <w:t>（</w:t>
      </w:r>
      <w:r>
        <w:rPr>
          <w:rFonts w:ascii="Times New Roman" w:eastAsia="Times New Roman"/>
        </w:rPr>
        <w:t>8</w:t>
      </w:r>
      <w:r>
        <w:t>）资格审查资料；</w:t>
      </w:r>
    </w:p>
    <w:p>
      <w:pPr>
        <w:pStyle w:val="11"/>
        <w:spacing w:before="91" w:line="312" w:lineRule="auto"/>
        <w:ind w:left="849" w:right="4314" w:hanging="120"/>
      </w:pPr>
      <w:r>
        <w:t>（</w:t>
      </w:r>
      <w:r>
        <w:rPr>
          <w:rFonts w:ascii="Times New Roman" w:eastAsia="Times New Roman"/>
        </w:rPr>
        <w:t>9</w:t>
      </w:r>
      <w:r>
        <w:t>）投标人须知前附表规定的其他资料。第二个信封（报价文件</w:t>
      </w:r>
      <w:r>
        <w:rPr>
          <w:spacing w:val="-120"/>
        </w:rPr>
        <w:t>）</w:t>
      </w:r>
      <w:r>
        <w:t>：</w:t>
      </w:r>
    </w:p>
    <w:p>
      <w:pPr>
        <w:pStyle w:val="11"/>
        <w:spacing w:before="74"/>
        <w:ind w:left="729"/>
      </w:pPr>
      <w:r>
        <w:t>（</w:t>
      </w:r>
      <w:r>
        <w:rPr>
          <w:rFonts w:hint="eastAsia" w:ascii="Times New Roman"/>
          <w:lang w:val="en-US"/>
        </w:rPr>
        <w:t>1</w:t>
      </w:r>
      <w:r>
        <w:t>）投标函；</w:t>
      </w:r>
    </w:p>
    <w:p>
      <w:pPr>
        <w:pStyle w:val="11"/>
        <w:spacing w:before="91"/>
        <w:ind w:left="729"/>
      </w:pPr>
      <w:r>
        <w:t>（</w:t>
      </w:r>
      <w:r>
        <w:rPr>
          <w:rFonts w:hint="eastAsia" w:ascii="Times New Roman"/>
          <w:lang w:val="en-US"/>
        </w:rPr>
        <w:t>2</w:t>
      </w:r>
      <w:r>
        <w:t>）已标价工程量清单；</w:t>
      </w:r>
    </w:p>
    <w:p>
      <w:pPr>
        <w:pStyle w:val="11"/>
        <w:spacing w:before="94"/>
        <w:ind w:left="729"/>
      </w:pPr>
      <w:r>
        <w:t>（</w:t>
      </w:r>
      <w:r>
        <w:rPr>
          <w:rFonts w:hint="eastAsia" w:ascii="Times New Roman"/>
          <w:lang w:val="en-US"/>
        </w:rPr>
        <w:t>3</w:t>
      </w:r>
      <w:r>
        <w:t>）合同用款估算表。</w:t>
      </w:r>
    </w:p>
    <w:p>
      <w:pPr>
        <w:pStyle w:val="11"/>
        <w:spacing w:before="93" w:line="312" w:lineRule="auto"/>
        <w:ind w:left="369" w:right="326" w:firstLine="479"/>
      </w:pPr>
      <w:r>
        <w:rPr>
          <w:spacing w:val="-3"/>
        </w:rPr>
        <w:t>投标人在评标过程中作出的符合法律法规和招标文件规定的澄清确认，构成投标文件的组成部分。</w:t>
      </w:r>
    </w:p>
    <w:p>
      <w:pPr>
        <w:pStyle w:val="11"/>
        <w:spacing w:before="28"/>
        <w:ind w:left="849"/>
        <w:rPr>
          <w:rFonts w:ascii="Times New Roman"/>
          <w:lang w:val="en-US"/>
        </w:rPr>
      </w:pPr>
      <w:r>
        <w:rPr>
          <w:rFonts w:ascii="Times New Roman"/>
        </w:rPr>
        <w:t>3.1.2</w:t>
      </w:r>
      <w:r>
        <w:rPr>
          <w:rFonts w:hint="eastAsia" w:ascii="Times New Roman"/>
          <w:lang w:val="en-US"/>
        </w:rPr>
        <w:t xml:space="preserve"> </w:t>
      </w:r>
    </w:p>
    <w:p>
      <w:pPr>
        <w:pStyle w:val="11"/>
        <w:spacing w:before="97"/>
        <w:ind w:left="849"/>
        <w:rPr>
          <w:rFonts w:ascii="Times New Roman" w:eastAsia="Times New Roman"/>
        </w:rPr>
      </w:pPr>
      <w:r>
        <w:rPr>
          <w:rFonts w:ascii="Times New Roman" w:eastAsia="Times New Roman"/>
        </w:rPr>
        <w:t xml:space="preserve">3.1.3 </w:t>
      </w:r>
      <w:r>
        <w:rPr>
          <w:rFonts w:hint="eastAsia" w:ascii="Times New Roman"/>
          <w:lang w:val="en-US"/>
        </w:rPr>
        <w:t xml:space="preserve">  </w:t>
      </w:r>
      <w:r>
        <w:t xml:space="preserve">投标人须知前附表未要求提交投标保证金的，投标文件不包括本章第 </w:t>
      </w:r>
      <w:r>
        <w:rPr>
          <w:rFonts w:ascii="Times New Roman" w:eastAsia="Times New Roman"/>
        </w:rPr>
        <w:t>3.1.1</w:t>
      </w:r>
    </w:p>
    <w:p>
      <w:pPr>
        <w:pStyle w:val="11"/>
        <w:spacing w:before="91"/>
        <w:ind w:right="5985"/>
        <w:jc w:val="center"/>
      </w:pPr>
      <w:r>
        <w:t>（</w:t>
      </w:r>
      <w:r>
        <w:rPr>
          <w:rFonts w:ascii="Times New Roman" w:eastAsia="Times New Roman"/>
        </w:rPr>
        <w:t>4</w:t>
      </w:r>
      <w:r>
        <w:t>）目所指的投标保证金。</w:t>
      </w:r>
    </w:p>
    <w:p>
      <w:pPr>
        <w:pStyle w:val="11"/>
        <w:spacing w:before="1"/>
        <w:rPr>
          <w:sz w:val="19"/>
        </w:rPr>
      </w:pPr>
    </w:p>
    <w:p>
      <w:pPr>
        <w:pStyle w:val="20"/>
        <w:numPr>
          <w:ilvl w:val="1"/>
          <w:numId w:val="2"/>
        </w:numPr>
        <w:tabs>
          <w:tab w:val="left" w:pos="850"/>
        </w:tabs>
        <w:ind w:left="849" w:hanging="480"/>
        <w:rPr>
          <w:rFonts w:ascii="黑体" w:eastAsia="黑体"/>
          <w:sz w:val="24"/>
        </w:rPr>
      </w:pPr>
      <w:bookmarkStart w:id="39" w:name="_bookmark49"/>
      <w:bookmarkEnd w:id="39"/>
      <w:r>
        <w:rPr>
          <w:rFonts w:hint="eastAsia" w:ascii="黑体" w:eastAsia="黑体"/>
          <w:sz w:val="24"/>
        </w:rPr>
        <w:t>投标报价</w:t>
      </w:r>
    </w:p>
    <w:p>
      <w:pPr>
        <w:pStyle w:val="20"/>
        <w:tabs>
          <w:tab w:val="left" w:pos="1450"/>
        </w:tabs>
        <w:spacing w:before="1" w:line="312" w:lineRule="auto"/>
        <w:ind w:left="440" w:right="206" w:firstLine="501" w:firstLineChars="220"/>
        <w:rPr>
          <w:sz w:val="24"/>
        </w:rPr>
      </w:pPr>
      <w:r>
        <w:rPr>
          <w:rFonts w:hint="eastAsia"/>
          <w:spacing w:val="-6"/>
          <w:sz w:val="24"/>
          <w:lang w:val="en-US"/>
        </w:rPr>
        <w:t xml:space="preserve">3.2.1  </w:t>
      </w:r>
      <w:r>
        <w:rPr>
          <w:spacing w:val="-6"/>
          <w:sz w:val="24"/>
        </w:rPr>
        <w:t xml:space="preserve">投标报价应包括国家规定的增值税税金，除投标人须知前附表另有规定外， </w:t>
      </w:r>
      <w:r>
        <w:rPr>
          <w:spacing w:val="-11"/>
          <w:sz w:val="24"/>
        </w:rPr>
        <w:t>增值税税金按一般计税方法计算。投标人应按第九章“投标文件格式”的要求在投标函中进行报价并填写工程量清单相应表格。</w:t>
      </w:r>
    </w:p>
    <w:p>
      <w:pPr>
        <w:pStyle w:val="11"/>
        <w:spacing w:line="312" w:lineRule="auto"/>
        <w:ind w:left="369" w:right="324" w:firstLine="479"/>
      </w:pPr>
      <w:r>
        <w:rPr>
          <w:spacing w:val="-6"/>
        </w:rPr>
        <w:t>工程量清单的填写分下列两种方式。投标人应按投标人须知前附表规定的方式填写工程量清单。</w:t>
      </w:r>
    </w:p>
    <w:p>
      <w:pPr>
        <w:pStyle w:val="11"/>
        <w:spacing w:line="307" w:lineRule="exact"/>
        <w:ind w:left="729"/>
        <w:rPr>
          <w:sz w:val="9"/>
        </w:rPr>
      </w:pPr>
      <w:r>
        <w:t>（</w:t>
      </w:r>
      <w:r>
        <w:rPr>
          <w:rFonts w:ascii="Times New Roman" w:hAnsi="Times New Roman" w:eastAsia="Times New Roman"/>
        </w:rPr>
        <w:t>1</w:t>
      </w:r>
      <w:r>
        <w:t>）本项目招标采用工程量固化清单</w:t>
      </w:r>
      <w:r>
        <w:rPr>
          <w:position w:val="11"/>
          <w:sz w:val="12"/>
        </w:rPr>
        <w:t>②</w:t>
      </w:r>
      <w:r>
        <w:t>，招标人在出售招标文件的同时向投标人</w:t>
      </w:r>
    </w:p>
    <w:p>
      <w:pPr>
        <w:pStyle w:val="11"/>
        <w:spacing w:before="74" w:line="312" w:lineRule="auto"/>
        <w:ind w:left="369" w:right="324"/>
        <w:jc w:val="both"/>
      </w:pPr>
      <w:r>
        <w:rPr>
          <w:spacing w:val="-1"/>
        </w:rPr>
        <w:t>提供工程量固化清单电子文件</w:t>
      </w:r>
      <w:r>
        <w:t>（</w:t>
      </w:r>
      <w:r>
        <w:rPr>
          <w:spacing w:val="-15"/>
        </w:rPr>
        <w:t xml:space="preserve">光盘或 </w:t>
      </w:r>
      <w:r>
        <w:rPr>
          <w:rFonts w:ascii="Times New Roman" w:eastAsia="Times New Roman"/>
          <w:w w:val="99"/>
        </w:rPr>
        <w:t>U</w:t>
      </w:r>
      <w:r>
        <w:rPr>
          <w:rFonts w:ascii="Times New Roman" w:eastAsia="Times New Roman"/>
        </w:rPr>
        <w:t xml:space="preserve"> </w:t>
      </w:r>
      <w:r>
        <w:t>盘</w:t>
      </w:r>
      <w:r>
        <w:rPr>
          <w:spacing w:val="-120"/>
        </w:rPr>
        <w:t>）</w:t>
      </w:r>
      <w:r>
        <w:rPr>
          <w:spacing w:val="-3"/>
        </w:rPr>
        <w:t>，或将工程量固化清单电子文件上传至</w:t>
      </w:r>
      <w:r>
        <w:rPr>
          <w:spacing w:val="-8"/>
        </w:rPr>
        <w:t>投标人须知前附表载明的网站供投标人自行下载。投标人填写工程量清单中各子目的</w:t>
      </w:r>
      <w:r>
        <w:rPr>
          <w:spacing w:val="-12"/>
        </w:rPr>
        <w:t>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pStyle w:val="11"/>
        <w:spacing w:before="1" w:line="312" w:lineRule="auto"/>
        <w:ind w:left="369" w:right="324" w:firstLine="479"/>
        <w:jc w:val="both"/>
      </w:pPr>
      <w:r>
        <w:rPr>
          <w:spacing w:val="-4"/>
        </w:rPr>
        <w:t>投标人必须严格遵循工程量固化清单电子文件中的数据、格式及运算定义，并将已填写完毕的投标工程量清单电子文件单独拷入招标人提供的光盘（</w:t>
      </w:r>
      <w:r>
        <w:rPr>
          <w:spacing w:val="-8"/>
        </w:rPr>
        <w:t xml:space="preserve">或 </w:t>
      </w:r>
      <w:r>
        <w:rPr>
          <w:rFonts w:ascii="Times New Roman" w:eastAsia="Times New Roman"/>
        </w:rPr>
        <w:t xml:space="preserve">U </w:t>
      </w:r>
      <w:r>
        <w:t>盘）中密</w:t>
      </w:r>
      <w:r>
        <w:rPr>
          <w:spacing w:val="-6"/>
        </w:rPr>
        <w:t>封在投标文件内一并交回。严禁投标人修改工程量固化清单电子文件中的数据、格式及运算定义。</w:t>
      </w:r>
    </w:p>
    <w:p>
      <w:pPr>
        <w:pStyle w:val="11"/>
        <w:spacing w:before="2" w:line="312" w:lineRule="auto"/>
        <w:ind w:left="369" w:right="319" w:firstLine="479"/>
        <w:jc w:val="both"/>
      </w:pPr>
      <w:r>
        <w:t>投标人根据招标人提供的工程量固化清单电子文件填报完成并打印的投标工程</w:t>
      </w:r>
      <w:r>
        <w:rPr>
          <w:spacing w:val="-4"/>
        </w:rPr>
        <w:t>量清单中的投标报价和投标函大写金额报价应一致，如果报价金额出现差异，其投标将被否决。</w:t>
      </w:r>
    </w:p>
    <w:p>
      <w:pPr>
        <w:pStyle w:val="20"/>
        <w:tabs>
          <w:tab w:val="left" w:pos="1450"/>
        </w:tabs>
        <w:spacing w:before="1"/>
        <w:ind w:left="849" w:firstLine="0"/>
        <w:rPr>
          <w:sz w:val="24"/>
        </w:rPr>
      </w:pPr>
      <w:r>
        <w:rPr>
          <w:rFonts w:hint="eastAsia"/>
          <w:sz w:val="24"/>
          <w:lang w:val="en-US"/>
        </w:rPr>
        <w:t xml:space="preserve">3.2.2  </w:t>
      </w:r>
      <w:r>
        <w:rPr>
          <w:sz w:val="24"/>
        </w:rPr>
        <w:t>投标人应充分了解本项目的总体情况以及影响投标报价的其他要素。</w:t>
      </w:r>
    </w:p>
    <w:p>
      <w:pPr>
        <w:pStyle w:val="20"/>
        <w:tabs>
          <w:tab w:val="left" w:pos="1450"/>
        </w:tabs>
        <w:spacing w:before="91" w:line="312" w:lineRule="auto"/>
        <w:ind w:left="440" w:right="327" w:firstLine="439" w:firstLineChars="183"/>
        <w:jc w:val="both"/>
        <w:rPr>
          <w:sz w:val="24"/>
        </w:rPr>
      </w:pPr>
      <w:r>
        <w:rPr>
          <w:rFonts w:hint="eastAsia"/>
          <w:sz w:val="24"/>
          <w:lang w:val="en-US"/>
        </w:rPr>
        <w:t xml:space="preserve">3.2.3  </w:t>
      </w:r>
      <w:r>
        <w:rPr>
          <w:sz w:val="24"/>
        </w:rPr>
        <w:t>本项目的报价方式见投标人须知前附表。投标人在投标截止时间前修改投</w:t>
      </w:r>
      <w:r>
        <w:rPr>
          <w:spacing w:val="-4"/>
          <w:sz w:val="24"/>
        </w:rPr>
        <w:t>标函中的投标总报价，应同时修改投标文件</w:t>
      </w:r>
      <w:r>
        <w:rPr>
          <w:rFonts w:ascii="Times New Roman" w:hAnsi="Times New Roman" w:eastAsia="Times New Roman"/>
          <w:sz w:val="24"/>
        </w:rPr>
        <w:t>“</w:t>
      </w:r>
      <w:r>
        <w:rPr>
          <w:sz w:val="24"/>
        </w:rPr>
        <w:t>已标价工程量清单</w:t>
      </w:r>
      <w:r>
        <w:rPr>
          <w:rFonts w:ascii="Times New Roman" w:hAnsi="Times New Roman" w:eastAsia="Times New Roman"/>
          <w:sz w:val="24"/>
        </w:rPr>
        <w:t>”</w:t>
      </w:r>
      <w:r>
        <w:rPr>
          <w:spacing w:val="-5"/>
          <w:sz w:val="24"/>
        </w:rPr>
        <w:t>中的相应报价。此修</w:t>
      </w:r>
      <w:r>
        <w:rPr>
          <w:spacing w:val="-12"/>
          <w:sz w:val="24"/>
        </w:rPr>
        <w:t xml:space="preserve">改须符合本章第 </w:t>
      </w:r>
      <w:r>
        <w:rPr>
          <w:rFonts w:ascii="Times New Roman" w:hAnsi="Times New Roman" w:eastAsia="Times New Roman"/>
          <w:sz w:val="24"/>
        </w:rPr>
        <w:t xml:space="preserve">4.3 </w:t>
      </w:r>
      <w:r>
        <w:rPr>
          <w:sz w:val="24"/>
        </w:rPr>
        <w:t>款的有关要求。</w:t>
      </w:r>
    </w:p>
    <w:p>
      <w:pPr>
        <w:pStyle w:val="20"/>
        <w:tabs>
          <w:tab w:val="left" w:pos="1450"/>
        </w:tabs>
        <w:spacing w:before="1" w:line="312" w:lineRule="auto"/>
        <w:ind w:left="440" w:right="326" w:firstLine="439" w:firstLineChars="183"/>
        <w:jc w:val="both"/>
        <w:rPr>
          <w:sz w:val="24"/>
        </w:rPr>
      </w:pPr>
      <w:r>
        <w:rPr>
          <w:rFonts w:hint="eastAsia"/>
          <w:sz w:val="24"/>
          <w:lang w:val="en-US"/>
        </w:rPr>
        <w:t xml:space="preserve">3.2.4  </w:t>
      </w:r>
      <w:r>
        <w:rPr>
          <w:sz w:val="24"/>
        </w:rPr>
        <w:t>投标人如果发现工程量清单中的数量与图纸中数量不一致时，应立即通知</w:t>
      </w:r>
      <w:r>
        <w:rPr>
          <w:spacing w:val="-9"/>
          <w:sz w:val="24"/>
        </w:rPr>
        <w:t>招标人核查，除非招标人以书面方式予以更正，否则，应以工程量清单中列出的数量为准。</w:t>
      </w:r>
    </w:p>
    <w:p>
      <w:pPr>
        <w:pStyle w:val="20"/>
        <w:tabs>
          <w:tab w:val="left" w:pos="1450"/>
        </w:tabs>
        <w:spacing w:before="1" w:line="312" w:lineRule="auto"/>
        <w:ind w:left="449" w:right="324" w:firstLine="424" w:firstLineChars="200"/>
        <w:jc w:val="both"/>
        <w:rPr>
          <w:sz w:val="24"/>
        </w:rPr>
      </w:pPr>
      <w:r>
        <w:rPr>
          <w:rFonts w:hint="eastAsia"/>
          <w:spacing w:val="-14"/>
          <w:sz w:val="24"/>
          <w:lang w:val="en-US"/>
        </w:rPr>
        <w:t xml:space="preserve">3.2.5  </w:t>
      </w:r>
      <w:r>
        <w:rPr>
          <w:spacing w:val="-14"/>
          <w:sz w:val="24"/>
        </w:rPr>
        <w:t>投标人应根据《公路水运工程安全生产监督管理办法》，在投标总价中计入</w:t>
      </w:r>
      <w:r>
        <w:rPr>
          <w:spacing w:val="-15"/>
          <w:sz w:val="24"/>
        </w:rPr>
        <w:t xml:space="preserve">安全生产费用，安全生产费用应符合合同条款第 </w:t>
      </w:r>
      <w:r>
        <w:rPr>
          <w:rFonts w:ascii="Times New Roman" w:eastAsia="Times New Roman"/>
          <w:sz w:val="24"/>
        </w:rPr>
        <w:t>9.2.5</w:t>
      </w:r>
      <w:r>
        <w:rPr>
          <w:rFonts w:ascii="Times New Roman" w:eastAsia="Times New Roman"/>
          <w:spacing w:val="27"/>
          <w:sz w:val="24"/>
        </w:rPr>
        <w:t xml:space="preserve"> </w:t>
      </w:r>
      <w:r>
        <w:rPr>
          <w:spacing w:val="-3"/>
          <w:sz w:val="24"/>
        </w:rPr>
        <w:t xml:space="preserve">项的规定。工程量清单第 </w:t>
      </w:r>
      <w:r>
        <w:rPr>
          <w:rFonts w:ascii="Times New Roman" w:eastAsia="Times New Roman"/>
          <w:sz w:val="24"/>
        </w:rPr>
        <w:t xml:space="preserve">100 </w:t>
      </w:r>
      <w:r>
        <w:rPr>
          <w:sz w:val="24"/>
        </w:rPr>
        <w:t>章内列有上述安全生产费的支付子目，由投标人按招标文件的规定填写总额价。</w:t>
      </w:r>
    </w:p>
    <w:p>
      <w:pPr>
        <w:pStyle w:val="20"/>
        <w:tabs>
          <w:tab w:val="left" w:pos="1450"/>
        </w:tabs>
        <w:spacing w:before="2" w:line="312" w:lineRule="auto"/>
        <w:ind w:left="440" w:right="324" w:firstLine="439" w:firstLineChars="183"/>
        <w:jc w:val="both"/>
        <w:rPr>
          <w:sz w:val="24"/>
        </w:rPr>
      </w:pPr>
      <w:r>
        <w:rPr>
          <w:rFonts w:hint="eastAsia"/>
          <w:sz w:val="24"/>
          <w:lang w:val="en-US"/>
        </w:rPr>
        <w:t xml:space="preserve">3.2.6  </w:t>
      </w:r>
      <w:r>
        <w:rPr>
          <w:sz w:val="24"/>
        </w:rPr>
        <w:t>在合同实施期间，投标人填写的单价、合价和总额价是否由于物价波动进</w:t>
      </w:r>
      <w:r>
        <w:rPr>
          <w:spacing w:val="-3"/>
          <w:sz w:val="24"/>
        </w:rPr>
        <w:t xml:space="preserve">行价格调整按照合同条款第 </w:t>
      </w:r>
      <w:r>
        <w:rPr>
          <w:rFonts w:ascii="Times New Roman" w:eastAsia="Times New Roman"/>
          <w:sz w:val="24"/>
        </w:rPr>
        <w:t>16.1</w:t>
      </w:r>
      <w:r>
        <w:rPr>
          <w:rFonts w:ascii="Times New Roman" w:eastAsia="Times New Roman"/>
          <w:spacing w:val="20"/>
          <w:sz w:val="24"/>
        </w:rPr>
        <w:t xml:space="preserve"> </w:t>
      </w:r>
      <w:r>
        <w:rPr>
          <w:spacing w:val="-3"/>
          <w:sz w:val="24"/>
        </w:rPr>
        <w:t xml:space="preserve">款的规定处理。如果按照合同条款第 </w:t>
      </w:r>
      <w:r>
        <w:rPr>
          <w:rFonts w:ascii="Times New Roman" w:eastAsia="Times New Roman"/>
          <w:sz w:val="24"/>
        </w:rPr>
        <w:t>16.1.1</w:t>
      </w:r>
      <w:r>
        <w:rPr>
          <w:rFonts w:ascii="Times New Roman" w:eastAsia="Times New Roman"/>
          <w:spacing w:val="20"/>
          <w:sz w:val="24"/>
        </w:rPr>
        <w:t xml:space="preserve"> </w:t>
      </w:r>
      <w:r>
        <w:rPr>
          <w:sz w:val="24"/>
        </w:rPr>
        <w:t>项的规</w:t>
      </w:r>
      <w:r>
        <w:rPr>
          <w:spacing w:val="-6"/>
          <w:sz w:val="24"/>
        </w:rPr>
        <w:t>定采用价格调整公式进行价格调整，由招标人根据项目实际情况测算确定价格调整公</w:t>
      </w:r>
      <w:r>
        <w:rPr>
          <w:spacing w:val="-12"/>
          <w:sz w:val="24"/>
        </w:rPr>
        <w:t>式中的变值权重范围，并在投标函附录价格指数和权重表中约定范围；投标人在此范围内填写各可调因子的权重，合同实施期间将按此权重进行调价。</w:t>
      </w:r>
    </w:p>
    <w:p>
      <w:pPr>
        <w:pStyle w:val="20"/>
        <w:tabs>
          <w:tab w:val="left" w:pos="1450"/>
        </w:tabs>
        <w:spacing w:before="1" w:line="312" w:lineRule="auto"/>
        <w:ind w:left="440" w:right="331" w:firstLine="439" w:firstLineChars="183"/>
        <w:jc w:val="both"/>
        <w:rPr>
          <w:sz w:val="24"/>
        </w:rPr>
      </w:pPr>
      <w:r>
        <w:rPr>
          <w:rFonts w:hint="eastAsia"/>
          <w:sz w:val="24"/>
          <w:lang w:val="en-US"/>
        </w:rPr>
        <w:t xml:space="preserve">3.2.7  </w:t>
      </w:r>
      <w:r>
        <w:rPr>
          <w:sz w:val="24"/>
        </w:rPr>
        <w:t>招标人设有最高投标限价的，投标人的投标报价不得超过最高投标限价， 最高投标限价在投标人须知前附表中载明。</w:t>
      </w:r>
    </w:p>
    <w:p>
      <w:pPr>
        <w:pStyle w:val="20"/>
        <w:tabs>
          <w:tab w:val="left" w:pos="1450"/>
        </w:tabs>
        <w:spacing w:line="307" w:lineRule="exact"/>
        <w:ind w:left="849" w:firstLine="0"/>
        <w:rPr>
          <w:sz w:val="24"/>
        </w:rPr>
      </w:pPr>
      <w:r>
        <w:rPr>
          <w:rFonts w:hint="eastAsia"/>
          <w:sz w:val="24"/>
          <w:lang w:val="en-US"/>
        </w:rPr>
        <w:t xml:space="preserve">3.2.8  </w:t>
      </w:r>
      <w:r>
        <w:rPr>
          <w:sz w:val="24"/>
        </w:rPr>
        <w:t>投标报价的其他要求见投标人须知前附表。</w:t>
      </w:r>
    </w:p>
    <w:p>
      <w:pPr>
        <w:pStyle w:val="11"/>
        <w:spacing w:before="1"/>
        <w:rPr>
          <w:sz w:val="19"/>
        </w:rPr>
      </w:pPr>
    </w:p>
    <w:p>
      <w:pPr>
        <w:pStyle w:val="20"/>
        <w:numPr>
          <w:ilvl w:val="1"/>
          <w:numId w:val="2"/>
        </w:numPr>
        <w:tabs>
          <w:tab w:val="left" w:pos="790"/>
        </w:tabs>
        <w:spacing w:before="1"/>
        <w:ind w:left="789" w:hanging="420"/>
        <w:rPr>
          <w:rFonts w:ascii="黑体" w:eastAsia="黑体"/>
          <w:sz w:val="24"/>
        </w:rPr>
      </w:pPr>
      <w:bookmarkStart w:id="40" w:name="_bookmark50"/>
      <w:bookmarkEnd w:id="40"/>
      <w:r>
        <w:rPr>
          <w:rFonts w:hint="eastAsia" w:ascii="黑体" w:eastAsia="黑体"/>
          <w:sz w:val="24"/>
        </w:rPr>
        <w:t>投标有效期</w:t>
      </w:r>
    </w:p>
    <w:p>
      <w:pPr>
        <w:pStyle w:val="11"/>
        <w:rPr>
          <w:rFonts w:ascii="黑体"/>
          <w:sz w:val="26"/>
        </w:rPr>
      </w:pPr>
    </w:p>
    <w:p>
      <w:pPr>
        <w:pStyle w:val="20"/>
        <w:tabs>
          <w:tab w:val="left" w:pos="1450"/>
        </w:tabs>
        <w:ind w:left="849" w:firstLine="0"/>
        <w:rPr>
          <w:sz w:val="24"/>
        </w:rPr>
      </w:pPr>
      <w:r>
        <w:rPr>
          <w:rFonts w:hint="eastAsia"/>
          <w:spacing w:val="-3"/>
          <w:sz w:val="24"/>
          <w:lang w:val="en-US"/>
        </w:rPr>
        <w:t xml:space="preserve">3.3.1  </w:t>
      </w:r>
      <w:r>
        <w:rPr>
          <w:spacing w:val="-3"/>
          <w:sz w:val="24"/>
        </w:rPr>
        <w:t>除投标人须知前附表另有规定外，投标有效期为</w:t>
      </w:r>
      <w:r>
        <w:rPr>
          <w:spacing w:val="-3"/>
          <w:sz w:val="24"/>
          <w:u w:val="single"/>
        </w:rPr>
        <w:t xml:space="preserve"> </w:t>
      </w:r>
      <w:r>
        <w:rPr>
          <w:rFonts w:ascii="Times New Roman" w:eastAsia="Times New Roman"/>
          <w:color w:val="FF0000"/>
          <w:sz w:val="24"/>
          <w:u w:val="single"/>
        </w:rPr>
        <w:t>90</w:t>
      </w:r>
      <w:r>
        <w:rPr>
          <w:rFonts w:ascii="Times New Roman" w:eastAsia="Times New Roman"/>
          <w:sz w:val="24"/>
          <w:u w:val="single"/>
        </w:rPr>
        <w:t xml:space="preserve"> </w:t>
      </w:r>
      <w:r>
        <w:rPr>
          <w:sz w:val="24"/>
        </w:rPr>
        <w:t>日。</w:t>
      </w:r>
    </w:p>
    <w:p>
      <w:pPr>
        <w:pStyle w:val="20"/>
        <w:tabs>
          <w:tab w:val="left" w:pos="1450"/>
        </w:tabs>
        <w:spacing w:before="91" w:line="312" w:lineRule="auto"/>
        <w:ind w:left="849" w:right="331" w:firstLine="0"/>
        <w:jc w:val="both"/>
        <w:rPr>
          <w:sz w:val="24"/>
        </w:rPr>
      </w:pPr>
      <w:r>
        <w:rPr>
          <w:rFonts w:hint="eastAsia"/>
          <w:sz w:val="24"/>
          <w:lang w:val="en-US"/>
        </w:rPr>
        <w:t xml:space="preserve">3.3.2  </w:t>
      </w:r>
      <w:r>
        <w:rPr>
          <w:sz w:val="24"/>
        </w:rPr>
        <w:t>在投标有效期内，投标人撤销投标文件的，应承担招标文件和法律规定的责任。</w:t>
      </w:r>
    </w:p>
    <w:p>
      <w:pPr>
        <w:pStyle w:val="20"/>
        <w:tabs>
          <w:tab w:val="left" w:pos="1450"/>
        </w:tabs>
        <w:spacing w:before="2" w:line="312" w:lineRule="auto"/>
        <w:ind w:left="440" w:right="328" w:firstLine="439" w:firstLineChars="183"/>
        <w:jc w:val="both"/>
        <w:rPr>
          <w:sz w:val="24"/>
        </w:rPr>
      </w:pPr>
      <w:r>
        <w:rPr>
          <w:rFonts w:hint="eastAsia"/>
          <w:sz w:val="24"/>
          <w:lang w:val="en-US"/>
        </w:rPr>
        <w:t xml:space="preserve">3.3.3  </w:t>
      </w:r>
      <w:r>
        <w:rPr>
          <w:sz w:val="24"/>
        </w:rPr>
        <w:t>出现特殊情况需要延长投标有效期的，招标人以书面形式通知所有投标人</w:t>
      </w:r>
      <w:r>
        <w:rPr>
          <w:spacing w:val="-8"/>
          <w:sz w:val="24"/>
        </w:rPr>
        <w:t>延长投标有效期。投标人应予以书面答复，同意延长的，应相应延长其投标保证金的</w:t>
      </w:r>
      <w:r>
        <w:rPr>
          <w:spacing w:val="-11"/>
          <w:sz w:val="24"/>
        </w:rPr>
        <w:t>有效期，但不得要求或被允许修改其投标文件；投标人拒绝延长的，其投标失效，但</w:t>
      </w:r>
      <w:r>
        <w:rPr>
          <w:sz w:val="24"/>
        </w:rPr>
        <w:t>投标人有权收回其投标保证金及以现金或支票形式递交的投标保证金的银行同期活期存款利息。</w:t>
      </w:r>
    </w:p>
    <w:p>
      <w:pPr>
        <w:pStyle w:val="20"/>
        <w:numPr>
          <w:ilvl w:val="1"/>
          <w:numId w:val="2"/>
        </w:numPr>
        <w:tabs>
          <w:tab w:val="left" w:pos="910"/>
        </w:tabs>
        <w:spacing w:before="152"/>
        <w:ind w:left="909" w:hanging="540"/>
        <w:rPr>
          <w:rFonts w:ascii="黑体" w:eastAsia="黑体"/>
          <w:sz w:val="24"/>
        </w:rPr>
      </w:pPr>
      <w:bookmarkStart w:id="41" w:name="_bookmark51"/>
      <w:bookmarkEnd w:id="41"/>
      <w:r>
        <w:rPr>
          <w:rFonts w:hint="eastAsia" w:ascii="黑体" w:eastAsia="黑体"/>
          <w:sz w:val="24"/>
        </w:rPr>
        <w:t>投标保证金</w:t>
      </w:r>
    </w:p>
    <w:p>
      <w:pPr>
        <w:pStyle w:val="11"/>
        <w:rPr>
          <w:rFonts w:ascii="黑体"/>
          <w:sz w:val="26"/>
        </w:rPr>
      </w:pPr>
    </w:p>
    <w:p>
      <w:pPr>
        <w:pStyle w:val="20"/>
        <w:tabs>
          <w:tab w:val="left" w:pos="1450"/>
        </w:tabs>
        <w:spacing w:before="1" w:line="312" w:lineRule="auto"/>
        <w:ind w:left="440" w:right="324" w:firstLine="497" w:firstLineChars="220"/>
        <w:jc w:val="both"/>
        <w:rPr>
          <w:sz w:val="24"/>
        </w:rPr>
      </w:pPr>
      <w:r>
        <w:rPr>
          <w:rFonts w:hint="eastAsia"/>
          <w:spacing w:val="-7"/>
          <w:sz w:val="24"/>
          <w:lang w:val="en-US"/>
        </w:rPr>
        <w:t xml:space="preserve">3.4.1  </w:t>
      </w:r>
      <w:r>
        <w:rPr>
          <w:spacing w:val="-7"/>
          <w:sz w:val="24"/>
        </w:rPr>
        <w:t>投标人在递交投标文件的同时，应按投标人须知前附表规定的金额</w:t>
      </w:r>
      <w:r>
        <w:rPr>
          <w:sz w:val="24"/>
        </w:rPr>
        <w:t>和第九章</w:t>
      </w:r>
      <w:r>
        <w:rPr>
          <w:rFonts w:ascii="Times New Roman" w:hAnsi="Times New Roman" w:eastAsia="Times New Roman"/>
          <w:sz w:val="24"/>
        </w:rPr>
        <w:t>“</w:t>
      </w:r>
      <w:r>
        <w:rPr>
          <w:sz w:val="24"/>
        </w:rPr>
        <w:t>投标文件格式</w:t>
      </w:r>
      <w:r>
        <w:rPr>
          <w:rFonts w:ascii="Times New Roman" w:hAnsi="Times New Roman" w:eastAsia="Times New Roman"/>
          <w:sz w:val="24"/>
        </w:rPr>
        <w:t>”</w:t>
      </w:r>
      <w:r>
        <w:rPr>
          <w:spacing w:val="-4"/>
          <w:sz w:val="24"/>
        </w:rPr>
        <w:t>规定的投标保证金格式递交投标保证金，并作为其投标文件的组成</w:t>
      </w:r>
      <w:r>
        <w:rPr>
          <w:spacing w:val="-11"/>
          <w:sz w:val="24"/>
        </w:rPr>
        <w:t>部分。联合体投标的，其投标保证金由牵头人递交，并应符合投标人须知前附表的规定。</w:t>
      </w:r>
    </w:p>
    <w:p>
      <w:pPr>
        <w:pStyle w:val="11"/>
        <w:spacing w:line="312" w:lineRule="auto"/>
        <w:ind w:left="369" w:right="324" w:firstLine="479"/>
        <w:jc w:val="both"/>
        <w:rPr>
          <w:sz w:val="9"/>
        </w:rPr>
      </w:pPr>
      <w:r>
        <w:rPr>
          <w:spacing w:val="-8"/>
        </w:rPr>
        <w:t>投标保证金应采用现金、支票、银行保函或招标人在投标人须知前附表规定的其他形式。</w:t>
      </w:r>
    </w:p>
    <w:p>
      <w:pPr>
        <w:pStyle w:val="11"/>
        <w:spacing w:before="74" w:line="312" w:lineRule="auto"/>
        <w:ind w:left="369" w:right="324" w:firstLine="360"/>
        <w:jc w:val="both"/>
      </w:pPr>
      <w:r>
        <w:rPr>
          <w:spacing w:val="-11"/>
        </w:rPr>
        <w:t>（</w:t>
      </w:r>
      <w:r>
        <w:rPr>
          <w:rFonts w:ascii="Times New Roman" w:eastAsia="Times New Roman"/>
          <w:spacing w:val="-11"/>
        </w:rPr>
        <w:t>1</w:t>
      </w:r>
      <w:r>
        <w:rPr>
          <w:spacing w:val="-11"/>
        </w:rPr>
        <w:t>）</w:t>
      </w:r>
      <w:r>
        <w:rPr>
          <w:spacing w:val="-6"/>
        </w:rPr>
        <w:t>若采用现金或支票，投标人应在递交投标文件截止时间之前，将投标保证金</w:t>
      </w:r>
      <w:r>
        <w:rPr>
          <w:spacing w:val="-11"/>
        </w:rPr>
        <w:t>由投标人的基本账户转入招标人指定账户，否则视为投标保证金无效。招标人指定的开户银行及账号见投标人须知前附表。</w:t>
      </w:r>
    </w:p>
    <w:p>
      <w:pPr>
        <w:pStyle w:val="11"/>
        <w:spacing w:before="1" w:line="312" w:lineRule="auto"/>
        <w:ind w:left="369" w:right="324" w:firstLine="360"/>
        <w:jc w:val="both"/>
      </w:pPr>
      <w:r>
        <w:rPr>
          <w:spacing w:val="-11"/>
        </w:rPr>
        <w:t>（</w:t>
      </w:r>
      <w:r>
        <w:rPr>
          <w:rFonts w:ascii="Times New Roman" w:eastAsia="Times New Roman"/>
          <w:spacing w:val="-11"/>
        </w:rPr>
        <w:t>2</w:t>
      </w:r>
      <w:r>
        <w:rPr>
          <w:spacing w:val="-11"/>
        </w:rPr>
        <w:t>）</w:t>
      </w:r>
      <w:r>
        <w:rPr>
          <w:spacing w:val="-5"/>
        </w:rPr>
        <w:t>若采用银行保函，则应由符合投标人须知前附表规定级别的银行开具，并采</w:t>
      </w:r>
      <w:r>
        <w:rPr>
          <w:spacing w:val="-11"/>
        </w:rPr>
        <w:t>用招标文件提供的格式。银行保函复印件装订在投标文件内，原件应在递交投标文件截止时间之前单独密封递交给招标人。</w:t>
      </w:r>
    </w:p>
    <w:p>
      <w:pPr>
        <w:pStyle w:val="11"/>
        <w:spacing w:before="1" w:line="312" w:lineRule="auto"/>
        <w:ind w:left="369" w:right="325" w:firstLine="479"/>
        <w:jc w:val="both"/>
      </w:pPr>
      <w:r>
        <w:rPr>
          <w:spacing w:val="-6"/>
        </w:rPr>
        <w:t>无论采取何种形式的投标保证金，投标保证金有效期均应与投标有效期一致。招</w:t>
      </w:r>
      <w:r>
        <w:rPr>
          <w:spacing w:val="-11"/>
        </w:rPr>
        <w:t xml:space="preserve">标人如果按本章第 </w:t>
      </w:r>
      <w:r>
        <w:rPr>
          <w:rFonts w:ascii="Times New Roman" w:eastAsia="Times New Roman"/>
        </w:rPr>
        <w:t xml:space="preserve">3.3.3 </w:t>
      </w:r>
      <w:r>
        <w:t>项的规定延长了投标有效期，则投标保证金的有效期也相应延长。</w:t>
      </w:r>
    </w:p>
    <w:p>
      <w:pPr>
        <w:pStyle w:val="20"/>
        <w:tabs>
          <w:tab w:val="left" w:pos="1450"/>
        </w:tabs>
        <w:spacing w:before="1" w:line="312" w:lineRule="auto"/>
        <w:ind w:left="440" w:right="325" w:firstLine="497" w:firstLineChars="220"/>
        <w:jc w:val="both"/>
        <w:rPr>
          <w:sz w:val="24"/>
        </w:rPr>
      </w:pPr>
      <w:r>
        <w:rPr>
          <w:rFonts w:hint="eastAsia"/>
          <w:spacing w:val="-7"/>
          <w:sz w:val="24"/>
          <w:lang w:val="en-US"/>
        </w:rPr>
        <w:t xml:space="preserve">3.4.2  </w:t>
      </w:r>
      <w:r>
        <w:rPr>
          <w:spacing w:val="-7"/>
          <w:sz w:val="24"/>
        </w:rPr>
        <w:t xml:space="preserve">投标人不按本章第 </w:t>
      </w:r>
      <w:r>
        <w:rPr>
          <w:rFonts w:ascii="Times New Roman" w:eastAsia="Times New Roman"/>
          <w:sz w:val="24"/>
        </w:rPr>
        <w:t xml:space="preserve">3.4.1 </w:t>
      </w:r>
      <w:r>
        <w:rPr>
          <w:spacing w:val="-8"/>
          <w:sz w:val="24"/>
        </w:rPr>
        <w:t>项要求提交投标保证金的，评标委员会将否决其投标。</w:t>
      </w:r>
    </w:p>
    <w:p>
      <w:pPr>
        <w:pStyle w:val="20"/>
        <w:tabs>
          <w:tab w:val="left" w:pos="1450"/>
        </w:tabs>
        <w:spacing w:line="312" w:lineRule="auto"/>
        <w:ind w:left="440" w:right="325" w:firstLine="514" w:firstLineChars="220"/>
        <w:jc w:val="both"/>
        <w:rPr>
          <w:sz w:val="24"/>
        </w:rPr>
      </w:pPr>
      <w:r>
        <w:rPr>
          <w:rFonts w:hint="eastAsia"/>
          <w:spacing w:val="-3"/>
          <w:sz w:val="24"/>
          <w:lang w:val="en-US"/>
        </w:rPr>
        <w:t xml:space="preserve">3.4.3  </w:t>
      </w:r>
      <w:r>
        <w:rPr>
          <w:spacing w:val="-3"/>
          <w:sz w:val="24"/>
        </w:rPr>
        <w:t xml:space="preserve">招标人最迟将在中标通知书发出后 </w:t>
      </w:r>
      <w:r>
        <w:rPr>
          <w:rFonts w:hint="eastAsia" w:ascii="Times New Roman" w:eastAsiaTheme="minorEastAsia"/>
          <w:sz w:val="24"/>
        </w:rPr>
        <w:t>3</w:t>
      </w:r>
      <w:r>
        <w:rPr>
          <w:sz w:val="24"/>
        </w:rPr>
        <w:t>日内向中标候选人以外的其他投标人</w:t>
      </w:r>
      <w:r>
        <w:rPr>
          <w:spacing w:val="-13"/>
          <w:sz w:val="24"/>
        </w:rPr>
        <w:t xml:space="preserve">退还投标保证金，与中标人签订合同后 </w:t>
      </w:r>
      <w:r>
        <w:rPr>
          <w:rFonts w:hint="eastAsia" w:ascii="Times New Roman" w:eastAsiaTheme="minorEastAsia"/>
          <w:sz w:val="24"/>
        </w:rPr>
        <w:t>3</w:t>
      </w:r>
      <w:r>
        <w:rPr>
          <w:sz w:val="24"/>
        </w:rPr>
        <w:t>日内向中标人和其他中标候选人退还投标保</w:t>
      </w:r>
      <w:r>
        <w:rPr>
          <w:spacing w:val="-9"/>
          <w:sz w:val="24"/>
        </w:rPr>
        <w:t>证金。</w:t>
      </w:r>
    </w:p>
    <w:p>
      <w:pPr>
        <w:pStyle w:val="20"/>
        <w:tabs>
          <w:tab w:val="left" w:pos="1450"/>
        </w:tabs>
        <w:spacing w:before="91"/>
        <w:ind w:left="849" w:firstLine="0"/>
        <w:rPr>
          <w:sz w:val="24"/>
        </w:rPr>
      </w:pPr>
      <w:r>
        <w:rPr>
          <w:rFonts w:hint="eastAsia"/>
          <w:sz w:val="24"/>
          <w:lang w:val="en-US"/>
        </w:rPr>
        <w:t xml:space="preserve">3.4.4  </w:t>
      </w:r>
      <w:r>
        <w:rPr>
          <w:sz w:val="24"/>
        </w:rPr>
        <w:t>有下列情形之一的，投标保证金将不予退还：</w:t>
      </w:r>
    </w:p>
    <w:p>
      <w:pPr>
        <w:pStyle w:val="11"/>
        <w:spacing w:before="93"/>
        <w:ind w:left="729"/>
      </w:pPr>
      <w:r>
        <w:t>（</w:t>
      </w:r>
      <w:r>
        <w:rPr>
          <w:rFonts w:ascii="Times New Roman" w:eastAsia="Times New Roman"/>
        </w:rPr>
        <w:t>1</w:t>
      </w:r>
      <w:r>
        <w:t>）投标人在投标有效期内撤销投标文件；</w:t>
      </w:r>
    </w:p>
    <w:p>
      <w:pPr>
        <w:pStyle w:val="11"/>
        <w:spacing w:before="94" w:line="312" w:lineRule="auto"/>
        <w:ind w:left="369" w:right="327" w:firstLine="360"/>
      </w:pPr>
      <w:r>
        <w:rPr>
          <w:spacing w:val="-11"/>
        </w:rPr>
        <w:t>（</w:t>
      </w:r>
      <w:r>
        <w:rPr>
          <w:rFonts w:ascii="Times New Roman" w:eastAsia="Times New Roman"/>
          <w:spacing w:val="-11"/>
        </w:rPr>
        <w:t>2</w:t>
      </w:r>
      <w:r>
        <w:rPr>
          <w:spacing w:val="-11"/>
        </w:rPr>
        <w:t>）</w:t>
      </w:r>
      <w:r>
        <w:rPr>
          <w:spacing w:val="-5"/>
        </w:rPr>
        <w:t>中标人在收到中标通知书后，无正当理由不与招标人订立合同，在签订合同时向招标人提出附加条件，或不按照招标文件要求提交履约保证金；</w:t>
      </w:r>
    </w:p>
    <w:p>
      <w:pPr>
        <w:pStyle w:val="11"/>
        <w:spacing w:line="307" w:lineRule="exact"/>
        <w:ind w:left="729"/>
      </w:pPr>
      <w:r>
        <w:t>（</w:t>
      </w:r>
      <w:r>
        <w:rPr>
          <w:rFonts w:ascii="Times New Roman" w:eastAsia="Times New Roman"/>
        </w:rPr>
        <w:t>3</w:t>
      </w:r>
      <w:r>
        <w:t>）发生投标人须知前附表规定的其他可以不予退还投标保证金的情形。</w:t>
      </w:r>
    </w:p>
    <w:p>
      <w:pPr>
        <w:pStyle w:val="11"/>
        <w:spacing w:before="1"/>
        <w:rPr>
          <w:sz w:val="19"/>
        </w:rPr>
      </w:pPr>
    </w:p>
    <w:p>
      <w:pPr>
        <w:pStyle w:val="20"/>
        <w:numPr>
          <w:ilvl w:val="1"/>
          <w:numId w:val="4"/>
        </w:numPr>
        <w:tabs>
          <w:tab w:val="left" w:pos="910"/>
        </w:tabs>
        <w:spacing w:before="153"/>
        <w:rPr>
          <w:rFonts w:ascii="黑体" w:eastAsia="黑体"/>
          <w:sz w:val="24"/>
        </w:rPr>
      </w:pPr>
      <w:bookmarkStart w:id="42" w:name="_bookmark52"/>
      <w:bookmarkEnd w:id="42"/>
      <w:bookmarkStart w:id="43" w:name="_bookmark53"/>
      <w:bookmarkEnd w:id="43"/>
      <w:r>
        <w:rPr>
          <w:rFonts w:hint="eastAsia" w:ascii="黑体" w:eastAsia="黑体"/>
          <w:sz w:val="24"/>
        </w:rPr>
        <w:t>资格审查资料</w:t>
      </w:r>
    </w:p>
    <w:p>
      <w:pPr>
        <w:pStyle w:val="11"/>
        <w:spacing w:line="312" w:lineRule="auto"/>
        <w:ind w:left="369" w:right="326" w:firstLine="479"/>
        <w:jc w:val="both"/>
      </w:pPr>
      <w:r>
        <w:rPr>
          <w:spacing w:val="-6"/>
        </w:rPr>
        <w:t>除投标人须知前附表另有规定外，投标人应按下列规定提供资格审查资料，以证</w:t>
      </w:r>
      <w:r>
        <w:rPr>
          <w:spacing w:val="-13"/>
        </w:rPr>
        <w:t xml:space="preserve">明其满足本章第 </w:t>
      </w:r>
      <w:r>
        <w:rPr>
          <w:rFonts w:ascii="Times New Roman" w:eastAsia="Times New Roman"/>
        </w:rPr>
        <w:t xml:space="preserve">1.4 </w:t>
      </w:r>
      <w:r>
        <w:t>款规定的资质、财务、业绩、信誉等要求。</w:t>
      </w:r>
    </w:p>
    <w:p>
      <w:pPr>
        <w:pStyle w:val="20"/>
        <w:numPr>
          <w:ilvl w:val="2"/>
          <w:numId w:val="4"/>
        </w:numPr>
        <w:tabs>
          <w:tab w:val="left" w:pos="1450"/>
        </w:tabs>
        <w:spacing w:before="2"/>
        <w:ind w:firstLine="480"/>
        <w:rPr>
          <w:sz w:val="24"/>
        </w:rPr>
      </w:pPr>
      <w:r>
        <w:rPr>
          <w:sz w:val="24"/>
        </w:rPr>
        <w:t>“投标人基本情况表”应附企业法人营业执照副本和组织机构代码证副本</w:t>
      </w:r>
    </w:p>
    <w:p>
      <w:pPr>
        <w:pStyle w:val="11"/>
        <w:spacing w:before="91" w:line="312" w:lineRule="auto"/>
        <w:ind w:left="369" w:right="207" w:hanging="120"/>
      </w:pPr>
      <w:r>
        <w:t>（按照</w:t>
      </w:r>
      <w:r>
        <w:rPr>
          <w:rFonts w:ascii="Times New Roman" w:hAnsi="Times New Roman" w:eastAsia="Times New Roman"/>
        </w:rPr>
        <w:t>“</w:t>
      </w:r>
      <w:r>
        <w:t>三证合一</w:t>
      </w:r>
      <w:r>
        <w:rPr>
          <w:rFonts w:ascii="Times New Roman" w:hAnsi="Times New Roman" w:eastAsia="Times New Roman"/>
        </w:rPr>
        <w:t>”</w:t>
      </w:r>
      <w:r>
        <w:t>或</w:t>
      </w:r>
      <w:r>
        <w:rPr>
          <w:rFonts w:ascii="Times New Roman" w:hAnsi="Times New Roman" w:eastAsia="Times New Roman"/>
        </w:rPr>
        <w:t>“</w:t>
      </w:r>
      <w:r>
        <w:t>五证合一</w:t>
      </w:r>
      <w:r>
        <w:rPr>
          <w:rFonts w:ascii="Times New Roman" w:hAnsi="Times New Roman" w:eastAsia="Times New Roman"/>
        </w:rPr>
        <w:t>”</w:t>
      </w:r>
      <w:r>
        <w:rPr>
          <w:spacing w:val="-12"/>
        </w:rPr>
        <w:t>登记制度进行登记的，可仅提供营业执照副本，下同</w:t>
      </w:r>
      <w:r>
        <w:rPr>
          <w:spacing w:val="-120"/>
        </w:rPr>
        <w:t>）</w:t>
      </w:r>
      <w:r>
        <w:t>、施工资质证书副本、安全生产许可证副本、基本账户开户许可证的复印件</w:t>
      </w:r>
      <w:r>
        <w:rPr>
          <w:position w:val="11"/>
          <w:sz w:val="12"/>
        </w:rPr>
        <w:t>①</w:t>
      </w:r>
      <w:r>
        <w:t>，投标人</w:t>
      </w:r>
      <w:r>
        <w:rPr>
          <w:spacing w:val="-9"/>
        </w:rPr>
        <w:t>在交通运输部“全国公路建设市场信用信息管理系统”公路工程施工资质企业名录中</w:t>
      </w:r>
      <w:r>
        <w:rPr>
          <w:spacing w:val="-13"/>
        </w:rPr>
        <w:t>的网页截图复印件，以及投标人在国家企业信用信息公示系统中基础信息</w:t>
      </w:r>
      <w:r>
        <w:t>（体现股东及出资详细信息</w:t>
      </w:r>
      <w:r>
        <w:rPr>
          <w:spacing w:val="-92"/>
        </w:rPr>
        <w:t>）</w:t>
      </w:r>
      <w:r>
        <w:t>的网页截图或由法定的社会验资机构出具的验资报告或注册地工商部门出具的股东出资情况证明复印件。</w:t>
      </w:r>
    </w:p>
    <w:p>
      <w:pPr>
        <w:pStyle w:val="11"/>
        <w:spacing w:before="2" w:line="312" w:lineRule="auto"/>
        <w:ind w:left="369" w:right="208" w:firstLine="479"/>
      </w:pPr>
      <w:r>
        <w:rPr>
          <w:spacing w:val="-5"/>
        </w:rPr>
        <w:t>企业法人营业执照副本和组织机构代码证副本、施工资质证书副本、安全生产许</w:t>
      </w:r>
      <w:r>
        <w:rPr>
          <w:spacing w:val="-15"/>
        </w:rPr>
        <w:t>可证副本、基本账户开户许可证的复印件应提供全本</w:t>
      </w:r>
      <w:r>
        <w:t>（</w:t>
      </w:r>
      <w:r>
        <w:rPr>
          <w:spacing w:val="-15"/>
        </w:rPr>
        <w:t>证书封面、封底、空白页除外</w:t>
      </w:r>
      <w:r>
        <w:rPr>
          <w:spacing w:val="-120"/>
        </w:rPr>
        <w:t>）</w:t>
      </w:r>
      <w:r>
        <w:t>，</w:t>
      </w:r>
      <w:r>
        <w:rPr>
          <w:spacing w:val="-7"/>
        </w:rPr>
        <w:t>应包括投标人名称、投标人其他相关信息、颁发机构名称、投标人信息变更情况等关键页在内，并逐页加盖投标人单位章。</w:t>
      </w:r>
    </w:p>
    <w:p>
      <w:pPr>
        <w:pStyle w:val="20"/>
        <w:numPr>
          <w:ilvl w:val="2"/>
          <w:numId w:val="4"/>
        </w:numPr>
        <w:tabs>
          <w:tab w:val="left" w:pos="1450"/>
        </w:tabs>
        <w:spacing w:before="2" w:line="312" w:lineRule="auto"/>
        <w:ind w:right="326" w:firstLine="480"/>
        <w:jc w:val="both"/>
        <w:rPr>
          <w:sz w:val="24"/>
        </w:rPr>
      </w:pPr>
      <w:r>
        <w:rPr>
          <w:sz w:val="24"/>
        </w:rPr>
        <w:t>“财务状况表”应附经会计师事务所或审计机构审计的财务会计报表，包</w:t>
      </w:r>
      <w:r>
        <w:rPr>
          <w:spacing w:val="-9"/>
          <w:sz w:val="24"/>
        </w:rPr>
        <w:t>括资产负债表、现金流量表、利润表和财务情况说明书的复印件，具体年份要求见投</w:t>
      </w:r>
      <w:r>
        <w:rPr>
          <w:spacing w:val="-13"/>
          <w:sz w:val="24"/>
        </w:rPr>
        <w:t>标人须知前附表。投标人的成立时间少于投标人须知前附表规定年份的，应提供成立以来的财务状况表。</w:t>
      </w:r>
    </w:p>
    <w:p>
      <w:pPr>
        <w:pStyle w:val="20"/>
        <w:numPr>
          <w:ilvl w:val="2"/>
          <w:numId w:val="4"/>
        </w:numPr>
        <w:tabs>
          <w:tab w:val="left" w:pos="1450"/>
        </w:tabs>
        <w:spacing w:before="2" w:line="312" w:lineRule="auto"/>
        <w:ind w:right="325" w:firstLine="480"/>
        <w:jc w:val="both"/>
        <w:rPr>
          <w:sz w:val="24"/>
        </w:rPr>
      </w:pPr>
      <w:r>
        <w:rPr>
          <w:sz w:val="24"/>
        </w:rPr>
        <w:t>“近年完成的类似项目”应是已列入交通运输主管部门“公路建设市场信</w:t>
      </w:r>
      <w:r>
        <w:rPr>
          <w:spacing w:val="-8"/>
          <w:sz w:val="24"/>
        </w:rPr>
        <w:t>用信息管理系统”并公开的主包已建业绩或分包已建业绩，具体时间要求见投标人须知前附表。</w:t>
      </w:r>
    </w:p>
    <w:p>
      <w:pPr>
        <w:pStyle w:val="11"/>
        <w:spacing w:before="1" w:line="312" w:lineRule="auto"/>
        <w:ind w:left="369" w:right="322" w:firstLine="360"/>
        <w:jc w:val="both"/>
      </w:pPr>
      <w:r>
        <w:t>“近年完成的类似项目情况表”应附在交通运输部“全国公路建设市场信用信息</w:t>
      </w:r>
      <w:r>
        <w:rPr>
          <w:spacing w:val="-23"/>
        </w:rPr>
        <w:t>管理系统”</w:t>
      </w:r>
      <w:r>
        <w:rPr>
          <w:spacing w:val="1"/>
        </w:rPr>
        <w:t>（网址：</w:t>
      </w:r>
      <w:r>
        <w:fldChar w:fldCharType="begin"/>
      </w:r>
      <w:r>
        <w:instrText xml:space="preserve"> HYPERLINK "http://glxy.mot.gov.cn/BM/" \h </w:instrText>
      </w:r>
      <w:r>
        <w:fldChar w:fldCharType="separate"/>
      </w:r>
      <w:r>
        <w:rPr>
          <w:rFonts w:ascii="Times New Roman" w:hAnsi="Times New Roman" w:eastAsia="Times New Roman"/>
          <w:spacing w:val="-3"/>
        </w:rPr>
        <w:t>h</w:t>
      </w:r>
      <w:r>
        <w:rPr>
          <w:rFonts w:ascii="Times New Roman" w:hAnsi="Times New Roman" w:eastAsia="Times New Roman"/>
        </w:rPr>
        <w:t>tt</w:t>
      </w:r>
      <w:r>
        <w:rPr>
          <w:rFonts w:ascii="Times New Roman" w:hAnsi="Times New Roman" w:eastAsia="Times New Roman"/>
          <w:spacing w:val="-3"/>
        </w:rPr>
        <w:t>p</w:t>
      </w:r>
      <w:r>
        <w:rPr>
          <w:rFonts w:ascii="Times New Roman" w:hAnsi="Times New Roman" w:eastAsia="Times New Roman"/>
        </w:rPr>
        <w:t>://</w:t>
      </w:r>
      <w:r>
        <w:rPr>
          <w:rFonts w:ascii="Times New Roman" w:hAnsi="Times New Roman" w:eastAsia="Times New Roman"/>
          <w:spacing w:val="-2"/>
        </w:rPr>
        <w:t>g</w:t>
      </w:r>
      <w:r>
        <w:rPr>
          <w:rFonts w:ascii="Times New Roman" w:hAnsi="Times New Roman" w:eastAsia="Times New Roman"/>
        </w:rPr>
        <w:t>l</w:t>
      </w:r>
      <w:r>
        <w:rPr>
          <w:rFonts w:ascii="Times New Roman" w:hAnsi="Times New Roman" w:eastAsia="Times New Roman"/>
          <w:spacing w:val="5"/>
        </w:rPr>
        <w:t>x</w:t>
      </w:r>
      <w:r>
        <w:rPr>
          <w:rFonts w:ascii="Times New Roman" w:hAnsi="Times New Roman" w:eastAsia="Times New Roman"/>
          <w:spacing w:val="-22"/>
        </w:rPr>
        <w:t>y</w:t>
      </w:r>
      <w:r>
        <w:rPr>
          <w:rFonts w:ascii="Times New Roman" w:hAnsi="Times New Roman" w:eastAsia="Times New Roman"/>
        </w:rPr>
        <w:t>.mot.</w:t>
      </w:r>
      <w:r>
        <w:rPr>
          <w:rFonts w:ascii="Times New Roman" w:hAnsi="Times New Roman" w:eastAsia="Times New Roman"/>
          <w:spacing w:val="-3"/>
        </w:rPr>
        <w:t>g</w:t>
      </w:r>
      <w:r>
        <w:rPr>
          <w:rFonts w:ascii="Times New Roman" w:hAnsi="Times New Roman" w:eastAsia="Times New Roman"/>
        </w:rPr>
        <w:t>o</w:t>
      </w:r>
      <w:r>
        <w:rPr>
          <w:rFonts w:ascii="Times New Roman" w:hAnsi="Times New Roman" w:eastAsia="Times New Roman"/>
          <w:spacing w:val="-15"/>
        </w:rPr>
        <w:t>v</w:t>
      </w:r>
      <w:r>
        <w:rPr>
          <w:rFonts w:ascii="Times New Roman" w:hAnsi="Times New Roman" w:eastAsia="Times New Roman"/>
        </w:rPr>
        <w:t>.</w:t>
      </w:r>
      <w:r>
        <w:rPr>
          <w:rFonts w:ascii="Times New Roman" w:hAnsi="Times New Roman" w:eastAsia="Times New Roman"/>
          <w:spacing w:val="-1"/>
        </w:rPr>
        <w:t>c</w:t>
      </w:r>
      <w:r>
        <w:rPr>
          <w:rFonts w:ascii="Times New Roman" w:hAnsi="Times New Roman" w:eastAsia="Times New Roman"/>
        </w:rPr>
        <w:t>n</w:t>
      </w:r>
      <w:r>
        <w:rPr>
          <w:rFonts w:ascii="Times New Roman" w:hAnsi="Times New Roman" w:eastAsia="Times New Roman"/>
          <w:spacing w:val="1"/>
        </w:rPr>
        <w:t>/</w:t>
      </w:r>
      <w:r>
        <w:rPr>
          <w:rFonts w:ascii="Times New Roman" w:hAnsi="Times New Roman" w:eastAsia="Times New Roman"/>
          <w:spacing w:val="-2"/>
        </w:rPr>
        <w:t>B</w:t>
      </w:r>
      <w:r>
        <w:rPr>
          <w:rFonts w:ascii="Times New Roman" w:hAnsi="Times New Roman" w:eastAsia="Times New Roman"/>
          <w:w w:val="99"/>
        </w:rPr>
        <w:t>M</w:t>
      </w:r>
      <w:r>
        <w:rPr>
          <w:rFonts w:ascii="Times New Roman" w:hAnsi="Times New Roman" w:eastAsia="Times New Roman"/>
          <w:spacing w:val="5"/>
          <w:w w:val="99"/>
        </w:rPr>
        <w:t>/</w:t>
      </w:r>
      <w:r>
        <w:rPr>
          <w:rFonts w:ascii="Times New Roman" w:hAnsi="Times New Roman" w:eastAsia="Times New Roman"/>
          <w:spacing w:val="5"/>
          <w:w w:val="99"/>
        </w:rPr>
        <w:fldChar w:fldCharType="end"/>
      </w:r>
      <w:r>
        <w:rPr>
          <w:spacing w:val="1"/>
        </w:rPr>
        <w:t>）</w:t>
      </w:r>
      <w:r>
        <w:t>中查询到的企业“业绩信息”相关项</w:t>
      </w:r>
      <w:r>
        <w:rPr>
          <w:spacing w:val="-4"/>
        </w:rPr>
        <w:t>目网页截图复印件，即包括“项目名称</w:t>
      </w:r>
      <w:r>
        <w:rPr>
          <w:spacing w:val="-30"/>
        </w:rPr>
        <w:t>”“标段类型”“合同价”“主要工程量”“项目</w:t>
      </w:r>
      <w:r>
        <w:rPr>
          <w:spacing w:val="-7"/>
        </w:rPr>
        <w:t>主要管理人员”等栏目在内的项目详细信息网页截图复印件。在交通运输部“全国公</w:t>
      </w:r>
      <w:r>
        <w:rPr>
          <w:spacing w:val="-11"/>
        </w:rPr>
        <w:t>路建设市场信用信息管理系统”中无法查询，但可在省级交通运输主管部门“公路建</w:t>
      </w:r>
      <w:r>
        <w:rPr>
          <w:spacing w:val="-15"/>
        </w:rPr>
        <w:t>设市场信用信息管理系统”中查询的，应附省级交通运输主管部门“公路建设市场信</w:t>
      </w:r>
      <w:r>
        <w:rPr>
          <w:spacing w:val="-14"/>
        </w:rPr>
        <w:t>用信息管理系统”中查询到的网页截图复印件。除网页截图复印件外，投标人无须再提供任何业绩证明材料。</w:t>
      </w:r>
    </w:p>
    <w:p>
      <w:pPr>
        <w:pStyle w:val="11"/>
        <w:spacing w:line="312" w:lineRule="auto"/>
        <w:ind w:left="369" w:right="324" w:firstLine="479"/>
        <w:jc w:val="both"/>
      </w:pPr>
      <w:r>
        <w:t>如投标人未提供相关项目网页截图复印件或相关项目网页截图中的信息无法证实投标人满足招标文件规定的资格审查条件</w:t>
      </w:r>
      <w:r>
        <w:rPr>
          <w:spacing w:val="1"/>
        </w:rPr>
        <w:t>（</w:t>
      </w:r>
      <w:r>
        <w:t>业绩最低要求</w:t>
      </w:r>
      <w:r>
        <w:rPr>
          <w:spacing w:val="-118"/>
        </w:rPr>
        <w:t>）</w:t>
      </w:r>
      <w:r>
        <w:t>，则该项目业绩不予认定。</w:t>
      </w:r>
    </w:p>
    <w:p>
      <w:pPr>
        <w:pStyle w:val="20"/>
        <w:numPr>
          <w:ilvl w:val="2"/>
          <w:numId w:val="4"/>
        </w:numPr>
        <w:tabs>
          <w:tab w:val="left" w:pos="1450"/>
        </w:tabs>
        <w:spacing w:before="1" w:line="312" w:lineRule="auto"/>
        <w:ind w:right="324" w:firstLine="480"/>
        <w:jc w:val="both"/>
        <w:rPr>
          <w:sz w:val="24"/>
        </w:rPr>
      </w:pPr>
      <w:r>
        <w:rPr>
          <w:sz w:val="24"/>
        </w:rPr>
        <w:t>“投标人的信誉情况表”应附投标人在国家企业信用信息公示系统中未被</w:t>
      </w:r>
      <w:r>
        <w:rPr>
          <w:spacing w:val="-8"/>
          <w:sz w:val="24"/>
        </w:rPr>
        <w:t>列入严重违法失信企业名单、在“信用中国”网站中未被列入失信被执行人名单的网</w:t>
      </w:r>
      <w:r>
        <w:rPr>
          <w:spacing w:val="-12"/>
          <w:sz w:val="24"/>
        </w:rPr>
        <w:t>页截图复印件，以及由项目所在地或投标人住所地检察机关职务犯罪预防部门出具的</w:t>
      </w:r>
      <w:r>
        <w:rPr>
          <w:spacing w:val="-16"/>
          <w:sz w:val="24"/>
        </w:rPr>
        <w:t>近三年内投标人及其法定代表人、拟委任的项目经理均无行贿犯罪行为的查询记录证明原件。</w:t>
      </w:r>
    </w:p>
    <w:p>
      <w:pPr>
        <w:pStyle w:val="20"/>
        <w:numPr>
          <w:ilvl w:val="2"/>
          <w:numId w:val="4"/>
        </w:numPr>
        <w:tabs>
          <w:tab w:val="left" w:pos="1450"/>
        </w:tabs>
        <w:spacing w:before="1" w:line="312" w:lineRule="auto"/>
        <w:ind w:right="324" w:firstLine="480"/>
        <w:jc w:val="both"/>
        <w:rPr>
          <w:sz w:val="24"/>
        </w:rPr>
      </w:pPr>
      <w:r>
        <w:rPr>
          <w:sz w:val="24"/>
        </w:rPr>
        <w:t>“拟委任的项目经理和项目总工资历表”应附项目经理和项目总工的身份</w:t>
      </w:r>
      <w:r>
        <w:rPr>
          <w:spacing w:val="-7"/>
          <w:sz w:val="24"/>
        </w:rPr>
        <w:t>证、职称资格证书以及资格审查条件所要求的其他相关证书</w:t>
      </w:r>
      <w:r>
        <w:rPr>
          <w:sz w:val="24"/>
        </w:rPr>
        <w:t>（</w:t>
      </w:r>
      <w:r>
        <w:rPr>
          <w:spacing w:val="-4"/>
          <w:sz w:val="24"/>
        </w:rPr>
        <w:t>如建造师注册证书、安全生产考核合格证书等</w:t>
      </w:r>
      <w:r>
        <w:rPr>
          <w:spacing w:val="-32"/>
          <w:sz w:val="24"/>
        </w:rPr>
        <w:t>）</w:t>
      </w:r>
      <w:r>
        <w:rPr>
          <w:spacing w:val="-8"/>
          <w:sz w:val="24"/>
        </w:rPr>
        <w:t>的复印件，建造师注册证书、安全生产考核合格证书在政府</w:t>
      </w:r>
      <w:r>
        <w:rPr>
          <w:spacing w:val="-13"/>
          <w:sz w:val="24"/>
        </w:rPr>
        <w:t>相关部门网站上公开信息的网页截图复印件，以及投标人所属社保机构出具的拟委任</w:t>
      </w:r>
      <w:r>
        <w:rPr>
          <w:sz w:val="24"/>
        </w:rPr>
        <w:t>的项目经理和项目总工的社保缴费证明或其他能够证明拟委任的项目经理和项目总工参加社保的有效证明材料复印件。</w:t>
      </w:r>
    </w:p>
    <w:p>
      <w:pPr>
        <w:pStyle w:val="11"/>
        <w:spacing w:before="2" w:line="312" w:lineRule="auto"/>
        <w:ind w:left="369" w:right="322" w:firstLine="360"/>
        <w:jc w:val="both"/>
      </w:pPr>
      <w:r>
        <w:t>“拟委任的项目经理和项目总工资历表”还应附交通运输部“全国公路建设市场</w:t>
      </w:r>
      <w:r>
        <w:rPr>
          <w:spacing w:val="-9"/>
        </w:rPr>
        <w:t>信用信息管理系统”中载明的、能够证明项目经理和项目总工具有相关业绩的网页截</w:t>
      </w:r>
      <w:r>
        <w:rPr>
          <w:spacing w:val="-12"/>
        </w:rPr>
        <w:t>图复印件。在交通运输部“全国公路建设市场信用信息管理系统”中无法查询，但可</w:t>
      </w:r>
      <w:r>
        <w:rPr>
          <w:spacing w:val="-14"/>
        </w:rPr>
        <w:t>在省级交通运输主管部门“公路建设市场信用信息管理系统”中查询的，应附省级交</w:t>
      </w:r>
      <w:r>
        <w:rPr>
          <w:spacing w:val="-13"/>
        </w:rPr>
        <w:t>通运输主管部门“公路建设市场信用信息管理系统”中查询到的网页截图复印件。除</w:t>
      </w:r>
      <w:r>
        <w:rPr>
          <w:spacing w:val="-15"/>
        </w:rPr>
        <w:t>网页截图复印件外，投标人无须再提供任何业绩证明材料。如投标人未提供相关业绩</w:t>
      </w:r>
      <w:r>
        <w:t>网页截图复印件或相关业绩网页截图中的信息无法证实投标人满足招标文件规定的</w:t>
      </w:r>
      <w:r>
        <w:rPr>
          <w:spacing w:val="-1"/>
        </w:rPr>
        <w:t>资格审查条件</w:t>
      </w:r>
      <w:r>
        <w:t>（项目经理和项目总工最低要求</w:t>
      </w:r>
      <w:r>
        <w:rPr>
          <w:spacing w:val="-120"/>
        </w:rPr>
        <w:t>）</w:t>
      </w:r>
      <w:r>
        <w:t>，则该业绩不予认定。</w:t>
      </w:r>
    </w:p>
    <w:p>
      <w:pPr>
        <w:pStyle w:val="11"/>
        <w:spacing w:before="4" w:line="312" w:lineRule="auto"/>
        <w:ind w:left="369" w:right="325" w:firstLine="479"/>
        <w:jc w:val="both"/>
      </w:pPr>
      <w:r>
        <w:rPr>
          <w:spacing w:val="-5"/>
        </w:rPr>
        <w:t>如项目经理或项目总工目前仍在其他项目上任职，则投标人应提供由该项目发包人出具的、承诺上述人员能够从该项目撤离的书面证明材料原件。</w:t>
      </w:r>
    </w:p>
    <w:p>
      <w:pPr>
        <w:pStyle w:val="20"/>
        <w:numPr>
          <w:ilvl w:val="2"/>
          <w:numId w:val="4"/>
        </w:numPr>
        <w:tabs>
          <w:tab w:val="left" w:pos="1418"/>
        </w:tabs>
        <w:spacing w:line="312" w:lineRule="auto"/>
        <w:ind w:right="324" w:firstLine="480"/>
        <w:jc w:val="both"/>
        <w:rPr>
          <w:sz w:val="24"/>
        </w:rPr>
      </w:pPr>
      <w:r>
        <w:rPr>
          <w:sz w:val="24"/>
        </w:rPr>
        <w:t>“拟委任的其他管理和技术人员汇总表</w:t>
      </w:r>
      <w:r>
        <w:rPr>
          <w:spacing w:val="-152"/>
          <w:sz w:val="24"/>
        </w:rPr>
        <w:t>”</w:t>
      </w:r>
      <w:r>
        <w:rPr>
          <w:sz w:val="24"/>
        </w:rPr>
        <w:t>（如有</w:t>
      </w:r>
      <w:r>
        <w:rPr>
          <w:spacing w:val="-32"/>
          <w:sz w:val="24"/>
        </w:rPr>
        <w:t>）</w:t>
      </w:r>
      <w:r>
        <w:rPr>
          <w:sz w:val="24"/>
        </w:rPr>
        <w:t>应填报满足投标人须知前</w:t>
      </w:r>
      <w:r>
        <w:rPr>
          <w:spacing w:val="-13"/>
          <w:sz w:val="24"/>
        </w:rPr>
        <w:t xml:space="preserve">附表附录 </w:t>
      </w:r>
      <w:r>
        <w:rPr>
          <w:rFonts w:ascii="Times New Roman" w:hAnsi="Times New Roman" w:eastAsia="Times New Roman"/>
          <w:sz w:val="24"/>
        </w:rPr>
        <w:t xml:space="preserve">6 </w:t>
      </w:r>
      <w:r>
        <w:rPr>
          <w:sz w:val="24"/>
        </w:rPr>
        <w:t>规定的其他人员的相关信息</w:t>
      </w:r>
      <w:r>
        <w:rPr>
          <w:spacing w:val="-14"/>
          <w:sz w:val="24"/>
        </w:rPr>
        <w:t>。“拟委任的其他管理和技术人员资历表</w:t>
      </w:r>
      <w:r>
        <w:rPr>
          <w:spacing w:val="-166"/>
          <w:sz w:val="24"/>
        </w:rPr>
        <w:t>”</w:t>
      </w:r>
      <w:r>
        <w:rPr>
          <w:sz w:val="24"/>
        </w:rPr>
        <w:t>（如有</w:t>
      </w:r>
      <w:r>
        <w:rPr>
          <w:spacing w:val="-46"/>
          <w:sz w:val="24"/>
        </w:rPr>
        <w:t>）</w:t>
      </w:r>
      <w:r>
        <w:rPr>
          <w:spacing w:val="-5"/>
          <w:sz w:val="24"/>
        </w:rPr>
        <w:t>中相关人员应附身份证、职称资格证书以及资格审查条件所要求的其他相关证书</w:t>
      </w:r>
      <w:r>
        <w:rPr>
          <w:spacing w:val="-12"/>
          <w:sz w:val="24"/>
        </w:rPr>
        <w:t>的复印件，相关业绩证明材料复印件，以及投标人所属社保机构出具的社保缴费证明或其他能够证明其参加社保的有效证明材料复印件。</w:t>
      </w:r>
    </w:p>
    <w:p>
      <w:pPr>
        <w:pStyle w:val="20"/>
        <w:numPr>
          <w:ilvl w:val="2"/>
          <w:numId w:val="4"/>
        </w:numPr>
        <w:tabs>
          <w:tab w:val="left" w:pos="1380"/>
        </w:tabs>
        <w:spacing w:before="74" w:line="312" w:lineRule="auto"/>
        <w:ind w:right="204" w:firstLine="480"/>
        <w:rPr>
          <w:sz w:val="24"/>
        </w:rPr>
      </w:pPr>
      <w:r>
        <w:rPr>
          <w:sz w:val="24"/>
        </w:rPr>
        <w:t>“拟投入本标段的主要施工机械表</w:t>
      </w:r>
      <w:r>
        <w:rPr>
          <w:spacing w:val="-18"/>
          <w:sz w:val="24"/>
        </w:rPr>
        <w:t>”“拟配备本标段的主要材料试验、测量、</w:t>
      </w:r>
      <w:r>
        <w:rPr>
          <w:spacing w:val="-29"/>
          <w:sz w:val="24"/>
        </w:rPr>
        <w:t>质检仪器设备表”</w:t>
      </w:r>
      <w:r>
        <w:rPr>
          <w:sz w:val="24"/>
        </w:rPr>
        <w:t>（如有）</w:t>
      </w:r>
      <w:r>
        <w:rPr>
          <w:spacing w:val="-3"/>
          <w:sz w:val="24"/>
        </w:rPr>
        <w:t xml:space="preserve">应填报满足投标人须知前附表附录 </w:t>
      </w:r>
      <w:r>
        <w:rPr>
          <w:rFonts w:ascii="Times New Roman" w:hAnsi="Times New Roman" w:eastAsia="Times New Roman"/>
          <w:sz w:val="24"/>
        </w:rPr>
        <w:t>7</w:t>
      </w:r>
      <w:r>
        <w:rPr>
          <w:rFonts w:ascii="Times New Roman" w:hAnsi="Times New Roman" w:eastAsia="Times New Roman"/>
          <w:spacing w:val="13"/>
          <w:sz w:val="24"/>
        </w:rPr>
        <w:t xml:space="preserve"> </w:t>
      </w:r>
      <w:r>
        <w:rPr>
          <w:sz w:val="24"/>
        </w:rPr>
        <w:t>规定的机械设备和试验检测设备。</w:t>
      </w:r>
    </w:p>
    <w:p>
      <w:pPr>
        <w:pStyle w:val="20"/>
        <w:numPr>
          <w:ilvl w:val="2"/>
          <w:numId w:val="4"/>
        </w:numPr>
        <w:tabs>
          <w:tab w:val="left" w:pos="1450"/>
        </w:tabs>
        <w:spacing w:before="1" w:line="312" w:lineRule="auto"/>
        <w:ind w:right="324" w:firstLine="480"/>
        <w:rPr>
          <w:sz w:val="24"/>
        </w:rPr>
      </w:pPr>
      <w:r>
        <w:rPr>
          <w:spacing w:val="-3"/>
          <w:sz w:val="24"/>
        </w:rPr>
        <w:t xml:space="preserve">投标人须知前附表规定接受联合体投标的，本章第 </w:t>
      </w:r>
      <w:r>
        <w:rPr>
          <w:rFonts w:ascii="Times New Roman" w:eastAsia="Times New Roman"/>
          <w:sz w:val="24"/>
        </w:rPr>
        <w:t>3.5.1</w:t>
      </w:r>
      <w:r>
        <w:rPr>
          <w:rFonts w:ascii="Times New Roman" w:eastAsia="Times New Roman"/>
          <w:spacing w:val="5"/>
          <w:sz w:val="24"/>
        </w:rPr>
        <w:t xml:space="preserve"> </w:t>
      </w:r>
      <w:r>
        <w:rPr>
          <w:spacing w:val="-14"/>
          <w:sz w:val="24"/>
        </w:rPr>
        <w:t xml:space="preserve">项至第 </w:t>
      </w:r>
      <w:r>
        <w:rPr>
          <w:rFonts w:ascii="Times New Roman" w:eastAsia="Times New Roman"/>
          <w:sz w:val="24"/>
        </w:rPr>
        <w:t>3.5.7</w:t>
      </w:r>
      <w:r>
        <w:rPr>
          <w:rFonts w:ascii="Times New Roman" w:eastAsia="Times New Roman"/>
          <w:spacing w:val="5"/>
          <w:sz w:val="24"/>
        </w:rPr>
        <w:t xml:space="preserve"> </w:t>
      </w:r>
      <w:r>
        <w:rPr>
          <w:sz w:val="24"/>
        </w:rPr>
        <w:t>项规定的表格和资料应包括联合体各方相关情况。</w:t>
      </w:r>
    </w:p>
    <w:p>
      <w:pPr>
        <w:pStyle w:val="20"/>
        <w:numPr>
          <w:ilvl w:val="2"/>
          <w:numId w:val="4"/>
        </w:numPr>
        <w:tabs>
          <w:tab w:val="left" w:pos="1450"/>
        </w:tabs>
        <w:spacing w:line="312" w:lineRule="auto"/>
        <w:ind w:right="329" w:firstLine="480"/>
        <w:rPr>
          <w:sz w:val="24"/>
        </w:rPr>
      </w:pPr>
      <w:r>
        <w:rPr>
          <w:sz w:val="24"/>
        </w:rPr>
        <w:t>除合同条款约定的特殊情形外，投标人在投标文件中填报的项目经理和项目总工不允许更换。</w:t>
      </w:r>
    </w:p>
    <w:p>
      <w:pPr>
        <w:pStyle w:val="20"/>
        <w:numPr>
          <w:ilvl w:val="2"/>
          <w:numId w:val="4"/>
        </w:numPr>
        <w:tabs>
          <w:tab w:val="left" w:pos="1570"/>
        </w:tabs>
        <w:spacing w:line="312" w:lineRule="auto"/>
        <w:ind w:right="233" w:firstLine="480"/>
        <w:rPr>
          <w:sz w:val="24"/>
        </w:rPr>
      </w:pPr>
      <w:r>
        <w:rPr>
          <w:sz w:val="24"/>
        </w:rPr>
        <w:t>投标人在投标文件中填报的资质、业绩、主要人员资历和目前在岗情况、</w:t>
      </w:r>
      <w:r>
        <w:rPr>
          <w:spacing w:val="-8"/>
          <w:sz w:val="24"/>
        </w:rPr>
        <w:t>信用等级等信息，应与其在交通运输主管部门“公路建设市场信用信息管理系统”上</w:t>
      </w:r>
      <w:r>
        <w:rPr>
          <w:sz w:val="24"/>
        </w:rPr>
        <w:t>填报并发布的相关信息一致。投标人应根据本单位实际情况及时完成相关信息的申报、录入和动态更新，并对相关信息的真实性、完整性和准确性负责。</w:t>
      </w:r>
    </w:p>
    <w:p>
      <w:pPr>
        <w:pStyle w:val="20"/>
        <w:numPr>
          <w:ilvl w:val="2"/>
          <w:numId w:val="4"/>
        </w:numPr>
        <w:tabs>
          <w:tab w:val="left" w:pos="1560"/>
        </w:tabs>
        <w:spacing w:before="2" w:line="312" w:lineRule="auto"/>
        <w:ind w:right="324" w:firstLine="480"/>
        <w:rPr>
          <w:sz w:val="24"/>
        </w:rPr>
      </w:pPr>
      <w:r>
        <w:rPr>
          <w:spacing w:val="-6"/>
          <w:sz w:val="24"/>
        </w:rPr>
        <w:t>招标人有权核查投标人在资格预审申请文件和投标文件中提供的资料，若</w:t>
      </w:r>
      <w:r>
        <w:rPr>
          <w:spacing w:val="-5"/>
          <w:sz w:val="24"/>
        </w:rPr>
        <w:t>在评标期间发现投标人提供了虚假资料，其投标将被否决；若在签订合同前发现作为</w:t>
      </w:r>
      <w:r>
        <w:rPr>
          <w:spacing w:val="-10"/>
          <w:sz w:val="24"/>
        </w:rPr>
        <w:t>中标候选人的投标人提供了虚假资料，招标人有权取消其中标资格；若在合同实施期</w:t>
      </w:r>
      <w:r>
        <w:rPr>
          <w:spacing w:val="-15"/>
          <w:sz w:val="24"/>
        </w:rPr>
        <w:t>间发现投标人提供了虚假资料，招标人有权从工程支付款或履约保证金中扣除不超过</w:t>
      </w:r>
      <w:r>
        <w:rPr>
          <w:rFonts w:ascii="Times New Roman" w:eastAsia="Times New Roman"/>
          <w:spacing w:val="-15"/>
          <w:sz w:val="24"/>
        </w:rPr>
        <w:t>10</w:t>
      </w:r>
      <w:r>
        <w:rPr>
          <w:spacing w:val="-18"/>
          <w:sz w:val="24"/>
        </w:rPr>
        <w:t>％签约合同价的金额作为违约金。同时招标人将投标人上述弄虚作假行为上报省级交通运输主管部门，作为不良记录纳入公路建设市场信用信息管理系统。</w:t>
      </w:r>
    </w:p>
    <w:p>
      <w:pPr>
        <w:pStyle w:val="20"/>
        <w:numPr>
          <w:ilvl w:val="1"/>
          <w:numId w:val="4"/>
        </w:numPr>
        <w:tabs>
          <w:tab w:val="left" w:pos="850"/>
        </w:tabs>
        <w:spacing w:before="151"/>
        <w:ind w:left="849" w:hanging="480"/>
        <w:rPr>
          <w:rFonts w:ascii="黑体" w:eastAsia="黑体"/>
          <w:sz w:val="24"/>
        </w:rPr>
      </w:pPr>
      <w:bookmarkStart w:id="44" w:name="_bookmark54"/>
      <w:bookmarkEnd w:id="44"/>
      <w:bookmarkStart w:id="45" w:name="_bookmark55"/>
      <w:bookmarkEnd w:id="45"/>
      <w:r>
        <w:rPr>
          <w:rFonts w:hint="eastAsia" w:ascii="黑体" w:eastAsia="黑体"/>
          <w:sz w:val="24"/>
        </w:rPr>
        <w:t>投标文件的编制</w:t>
      </w:r>
    </w:p>
    <w:p>
      <w:pPr>
        <w:pStyle w:val="11"/>
        <w:rPr>
          <w:rFonts w:ascii="黑体"/>
          <w:sz w:val="26"/>
        </w:rPr>
      </w:pPr>
    </w:p>
    <w:p>
      <w:pPr>
        <w:pStyle w:val="20"/>
        <w:numPr>
          <w:ilvl w:val="2"/>
          <w:numId w:val="4"/>
        </w:numPr>
        <w:tabs>
          <w:tab w:val="left" w:pos="1450"/>
        </w:tabs>
        <w:spacing w:line="312" w:lineRule="auto"/>
        <w:ind w:right="205" w:firstLine="480"/>
        <w:jc w:val="both"/>
        <w:rPr>
          <w:sz w:val="24"/>
        </w:rPr>
      </w:pPr>
      <w:r>
        <w:rPr>
          <w:sz w:val="24"/>
        </w:rPr>
        <w:t>投标文件应按第九章</w:t>
      </w:r>
      <w:r>
        <w:rPr>
          <w:rFonts w:ascii="Times New Roman" w:hAnsi="Times New Roman" w:eastAsia="Times New Roman"/>
          <w:sz w:val="24"/>
        </w:rPr>
        <w:t>“</w:t>
      </w:r>
      <w:r>
        <w:rPr>
          <w:sz w:val="24"/>
        </w:rPr>
        <w:t>投标文件格式</w:t>
      </w:r>
      <w:r>
        <w:rPr>
          <w:rFonts w:ascii="Times New Roman" w:hAnsi="Times New Roman" w:eastAsia="Times New Roman"/>
          <w:sz w:val="24"/>
        </w:rPr>
        <w:t>”</w:t>
      </w:r>
      <w:r>
        <w:rPr>
          <w:spacing w:val="-9"/>
          <w:sz w:val="24"/>
        </w:rPr>
        <w:t>进行编写，如有必要，可以增加附页， 作为投标文件的组成部分。其中，投标函附录在满足招标文件实质性要求的基础上， 可以提出比招标文件要求更有利于招标人的承诺。</w:t>
      </w:r>
    </w:p>
    <w:p>
      <w:pPr>
        <w:pStyle w:val="20"/>
        <w:numPr>
          <w:ilvl w:val="2"/>
          <w:numId w:val="4"/>
        </w:numPr>
        <w:tabs>
          <w:tab w:val="left" w:pos="1450"/>
        </w:tabs>
        <w:spacing w:before="2" w:line="312" w:lineRule="auto"/>
        <w:ind w:right="327" w:firstLine="480"/>
        <w:rPr>
          <w:sz w:val="24"/>
        </w:rPr>
      </w:pPr>
      <w:r>
        <w:rPr>
          <w:sz w:val="24"/>
        </w:rPr>
        <w:t>投标文件应对招标文件有关工期、投标有效期、质量要求、安全目标、技术标准和要求、招标范围等实质性内容作出响应。</w:t>
      </w:r>
    </w:p>
    <w:p>
      <w:pPr>
        <w:pStyle w:val="20"/>
        <w:numPr>
          <w:ilvl w:val="2"/>
          <w:numId w:val="4"/>
        </w:numPr>
        <w:tabs>
          <w:tab w:val="left" w:pos="1450"/>
        </w:tabs>
        <w:spacing w:line="307" w:lineRule="exact"/>
        <w:ind w:firstLine="480"/>
        <w:rPr>
          <w:sz w:val="10"/>
        </w:rPr>
      </w:pPr>
      <w:r>
        <w:rPr>
          <w:sz w:val="24"/>
        </w:rPr>
        <w:t>投标文件应用不褪色的材料书写或打印。投标文件格式中明确要求投标人</w:t>
      </w:r>
    </w:p>
    <w:p>
      <w:pPr>
        <w:pStyle w:val="11"/>
        <w:spacing w:before="67" w:line="312" w:lineRule="auto"/>
        <w:ind w:left="369" w:right="233"/>
      </w:pPr>
      <w:r>
        <w:rPr>
          <w:spacing w:val="-5"/>
        </w:rPr>
        <w:t>法定代表人或其委托代理人签字之处，必须由相关人员亲笔签名，不得使用印章、签名章或其他电子制版签名代替；明确要求投标人加盖单位章之处，必须加盖单位章。</w:t>
      </w:r>
      <w:r>
        <w:rPr>
          <w:spacing w:val="-10"/>
        </w:rPr>
        <w:t>其中，投标函、调价函及对投标文件的澄清和说明应加盖投标人单位章，或由投标人的法定代表人或其委托代理人签字。</w:t>
      </w:r>
    </w:p>
    <w:p>
      <w:pPr>
        <w:pStyle w:val="11"/>
        <w:spacing w:line="312" w:lineRule="auto"/>
        <w:ind w:left="369" w:right="325" w:firstLine="479"/>
        <w:jc w:val="both"/>
      </w:pPr>
      <w:r>
        <w:rPr>
          <w:spacing w:val="-6"/>
        </w:rPr>
        <w:t>如果投标文件由委托代理人签署，则投标人须提交授权委托书，授权委托书应按第九章</w:t>
      </w:r>
      <w:r>
        <w:rPr>
          <w:rFonts w:ascii="Times New Roman" w:hAnsi="Times New Roman" w:eastAsia="Times New Roman"/>
          <w:spacing w:val="-6"/>
        </w:rPr>
        <w:t>“</w:t>
      </w:r>
      <w:r>
        <w:rPr>
          <w:spacing w:val="-6"/>
        </w:rPr>
        <w:t>投标文件格式</w:t>
      </w:r>
      <w:r>
        <w:rPr>
          <w:rFonts w:ascii="Times New Roman" w:hAnsi="Times New Roman" w:eastAsia="Times New Roman"/>
          <w:spacing w:val="-6"/>
        </w:rPr>
        <w:t>”</w:t>
      </w:r>
      <w:r>
        <w:rPr>
          <w:spacing w:val="-10"/>
        </w:rPr>
        <w:t>的要求出具，并由法定代表人和委托代理人亲笔签名，不得使用印章、签名章或其他电子制版签名代替。</w:t>
      </w:r>
    </w:p>
    <w:p>
      <w:pPr>
        <w:pStyle w:val="11"/>
        <w:spacing w:line="312" w:lineRule="auto"/>
        <w:ind w:left="369" w:right="324" w:firstLine="479"/>
        <w:jc w:val="both"/>
      </w:pPr>
      <w:r>
        <w:rPr>
          <w:spacing w:val="-5"/>
        </w:rPr>
        <w:t>如果由投标人的法定代表人亲自签署投标文件，则投标人须提交法定代表人身份证明，身份证明应符合第九章</w:t>
      </w:r>
      <w:r>
        <w:rPr>
          <w:rFonts w:ascii="Times New Roman" w:hAnsi="Times New Roman" w:eastAsia="Times New Roman"/>
          <w:spacing w:val="-5"/>
        </w:rPr>
        <w:t>“</w:t>
      </w:r>
      <w:r>
        <w:rPr>
          <w:spacing w:val="-5"/>
        </w:rPr>
        <w:t>投标文件格式</w:t>
      </w:r>
      <w:r>
        <w:rPr>
          <w:rFonts w:ascii="Times New Roman" w:hAnsi="Times New Roman" w:eastAsia="Times New Roman"/>
          <w:spacing w:val="-5"/>
        </w:rPr>
        <w:t>”</w:t>
      </w:r>
      <w:r>
        <w:rPr>
          <w:spacing w:val="-5"/>
        </w:rPr>
        <w:t>的要求。</w:t>
      </w:r>
    </w:p>
    <w:p>
      <w:pPr>
        <w:pStyle w:val="11"/>
        <w:spacing w:before="3" w:line="312" w:lineRule="auto"/>
        <w:ind w:left="369" w:right="324" w:firstLine="479"/>
        <w:jc w:val="both"/>
      </w:pPr>
      <w:r>
        <w:rPr>
          <w:spacing w:val="-8"/>
        </w:rPr>
        <w:t>以联合体形式参与投标的，投标文件由联合体牵头人的法定代表人或其委托代理</w:t>
      </w:r>
      <w:r>
        <w:rPr>
          <w:spacing w:val="-12"/>
        </w:rPr>
        <w:t>人按上述规定签署并加盖联合体牵头人单位章。法定代表人授权委托书或法定代表人身份证明须由联合体牵头人按上述规定出具。</w:t>
      </w:r>
    </w:p>
    <w:p>
      <w:pPr>
        <w:pStyle w:val="11"/>
        <w:spacing w:line="312" w:lineRule="auto"/>
        <w:ind w:left="369" w:right="325" w:firstLine="479"/>
        <w:jc w:val="both"/>
      </w:pPr>
      <w:r>
        <w:rPr>
          <w:spacing w:val="-6"/>
        </w:rPr>
        <w:t>投标文件应尽量避免涂改、行间插字或删除。如果出现上述情况，改动之处应由投标人的法定代表人或其授权的代理人签字或盖单位章。</w:t>
      </w:r>
    </w:p>
    <w:p>
      <w:pPr>
        <w:pStyle w:val="20"/>
        <w:numPr>
          <w:ilvl w:val="2"/>
          <w:numId w:val="4"/>
        </w:numPr>
        <w:tabs>
          <w:tab w:val="left" w:pos="1452"/>
        </w:tabs>
        <w:spacing w:line="312" w:lineRule="auto"/>
        <w:ind w:right="326" w:firstLine="480"/>
        <w:jc w:val="both"/>
        <w:rPr>
          <w:sz w:val="24"/>
        </w:rPr>
      </w:pPr>
      <w:r>
        <w:rPr>
          <w:sz w:val="24"/>
        </w:rPr>
        <w:t>投标文件正本一份</w:t>
      </w:r>
      <w:r>
        <w:rPr>
          <w:rFonts w:ascii="Times New Roman" w:hAnsi="Times New Roman" w:eastAsia="Times New Roman"/>
          <w:spacing w:val="22"/>
          <w:sz w:val="24"/>
        </w:rPr>
        <w:t xml:space="preserve">, </w:t>
      </w:r>
      <w:r>
        <w:rPr>
          <w:sz w:val="24"/>
        </w:rPr>
        <w:t>副本份数见投标人须知前附表。正本和副本的封面右上角上应清楚地标记</w:t>
      </w:r>
      <w:r>
        <w:rPr>
          <w:rFonts w:ascii="Times New Roman" w:hAnsi="Times New Roman" w:eastAsia="Times New Roman"/>
          <w:sz w:val="24"/>
        </w:rPr>
        <w:t>“</w:t>
      </w:r>
      <w:r>
        <w:rPr>
          <w:sz w:val="24"/>
        </w:rPr>
        <w:t>正本</w:t>
      </w:r>
      <w:r>
        <w:rPr>
          <w:rFonts w:ascii="Times New Roman" w:hAnsi="Times New Roman" w:eastAsia="Times New Roman"/>
          <w:sz w:val="24"/>
        </w:rPr>
        <w:t>”</w:t>
      </w:r>
      <w:r>
        <w:rPr>
          <w:sz w:val="24"/>
        </w:rPr>
        <w:t>或</w:t>
      </w:r>
      <w:r>
        <w:rPr>
          <w:rFonts w:ascii="Times New Roman" w:hAnsi="Times New Roman" w:eastAsia="Times New Roman"/>
          <w:sz w:val="24"/>
        </w:rPr>
        <w:t>“</w:t>
      </w:r>
      <w:r>
        <w:rPr>
          <w:sz w:val="24"/>
        </w:rPr>
        <w:t>副本</w:t>
      </w:r>
      <w:r>
        <w:rPr>
          <w:rFonts w:ascii="Times New Roman" w:hAnsi="Times New Roman" w:eastAsia="Times New Roman"/>
          <w:sz w:val="24"/>
        </w:rPr>
        <w:t>”</w:t>
      </w:r>
      <w:r>
        <w:rPr>
          <w:spacing w:val="-6"/>
          <w:sz w:val="24"/>
        </w:rPr>
        <w:t>字样。投标人应根据投标人须知前附表要求提供</w:t>
      </w:r>
      <w:r>
        <w:rPr>
          <w:spacing w:val="-11"/>
          <w:sz w:val="24"/>
        </w:rPr>
        <w:t>电子版文件。当副本和正本不一致或电子版文件和纸质正本文件不一致时，以纸质正本文件为准。</w:t>
      </w:r>
    </w:p>
    <w:p>
      <w:pPr>
        <w:pStyle w:val="20"/>
        <w:numPr>
          <w:ilvl w:val="2"/>
          <w:numId w:val="4"/>
        </w:numPr>
        <w:tabs>
          <w:tab w:val="left" w:pos="1450"/>
        </w:tabs>
        <w:spacing w:before="2" w:line="312" w:lineRule="auto"/>
        <w:ind w:right="324" w:firstLine="480"/>
        <w:jc w:val="both"/>
        <w:rPr>
          <w:sz w:val="24"/>
        </w:rPr>
      </w:pPr>
      <w:r>
        <w:rPr>
          <w:sz w:val="24"/>
        </w:rPr>
        <w:t>投标文件的正本与副本应分别装订成册（</w:t>
      </w:r>
      <w:r>
        <w:rPr>
          <w:rFonts w:ascii="Times New Roman" w:eastAsia="Times New Roman"/>
          <w:spacing w:val="-1"/>
          <w:w w:val="99"/>
          <w:sz w:val="24"/>
        </w:rPr>
        <w:t>A</w:t>
      </w:r>
      <w:r>
        <w:rPr>
          <w:rFonts w:ascii="Times New Roman" w:eastAsia="Times New Roman"/>
          <w:w w:val="99"/>
          <w:sz w:val="24"/>
        </w:rPr>
        <w:t>4</w:t>
      </w:r>
      <w:r>
        <w:rPr>
          <w:rFonts w:ascii="Times New Roman" w:eastAsia="Times New Roman"/>
          <w:spacing w:val="-14"/>
          <w:sz w:val="24"/>
        </w:rPr>
        <w:t xml:space="preserve">  </w:t>
      </w:r>
      <w:r>
        <w:rPr>
          <w:sz w:val="24"/>
        </w:rPr>
        <w:t>纸幅</w:t>
      </w:r>
      <w:r>
        <w:rPr>
          <w:spacing w:val="-120"/>
          <w:sz w:val="24"/>
        </w:rPr>
        <w:t>）</w:t>
      </w:r>
      <w:r>
        <w:rPr>
          <w:sz w:val="24"/>
        </w:rPr>
        <w:t>，编制目录并逐页标注</w:t>
      </w:r>
      <w:r>
        <w:rPr>
          <w:spacing w:val="-10"/>
          <w:sz w:val="24"/>
        </w:rPr>
        <w:t>连续页码。投标文件不得采用活页夹装订，否则，招标人对由于投标文件装订松散而造成的丢失或其他后果不承担任何责任。装订的其他要求见投标人须知前附表。</w:t>
      </w:r>
    </w:p>
    <w:p>
      <w:pPr>
        <w:pStyle w:val="11"/>
        <w:spacing w:before="4"/>
        <w:rPr>
          <w:sz w:val="21"/>
        </w:rPr>
      </w:pPr>
    </w:p>
    <w:p>
      <w:pPr>
        <w:numPr>
          <w:ilvl w:val="0"/>
          <w:numId w:val="2"/>
        </w:numPr>
        <w:tabs>
          <w:tab w:val="left" w:pos="790"/>
        </w:tabs>
        <w:rPr>
          <w:rFonts w:ascii="黑体" w:eastAsia="黑体"/>
          <w:sz w:val="28"/>
        </w:rPr>
      </w:pPr>
      <w:bookmarkStart w:id="46" w:name="_bookmark56"/>
      <w:bookmarkEnd w:id="46"/>
      <w:r>
        <w:rPr>
          <w:rFonts w:hint="eastAsia" w:ascii="黑体" w:eastAsia="黑体"/>
          <w:sz w:val="28"/>
        </w:rPr>
        <w:t>投标</w:t>
      </w:r>
    </w:p>
    <w:p>
      <w:pPr>
        <w:pStyle w:val="20"/>
        <w:numPr>
          <w:ilvl w:val="1"/>
          <w:numId w:val="2"/>
        </w:numPr>
        <w:tabs>
          <w:tab w:val="left" w:pos="850"/>
        </w:tabs>
        <w:spacing w:before="243"/>
        <w:ind w:left="849" w:hanging="480"/>
        <w:rPr>
          <w:rFonts w:ascii="黑体" w:eastAsia="黑体"/>
          <w:sz w:val="24"/>
        </w:rPr>
      </w:pPr>
      <w:bookmarkStart w:id="47" w:name="_bookmark57"/>
      <w:bookmarkEnd w:id="47"/>
      <w:r>
        <w:rPr>
          <w:rFonts w:hint="eastAsia" w:ascii="黑体" w:eastAsia="黑体"/>
          <w:sz w:val="24"/>
        </w:rPr>
        <w:t>投标文件的密封和标识</w:t>
      </w:r>
    </w:p>
    <w:p>
      <w:pPr>
        <w:pStyle w:val="11"/>
        <w:rPr>
          <w:rFonts w:ascii="黑体"/>
          <w:sz w:val="26"/>
        </w:rPr>
      </w:pPr>
    </w:p>
    <w:p>
      <w:pPr>
        <w:pStyle w:val="20"/>
        <w:tabs>
          <w:tab w:val="left" w:pos="1450"/>
        </w:tabs>
        <w:spacing w:before="91" w:line="312" w:lineRule="auto"/>
        <w:ind w:left="449" w:right="205" w:firstLine="456" w:firstLineChars="200"/>
        <w:rPr>
          <w:sz w:val="24"/>
        </w:rPr>
      </w:pPr>
      <w:r>
        <w:rPr>
          <w:rFonts w:hint="eastAsia"/>
          <w:spacing w:val="-6"/>
          <w:sz w:val="24"/>
          <w:lang w:val="en-US"/>
        </w:rPr>
        <w:t xml:space="preserve">4.1.1  </w:t>
      </w:r>
      <w:r>
        <w:rPr>
          <w:spacing w:val="-6"/>
          <w:sz w:val="24"/>
        </w:rPr>
        <w:t>投标文件应采用双信封形式密封。投标文件第一个信封</w:t>
      </w:r>
      <w:r>
        <w:rPr>
          <w:sz w:val="24"/>
        </w:rPr>
        <w:t xml:space="preserve">（商务及技术文件） </w:t>
      </w:r>
      <w:r>
        <w:rPr>
          <w:spacing w:val="-5"/>
          <w:sz w:val="24"/>
        </w:rPr>
        <w:t>以及第二个信封</w:t>
      </w:r>
      <w:r>
        <w:rPr>
          <w:sz w:val="24"/>
        </w:rPr>
        <w:t>（报价文件</w:t>
      </w:r>
      <w:r>
        <w:rPr>
          <w:spacing w:val="-31"/>
          <w:sz w:val="24"/>
        </w:rPr>
        <w:t>）</w:t>
      </w:r>
      <w:r>
        <w:rPr>
          <w:spacing w:val="-4"/>
          <w:sz w:val="24"/>
        </w:rPr>
        <w:t>应单独密封包装。商务及技术文件的正本与副本应统一</w:t>
      </w:r>
      <w:r>
        <w:rPr>
          <w:spacing w:val="-9"/>
          <w:sz w:val="24"/>
        </w:rPr>
        <w:t>密封在一个封套中。报价文件的正本与副本、投标文件电子版文件</w:t>
      </w:r>
      <w:r>
        <w:rPr>
          <w:sz w:val="24"/>
        </w:rPr>
        <w:t>（如需要</w:t>
      </w:r>
      <w:r>
        <w:rPr>
          <w:spacing w:val="-24"/>
          <w:sz w:val="24"/>
        </w:rPr>
        <w:t>）</w:t>
      </w:r>
      <w:r>
        <w:rPr>
          <w:sz w:val="24"/>
        </w:rPr>
        <w:t>以及填</w:t>
      </w:r>
      <w:r>
        <w:rPr>
          <w:spacing w:val="-4"/>
          <w:sz w:val="24"/>
        </w:rPr>
        <w:t>写完毕的工程量固化清单电子文件</w:t>
      </w:r>
      <w:r>
        <w:rPr>
          <w:sz w:val="24"/>
        </w:rPr>
        <w:t>（如采用工程量固化清单形式</w:t>
      </w:r>
      <w:r>
        <w:rPr>
          <w:spacing w:val="-46"/>
          <w:sz w:val="24"/>
        </w:rPr>
        <w:t>）</w:t>
      </w:r>
      <w:r>
        <w:rPr>
          <w:sz w:val="24"/>
        </w:rPr>
        <w:t>应统一密封在另一</w:t>
      </w:r>
      <w:r>
        <w:rPr>
          <w:spacing w:val="-10"/>
          <w:sz w:val="24"/>
        </w:rPr>
        <w:t>个封套中。封套应加贴封条，并在封套的封口处加盖投标人单位章或由投标人的法定代表人或其委托代理人签字。</w:t>
      </w:r>
    </w:p>
    <w:p>
      <w:pPr>
        <w:pStyle w:val="11"/>
        <w:spacing w:before="2"/>
        <w:ind w:left="849"/>
      </w:pPr>
      <w:r>
        <w:t>采用银行保函形式提交投标保证金的，银行保函原件应密封在单独的封套中。</w:t>
      </w:r>
    </w:p>
    <w:p>
      <w:pPr>
        <w:pStyle w:val="20"/>
        <w:tabs>
          <w:tab w:val="left" w:pos="1450"/>
        </w:tabs>
        <w:spacing w:before="94" w:line="312" w:lineRule="auto"/>
        <w:ind w:left="440" w:firstLine="514" w:firstLineChars="220"/>
        <w:rPr>
          <w:spacing w:val="-3"/>
          <w:sz w:val="24"/>
        </w:rPr>
      </w:pPr>
      <w:r>
        <w:rPr>
          <w:rFonts w:hint="eastAsia"/>
          <w:spacing w:val="-3"/>
          <w:sz w:val="24"/>
          <w:lang w:val="en-US"/>
        </w:rPr>
        <w:t xml:space="preserve">4.1.2  </w:t>
      </w:r>
      <w:r>
        <w:rPr>
          <w:spacing w:val="-3"/>
          <w:sz w:val="24"/>
        </w:rPr>
        <w:t>投标文件第一个信封</w:t>
      </w:r>
      <w:r>
        <w:rPr>
          <w:sz w:val="24"/>
        </w:rPr>
        <w:t>（商务及技术文</w:t>
      </w:r>
      <w:r>
        <w:rPr>
          <w:spacing w:val="-3"/>
          <w:sz w:val="24"/>
        </w:rPr>
        <w:t>件）、第二个信封（报价文件）以及银行保函封套上应写明的内容见投标人须知前附表。</w:t>
      </w:r>
    </w:p>
    <w:p>
      <w:pPr>
        <w:pStyle w:val="20"/>
        <w:numPr>
          <w:ilvl w:val="1"/>
          <w:numId w:val="5"/>
        </w:numPr>
        <w:tabs>
          <w:tab w:val="left" w:pos="910"/>
        </w:tabs>
        <w:spacing w:before="1"/>
        <w:ind w:left="909" w:hanging="540"/>
        <w:jc w:val="left"/>
        <w:rPr>
          <w:rFonts w:ascii="黑体" w:eastAsia="黑体"/>
          <w:sz w:val="24"/>
        </w:rPr>
      </w:pPr>
      <w:bookmarkStart w:id="48" w:name="_bookmark58"/>
      <w:bookmarkEnd w:id="48"/>
      <w:r>
        <w:rPr>
          <w:rFonts w:hint="eastAsia" w:ascii="黑体" w:eastAsia="黑体"/>
          <w:sz w:val="24"/>
        </w:rPr>
        <w:t>投标文件的递交</w:t>
      </w:r>
    </w:p>
    <w:p>
      <w:pPr>
        <w:pStyle w:val="11"/>
        <w:spacing w:before="10"/>
        <w:rPr>
          <w:rFonts w:ascii="黑体"/>
          <w:sz w:val="25"/>
        </w:rPr>
      </w:pPr>
    </w:p>
    <w:p>
      <w:pPr>
        <w:pStyle w:val="20"/>
        <w:numPr>
          <w:ilvl w:val="2"/>
          <w:numId w:val="5"/>
        </w:numPr>
        <w:tabs>
          <w:tab w:val="left" w:pos="1450"/>
        </w:tabs>
        <w:spacing w:line="312" w:lineRule="auto"/>
        <w:ind w:right="328" w:firstLine="480"/>
        <w:rPr>
          <w:sz w:val="24"/>
        </w:rPr>
      </w:pPr>
      <w:r>
        <w:rPr>
          <w:sz w:val="24"/>
        </w:rPr>
        <w:t>投标人应在第一章“招标公告”或“投标邀请书”规定的投标截止时间前递交投标文件。</w:t>
      </w:r>
    </w:p>
    <w:p>
      <w:pPr>
        <w:pStyle w:val="20"/>
        <w:numPr>
          <w:ilvl w:val="2"/>
          <w:numId w:val="5"/>
        </w:numPr>
        <w:tabs>
          <w:tab w:val="left" w:pos="1450"/>
        </w:tabs>
        <w:spacing w:before="2"/>
        <w:ind w:firstLine="480"/>
        <w:rPr>
          <w:sz w:val="24"/>
        </w:rPr>
      </w:pPr>
      <w:r>
        <w:rPr>
          <w:spacing w:val="-4"/>
          <w:sz w:val="24"/>
        </w:rPr>
        <w:t>投标人递交投标文件的地点：见第一章“招标公告”或“投标邀请书”。</w:t>
      </w:r>
    </w:p>
    <w:p>
      <w:pPr>
        <w:pStyle w:val="20"/>
        <w:numPr>
          <w:ilvl w:val="2"/>
          <w:numId w:val="5"/>
        </w:numPr>
        <w:tabs>
          <w:tab w:val="left" w:pos="1450"/>
        </w:tabs>
        <w:spacing w:before="91" w:line="312" w:lineRule="auto"/>
        <w:ind w:right="327" w:firstLine="480"/>
        <w:rPr>
          <w:sz w:val="24"/>
        </w:rPr>
      </w:pPr>
      <w:r>
        <w:rPr>
          <w:sz w:val="24"/>
        </w:rPr>
        <w:t>除投标人须知前附表另有规定外，投标人所递交的投标文件不予退还。投</w:t>
      </w:r>
      <w:r>
        <w:rPr>
          <w:spacing w:val="-13"/>
          <w:sz w:val="24"/>
        </w:rPr>
        <w:t xml:space="preserve">标人少于 </w:t>
      </w:r>
      <w:r>
        <w:rPr>
          <w:rFonts w:ascii="Times New Roman" w:eastAsia="Times New Roman"/>
          <w:sz w:val="24"/>
        </w:rPr>
        <w:t xml:space="preserve">3 </w:t>
      </w:r>
      <w:r>
        <w:rPr>
          <w:sz w:val="24"/>
        </w:rPr>
        <w:t>个的，投标文件当场退还给投标人。</w:t>
      </w:r>
    </w:p>
    <w:p>
      <w:pPr>
        <w:pStyle w:val="20"/>
        <w:numPr>
          <w:ilvl w:val="2"/>
          <w:numId w:val="5"/>
        </w:numPr>
        <w:tabs>
          <w:tab w:val="left" w:pos="1331"/>
        </w:tabs>
        <w:spacing w:before="31"/>
        <w:ind w:left="1330" w:hanging="481"/>
        <w:rPr>
          <w:rFonts w:ascii="Times New Roman"/>
          <w:sz w:val="24"/>
        </w:rPr>
      </w:pPr>
    </w:p>
    <w:p>
      <w:pPr>
        <w:pStyle w:val="20"/>
        <w:numPr>
          <w:ilvl w:val="2"/>
          <w:numId w:val="5"/>
        </w:numPr>
        <w:tabs>
          <w:tab w:val="left" w:pos="1450"/>
        </w:tabs>
        <w:spacing w:before="94"/>
        <w:ind w:firstLine="480"/>
        <w:rPr>
          <w:sz w:val="24"/>
        </w:rPr>
      </w:pPr>
      <w:r>
        <w:rPr>
          <w:sz w:val="24"/>
        </w:rPr>
        <w:t>逾期送达的或未送达指定地点的投标文件，招标人将予以拒收。</w:t>
      </w:r>
    </w:p>
    <w:p>
      <w:pPr>
        <w:pStyle w:val="11"/>
        <w:spacing w:before="1"/>
        <w:rPr>
          <w:sz w:val="19"/>
        </w:rPr>
      </w:pPr>
    </w:p>
    <w:p>
      <w:pPr>
        <w:pStyle w:val="20"/>
        <w:numPr>
          <w:ilvl w:val="1"/>
          <w:numId w:val="5"/>
        </w:numPr>
        <w:tabs>
          <w:tab w:val="left" w:pos="850"/>
        </w:tabs>
        <w:ind w:left="849" w:hanging="480"/>
        <w:jc w:val="left"/>
        <w:rPr>
          <w:rFonts w:ascii="黑体" w:eastAsia="黑体"/>
          <w:sz w:val="24"/>
        </w:rPr>
      </w:pPr>
      <w:bookmarkStart w:id="49" w:name="_bookmark59"/>
      <w:bookmarkEnd w:id="49"/>
      <w:r>
        <w:rPr>
          <w:rFonts w:hint="eastAsia" w:ascii="黑体" w:eastAsia="黑体"/>
          <w:sz w:val="24"/>
        </w:rPr>
        <w:t>投标文件的修改与撤回</w:t>
      </w:r>
    </w:p>
    <w:p>
      <w:pPr>
        <w:pStyle w:val="11"/>
        <w:rPr>
          <w:rFonts w:ascii="黑体"/>
          <w:sz w:val="26"/>
        </w:rPr>
      </w:pPr>
    </w:p>
    <w:p>
      <w:pPr>
        <w:pStyle w:val="20"/>
        <w:numPr>
          <w:ilvl w:val="2"/>
          <w:numId w:val="5"/>
        </w:numPr>
        <w:tabs>
          <w:tab w:val="left" w:pos="1450"/>
        </w:tabs>
        <w:spacing w:line="312" w:lineRule="auto"/>
        <w:ind w:right="325" w:firstLine="480"/>
        <w:rPr>
          <w:sz w:val="24"/>
        </w:rPr>
      </w:pPr>
      <w:r>
        <w:rPr>
          <w:spacing w:val="-12"/>
          <w:sz w:val="24"/>
        </w:rPr>
        <w:t xml:space="preserve">在本章第 </w:t>
      </w:r>
      <w:r>
        <w:rPr>
          <w:rFonts w:ascii="Times New Roman" w:eastAsia="Times New Roman"/>
          <w:sz w:val="24"/>
        </w:rPr>
        <w:t xml:space="preserve">4.2.1 </w:t>
      </w:r>
      <w:r>
        <w:rPr>
          <w:spacing w:val="-8"/>
          <w:sz w:val="24"/>
        </w:rPr>
        <w:t>项规定的投标截止时间前，投标人可以修改或撤回已递交的投标文件，但应以书面形式通知招标人。</w:t>
      </w:r>
    </w:p>
    <w:p>
      <w:pPr>
        <w:pStyle w:val="20"/>
        <w:numPr>
          <w:ilvl w:val="2"/>
          <w:numId w:val="5"/>
        </w:numPr>
        <w:tabs>
          <w:tab w:val="left" w:pos="1331"/>
        </w:tabs>
        <w:spacing w:before="28"/>
        <w:ind w:left="1330" w:hanging="481"/>
        <w:rPr>
          <w:rFonts w:ascii="Times New Roman"/>
          <w:sz w:val="24"/>
        </w:rPr>
      </w:pPr>
    </w:p>
    <w:p>
      <w:pPr>
        <w:pStyle w:val="20"/>
        <w:numPr>
          <w:ilvl w:val="2"/>
          <w:numId w:val="5"/>
        </w:numPr>
        <w:tabs>
          <w:tab w:val="left" w:pos="1450"/>
        </w:tabs>
        <w:spacing w:before="97" w:line="312" w:lineRule="auto"/>
        <w:ind w:right="324" w:firstLine="480"/>
        <w:rPr>
          <w:sz w:val="24"/>
        </w:rPr>
      </w:pPr>
      <w:r>
        <w:rPr>
          <w:spacing w:val="-2"/>
          <w:sz w:val="24"/>
        </w:rPr>
        <w:t xml:space="preserve">投标人撤回投标文件的，招标人自收到投标人书面撤回通知之日起 </w:t>
      </w:r>
      <w:r>
        <w:rPr>
          <w:rFonts w:ascii="Times New Roman" w:eastAsia="Times New Roman"/>
          <w:sz w:val="24"/>
        </w:rPr>
        <w:t>5</w:t>
      </w:r>
      <w:r>
        <w:rPr>
          <w:rFonts w:ascii="Times New Roman" w:eastAsia="Times New Roman"/>
          <w:spacing w:val="12"/>
          <w:sz w:val="24"/>
        </w:rPr>
        <w:t xml:space="preserve"> </w:t>
      </w:r>
      <w:r>
        <w:rPr>
          <w:sz w:val="24"/>
        </w:rPr>
        <w:t>日内退还已收取的投标保证金。</w:t>
      </w:r>
    </w:p>
    <w:p>
      <w:pPr>
        <w:pStyle w:val="20"/>
        <w:numPr>
          <w:ilvl w:val="2"/>
          <w:numId w:val="5"/>
        </w:numPr>
        <w:tabs>
          <w:tab w:val="left" w:pos="1450"/>
        </w:tabs>
        <w:spacing w:line="312" w:lineRule="auto"/>
        <w:ind w:right="324" w:firstLine="480"/>
        <w:rPr>
          <w:sz w:val="24"/>
        </w:rPr>
      </w:pPr>
      <w:r>
        <w:rPr>
          <w:spacing w:val="-2"/>
          <w:sz w:val="24"/>
        </w:rPr>
        <w:t xml:space="preserve">修改的内容为投标文件的组成部分。修改的投标文件应按照本章第 </w:t>
      </w:r>
      <w:r>
        <w:rPr>
          <w:rFonts w:ascii="Times New Roman" w:hAnsi="Times New Roman" w:eastAsia="Times New Roman"/>
          <w:sz w:val="24"/>
        </w:rPr>
        <w:t>3</w:t>
      </w:r>
      <w:r>
        <w:rPr>
          <w:rFonts w:ascii="Times New Roman" w:hAnsi="Times New Roman" w:eastAsia="Times New Roman"/>
          <w:spacing w:val="12"/>
          <w:sz w:val="24"/>
        </w:rPr>
        <w:t xml:space="preserve"> </w:t>
      </w:r>
      <w:r>
        <w:rPr>
          <w:sz w:val="24"/>
        </w:rPr>
        <w:t>条、</w:t>
      </w:r>
      <w:r>
        <w:rPr>
          <w:spacing w:val="-31"/>
          <w:sz w:val="24"/>
        </w:rPr>
        <w:t xml:space="preserve">第 </w:t>
      </w:r>
      <w:r>
        <w:rPr>
          <w:rFonts w:ascii="Times New Roman" w:hAnsi="Times New Roman" w:eastAsia="Times New Roman"/>
          <w:sz w:val="24"/>
        </w:rPr>
        <w:t>4</w:t>
      </w:r>
      <w:r>
        <w:rPr>
          <w:rFonts w:ascii="Times New Roman" w:hAnsi="Times New Roman" w:eastAsia="Times New Roman"/>
          <w:spacing w:val="-2"/>
          <w:sz w:val="24"/>
        </w:rPr>
        <w:t xml:space="preserve"> </w:t>
      </w:r>
      <w:r>
        <w:rPr>
          <w:sz w:val="24"/>
        </w:rPr>
        <w:t>条的规定进行编制、密封、标记和递交，并标明</w:t>
      </w:r>
      <w:r>
        <w:rPr>
          <w:rFonts w:ascii="Times New Roman" w:hAnsi="Times New Roman" w:eastAsia="Times New Roman"/>
          <w:sz w:val="24"/>
        </w:rPr>
        <w:t>“</w:t>
      </w:r>
      <w:r>
        <w:rPr>
          <w:sz w:val="24"/>
        </w:rPr>
        <w:t>修改</w:t>
      </w:r>
      <w:r>
        <w:rPr>
          <w:rFonts w:ascii="Times New Roman" w:hAnsi="Times New Roman" w:eastAsia="Times New Roman"/>
          <w:sz w:val="24"/>
        </w:rPr>
        <w:t>”</w:t>
      </w:r>
      <w:r>
        <w:rPr>
          <w:sz w:val="24"/>
        </w:rPr>
        <w:t>字样。</w:t>
      </w:r>
    </w:p>
    <w:p>
      <w:pPr>
        <w:pStyle w:val="11"/>
        <w:spacing w:before="3"/>
        <w:rPr>
          <w:sz w:val="21"/>
        </w:rPr>
      </w:pPr>
    </w:p>
    <w:p>
      <w:pPr>
        <w:numPr>
          <w:ilvl w:val="0"/>
          <w:numId w:val="2"/>
        </w:numPr>
        <w:tabs>
          <w:tab w:val="left" w:pos="790"/>
        </w:tabs>
        <w:rPr>
          <w:rFonts w:ascii="黑体" w:eastAsia="黑体"/>
          <w:sz w:val="28"/>
        </w:rPr>
      </w:pPr>
      <w:bookmarkStart w:id="50" w:name="_bookmark60"/>
      <w:bookmarkEnd w:id="50"/>
      <w:r>
        <w:rPr>
          <w:rFonts w:hint="eastAsia" w:ascii="黑体" w:eastAsia="黑体"/>
          <w:sz w:val="28"/>
        </w:rPr>
        <w:t>开标</w:t>
      </w:r>
    </w:p>
    <w:p>
      <w:pPr>
        <w:pStyle w:val="11"/>
        <w:rPr>
          <w:rFonts w:ascii="黑体"/>
          <w:sz w:val="26"/>
        </w:rPr>
      </w:pPr>
    </w:p>
    <w:p>
      <w:pPr>
        <w:pStyle w:val="20"/>
        <w:numPr>
          <w:ilvl w:val="1"/>
          <w:numId w:val="2"/>
        </w:numPr>
        <w:tabs>
          <w:tab w:val="left" w:pos="850"/>
        </w:tabs>
        <w:spacing w:before="1"/>
        <w:ind w:left="849" w:hanging="480"/>
        <w:rPr>
          <w:rFonts w:ascii="黑体" w:eastAsia="黑体"/>
          <w:sz w:val="24"/>
        </w:rPr>
      </w:pPr>
      <w:bookmarkStart w:id="51" w:name="_bookmark61"/>
      <w:bookmarkEnd w:id="51"/>
      <w:r>
        <w:rPr>
          <w:rFonts w:hint="eastAsia" w:ascii="黑体" w:eastAsia="黑体"/>
          <w:sz w:val="24"/>
        </w:rPr>
        <w:t>开标时间和地点</w:t>
      </w:r>
    </w:p>
    <w:p>
      <w:pPr>
        <w:pStyle w:val="11"/>
        <w:rPr>
          <w:rFonts w:ascii="黑体"/>
          <w:sz w:val="26"/>
        </w:rPr>
      </w:pPr>
    </w:p>
    <w:p>
      <w:pPr>
        <w:pStyle w:val="11"/>
        <w:spacing w:line="312" w:lineRule="auto"/>
        <w:ind w:left="440" w:firstLine="439" w:firstLineChars="183"/>
      </w:pPr>
      <w:r>
        <w:t xml:space="preserve">招标人在本章第 </w:t>
      </w:r>
      <w:r>
        <w:rPr>
          <w:rFonts w:ascii="Times New Roman" w:eastAsia="Times New Roman"/>
        </w:rPr>
        <w:t xml:space="preserve">4.2.1 </w:t>
      </w:r>
      <w:r>
        <w:t>项规定的投标截止时间（开标时间）和投标人须知前附表</w:t>
      </w:r>
      <w:r>
        <w:rPr>
          <w:spacing w:val="-2"/>
        </w:rPr>
        <w:t>规定的地点对收到的投标文件第一个信封</w:t>
      </w:r>
      <w:r>
        <w:t>（商务及技术文件</w:t>
      </w:r>
      <w:r>
        <w:rPr>
          <w:spacing w:val="-32"/>
        </w:rPr>
        <w:t>）</w:t>
      </w:r>
      <w:r>
        <w:rPr>
          <w:spacing w:val="-6"/>
        </w:rPr>
        <w:t>公开开标，并邀请所有投标人的法定代表人或其委托代理人准时参加。</w:t>
      </w:r>
    </w:p>
    <w:p>
      <w:pPr>
        <w:pStyle w:val="11"/>
        <w:spacing w:line="312" w:lineRule="auto"/>
        <w:ind w:left="369" w:right="319" w:firstLine="479"/>
      </w:pPr>
      <w:r>
        <w:t>招标人在投标人须知前附表规定的时间和地点对投标文件第二个信封（报价文件）公开开标，并邀请所有投标人的法定代表人或其委托代理人准时参加。</w:t>
      </w:r>
    </w:p>
    <w:p>
      <w:pPr>
        <w:pStyle w:val="11"/>
        <w:spacing w:line="312" w:lineRule="auto"/>
        <w:ind w:left="369" w:right="326" w:firstLine="479"/>
      </w:pPr>
      <w:r>
        <w:rPr>
          <w:spacing w:val="-4"/>
        </w:rPr>
        <w:t>投标人若未派法定代表人或委托代理人出席开标活动，视为该投标人默认开标结果。</w:t>
      </w:r>
    </w:p>
    <w:p>
      <w:pPr>
        <w:pStyle w:val="11"/>
        <w:spacing w:before="12"/>
        <w:rPr>
          <w:sz w:val="18"/>
        </w:rPr>
      </w:pPr>
    </w:p>
    <w:p>
      <w:pPr>
        <w:pStyle w:val="20"/>
        <w:numPr>
          <w:ilvl w:val="1"/>
          <w:numId w:val="6"/>
        </w:numPr>
        <w:tabs>
          <w:tab w:val="left" w:pos="790"/>
        </w:tabs>
        <w:ind w:left="789" w:hanging="420"/>
        <w:rPr>
          <w:rFonts w:ascii="黑体" w:eastAsia="黑体"/>
          <w:sz w:val="24"/>
        </w:rPr>
      </w:pPr>
      <w:bookmarkStart w:id="52" w:name="_bookmark63"/>
      <w:bookmarkEnd w:id="52"/>
      <w:r>
        <w:rPr>
          <w:rFonts w:hint="eastAsia" w:ascii="黑体" w:eastAsia="黑体"/>
          <w:sz w:val="24"/>
        </w:rPr>
        <w:t>开标程序</w:t>
      </w:r>
    </w:p>
    <w:p>
      <w:pPr>
        <w:pStyle w:val="11"/>
        <w:rPr>
          <w:rFonts w:ascii="黑体"/>
          <w:sz w:val="26"/>
        </w:rPr>
      </w:pPr>
    </w:p>
    <w:p>
      <w:pPr>
        <w:pStyle w:val="20"/>
        <w:numPr>
          <w:ilvl w:val="2"/>
          <w:numId w:val="6"/>
        </w:numPr>
        <w:tabs>
          <w:tab w:val="left" w:pos="1450"/>
        </w:tabs>
        <w:ind w:firstLine="480"/>
        <w:rPr>
          <w:sz w:val="24"/>
        </w:rPr>
      </w:pPr>
      <w:r>
        <w:rPr>
          <w:sz w:val="24"/>
        </w:rPr>
        <w:t>主持人按下列程序对投标文件第一个信封（商务及技术文件）进行开标：</w:t>
      </w:r>
    </w:p>
    <w:p>
      <w:pPr>
        <w:pStyle w:val="11"/>
        <w:spacing w:before="94"/>
        <w:ind w:left="729"/>
      </w:pPr>
      <w:r>
        <w:t>（</w:t>
      </w:r>
      <w:r>
        <w:rPr>
          <w:rFonts w:ascii="Times New Roman" w:eastAsia="Times New Roman"/>
        </w:rPr>
        <w:t>1</w:t>
      </w:r>
      <w:r>
        <w:t>）宣布开标纪律；</w:t>
      </w:r>
    </w:p>
    <w:p>
      <w:pPr>
        <w:pStyle w:val="11"/>
        <w:spacing w:before="90"/>
        <w:ind w:left="729"/>
      </w:pPr>
      <w:r>
        <w:t>（</w:t>
      </w:r>
      <w:r>
        <w:rPr>
          <w:rFonts w:ascii="Times New Roman" w:eastAsia="Times New Roman"/>
        </w:rPr>
        <w:t>2</w:t>
      </w:r>
      <w:r>
        <w:t>）公布在投标截止时间前递交投标文件的投标人数量；</w:t>
      </w:r>
    </w:p>
    <w:p>
      <w:pPr>
        <w:pStyle w:val="11"/>
        <w:spacing w:before="94"/>
        <w:ind w:left="729"/>
      </w:pPr>
      <w:r>
        <w:t>（</w:t>
      </w:r>
      <w:r>
        <w:rPr>
          <w:rFonts w:ascii="Times New Roman" w:eastAsia="Times New Roman"/>
        </w:rPr>
        <w:t>3</w:t>
      </w:r>
      <w:r>
        <w:t>）宣布开标人、唱标人、记录人等有关人员姓名；</w:t>
      </w:r>
    </w:p>
    <w:p>
      <w:pPr>
        <w:pStyle w:val="11"/>
        <w:spacing w:before="93"/>
        <w:ind w:left="729"/>
      </w:pPr>
      <w:r>
        <w:t>（</w:t>
      </w:r>
      <w:r>
        <w:rPr>
          <w:rFonts w:ascii="Times New Roman" w:eastAsia="Times New Roman"/>
        </w:rPr>
        <w:t>4</w:t>
      </w:r>
      <w:r>
        <w:t>）按照投标人须知前附表规定由投标人推选的代表检查投标文件的密封情况；</w:t>
      </w:r>
    </w:p>
    <w:p>
      <w:pPr>
        <w:pStyle w:val="11"/>
        <w:spacing w:before="91" w:line="312" w:lineRule="auto"/>
        <w:ind w:left="369" w:right="327" w:firstLine="360"/>
      </w:pPr>
      <w:r>
        <w:rPr>
          <w:spacing w:val="-11"/>
        </w:rPr>
        <w:t>（</w:t>
      </w:r>
      <w:r>
        <w:rPr>
          <w:rFonts w:ascii="Times New Roman" w:eastAsia="Times New Roman"/>
          <w:spacing w:val="-11"/>
        </w:rPr>
        <w:t>5</w:t>
      </w:r>
      <w:r>
        <w:rPr>
          <w:spacing w:val="-11"/>
        </w:rPr>
        <w:t>）</w:t>
      </w:r>
      <w:r>
        <w:rPr>
          <w:spacing w:val="-3"/>
        </w:rPr>
        <w:t>按照投标人须知前附表规定的开标顺序当众开标，公布标段名称、投标人名称、投标保证金的递交情况、工期及其他内容，并记录在案；</w:t>
      </w:r>
    </w:p>
    <w:p>
      <w:pPr>
        <w:pStyle w:val="11"/>
        <w:spacing w:before="3"/>
        <w:ind w:left="729"/>
      </w:pPr>
      <w:r>
        <w:t>（</w:t>
      </w:r>
      <w:r>
        <w:rPr>
          <w:rFonts w:ascii="Times New Roman" w:eastAsia="Times New Roman"/>
        </w:rPr>
        <w:t>6</w:t>
      </w:r>
      <w:r>
        <w:t>）投标人代表、招标人代表、记录人等有关人员在开标记录上签字确认；</w:t>
      </w:r>
    </w:p>
    <w:p>
      <w:pPr>
        <w:pStyle w:val="11"/>
        <w:spacing w:before="91"/>
        <w:ind w:left="729"/>
      </w:pPr>
      <w:r>
        <w:t>（</w:t>
      </w:r>
      <w:r>
        <w:rPr>
          <w:rFonts w:ascii="Times New Roman" w:eastAsia="Times New Roman"/>
        </w:rPr>
        <w:t>7</w:t>
      </w:r>
      <w:r>
        <w:t>）开标结束。</w:t>
      </w:r>
    </w:p>
    <w:p>
      <w:pPr>
        <w:pStyle w:val="20"/>
        <w:numPr>
          <w:ilvl w:val="2"/>
          <w:numId w:val="6"/>
        </w:numPr>
        <w:tabs>
          <w:tab w:val="left" w:pos="1450"/>
        </w:tabs>
        <w:spacing w:before="93" w:line="312" w:lineRule="auto"/>
        <w:ind w:right="328" w:firstLine="480"/>
        <w:rPr>
          <w:sz w:val="24"/>
        </w:rPr>
      </w:pPr>
      <w:r>
        <w:rPr>
          <w:sz w:val="24"/>
        </w:rPr>
        <w:t>在投标文件第一个信封（商务及技术文件）开标现场，投标文件第二个信封（报价文件）不予开封，由招标人密封保存。</w:t>
      </w:r>
    </w:p>
    <w:p>
      <w:pPr>
        <w:pStyle w:val="20"/>
        <w:numPr>
          <w:ilvl w:val="2"/>
          <w:numId w:val="6"/>
        </w:numPr>
        <w:tabs>
          <w:tab w:val="left" w:pos="1450"/>
        </w:tabs>
        <w:spacing w:line="312" w:lineRule="auto"/>
        <w:ind w:right="324" w:firstLine="480"/>
        <w:rPr>
          <w:sz w:val="24"/>
        </w:rPr>
      </w:pPr>
      <w:r>
        <w:rPr>
          <w:spacing w:val="-2"/>
          <w:sz w:val="24"/>
        </w:rPr>
        <w:t xml:space="preserve">招标人将按照本章第 </w:t>
      </w:r>
      <w:r>
        <w:rPr>
          <w:rFonts w:ascii="Times New Roman" w:eastAsia="Times New Roman"/>
          <w:sz w:val="24"/>
        </w:rPr>
        <w:t>5.1</w:t>
      </w:r>
      <w:r>
        <w:rPr>
          <w:rFonts w:ascii="Times New Roman" w:eastAsia="Times New Roman"/>
          <w:spacing w:val="42"/>
          <w:sz w:val="24"/>
        </w:rPr>
        <w:t xml:space="preserve"> </w:t>
      </w:r>
      <w:r>
        <w:rPr>
          <w:sz w:val="24"/>
        </w:rPr>
        <w:t>款规定的时间和地点对投标文件第二个信封（报价文件）进行开标。主持人按下列程序进行开标：</w:t>
      </w:r>
    </w:p>
    <w:p>
      <w:pPr>
        <w:pStyle w:val="11"/>
        <w:spacing w:before="2"/>
        <w:ind w:left="729"/>
      </w:pPr>
      <w:r>
        <w:t>（</w:t>
      </w:r>
      <w:r>
        <w:rPr>
          <w:rFonts w:ascii="Times New Roman" w:eastAsia="Times New Roman"/>
        </w:rPr>
        <w:t>1</w:t>
      </w:r>
      <w:r>
        <w:t>）宣布开标纪律；</w:t>
      </w:r>
    </w:p>
    <w:p>
      <w:pPr>
        <w:pStyle w:val="11"/>
        <w:spacing w:before="91" w:line="312" w:lineRule="auto"/>
        <w:ind w:left="369" w:right="329" w:firstLine="360"/>
      </w:pPr>
      <w:r>
        <w:rPr>
          <w:spacing w:val="-9"/>
        </w:rPr>
        <w:t>（</w:t>
      </w:r>
      <w:r>
        <w:rPr>
          <w:rFonts w:ascii="Times New Roman" w:eastAsia="Times New Roman"/>
          <w:spacing w:val="-9"/>
        </w:rPr>
        <w:t>2</w:t>
      </w:r>
      <w:r>
        <w:rPr>
          <w:spacing w:val="-9"/>
        </w:rPr>
        <w:t>）</w:t>
      </w:r>
      <w:r>
        <w:rPr>
          <w:spacing w:val="-2"/>
        </w:rPr>
        <w:t>当众拆开投标文件第一个信封</w:t>
      </w:r>
      <w:r>
        <w:t>（商务及技术文件</w:t>
      </w:r>
      <w:r>
        <w:rPr>
          <w:spacing w:val="-24"/>
        </w:rPr>
        <w:t>）</w:t>
      </w:r>
      <w:r>
        <w:rPr>
          <w:spacing w:val="-3"/>
        </w:rPr>
        <w:t>评审结果的密封袋，宣布通过投标文件第一个信封（商务及技术文件）评审的投标人名单；</w:t>
      </w:r>
    </w:p>
    <w:p>
      <w:pPr>
        <w:pStyle w:val="11"/>
        <w:spacing w:before="2"/>
        <w:ind w:left="729"/>
      </w:pPr>
      <w:r>
        <w:t>（</w:t>
      </w:r>
      <w:r>
        <w:rPr>
          <w:rFonts w:ascii="Times New Roman" w:eastAsia="Times New Roman"/>
        </w:rPr>
        <w:t>3</w:t>
      </w:r>
      <w:r>
        <w:t>）宣布开标人、唱标人、记录人等有关人员姓名；</w:t>
      </w:r>
    </w:p>
    <w:p>
      <w:pPr>
        <w:pStyle w:val="11"/>
        <w:spacing w:before="91"/>
        <w:ind w:left="729"/>
      </w:pPr>
      <w:r>
        <w:t>（</w:t>
      </w:r>
      <w:r>
        <w:rPr>
          <w:rFonts w:ascii="Times New Roman" w:eastAsia="Times New Roman"/>
        </w:rPr>
        <w:t>4</w:t>
      </w:r>
      <w:r>
        <w:t>）按照投标人须知前附表规定由投标人推选的代表检查投标文件的密封情况；</w:t>
      </w:r>
    </w:p>
    <w:p>
      <w:pPr>
        <w:pStyle w:val="11"/>
        <w:spacing w:before="74" w:line="312" w:lineRule="auto"/>
        <w:ind w:left="369" w:right="325" w:firstLine="360"/>
        <w:jc w:val="both"/>
      </w:pPr>
      <w:r>
        <w:rPr>
          <w:spacing w:val="-16"/>
        </w:rPr>
        <w:t>（</w:t>
      </w:r>
      <w:r>
        <w:rPr>
          <w:rFonts w:ascii="Times New Roman" w:hAnsi="Times New Roman" w:eastAsia="Times New Roman"/>
          <w:spacing w:val="-16"/>
        </w:rPr>
        <w:t>5</w:t>
      </w:r>
      <w:r>
        <w:rPr>
          <w:spacing w:val="-16"/>
        </w:rPr>
        <w:t>）</w:t>
      </w:r>
      <w:r>
        <w:rPr>
          <w:spacing w:val="-3"/>
        </w:rPr>
        <w:t>按照投标人须知前附表规定的开标顺序当众开标，开标人只拆封通过投标文</w:t>
      </w:r>
      <w:r>
        <w:rPr>
          <w:spacing w:val="-2"/>
        </w:rPr>
        <w:t>件第一个信封</w:t>
      </w:r>
      <w:r>
        <w:rPr>
          <w:spacing w:val="1"/>
        </w:rPr>
        <w:t>（</w:t>
      </w:r>
      <w:r>
        <w:t>商务及技术文件）评审的投标文件第二个信封（报价文件</w:t>
      </w:r>
      <w:r>
        <w:rPr>
          <w:spacing w:val="-120"/>
        </w:rPr>
        <w:t>）</w:t>
      </w:r>
      <w:r>
        <w:t>，公布标段名称、投标人名称、投标报价</w:t>
      </w:r>
      <w:r>
        <w:rPr>
          <w:position w:val="10"/>
          <w:sz w:val="11"/>
        </w:rPr>
        <w:t>①</w:t>
      </w:r>
      <w:r>
        <w:t>及其他内容，并记录在案；</w:t>
      </w:r>
    </w:p>
    <w:p>
      <w:pPr>
        <w:pStyle w:val="11"/>
        <w:spacing w:before="1"/>
        <w:ind w:left="729"/>
      </w:pPr>
      <w:r>
        <w:t>（</w:t>
      </w:r>
      <w:r>
        <w:rPr>
          <w:rFonts w:ascii="Times New Roman" w:eastAsia="Times New Roman"/>
        </w:rPr>
        <w:t>6</w:t>
      </w:r>
      <w:r>
        <w:t>）计算并宣布评标基准价；</w:t>
      </w:r>
    </w:p>
    <w:p>
      <w:pPr>
        <w:pStyle w:val="11"/>
        <w:spacing w:before="91" w:line="312" w:lineRule="auto"/>
        <w:ind w:left="369" w:right="327" w:firstLine="360"/>
      </w:pPr>
      <w:r>
        <w:rPr>
          <w:spacing w:val="-11"/>
        </w:rPr>
        <w:t>（</w:t>
      </w:r>
      <w:r>
        <w:rPr>
          <w:rFonts w:ascii="Times New Roman" w:eastAsia="Times New Roman"/>
          <w:spacing w:val="-11"/>
        </w:rPr>
        <w:t>7</w:t>
      </w:r>
      <w:r>
        <w:rPr>
          <w:spacing w:val="-11"/>
        </w:rPr>
        <w:t>）</w:t>
      </w:r>
      <w:r>
        <w:rPr>
          <w:spacing w:val="-3"/>
        </w:rPr>
        <w:t>将未通过投标文件第一个信封</w:t>
      </w:r>
      <w:r>
        <w:t>（商务及技术文件</w:t>
      </w:r>
      <w:r>
        <w:rPr>
          <w:spacing w:val="-32"/>
        </w:rPr>
        <w:t>）</w:t>
      </w:r>
      <w:r>
        <w:t>评审的投标文件第二个信封（报价文件）退还给投标人；</w:t>
      </w:r>
    </w:p>
    <w:p>
      <w:pPr>
        <w:pStyle w:val="11"/>
        <w:spacing w:before="2"/>
        <w:ind w:left="729"/>
      </w:pPr>
      <w:r>
        <w:t>（</w:t>
      </w:r>
      <w:r>
        <w:rPr>
          <w:rFonts w:ascii="Times New Roman" w:eastAsia="Times New Roman"/>
        </w:rPr>
        <w:t>8</w:t>
      </w:r>
      <w:r>
        <w:t>）投标人代表、招标人代表、记录人等有关人员在开标记录上签字确认；</w:t>
      </w:r>
    </w:p>
    <w:p>
      <w:pPr>
        <w:pStyle w:val="11"/>
        <w:spacing w:before="92"/>
        <w:ind w:left="729"/>
      </w:pPr>
      <w:r>
        <w:t>（</w:t>
      </w:r>
      <w:r>
        <w:rPr>
          <w:rFonts w:ascii="Times New Roman" w:eastAsia="Times New Roman"/>
        </w:rPr>
        <w:t>9</w:t>
      </w:r>
      <w:r>
        <w:t>）开标结束。</w:t>
      </w:r>
    </w:p>
    <w:p>
      <w:pPr>
        <w:pStyle w:val="20"/>
        <w:numPr>
          <w:ilvl w:val="2"/>
          <w:numId w:val="6"/>
        </w:numPr>
        <w:tabs>
          <w:tab w:val="left" w:pos="1450"/>
        </w:tabs>
        <w:spacing w:before="93" w:line="312" w:lineRule="auto"/>
        <w:ind w:right="327" w:firstLine="480"/>
        <w:jc w:val="both"/>
        <w:rPr>
          <w:sz w:val="24"/>
        </w:rPr>
      </w:pPr>
      <w:r>
        <w:rPr>
          <w:sz w:val="24"/>
        </w:rPr>
        <w:t>若采用合理低价法或综合评分法，在投标文件第二个信封（报价文件）开</w:t>
      </w:r>
      <w:r>
        <w:rPr>
          <w:spacing w:val="-9"/>
          <w:sz w:val="24"/>
        </w:rPr>
        <w:t>标现场，招标人将按第三章“评标办法”规定的原则计算并宣布评标基准价。若招标人发现投标文件出现以下任一情况，其投标报价将不再参加评标基准价的计算：</w:t>
      </w:r>
    </w:p>
    <w:p>
      <w:pPr>
        <w:pStyle w:val="11"/>
        <w:spacing w:before="1"/>
        <w:ind w:left="729"/>
      </w:pPr>
      <w:r>
        <w:t>（</w:t>
      </w:r>
      <w:r>
        <w:rPr>
          <w:rFonts w:ascii="Times New Roman" w:eastAsia="Times New Roman"/>
        </w:rPr>
        <w:t>1</w:t>
      </w:r>
      <w:r>
        <w:t>）未在投标函上填写投标总价；</w:t>
      </w:r>
    </w:p>
    <w:p>
      <w:pPr>
        <w:pStyle w:val="11"/>
        <w:spacing w:before="93"/>
        <w:ind w:left="729"/>
      </w:pPr>
      <w:r>
        <w:rPr>
          <w:spacing w:val="-1"/>
        </w:rPr>
        <w:t>（</w:t>
      </w:r>
      <w:r>
        <w:rPr>
          <w:rFonts w:ascii="Times New Roman" w:eastAsia="Times New Roman"/>
        </w:rPr>
        <w:t>2</w:t>
      </w:r>
      <w:r>
        <w:t>）投标报价或调价函中的报价超出招标人公布的最高投标限价（如有</w:t>
      </w:r>
      <w:r>
        <w:rPr>
          <w:spacing w:val="-120"/>
        </w:rPr>
        <w:t>）</w:t>
      </w:r>
      <w:r>
        <w:t>；</w:t>
      </w:r>
    </w:p>
    <w:p>
      <w:pPr>
        <w:pStyle w:val="11"/>
        <w:spacing w:before="91"/>
        <w:ind w:left="729"/>
      </w:pPr>
      <w:r>
        <w:t>（</w:t>
      </w:r>
      <w:r>
        <w:rPr>
          <w:rFonts w:ascii="Times New Roman" w:eastAsia="Times New Roman"/>
        </w:rPr>
        <w:t>3</w:t>
      </w:r>
      <w:r>
        <w:t>）投标报价或调价函中报价的大写金额无法确定具体数值；</w:t>
      </w:r>
    </w:p>
    <w:p>
      <w:pPr>
        <w:pStyle w:val="11"/>
        <w:spacing w:before="93"/>
        <w:ind w:left="729"/>
      </w:pPr>
      <w:r>
        <w:t>（</w:t>
      </w:r>
      <w:r>
        <w:rPr>
          <w:rFonts w:ascii="Times New Roman" w:eastAsia="Times New Roman"/>
        </w:rPr>
        <w:t>4</w:t>
      </w:r>
      <w:r>
        <w:t>）投标函上填写的标段号与投标文件封套上标记的标段号不一致。</w:t>
      </w:r>
    </w:p>
    <w:p>
      <w:pPr>
        <w:pStyle w:val="11"/>
        <w:spacing w:before="94" w:line="312" w:lineRule="auto"/>
        <w:ind w:left="369" w:right="324" w:firstLine="479"/>
        <w:jc w:val="both"/>
      </w:pPr>
      <w:r>
        <w:rPr>
          <w:spacing w:val="-5"/>
        </w:rPr>
        <w:t>如果投标人认为某一标段的评标基准价计算有误，有权在开标现场提出，经招标</w:t>
      </w:r>
      <w:r>
        <w:rPr>
          <w:spacing w:val="-12"/>
        </w:rPr>
        <w:t>人当场核实确认之后，可重新宣布评标基准价。开标现场宣布的评标基准价除计算有误经评标委员会修正外，在整个评标期间保持不变，不随任何因素发生变化。</w:t>
      </w:r>
    </w:p>
    <w:p>
      <w:pPr>
        <w:pStyle w:val="20"/>
        <w:numPr>
          <w:ilvl w:val="2"/>
          <w:numId w:val="6"/>
        </w:numPr>
        <w:tabs>
          <w:tab w:val="left" w:pos="1450"/>
        </w:tabs>
        <w:spacing w:before="1" w:line="312" w:lineRule="auto"/>
        <w:ind w:right="233" w:firstLine="480"/>
        <w:rPr>
          <w:sz w:val="24"/>
        </w:rPr>
      </w:pPr>
      <w:r>
        <w:rPr>
          <w:sz w:val="24"/>
        </w:rPr>
        <w:t xml:space="preserve">在投标文件第一个信封（商务及技术文件）或第二个信封（报价文件）开标过程中，若招标人宣读的内容与投标文件不符，投标人有权在开标现场提出疑问， </w:t>
      </w:r>
      <w:r>
        <w:rPr>
          <w:spacing w:val="-7"/>
          <w:sz w:val="24"/>
        </w:rPr>
        <w:t>经招标人当场核查确认之后，可重新宣读其投标文件。若投标人现场未提出疑问，则</w:t>
      </w:r>
      <w:r>
        <w:rPr>
          <w:sz w:val="24"/>
        </w:rPr>
        <w:t>认为投标人已确认招标人宣读的内容。</w:t>
      </w:r>
    </w:p>
    <w:p>
      <w:pPr>
        <w:pStyle w:val="20"/>
        <w:numPr>
          <w:ilvl w:val="1"/>
          <w:numId w:val="7"/>
        </w:numPr>
        <w:tabs>
          <w:tab w:val="left" w:pos="910"/>
        </w:tabs>
        <w:spacing w:before="152"/>
        <w:ind w:left="909" w:hanging="540"/>
        <w:rPr>
          <w:rFonts w:ascii="黑体" w:eastAsia="黑体"/>
          <w:sz w:val="24"/>
        </w:rPr>
      </w:pPr>
      <w:bookmarkStart w:id="53" w:name="_bookmark65"/>
      <w:bookmarkEnd w:id="53"/>
      <w:r>
        <w:rPr>
          <w:rFonts w:hint="eastAsia" w:ascii="黑体" w:eastAsia="黑体"/>
          <w:sz w:val="24"/>
        </w:rPr>
        <w:t>开标异议</w:t>
      </w:r>
    </w:p>
    <w:p>
      <w:pPr>
        <w:pStyle w:val="11"/>
        <w:rPr>
          <w:rFonts w:ascii="黑体"/>
          <w:sz w:val="26"/>
        </w:rPr>
      </w:pPr>
    </w:p>
    <w:p>
      <w:pPr>
        <w:pStyle w:val="11"/>
        <w:spacing w:line="312" w:lineRule="auto"/>
        <w:ind w:left="369" w:right="206" w:firstLine="479"/>
      </w:pPr>
      <w:r>
        <w:rPr>
          <w:spacing w:val="-13"/>
        </w:rPr>
        <w:t>投标人对开标有异议的，应在开标现场提出，招标人当场作出答复，并制作记录， 有异议的投标人代表、招标人代表、记录人等有关人员在记录上签字确认。</w:t>
      </w:r>
    </w:p>
    <w:p>
      <w:pPr>
        <w:pStyle w:val="11"/>
        <w:spacing w:before="3"/>
        <w:rPr>
          <w:sz w:val="21"/>
        </w:rPr>
      </w:pPr>
    </w:p>
    <w:p>
      <w:pPr>
        <w:numPr>
          <w:ilvl w:val="0"/>
          <w:numId w:val="2"/>
        </w:numPr>
        <w:tabs>
          <w:tab w:val="left" w:pos="790"/>
        </w:tabs>
        <w:rPr>
          <w:rFonts w:ascii="黑体" w:eastAsia="黑体"/>
          <w:sz w:val="28"/>
        </w:rPr>
      </w:pPr>
      <w:bookmarkStart w:id="54" w:name="_bookmark66"/>
      <w:bookmarkEnd w:id="54"/>
      <w:r>
        <w:rPr>
          <w:rFonts w:hint="eastAsia" w:ascii="黑体" w:eastAsia="黑体"/>
          <w:sz w:val="28"/>
        </w:rPr>
        <w:t>评标</w:t>
      </w:r>
    </w:p>
    <w:p>
      <w:pPr>
        <w:pStyle w:val="20"/>
        <w:numPr>
          <w:ilvl w:val="1"/>
          <w:numId w:val="2"/>
        </w:numPr>
        <w:tabs>
          <w:tab w:val="left" w:pos="910"/>
        </w:tabs>
        <w:spacing w:before="243"/>
        <w:ind w:left="909" w:hanging="540"/>
        <w:rPr>
          <w:rFonts w:ascii="黑体" w:eastAsia="黑体"/>
          <w:sz w:val="24"/>
        </w:rPr>
      </w:pPr>
      <w:bookmarkStart w:id="55" w:name="_bookmark67"/>
      <w:bookmarkEnd w:id="55"/>
      <w:r>
        <w:rPr>
          <w:rFonts w:hint="eastAsia" w:ascii="黑体" w:eastAsia="黑体"/>
          <w:sz w:val="24"/>
        </w:rPr>
        <w:t>评标委员会</w:t>
      </w:r>
    </w:p>
    <w:p>
      <w:pPr>
        <w:pStyle w:val="11"/>
        <w:spacing w:before="3"/>
        <w:rPr>
          <w:rFonts w:ascii="黑体"/>
          <w:sz w:val="28"/>
        </w:rPr>
      </w:pPr>
    </w:p>
    <w:p>
      <w:pPr>
        <w:pStyle w:val="11"/>
        <w:ind w:left="849"/>
        <w:rPr>
          <w:rFonts w:ascii="Times New Roman"/>
        </w:rPr>
      </w:pPr>
      <w:r>
        <w:rPr>
          <w:rFonts w:ascii="Times New Roman"/>
        </w:rPr>
        <w:t>6.1.1</w:t>
      </w:r>
    </w:p>
    <w:p>
      <w:pPr>
        <w:pStyle w:val="20"/>
        <w:numPr>
          <w:ilvl w:val="2"/>
          <w:numId w:val="8"/>
        </w:numPr>
        <w:tabs>
          <w:tab w:val="left" w:pos="1450"/>
        </w:tabs>
        <w:spacing w:before="97"/>
        <w:ind w:firstLine="480"/>
        <w:rPr>
          <w:sz w:val="24"/>
        </w:rPr>
      </w:pPr>
      <w:r>
        <w:rPr>
          <w:sz w:val="24"/>
        </w:rPr>
        <w:t>评标委员会成员有下列情形之一的，应主动提出回避：</w:t>
      </w:r>
    </w:p>
    <w:p>
      <w:pPr>
        <w:pStyle w:val="11"/>
        <w:spacing w:before="91"/>
        <w:ind w:left="729"/>
      </w:pPr>
      <w:r>
        <w:t>（</w:t>
      </w:r>
      <w:r>
        <w:rPr>
          <w:rFonts w:ascii="Times New Roman" w:eastAsia="Times New Roman"/>
        </w:rPr>
        <w:t>1</w:t>
      </w:r>
      <w:r>
        <w:t>）为负责招标项目监督管理的交通运输主管部门的工作人员；</w:t>
      </w:r>
    </w:p>
    <w:p>
      <w:pPr>
        <w:pStyle w:val="11"/>
        <w:spacing w:before="93"/>
        <w:ind w:left="729"/>
      </w:pPr>
      <w:r>
        <w:t>（</w:t>
      </w:r>
      <w:r>
        <w:rPr>
          <w:rFonts w:ascii="Times New Roman" w:eastAsia="Times New Roman"/>
        </w:rPr>
        <w:t>2</w:t>
      </w:r>
      <w:r>
        <w:t>）与投标人法定代表人或其委托代理人有近亲属关系；</w:t>
      </w:r>
    </w:p>
    <w:p>
      <w:pPr>
        <w:pStyle w:val="11"/>
        <w:spacing w:before="93"/>
        <w:ind w:left="729"/>
      </w:pPr>
      <w:r>
        <w:t>（</w:t>
      </w:r>
      <w:r>
        <w:rPr>
          <w:rFonts w:ascii="Times New Roman" w:eastAsia="Times New Roman"/>
        </w:rPr>
        <w:t>3</w:t>
      </w:r>
      <w:r>
        <w:t>）为投标人的工作人员或退休人员；</w:t>
      </w:r>
    </w:p>
    <w:p>
      <w:pPr>
        <w:pStyle w:val="11"/>
        <w:spacing w:before="91"/>
        <w:ind w:left="729"/>
      </w:pPr>
      <w:r>
        <w:t>（</w:t>
      </w:r>
      <w:r>
        <w:rPr>
          <w:rFonts w:ascii="Times New Roman" w:eastAsia="Times New Roman"/>
        </w:rPr>
        <w:t>4</w:t>
      </w:r>
      <w:r>
        <w:t>）与投标人有其他利害关系，可能影响评标活动公正性；</w:t>
      </w:r>
    </w:p>
    <w:p>
      <w:pPr>
        <w:pStyle w:val="11"/>
        <w:spacing w:before="94"/>
        <w:ind w:left="729"/>
      </w:pPr>
      <w:r>
        <w:rPr>
          <w:spacing w:val="-1"/>
        </w:rPr>
        <w:t>（</w:t>
      </w:r>
      <w:r>
        <w:rPr>
          <w:rFonts w:ascii="Times New Roman" w:eastAsia="Times New Roman"/>
        </w:rPr>
        <w:t>5</w:t>
      </w:r>
      <w:r>
        <w:rPr>
          <w:spacing w:val="-106"/>
        </w:rPr>
        <w:t>）</w:t>
      </w:r>
      <w:r>
        <w:rPr>
          <w:spacing w:val="-6"/>
        </w:rPr>
        <w:t>在与招标投标有关的活动中有过违法违规行为、曾受过行政处罚或刑事处罚。</w:t>
      </w:r>
    </w:p>
    <w:p>
      <w:pPr>
        <w:pStyle w:val="20"/>
        <w:numPr>
          <w:ilvl w:val="2"/>
          <w:numId w:val="8"/>
        </w:numPr>
        <w:tabs>
          <w:tab w:val="left" w:pos="1450"/>
        </w:tabs>
        <w:spacing w:before="74" w:line="312" w:lineRule="auto"/>
        <w:ind w:right="328" w:firstLine="480"/>
        <w:jc w:val="both"/>
        <w:rPr>
          <w:sz w:val="24"/>
        </w:rPr>
      </w:pPr>
      <w:r>
        <w:rPr>
          <w:sz w:val="24"/>
        </w:rPr>
        <w:t>评标过程中，评标委员会成员有回避事由、擅离职守或因健康等原因不能</w:t>
      </w:r>
      <w:r>
        <w:rPr>
          <w:spacing w:val="-9"/>
          <w:sz w:val="24"/>
        </w:rPr>
        <w:t>继续评标的，招标人有权更换。被更换的评标委员会成员作出的评审结论无效，由更换后的评标委员会成员重新进行评审。</w:t>
      </w:r>
    </w:p>
    <w:p>
      <w:pPr>
        <w:pStyle w:val="20"/>
        <w:numPr>
          <w:ilvl w:val="1"/>
          <w:numId w:val="8"/>
        </w:numPr>
        <w:tabs>
          <w:tab w:val="left" w:pos="850"/>
        </w:tabs>
        <w:spacing w:before="152"/>
        <w:ind w:left="849" w:hanging="480"/>
        <w:jc w:val="left"/>
        <w:rPr>
          <w:rFonts w:ascii="黑体" w:eastAsia="黑体"/>
          <w:sz w:val="24"/>
        </w:rPr>
      </w:pPr>
      <w:bookmarkStart w:id="56" w:name="_bookmark68"/>
      <w:bookmarkEnd w:id="56"/>
      <w:r>
        <w:rPr>
          <w:rFonts w:hint="eastAsia" w:ascii="黑体" w:eastAsia="黑体"/>
          <w:sz w:val="24"/>
        </w:rPr>
        <w:t>评标原则</w:t>
      </w:r>
    </w:p>
    <w:p>
      <w:pPr>
        <w:pStyle w:val="11"/>
        <w:spacing w:before="12"/>
        <w:rPr>
          <w:rFonts w:ascii="黑体"/>
          <w:sz w:val="18"/>
        </w:rPr>
      </w:pPr>
    </w:p>
    <w:p>
      <w:pPr>
        <w:pStyle w:val="20"/>
        <w:numPr>
          <w:ilvl w:val="1"/>
          <w:numId w:val="8"/>
        </w:numPr>
        <w:tabs>
          <w:tab w:val="left" w:pos="850"/>
        </w:tabs>
        <w:ind w:left="849" w:hanging="480"/>
        <w:jc w:val="left"/>
        <w:rPr>
          <w:rFonts w:ascii="黑体" w:eastAsia="黑体"/>
          <w:sz w:val="24"/>
        </w:rPr>
      </w:pPr>
      <w:bookmarkStart w:id="57" w:name="_bookmark69"/>
      <w:bookmarkEnd w:id="57"/>
      <w:r>
        <w:rPr>
          <w:rFonts w:hint="eastAsia" w:ascii="黑体" w:eastAsia="黑体"/>
          <w:sz w:val="24"/>
        </w:rPr>
        <w:t>评标</w:t>
      </w:r>
    </w:p>
    <w:p>
      <w:pPr>
        <w:pStyle w:val="11"/>
        <w:rPr>
          <w:rFonts w:ascii="黑体"/>
          <w:sz w:val="26"/>
        </w:rPr>
      </w:pPr>
    </w:p>
    <w:p>
      <w:pPr>
        <w:pStyle w:val="20"/>
        <w:numPr>
          <w:ilvl w:val="2"/>
          <w:numId w:val="9"/>
        </w:numPr>
        <w:tabs>
          <w:tab w:val="left" w:pos="1452"/>
        </w:tabs>
        <w:spacing w:line="312" w:lineRule="auto"/>
        <w:ind w:right="326" w:firstLine="480"/>
        <w:jc w:val="both"/>
        <w:rPr>
          <w:sz w:val="24"/>
        </w:rPr>
      </w:pPr>
      <w:r>
        <w:rPr>
          <w:sz w:val="24"/>
        </w:rPr>
        <w:t>评标委员会按照第三章</w:t>
      </w:r>
      <w:r>
        <w:rPr>
          <w:rFonts w:ascii="Times New Roman" w:hAnsi="Times New Roman" w:eastAsia="Times New Roman"/>
          <w:sz w:val="24"/>
        </w:rPr>
        <w:t>“</w:t>
      </w:r>
      <w:r>
        <w:rPr>
          <w:sz w:val="24"/>
        </w:rPr>
        <w:t>评标办法</w:t>
      </w:r>
      <w:r>
        <w:rPr>
          <w:rFonts w:ascii="Times New Roman" w:hAnsi="Times New Roman" w:eastAsia="Times New Roman"/>
          <w:sz w:val="24"/>
        </w:rPr>
        <w:t>”</w:t>
      </w:r>
      <w:r>
        <w:rPr>
          <w:sz w:val="24"/>
        </w:rPr>
        <w:t>规定的方法、评审因素、标准和程序对</w:t>
      </w:r>
      <w:r>
        <w:rPr>
          <w:spacing w:val="-3"/>
          <w:sz w:val="24"/>
        </w:rPr>
        <w:t>投标文件进行评审。第三章</w:t>
      </w:r>
      <w:r>
        <w:rPr>
          <w:rFonts w:ascii="Times New Roman" w:hAnsi="Times New Roman" w:eastAsia="Times New Roman"/>
          <w:sz w:val="24"/>
        </w:rPr>
        <w:t>“</w:t>
      </w:r>
      <w:r>
        <w:rPr>
          <w:sz w:val="24"/>
        </w:rPr>
        <w:t>评标办法</w:t>
      </w:r>
      <w:r>
        <w:rPr>
          <w:rFonts w:ascii="Times New Roman" w:hAnsi="Times New Roman" w:eastAsia="Times New Roman"/>
          <w:sz w:val="24"/>
        </w:rPr>
        <w:t>”</w:t>
      </w:r>
      <w:r>
        <w:rPr>
          <w:spacing w:val="-5"/>
          <w:sz w:val="24"/>
        </w:rPr>
        <w:t>没有规定的方法、评审因素和标准，不作为评标依据。</w:t>
      </w:r>
    </w:p>
    <w:p>
      <w:pPr>
        <w:pStyle w:val="20"/>
        <w:numPr>
          <w:ilvl w:val="2"/>
          <w:numId w:val="9"/>
        </w:numPr>
        <w:tabs>
          <w:tab w:val="left" w:pos="1450"/>
        </w:tabs>
        <w:spacing w:before="1" w:line="312" w:lineRule="auto"/>
        <w:ind w:right="206" w:firstLine="480"/>
        <w:rPr>
          <w:sz w:val="24"/>
        </w:rPr>
      </w:pPr>
      <w:r>
        <w:rPr>
          <w:spacing w:val="-10"/>
          <w:sz w:val="24"/>
        </w:rPr>
        <w:t>评标完成后，评标委员会应向招标人提交书面评标报告和中标候选人名单。评标委员会推荐中标候选人的人数见投标人须知前附表。</w:t>
      </w:r>
    </w:p>
    <w:p>
      <w:pPr>
        <w:pStyle w:val="11"/>
        <w:spacing w:before="3"/>
        <w:rPr>
          <w:sz w:val="21"/>
        </w:rPr>
      </w:pPr>
    </w:p>
    <w:p>
      <w:pPr>
        <w:numPr>
          <w:ilvl w:val="0"/>
          <w:numId w:val="2"/>
        </w:numPr>
        <w:tabs>
          <w:tab w:val="left" w:pos="790"/>
        </w:tabs>
        <w:rPr>
          <w:rFonts w:ascii="黑体" w:eastAsia="黑体"/>
          <w:sz w:val="28"/>
        </w:rPr>
      </w:pPr>
      <w:bookmarkStart w:id="58" w:name="_bookmark70"/>
      <w:bookmarkEnd w:id="58"/>
      <w:r>
        <w:rPr>
          <w:rFonts w:hint="eastAsia" w:ascii="黑体" w:eastAsia="黑体"/>
          <w:sz w:val="28"/>
        </w:rPr>
        <w:t>合同授予</w:t>
      </w:r>
    </w:p>
    <w:p>
      <w:pPr>
        <w:pStyle w:val="20"/>
        <w:numPr>
          <w:ilvl w:val="1"/>
          <w:numId w:val="2"/>
        </w:numPr>
        <w:tabs>
          <w:tab w:val="left" w:pos="850"/>
        </w:tabs>
        <w:spacing w:before="245"/>
        <w:ind w:left="849" w:hanging="480"/>
        <w:rPr>
          <w:rFonts w:ascii="黑体" w:eastAsia="黑体"/>
          <w:sz w:val="24"/>
        </w:rPr>
      </w:pPr>
      <w:bookmarkStart w:id="59" w:name="_bookmark71"/>
      <w:bookmarkEnd w:id="59"/>
      <w:r>
        <w:rPr>
          <w:rFonts w:hint="eastAsia" w:ascii="黑体" w:eastAsia="黑体"/>
          <w:sz w:val="24"/>
        </w:rPr>
        <w:t>中标候选人公示</w:t>
      </w:r>
    </w:p>
    <w:p>
      <w:pPr>
        <w:pStyle w:val="11"/>
        <w:spacing w:before="11"/>
        <w:rPr>
          <w:rFonts w:ascii="黑体"/>
          <w:sz w:val="25"/>
        </w:rPr>
      </w:pPr>
    </w:p>
    <w:p>
      <w:pPr>
        <w:pStyle w:val="11"/>
        <w:ind w:left="849"/>
      </w:pPr>
      <w:r>
        <w:t xml:space="preserve">招标人在收到评标报告之日起 </w:t>
      </w:r>
      <w:r>
        <w:rPr>
          <w:rFonts w:ascii="Times New Roman" w:eastAsia="Times New Roman"/>
        </w:rPr>
        <w:t xml:space="preserve">3 </w:t>
      </w:r>
      <w:r>
        <w:t>日内，按照投标人须知前附表规定的公示媒介和</w:t>
      </w:r>
    </w:p>
    <w:p>
      <w:pPr>
        <w:pStyle w:val="11"/>
        <w:spacing w:before="94"/>
        <w:ind w:left="369"/>
      </w:pPr>
      <w:r>
        <w:t xml:space="preserve">期限公示中标候选人，公示期不得少于 </w:t>
      </w:r>
      <w:r>
        <w:rPr>
          <w:rFonts w:ascii="Times New Roman" w:eastAsia="Times New Roman"/>
        </w:rPr>
        <w:t xml:space="preserve">3 </w:t>
      </w:r>
      <w:r>
        <w:t>日，公示内容包括：</w:t>
      </w:r>
    </w:p>
    <w:p>
      <w:pPr>
        <w:pStyle w:val="11"/>
        <w:spacing w:before="93" w:line="312" w:lineRule="auto"/>
        <w:ind w:left="369" w:right="324" w:firstLine="360"/>
      </w:pPr>
      <w:r>
        <w:rPr>
          <w:spacing w:val="-7"/>
        </w:rPr>
        <w:t>（</w:t>
      </w:r>
      <w:r>
        <w:rPr>
          <w:rFonts w:ascii="Times New Roman" w:eastAsia="Times New Roman"/>
          <w:spacing w:val="-7"/>
        </w:rPr>
        <w:t>1</w:t>
      </w:r>
      <w:r>
        <w:rPr>
          <w:spacing w:val="-7"/>
        </w:rPr>
        <w:t>）中标候选人排序、名称、投标报价，对工程质量要求、安全目标和工期的响应情况；</w:t>
      </w:r>
    </w:p>
    <w:p>
      <w:pPr>
        <w:pStyle w:val="11"/>
        <w:spacing w:line="312" w:lineRule="auto"/>
        <w:ind w:left="369" w:right="327" w:firstLine="360"/>
      </w:pPr>
      <w:r>
        <w:rPr>
          <w:spacing w:val="-11"/>
        </w:rPr>
        <w:t>（</w:t>
      </w:r>
      <w:r>
        <w:rPr>
          <w:rFonts w:ascii="Times New Roman" w:eastAsia="Times New Roman"/>
          <w:spacing w:val="-11"/>
        </w:rPr>
        <w:t>2</w:t>
      </w:r>
      <w:r>
        <w:rPr>
          <w:spacing w:val="-11"/>
        </w:rPr>
        <w:t>）</w:t>
      </w:r>
      <w:r>
        <w:rPr>
          <w:spacing w:val="-3"/>
        </w:rPr>
        <w:t>中标候选人在投标文件中承诺的项目经理和项目总工姓名、个人业绩、相关证书名称和编号；</w:t>
      </w:r>
    </w:p>
    <w:p>
      <w:pPr>
        <w:pStyle w:val="11"/>
        <w:spacing w:line="307" w:lineRule="exact"/>
        <w:ind w:left="729"/>
      </w:pPr>
      <w:r>
        <w:t>（</w:t>
      </w:r>
      <w:r>
        <w:rPr>
          <w:rFonts w:ascii="Times New Roman" w:eastAsia="Times New Roman"/>
        </w:rPr>
        <w:t>3</w:t>
      </w:r>
      <w:r>
        <w:t>）中标候选人在投标文件中填报的项目业绩；</w:t>
      </w:r>
    </w:p>
    <w:p>
      <w:pPr>
        <w:pStyle w:val="11"/>
        <w:spacing w:before="93"/>
        <w:ind w:left="729"/>
      </w:pPr>
      <w:r>
        <w:t>（</w:t>
      </w:r>
      <w:r>
        <w:rPr>
          <w:rFonts w:ascii="Times New Roman" w:eastAsia="Times New Roman"/>
        </w:rPr>
        <w:t>4</w:t>
      </w:r>
      <w:r>
        <w:t>）被否决投标的投标人名称、否决依据和原因；</w:t>
      </w:r>
    </w:p>
    <w:p>
      <w:pPr>
        <w:pStyle w:val="11"/>
        <w:spacing w:before="94"/>
        <w:ind w:left="729"/>
      </w:pPr>
      <w:r>
        <w:t>（</w:t>
      </w:r>
      <w:r>
        <w:rPr>
          <w:rFonts w:ascii="Times New Roman" w:eastAsia="Times New Roman"/>
        </w:rPr>
        <w:t>5</w:t>
      </w:r>
      <w:r>
        <w:t>）提出异议的渠道和方式；</w:t>
      </w:r>
    </w:p>
    <w:p>
      <w:pPr>
        <w:pStyle w:val="11"/>
        <w:spacing w:before="91"/>
        <w:ind w:left="729"/>
      </w:pPr>
      <w:r>
        <w:t>（</w:t>
      </w:r>
      <w:r>
        <w:rPr>
          <w:rFonts w:ascii="Times New Roman" w:eastAsia="Times New Roman"/>
        </w:rPr>
        <w:t>6</w:t>
      </w:r>
      <w:r>
        <w:t>）投标人须知前附表规定公示的其他内容。</w:t>
      </w:r>
    </w:p>
    <w:p>
      <w:pPr>
        <w:pStyle w:val="11"/>
        <w:spacing w:before="1"/>
        <w:rPr>
          <w:sz w:val="19"/>
        </w:rPr>
      </w:pPr>
    </w:p>
    <w:p>
      <w:pPr>
        <w:pStyle w:val="20"/>
        <w:numPr>
          <w:ilvl w:val="1"/>
          <w:numId w:val="2"/>
        </w:numPr>
        <w:tabs>
          <w:tab w:val="left" w:pos="850"/>
        </w:tabs>
        <w:ind w:left="849" w:hanging="480"/>
        <w:rPr>
          <w:rFonts w:ascii="黑体" w:eastAsia="黑体"/>
          <w:sz w:val="24"/>
        </w:rPr>
      </w:pPr>
      <w:bookmarkStart w:id="60" w:name="_bookmark72"/>
      <w:bookmarkEnd w:id="60"/>
      <w:r>
        <w:rPr>
          <w:rFonts w:hint="eastAsia" w:ascii="黑体" w:eastAsia="黑体"/>
          <w:sz w:val="24"/>
        </w:rPr>
        <w:t>评标结果异议</w:t>
      </w:r>
    </w:p>
    <w:p>
      <w:pPr>
        <w:pStyle w:val="11"/>
        <w:rPr>
          <w:rFonts w:ascii="黑体"/>
          <w:sz w:val="26"/>
        </w:rPr>
      </w:pPr>
    </w:p>
    <w:p>
      <w:pPr>
        <w:pStyle w:val="11"/>
        <w:spacing w:line="312" w:lineRule="auto"/>
        <w:ind w:left="369" w:right="205" w:firstLine="479"/>
      </w:pPr>
      <w:r>
        <w:rPr>
          <w:spacing w:val="-3"/>
        </w:rPr>
        <w:t>投标人或其他利害关系人对依法必须进行招标的项目的评标结果有异议的，应在</w:t>
      </w:r>
      <w:r>
        <w:rPr>
          <w:spacing w:val="-14"/>
        </w:rPr>
        <w:t xml:space="preserve">中标候选人公示期间提出。招标人将在收到异议之日起 </w:t>
      </w:r>
      <w:r>
        <w:rPr>
          <w:rFonts w:ascii="Times New Roman" w:eastAsia="Times New Roman"/>
        </w:rPr>
        <w:t xml:space="preserve">3 </w:t>
      </w:r>
      <w:r>
        <w:rPr>
          <w:spacing w:val="-11"/>
        </w:rPr>
        <w:t>日内作出答复；作出答复前， 将暂停招标投标活动。</w:t>
      </w:r>
    </w:p>
    <w:p>
      <w:pPr>
        <w:pStyle w:val="20"/>
        <w:numPr>
          <w:ilvl w:val="1"/>
          <w:numId w:val="2"/>
        </w:numPr>
        <w:tabs>
          <w:tab w:val="left" w:pos="850"/>
        </w:tabs>
        <w:spacing w:before="152"/>
        <w:ind w:left="849" w:hanging="480"/>
        <w:rPr>
          <w:rFonts w:ascii="黑体" w:eastAsia="黑体"/>
          <w:sz w:val="24"/>
        </w:rPr>
      </w:pPr>
      <w:bookmarkStart w:id="61" w:name="_bookmark73"/>
      <w:bookmarkEnd w:id="61"/>
      <w:r>
        <w:rPr>
          <w:rFonts w:hint="eastAsia" w:ascii="黑体" w:eastAsia="黑体"/>
          <w:sz w:val="24"/>
        </w:rPr>
        <w:t>中标候选人履约能力审查</w:t>
      </w:r>
    </w:p>
    <w:p>
      <w:pPr>
        <w:pStyle w:val="11"/>
        <w:spacing w:before="11"/>
        <w:rPr>
          <w:rFonts w:ascii="黑体"/>
          <w:sz w:val="25"/>
        </w:rPr>
      </w:pPr>
    </w:p>
    <w:p>
      <w:pPr>
        <w:pStyle w:val="11"/>
        <w:spacing w:line="312" w:lineRule="auto"/>
        <w:ind w:left="442" w:firstLine="439" w:firstLineChars="183"/>
      </w:pPr>
      <w:r>
        <w:t>中标候选人的经营、财务状况发生较大变化或存在违法行为，招标人认为可能影</w:t>
      </w:r>
      <w:r>
        <w:rPr>
          <w:spacing w:val="-10"/>
        </w:rPr>
        <w:t>响其履约能力的，将在发出中标通知书前提请原评标委员会按照招标文件规定的标准和方法进行审查确认。</w:t>
      </w:r>
    </w:p>
    <w:p>
      <w:pPr>
        <w:pStyle w:val="20"/>
        <w:numPr>
          <w:ilvl w:val="1"/>
          <w:numId w:val="2"/>
        </w:numPr>
        <w:tabs>
          <w:tab w:val="left" w:pos="850"/>
        </w:tabs>
        <w:spacing w:before="151"/>
        <w:ind w:left="849" w:hanging="480"/>
        <w:rPr>
          <w:rFonts w:ascii="黑体" w:eastAsia="黑体"/>
          <w:sz w:val="24"/>
        </w:rPr>
      </w:pPr>
      <w:bookmarkStart w:id="62" w:name="_bookmark74"/>
      <w:bookmarkEnd w:id="62"/>
      <w:r>
        <w:rPr>
          <w:rFonts w:hint="eastAsia" w:ascii="黑体" w:eastAsia="黑体"/>
          <w:sz w:val="24"/>
        </w:rPr>
        <w:t>定标</w:t>
      </w:r>
    </w:p>
    <w:p>
      <w:pPr>
        <w:pStyle w:val="11"/>
        <w:rPr>
          <w:rFonts w:ascii="黑体"/>
          <w:sz w:val="26"/>
        </w:rPr>
      </w:pPr>
    </w:p>
    <w:p>
      <w:pPr>
        <w:pStyle w:val="11"/>
        <w:spacing w:line="312" w:lineRule="auto"/>
        <w:ind w:left="369" w:right="326" w:firstLine="479"/>
        <w:jc w:val="both"/>
      </w:pPr>
      <w:r>
        <w:rPr>
          <w:spacing w:val="-7"/>
        </w:rPr>
        <w:t>按照投标人须知前附表的规定，招标人或招标人授权的评标委员会依法确定中标人。</w:t>
      </w:r>
    </w:p>
    <w:p>
      <w:pPr>
        <w:pStyle w:val="20"/>
        <w:numPr>
          <w:ilvl w:val="1"/>
          <w:numId w:val="2"/>
        </w:numPr>
        <w:tabs>
          <w:tab w:val="left" w:pos="850"/>
        </w:tabs>
        <w:spacing w:before="151"/>
        <w:ind w:left="849" w:hanging="480"/>
        <w:rPr>
          <w:rFonts w:ascii="黑体" w:eastAsia="黑体"/>
          <w:sz w:val="24"/>
        </w:rPr>
      </w:pPr>
      <w:bookmarkStart w:id="63" w:name="_bookmark75"/>
      <w:bookmarkEnd w:id="63"/>
      <w:r>
        <w:rPr>
          <w:rFonts w:hint="eastAsia" w:ascii="黑体" w:eastAsia="黑体"/>
          <w:sz w:val="24"/>
        </w:rPr>
        <w:t>中标通知</w:t>
      </w:r>
    </w:p>
    <w:p>
      <w:pPr>
        <w:pStyle w:val="11"/>
        <w:rPr>
          <w:rFonts w:ascii="黑体"/>
          <w:sz w:val="26"/>
        </w:rPr>
      </w:pPr>
    </w:p>
    <w:p>
      <w:pPr>
        <w:pStyle w:val="11"/>
        <w:spacing w:line="312" w:lineRule="auto"/>
        <w:ind w:left="369" w:right="324" w:firstLine="479"/>
        <w:jc w:val="both"/>
      </w:pPr>
      <w:r>
        <w:rPr>
          <w:spacing w:val="-12"/>
        </w:rPr>
        <w:t xml:space="preserve">在本章第 </w:t>
      </w:r>
      <w:r>
        <w:rPr>
          <w:rFonts w:ascii="Times New Roman" w:eastAsia="Times New Roman"/>
        </w:rPr>
        <w:t xml:space="preserve">3.3 </w:t>
      </w:r>
      <w:r>
        <w:rPr>
          <w:spacing w:val="-3"/>
        </w:rPr>
        <w:t>款规定的投标有效期内，招标人以投标人须知前附表规定的形式向中标人发出中标通知书，同时将中标结果通知未中标的投标人。</w:t>
      </w:r>
    </w:p>
    <w:p>
      <w:pPr>
        <w:pStyle w:val="20"/>
        <w:numPr>
          <w:ilvl w:val="1"/>
          <w:numId w:val="2"/>
        </w:numPr>
        <w:tabs>
          <w:tab w:val="left" w:pos="850"/>
        </w:tabs>
        <w:spacing w:before="151"/>
        <w:ind w:left="849" w:hanging="480"/>
        <w:rPr>
          <w:rFonts w:ascii="黑体" w:eastAsia="黑体"/>
          <w:sz w:val="24"/>
        </w:rPr>
      </w:pPr>
      <w:bookmarkStart w:id="64" w:name="_bookmark76"/>
      <w:bookmarkEnd w:id="64"/>
      <w:r>
        <w:rPr>
          <w:rFonts w:hint="eastAsia" w:ascii="黑体" w:eastAsia="黑体"/>
          <w:sz w:val="24"/>
        </w:rPr>
        <w:t>中标结果公告</w:t>
      </w:r>
    </w:p>
    <w:p>
      <w:pPr>
        <w:pStyle w:val="11"/>
        <w:rPr>
          <w:rFonts w:ascii="黑体"/>
          <w:sz w:val="26"/>
        </w:rPr>
      </w:pPr>
    </w:p>
    <w:p>
      <w:pPr>
        <w:pStyle w:val="11"/>
        <w:spacing w:before="1"/>
        <w:ind w:left="849"/>
      </w:pPr>
      <w:r>
        <w:t xml:space="preserve">招标人在确定中标人之日起 </w:t>
      </w:r>
      <w:r>
        <w:rPr>
          <w:rFonts w:ascii="Times New Roman" w:eastAsia="Times New Roman"/>
        </w:rPr>
        <w:t xml:space="preserve">3 </w:t>
      </w:r>
      <w:r>
        <w:t>日内，按照投标人须知前附表规定的公告媒介和期</w:t>
      </w:r>
    </w:p>
    <w:p>
      <w:pPr>
        <w:pStyle w:val="11"/>
        <w:spacing w:before="90"/>
        <w:ind w:left="369"/>
      </w:pPr>
      <w:r>
        <w:t xml:space="preserve">限公告中标结果，公告期不得少于 </w:t>
      </w:r>
      <w:r>
        <w:rPr>
          <w:rFonts w:ascii="Times New Roman" w:eastAsia="Times New Roman"/>
        </w:rPr>
        <w:t xml:space="preserve">3 </w:t>
      </w:r>
      <w:r>
        <w:t>日。公告内容包括中标人名称、中标价。</w:t>
      </w:r>
    </w:p>
    <w:p>
      <w:pPr>
        <w:pStyle w:val="11"/>
        <w:spacing w:before="1"/>
        <w:rPr>
          <w:sz w:val="19"/>
        </w:rPr>
      </w:pPr>
    </w:p>
    <w:p>
      <w:pPr>
        <w:pStyle w:val="20"/>
        <w:numPr>
          <w:ilvl w:val="1"/>
          <w:numId w:val="2"/>
        </w:numPr>
        <w:tabs>
          <w:tab w:val="left" w:pos="850"/>
        </w:tabs>
        <w:ind w:left="849" w:hanging="480"/>
        <w:rPr>
          <w:rFonts w:ascii="黑体" w:eastAsia="黑体"/>
          <w:sz w:val="24"/>
        </w:rPr>
      </w:pPr>
      <w:bookmarkStart w:id="65" w:name="_bookmark77"/>
      <w:bookmarkEnd w:id="65"/>
      <w:r>
        <w:rPr>
          <w:rFonts w:hint="eastAsia" w:ascii="黑体" w:eastAsia="黑体"/>
          <w:sz w:val="24"/>
        </w:rPr>
        <w:t>履约保证金</w:t>
      </w:r>
    </w:p>
    <w:p>
      <w:pPr>
        <w:pStyle w:val="11"/>
        <w:spacing w:before="1"/>
        <w:rPr>
          <w:rFonts w:ascii="黑体"/>
          <w:sz w:val="26"/>
        </w:rPr>
      </w:pPr>
    </w:p>
    <w:p>
      <w:pPr>
        <w:pStyle w:val="20"/>
        <w:tabs>
          <w:tab w:val="left" w:pos="1450"/>
        </w:tabs>
        <w:spacing w:line="312" w:lineRule="auto"/>
        <w:ind w:left="440" w:right="217" w:firstLine="439" w:firstLineChars="183"/>
        <w:jc w:val="both"/>
        <w:rPr>
          <w:sz w:val="24"/>
        </w:rPr>
      </w:pPr>
      <w:r>
        <w:rPr>
          <w:rFonts w:hint="eastAsia"/>
          <w:sz w:val="24"/>
          <w:lang w:val="en-US"/>
        </w:rPr>
        <w:t xml:space="preserve">7.7.1  </w:t>
      </w:r>
      <w:r>
        <w:rPr>
          <w:sz w:val="24"/>
        </w:rPr>
        <w:t>在签订合同前，中标人应按投标人须知前附表规定的形式、金额和招标文</w:t>
      </w:r>
      <w:r>
        <w:rPr>
          <w:spacing w:val="2"/>
          <w:sz w:val="24"/>
        </w:rPr>
        <w:t>件第四章</w:t>
      </w:r>
      <w:r>
        <w:rPr>
          <w:rFonts w:ascii="Times New Roman" w:hAnsi="Times New Roman" w:eastAsia="Times New Roman"/>
          <w:sz w:val="24"/>
        </w:rPr>
        <w:t>“</w:t>
      </w:r>
      <w:r>
        <w:rPr>
          <w:spacing w:val="2"/>
          <w:sz w:val="24"/>
        </w:rPr>
        <w:t>合同条款及格式</w:t>
      </w:r>
      <w:r>
        <w:rPr>
          <w:rFonts w:ascii="Times New Roman" w:hAnsi="Times New Roman" w:eastAsia="Times New Roman"/>
          <w:sz w:val="24"/>
        </w:rPr>
        <w:t>”</w:t>
      </w:r>
      <w:r>
        <w:rPr>
          <w:spacing w:val="1"/>
          <w:sz w:val="24"/>
        </w:rPr>
        <w:t>规定的或事先经过招标人书面认可的履约保证金格式向</w:t>
      </w:r>
      <w:r>
        <w:rPr>
          <w:spacing w:val="-5"/>
          <w:sz w:val="24"/>
        </w:rPr>
        <w:t>招标人提交履约保证金。除投标人须知前附表另有规定外，履约保证金为签约合同价</w:t>
      </w:r>
      <w:r>
        <w:rPr>
          <w:spacing w:val="-33"/>
          <w:sz w:val="24"/>
        </w:rPr>
        <w:t xml:space="preserve">的 </w:t>
      </w:r>
      <w:r>
        <w:rPr>
          <w:rFonts w:ascii="Times New Roman" w:hAnsi="Times New Roman" w:eastAsia="Times New Roman"/>
          <w:sz w:val="24"/>
        </w:rPr>
        <w:t>10%</w:t>
      </w:r>
      <w:r>
        <w:rPr>
          <w:sz w:val="24"/>
        </w:rPr>
        <w:t>。联合体中标的，其履约保证金以联合体各方或联合体中牵头人的名义提交。</w:t>
      </w:r>
    </w:p>
    <w:p>
      <w:pPr>
        <w:pStyle w:val="11"/>
        <w:spacing w:line="312" w:lineRule="auto"/>
        <w:ind w:left="369" w:right="324" w:firstLine="479"/>
        <w:jc w:val="both"/>
      </w:pPr>
      <w:r>
        <w:rPr>
          <w:spacing w:val="-8"/>
        </w:rPr>
        <w:t>采用银行保函时，应由符合投标人须知前附表规定级别的银行开具，所需的费用由中标人承担，中标人应保证银行保函有效。</w:t>
      </w:r>
    </w:p>
    <w:p>
      <w:pPr>
        <w:pStyle w:val="20"/>
        <w:tabs>
          <w:tab w:val="left" w:pos="1450"/>
        </w:tabs>
        <w:spacing w:before="2" w:line="312" w:lineRule="auto"/>
        <w:ind w:left="449" w:right="325" w:firstLine="456" w:firstLineChars="200"/>
        <w:jc w:val="both"/>
        <w:rPr>
          <w:sz w:val="24"/>
        </w:rPr>
      </w:pPr>
      <w:r>
        <w:rPr>
          <w:rFonts w:hint="eastAsia"/>
          <w:spacing w:val="-6"/>
          <w:sz w:val="24"/>
          <w:lang w:val="en-US"/>
        </w:rPr>
        <w:t xml:space="preserve">7.7.2  </w:t>
      </w:r>
      <w:r>
        <w:rPr>
          <w:spacing w:val="-6"/>
          <w:sz w:val="24"/>
        </w:rPr>
        <w:t xml:space="preserve">中标人不能按本章第 </w:t>
      </w:r>
      <w:r>
        <w:rPr>
          <w:rFonts w:ascii="Times New Roman" w:eastAsia="Times New Roman"/>
          <w:sz w:val="24"/>
        </w:rPr>
        <w:t xml:space="preserve">7.7.1 </w:t>
      </w:r>
      <w:r>
        <w:rPr>
          <w:spacing w:val="-7"/>
          <w:sz w:val="24"/>
        </w:rPr>
        <w:t>项要求提交履约保证金的，视为放弃中标，其投</w:t>
      </w:r>
      <w:r>
        <w:rPr>
          <w:spacing w:val="-12"/>
          <w:sz w:val="24"/>
        </w:rPr>
        <w:t>标保证金不予退还，给招标人造成的损失超过投标保证金数额的，中标人还应对超过部分予以赔偿。</w:t>
      </w:r>
    </w:p>
    <w:p>
      <w:pPr>
        <w:pStyle w:val="20"/>
        <w:numPr>
          <w:ilvl w:val="1"/>
          <w:numId w:val="2"/>
        </w:numPr>
        <w:tabs>
          <w:tab w:val="left" w:pos="850"/>
        </w:tabs>
        <w:spacing w:before="152"/>
        <w:ind w:left="849" w:hanging="480"/>
        <w:rPr>
          <w:rFonts w:ascii="黑体" w:eastAsia="黑体"/>
          <w:sz w:val="24"/>
        </w:rPr>
      </w:pPr>
      <w:bookmarkStart w:id="66" w:name="_bookmark78"/>
      <w:bookmarkEnd w:id="66"/>
      <w:r>
        <w:rPr>
          <w:rFonts w:hint="eastAsia" w:ascii="黑体" w:eastAsia="黑体"/>
          <w:sz w:val="24"/>
        </w:rPr>
        <w:t>签订合同</w:t>
      </w:r>
    </w:p>
    <w:p>
      <w:pPr>
        <w:pStyle w:val="11"/>
        <w:spacing w:before="10"/>
        <w:rPr>
          <w:rFonts w:ascii="黑体"/>
          <w:sz w:val="25"/>
        </w:rPr>
      </w:pPr>
    </w:p>
    <w:p>
      <w:pPr>
        <w:pStyle w:val="20"/>
        <w:tabs>
          <w:tab w:val="left" w:pos="1450"/>
        </w:tabs>
        <w:spacing w:before="1" w:line="312" w:lineRule="auto"/>
        <w:ind w:left="449" w:right="325" w:firstLine="468" w:firstLineChars="200"/>
        <w:jc w:val="both"/>
        <w:rPr>
          <w:sz w:val="24"/>
        </w:rPr>
      </w:pPr>
      <w:r>
        <w:rPr>
          <w:rFonts w:hint="eastAsia"/>
          <w:spacing w:val="-3"/>
          <w:sz w:val="24"/>
          <w:lang w:val="en-US"/>
        </w:rPr>
        <w:t xml:space="preserve">7.8.1  </w:t>
      </w:r>
      <w:r>
        <w:rPr>
          <w:spacing w:val="-3"/>
          <w:sz w:val="24"/>
        </w:rPr>
        <w:t xml:space="preserve">招标人和中标人应在中标通知书发出之日起 </w:t>
      </w:r>
      <w:r>
        <w:rPr>
          <w:rFonts w:ascii="Times New Roman" w:eastAsia="Times New Roman"/>
          <w:sz w:val="24"/>
        </w:rPr>
        <w:t xml:space="preserve">30 </w:t>
      </w:r>
      <w:r>
        <w:rPr>
          <w:spacing w:val="-11"/>
          <w:sz w:val="24"/>
        </w:rPr>
        <w:t>日内，根据招标文件和中标</w:t>
      </w:r>
      <w:r>
        <w:rPr>
          <w:spacing w:val="-15"/>
          <w:sz w:val="24"/>
        </w:rPr>
        <w:t>人的投标文件订立书面合同。中标人无正当理由拒签合同，在签订合同时向招标人提</w:t>
      </w:r>
      <w:r>
        <w:rPr>
          <w:spacing w:val="-13"/>
          <w:sz w:val="24"/>
        </w:rPr>
        <w:t>出附加条件，或不按照招标文件要求提交履约保证金的，招标人取消其中标资格，其</w:t>
      </w:r>
      <w:r>
        <w:rPr>
          <w:spacing w:val="-15"/>
          <w:sz w:val="24"/>
        </w:rPr>
        <w:t>投标保证金不予退还；给招标人造成的损失超过投标保证金数额的，中标人还应对超过部分予以赔偿。</w:t>
      </w:r>
    </w:p>
    <w:p>
      <w:pPr>
        <w:pStyle w:val="20"/>
        <w:tabs>
          <w:tab w:val="left" w:pos="1450"/>
        </w:tabs>
        <w:spacing w:before="3" w:line="312" w:lineRule="auto"/>
        <w:ind w:left="440" w:right="327" w:firstLine="439" w:firstLineChars="183"/>
        <w:jc w:val="both"/>
      </w:pPr>
      <w:r>
        <w:rPr>
          <w:rFonts w:hint="eastAsia"/>
          <w:sz w:val="24"/>
          <w:lang w:val="en-US"/>
        </w:rPr>
        <w:t xml:space="preserve">7.8.2  </w:t>
      </w:r>
      <w:r>
        <w:rPr>
          <w:sz w:val="24"/>
        </w:rPr>
        <w:t>发出中标通知书后，招标人无正当理由拒签合同，或在签订合同时向中标</w:t>
      </w:r>
      <w:r>
        <w:rPr>
          <w:spacing w:val="-7"/>
          <w:sz w:val="24"/>
        </w:rPr>
        <w:t>人提出附加条件的，招标人向中标人退还投标保证金；给中标人造成损失的，还应赔</w:t>
      </w:r>
      <w:r>
        <w:t>偿损失。</w:t>
      </w:r>
    </w:p>
    <w:p>
      <w:pPr>
        <w:pStyle w:val="20"/>
        <w:tabs>
          <w:tab w:val="left" w:pos="1450"/>
        </w:tabs>
        <w:spacing w:before="91"/>
        <w:ind w:left="849" w:firstLine="0"/>
        <w:rPr>
          <w:sz w:val="11"/>
        </w:rPr>
      </w:pPr>
      <w:r>
        <w:rPr>
          <w:rFonts w:hint="eastAsia"/>
          <w:sz w:val="24"/>
          <w:lang w:val="en-US"/>
        </w:rPr>
        <w:t xml:space="preserve">7.8.3  </w:t>
      </w:r>
      <w:r>
        <w:rPr>
          <w:sz w:val="24"/>
        </w:rPr>
        <w:t>签约合同价的确定原则如下：</w:t>
      </w:r>
    </w:p>
    <w:p>
      <w:pPr>
        <w:pStyle w:val="11"/>
        <w:spacing w:before="93" w:line="312" w:lineRule="auto"/>
        <w:ind w:left="369" w:right="326" w:firstLine="360"/>
        <w:jc w:val="both"/>
      </w:pPr>
      <w:r>
        <w:rPr>
          <w:spacing w:val="-16"/>
        </w:rPr>
        <w:t>（</w:t>
      </w:r>
      <w:r>
        <w:rPr>
          <w:rFonts w:ascii="Times New Roman" w:eastAsia="Times New Roman"/>
          <w:spacing w:val="-16"/>
        </w:rPr>
        <w:t>1</w:t>
      </w:r>
      <w:r>
        <w:rPr>
          <w:spacing w:val="-16"/>
        </w:rPr>
        <w:t>）</w:t>
      </w:r>
      <w:r>
        <w:rPr>
          <w:spacing w:val="-3"/>
        </w:rPr>
        <w:t>按照评标办法规定对投标报价进行修正后，若修正后的最终投标报价小于开标时的投标函大写金额报价，则签订合同时以修正后的最终投标报价为准；</w:t>
      </w:r>
    </w:p>
    <w:p>
      <w:pPr>
        <w:pStyle w:val="11"/>
        <w:spacing w:line="312" w:lineRule="auto"/>
        <w:ind w:left="369" w:right="326" w:firstLine="360"/>
        <w:jc w:val="both"/>
      </w:pPr>
      <w:r>
        <w:rPr>
          <w:spacing w:val="-16"/>
        </w:rPr>
        <w:t>（</w:t>
      </w:r>
      <w:r>
        <w:rPr>
          <w:rFonts w:ascii="Times New Roman" w:eastAsia="Times New Roman"/>
          <w:spacing w:val="-16"/>
        </w:rPr>
        <w:t>2</w:t>
      </w:r>
      <w:r>
        <w:rPr>
          <w:spacing w:val="-16"/>
        </w:rPr>
        <w:t>）</w:t>
      </w:r>
      <w:r>
        <w:rPr>
          <w:spacing w:val="-3"/>
        </w:rPr>
        <w:t>按照评标办法规定对投标报价进行修正后，若修正后的最终投标报价大于开</w:t>
      </w:r>
      <w:r>
        <w:rPr>
          <w:spacing w:val="-9"/>
        </w:rPr>
        <w:t>标时的投标函大写金额报价，则签订合同时以开标时的投标函大写金额报价为准，同时按比例修正相应子目的单价或合价。</w:t>
      </w:r>
    </w:p>
    <w:p>
      <w:pPr>
        <w:pStyle w:val="20"/>
        <w:tabs>
          <w:tab w:val="left" w:pos="1450"/>
        </w:tabs>
        <w:spacing w:before="1" w:line="312" w:lineRule="auto"/>
        <w:ind w:left="440" w:right="331" w:firstLine="439" w:firstLineChars="183"/>
        <w:jc w:val="both"/>
        <w:rPr>
          <w:sz w:val="24"/>
        </w:rPr>
      </w:pPr>
      <w:r>
        <w:rPr>
          <w:rFonts w:hint="eastAsia"/>
          <w:sz w:val="24"/>
          <w:lang w:val="en-US"/>
        </w:rPr>
        <w:t xml:space="preserve">7.8.4  </w:t>
      </w:r>
      <w:r>
        <w:rPr>
          <w:sz w:val="24"/>
        </w:rPr>
        <w:t>联合体中标的，联合体各方应共同与招标人签订合同，就中标项目向招标人承担连带责任。</w:t>
      </w:r>
    </w:p>
    <w:p>
      <w:pPr>
        <w:pStyle w:val="20"/>
        <w:tabs>
          <w:tab w:val="left" w:pos="1450"/>
        </w:tabs>
        <w:spacing w:before="2" w:line="312" w:lineRule="auto"/>
        <w:ind w:left="449" w:right="326" w:firstLine="398" w:firstLineChars="166"/>
        <w:jc w:val="both"/>
        <w:rPr>
          <w:sz w:val="24"/>
        </w:rPr>
      </w:pPr>
      <w:r>
        <w:rPr>
          <w:rFonts w:hint="eastAsia"/>
          <w:sz w:val="24"/>
          <w:lang w:val="en-US"/>
        </w:rPr>
        <w:t xml:space="preserve">7.8.5  </w:t>
      </w:r>
      <w:r>
        <w:rPr>
          <w:sz w:val="24"/>
        </w:rPr>
        <w:t>招标人和中标人在签订合同协议书的同时，须按照本招标文件规定的格式</w:t>
      </w:r>
      <w:r>
        <w:rPr>
          <w:spacing w:val="-6"/>
          <w:sz w:val="24"/>
        </w:rPr>
        <w:t>和要求签订廉政合同及安全生产合同，明确双方在廉政建设和安全生产方面的权利和义务以及应承担的违约责任。</w:t>
      </w:r>
    </w:p>
    <w:p>
      <w:pPr>
        <w:pStyle w:val="11"/>
        <w:spacing w:before="4"/>
        <w:rPr>
          <w:sz w:val="21"/>
        </w:rPr>
      </w:pPr>
    </w:p>
    <w:p>
      <w:pPr>
        <w:numPr>
          <w:ilvl w:val="0"/>
          <w:numId w:val="2"/>
        </w:numPr>
        <w:tabs>
          <w:tab w:val="left" w:pos="790"/>
        </w:tabs>
        <w:rPr>
          <w:rFonts w:ascii="黑体" w:eastAsia="黑体"/>
          <w:sz w:val="28"/>
        </w:rPr>
      </w:pPr>
      <w:bookmarkStart w:id="67" w:name="_bookmark79"/>
      <w:bookmarkEnd w:id="67"/>
      <w:r>
        <w:rPr>
          <w:rFonts w:hint="eastAsia" w:ascii="黑体" w:eastAsia="黑体"/>
          <w:spacing w:val="-1"/>
          <w:sz w:val="28"/>
        </w:rPr>
        <w:t>纪律和监督</w:t>
      </w:r>
    </w:p>
    <w:p>
      <w:pPr>
        <w:pStyle w:val="20"/>
        <w:numPr>
          <w:ilvl w:val="1"/>
          <w:numId w:val="2"/>
        </w:numPr>
        <w:tabs>
          <w:tab w:val="left" w:pos="850"/>
        </w:tabs>
        <w:spacing w:before="243"/>
        <w:ind w:left="849" w:hanging="480"/>
        <w:rPr>
          <w:rFonts w:ascii="黑体" w:eastAsia="黑体"/>
          <w:sz w:val="24"/>
        </w:rPr>
      </w:pPr>
      <w:bookmarkStart w:id="68" w:name="_bookmark80"/>
      <w:bookmarkEnd w:id="68"/>
      <w:r>
        <w:rPr>
          <w:rFonts w:hint="eastAsia" w:ascii="黑体" w:eastAsia="黑体"/>
          <w:sz w:val="24"/>
        </w:rPr>
        <w:t>对招标人的纪律要求</w:t>
      </w:r>
    </w:p>
    <w:p>
      <w:pPr>
        <w:pStyle w:val="11"/>
        <w:rPr>
          <w:rFonts w:ascii="黑体"/>
          <w:sz w:val="26"/>
        </w:rPr>
      </w:pPr>
    </w:p>
    <w:p>
      <w:pPr>
        <w:pStyle w:val="11"/>
        <w:spacing w:line="312" w:lineRule="auto"/>
        <w:ind w:left="369" w:right="326" w:firstLine="479"/>
        <w:jc w:val="both"/>
      </w:pPr>
      <w:r>
        <w:rPr>
          <w:spacing w:val="-4"/>
        </w:rPr>
        <w:t>招标人不得泄露招标投标活动中应保密的情况和资料，不得与投标人串通损害国家利益、社会公共利益或他人合法权益。</w:t>
      </w:r>
    </w:p>
    <w:p>
      <w:pPr>
        <w:pStyle w:val="20"/>
        <w:numPr>
          <w:ilvl w:val="1"/>
          <w:numId w:val="2"/>
        </w:numPr>
        <w:tabs>
          <w:tab w:val="left" w:pos="850"/>
        </w:tabs>
        <w:spacing w:before="151"/>
        <w:ind w:left="849" w:hanging="480"/>
        <w:rPr>
          <w:rFonts w:ascii="黑体" w:eastAsia="黑体"/>
          <w:sz w:val="24"/>
        </w:rPr>
      </w:pPr>
      <w:bookmarkStart w:id="69" w:name="_bookmark81"/>
      <w:bookmarkEnd w:id="69"/>
      <w:r>
        <w:rPr>
          <w:rFonts w:hint="eastAsia" w:ascii="黑体" w:eastAsia="黑体"/>
          <w:sz w:val="24"/>
        </w:rPr>
        <w:t>对投标人的纪律要求</w:t>
      </w:r>
    </w:p>
    <w:p>
      <w:pPr>
        <w:pStyle w:val="11"/>
        <w:rPr>
          <w:rFonts w:ascii="黑体"/>
          <w:sz w:val="26"/>
        </w:rPr>
      </w:pPr>
    </w:p>
    <w:p>
      <w:pPr>
        <w:pStyle w:val="11"/>
        <w:spacing w:line="312" w:lineRule="auto"/>
        <w:ind w:left="369" w:right="325" w:firstLine="479"/>
        <w:jc w:val="both"/>
      </w:pPr>
      <w:r>
        <w:rPr>
          <w:spacing w:val="-5"/>
        </w:rPr>
        <w:t>投标人不得相互串通投标或与招标人串通投标，不得向招标人或评标委员会成员</w:t>
      </w:r>
      <w:r>
        <w:rPr>
          <w:spacing w:val="-11"/>
        </w:rPr>
        <w:t>行贿谋取中标，不得以他人名义投标或以其他方式弄虚作假骗取中标；投标人不得以任何方式干扰、影响评标工作。</w:t>
      </w:r>
    </w:p>
    <w:p>
      <w:pPr>
        <w:pStyle w:val="20"/>
        <w:numPr>
          <w:ilvl w:val="1"/>
          <w:numId w:val="2"/>
        </w:numPr>
        <w:tabs>
          <w:tab w:val="left" w:pos="850"/>
        </w:tabs>
        <w:spacing w:before="153"/>
        <w:ind w:left="849" w:hanging="480"/>
        <w:rPr>
          <w:rFonts w:ascii="黑体" w:eastAsia="黑体"/>
          <w:sz w:val="24"/>
        </w:rPr>
      </w:pPr>
      <w:bookmarkStart w:id="70" w:name="_bookmark82"/>
      <w:bookmarkEnd w:id="70"/>
      <w:r>
        <w:rPr>
          <w:rFonts w:hint="eastAsia" w:ascii="黑体" w:eastAsia="黑体"/>
          <w:sz w:val="24"/>
        </w:rPr>
        <w:t>对评标委员会成员的纪律要求</w:t>
      </w:r>
    </w:p>
    <w:p>
      <w:pPr>
        <w:pStyle w:val="11"/>
        <w:spacing w:before="10"/>
        <w:rPr>
          <w:rFonts w:ascii="黑体"/>
          <w:sz w:val="25"/>
        </w:rPr>
      </w:pPr>
    </w:p>
    <w:p>
      <w:pPr>
        <w:pStyle w:val="11"/>
        <w:spacing w:line="312" w:lineRule="auto"/>
        <w:ind w:left="369" w:right="324" w:firstLine="479"/>
        <w:jc w:val="both"/>
      </w:pPr>
      <w:r>
        <w:rPr>
          <w:spacing w:val="-5"/>
        </w:rPr>
        <w:t>评标委员会成员不得收受他人的财物或其他好处，不得向他人透露对投标文件的</w:t>
      </w:r>
      <w:r>
        <w:rPr>
          <w:spacing w:val="-10"/>
        </w:rPr>
        <w:t>评审和比较、中标候选人的推荐情况以及评标有关的其他情况。在评标活动中，评标</w:t>
      </w:r>
      <w:r>
        <w:rPr>
          <w:spacing w:val="-13"/>
        </w:rPr>
        <w:t>委员会成员应客观、公正地履行职责，遵守职业道德，不得擅离职守，影响评标程序正常进行，不得使用第三章</w:t>
      </w:r>
      <w:r>
        <w:rPr>
          <w:rFonts w:ascii="Times New Roman" w:hAnsi="Times New Roman" w:eastAsia="Times New Roman"/>
          <w:spacing w:val="-13"/>
        </w:rPr>
        <w:t>“</w:t>
      </w:r>
      <w:r>
        <w:rPr>
          <w:spacing w:val="-13"/>
        </w:rPr>
        <w:t>评标办法</w:t>
      </w:r>
      <w:r>
        <w:rPr>
          <w:rFonts w:ascii="Times New Roman" w:hAnsi="Times New Roman" w:eastAsia="Times New Roman"/>
          <w:spacing w:val="-13"/>
        </w:rPr>
        <w:t>”</w:t>
      </w:r>
      <w:r>
        <w:rPr>
          <w:spacing w:val="-13"/>
        </w:rPr>
        <w:t>没有规定的评审因素和标准进行评标。</w:t>
      </w:r>
    </w:p>
    <w:p>
      <w:pPr>
        <w:pStyle w:val="20"/>
        <w:numPr>
          <w:ilvl w:val="1"/>
          <w:numId w:val="2"/>
        </w:numPr>
        <w:tabs>
          <w:tab w:val="left" w:pos="850"/>
        </w:tabs>
        <w:spacing w:before="153"/>
        <w:ind w:left="849" w:hanging="480"/>
        <w:rPr>
          <w:rFonts w:ascii="黑体" w:eastAsia="黑体"/>
          <w:sz w:val="24"/>
        </w:rPr>
      </w:pPr>
      <w:bookmarkStart w:id="71" w:name="_bookmark83"/>
      <w:bookmarkEnd w:id="71"/>
      <w:r>
        <w:rPr>
          <w:rFonts w:hint="eastAsia" w:ascii="黑体" w:eastAsia="黑体"/>
          <w:sz w:val="24"/>
        </w:rPr>
        <w:t>对与评标活动有关的工作人员的纪律要求</w:t>
      </w:r>
    </w:p>
    <w:p>
      <w:pPr>
        <w:pStyle w:val="11"/>
        <w:spacing w:before="1"/>
        <w:rPr>
          <w:rFonts w:ascii="黑体"/>
          <w:sz w:val="26"/>
        </w:rPr>
      </w:pPr>
    </w:p>
    <w:p>
      <w:pPr>
        <w:pStyle w:val="11"/>
        <w:spacing w:line="312" w:lineRule="auto"/>
        <w:ind w:left="440" w:firstLine="439" w:firstLineChars="183"/>
      </w:pPr>
      <w:r>
        <w:t>与评标活动有关的工作人员不得收受他人的财物或其他好处，不得向他人透露对</w:t>
      </w:r>
      <w:r>
        <w:rPr>
          <w:spacing w:val="-7"/>
        </w:rPr>
        <w:t>投标文件的评审和比较、中标候选人的推荐情况以及评标有关的其他情况。在评标活动中，与评标活动有关的工作人员不得擅离职守，影响评标程序正常进行。</w:t>
      </w:r>
    </w:p>
    <w:p>
      <w:pPr>
        <w:pStyle w:val="20"/>
        <w:numPr>
          <w:ilvl w:val="1"/>
          <w:numId w:val="2"/>
        </w:numPr>
        <w:tabs>
          <w:tab w:val="left" w:pos="850"/>
        </w:tabs>
        <w:spacing w:before="151"/>
        <w:ind w:left="849" w:hanging="480"/>
        <w:rPr>
          <w:rFonts w:ascii="黑体" w:eastAsia="黑体"/>
          <w:sz w:val="24"/>
        </w:rPr>
      </w:pPr>
      <w:bookmarkStart w:id="72" w:name="_bookmark84"/>
      <w:bookmarkEnd w:id="72"/>
      <w:r>
        <w:rPr>
          <w:rFonts w:hint="eastAsia" w:ascii="黑体" w:eastAsia="黑体"/>
          <w:sz w:val="24"/>
        </w:rPr>
        <w:t>投诉</w:t>
      </w:r>
    </w:p>
    <w:p>
      <w:pPr>
        <w:pStyle w:val="11"/>
        <w:rPr>
          <w:rFonts w:ascii="黑体"/>
          <w:sz w:val="26"/>
        </w:rPr>
      </w:pPr>
    </w:p>
    <w:p>
      <w:pPr>
        <w:pStyle w:val="20"/>
        <w:tabs>
          <w:tab w:val="left" w:pos="1450"/>
        </w:tabs>
        <w:spacing w:line="312" w:lineRule="auto"/>
        <w:ind w:left="449" w:right="206" w:firstLine="464" w:firstLineChars="200"/>
        <w:rPr>
          <w:sz w:val="24"/>
        </w:rPr>
      </w:pPr>
      <w:r>
        <w:rPr>
          <w:rFonts w:hint="eastAsia"/>
          <w:spacing w:val="-4"/>
          <w:sz w:val="24"/>
          <w:lang w:val="en-US"/>
        </w:rPr>
        <w:t xml:space="preserve">8.5.1  </w:t>
      </w:r>
      <w:r>
        <w:rPr>
          <w:spacing w:val="-4"/>
          <w:sz w:val="24"/>
        </w:rPr>
        <w:t xml:space="preserve">投标人或其他利害关系人认为招标投标活动不符合法律、行政法规规定的， </w:t>
      </w:r>
      <w:r>
        <w:rPr>
          <w:spacing w:val="-7"/>
          <w:sz w:val="24"/>
        </w:rPr>
        <w:t xml:space="preserve">可以自知道或应当知道之日起 </w:t>
      </w:r>
      <w:r>
        <w:rPr>
          <w:rFonts w:ascii="Times New Roman" w:eastAsia="Times New Roman"/>
          <w:sz w:val="24"/>
        </w:rPr>
        <w:t>10</w:t>
      </w:r>
      <w:r>
        <w:rPr>
          <w:rFonts w:ascii="Times New Roman" w:eastAsia="Times New Roman"/>
          <w:spacing w:val="12"/>
          <w:sz w:val="24"/>
        </w:rPr>
        <w:t xml:space="preserve"> </w:t>
      </w:r>
      <w:r>
        <w:rPr>
          <w:sz w:val="24"/>
        </w:rPr>
        <w:t>日内向有关行政监督部门投诉。投诉应有明确的请求和必要的证明材料。</w:t>
      </w:r>
    </w:p>
    <w:p>
      <w:pPr>
        <w:pStyle w:val="11"/>
        <w:spacing w:before="1"/>
        <w:ind w:left="449" w:firstLine="480" w:firstLineChars="200"/>
      </w:pPr>
      <w:r>
        <w:t>监督部门的联系方式见投标人须知前附表。</w:t>
      </w:r>
    </w:p>
    <w:p>
      <w:pPr>
        <w:pStyle w:val="20"/>
        <w:tabs>
          <w:tab w:val="left" w:pos="1450"/>
        </w:tabs>
        <w:spacing w:before="91" w:line="312" w:lineRule="auto"/>
        <w:ind w:left="449" w:right="328" w:firstLineChars="200"/>
        <w:jc w:val="both"/>
        <w:rPr>
          <w:sz w:val="24"/>
        </w:rPr>
      </w:pPr>
      <w:r>
        <w:rPr>
          <w:rFonts w:hint="eastAsia"/>
          <w:sz w:val="24"/>
          <w:lang w:val="en-US"/>
        </w:rPr>
        <w:t xml:space="preserve">8.5.2  </w:t>
      </w:r>
      <w:r>
        <w:rPr>
          <w:sz w:val="24"/>
        </w:rPr>
        <w:t>投标人或其他利害关系人对招标文件、开标和评标结果提出投诉的，应按</w:t>
      </w:r>
      <w:r>
        <w:rPr>
          <w:spacing w:val="-10"/>
          <w:sz w:val="24"/>
        </w:rPr>
        <w:t xml:space="preserve">照本章第 </w:t>
      </w:r>
      <w:r>
        <w:rPr>
          <w:rFonts w:ascii="Times New Roman" w:eastAsia="Times New Roman"/>
          <w:sz w:val="24"/>
        </w:rPr>
        <w:t>2.4</w:t>
      </w:r>
      <w:r>
        <w:rPr>
          <w:rFonts w:ascii="Times New Roman" w:eastAsia="Times New Roman"/>
          <w:spacing w:val="12"/>
          <w:sz w:val="24"/>
        </w:rPr>
        <w:t xml:space="preserve"> </w:t>
      </w:r>
      <w:r>
        <w:rPr>
          <w:spacing w:val="-12"/>
          <w:sz w:val="24"/>
        </w:rPr>
        <w:t xml:space="preserve">款、第 </w:t>
      </w:r>
      <w:r>
        <w:rPr>
          <w:rFonts w:ascii="Times New Roman" w:eastAsia="Times New Roman"/>
          <w:sz w:val="24"/>
        </w:rPr>
        <w:t>5.3</w:t>
      </w:r>
      <w:r>
        <w:rPr>
          <w:rFonts w:ascii="Times New Roman" w:eastAsia="Times New Roman"/>
          <w:spacing w:val="13"/>
          <w:sz w:val="24"/>
        </w:rPr>
        <w:t xml:space="preserve"> </w:t>
      </w:r>
      <w:r>
        <w:rPr>
          <w:spacing w:val="-12"/>
          <w:sz w:val="24"/>
        </w:rPr>
        <w:t xml:space="preserve">款和第 </w:t>
      </w:r>
      <w:r>
        <w:rPr>
          <w:rFonts w:ascii="Times New Roman" w:eastAsia="Times New Roman"/>
          <w:sz w:val="24"/>
        </w:rPr>
        <w:t>7.2</w:t>
      </w:r>
      <w:r>
        <w:rPr>
          <w:rFonts w:ascii="Times New Roman" w:eastAsia="Times New Roman"/>
          <w:spacing w:val="12"/>
          <w:sz w:val="24"/>
        </w:rPr>
        <w:t xml:space="preserve"> </w:t>
      </w:r>
      <w:r>
        <w:rPr>
          <w:sz w:val="24"/>
        </w:rPr>
        <w:t>款的规定先向招标人提出异议。异议答复期间不</w:t>
      </w:r>
      <w:r>
        <w:rPr>
          <w:spacing w:val="-13"/>
          <w:sz w:val="24"/>
        </w:rPr>
        <w:t xml:space="preserve">计算在第 </w:t>
      </w:r>
      <w:r>
        <w:rPr>
          <w:rFonts w:ascii="Times New Roman" w:eastAsia="Times New Roman"/>
          <w:sz w:val="24"/>
        </w:rPr>
        <w:t xml:space="preserve">8.5.1 </w:t>
      </w:r>
      <w:r>
        <w:rPr>
          <w:sz w:val="24"/>
        </w:rPr>
        <w:t>项规定的期限内。</w:t>
      </w:r>
    </w:p>
    <w:p>
      <w:pPr>
        <w:pStyle w:val="11"/>
        <w:spacing w:before="3"/>
        <w:rPr>
          <w:sz w:val="21"/>
        </w:rPr>
      </w:pPr>
    </w:p>
    <w:p>
      <w:pPr>
        <w:numPr>
          <w:ilvl w:val="0"/>
          <w:numId w:val="2"/>
        </w:numPr>
        <w:tabs>
          <w:tab w:val="left" w:pos="790"/>
        </w:tabs>
        <w:spacing w:before="1"/>
        <w:rPr>
          <w:rFonts w:ascii="黑体" w:eastAsia="黑体"/>
          <w:sz w:val="28"/>
        </w:rPr>
      </w:pPr>
      <w:bookmarkStart w:id="73" w:name="_bookmark85"/>
      <w:bookmarkEnd w:id="73"/>
      <w:r>
        <w:rPr>
          <w:rFonts w:hint="eastAsia" w:ascii="黑体" w:eastAsia="黑体"/>
          <w:spacing w:val="-2"/>
          <w:sz w:val="28"/>
        </w:rPr>
        <w:t>是否采用电子招标投标</w:t>
      </w:r>
    </w:p>
    <w:p>
      <w:pPr>
        <w:pStyle w:val="11"/>
        <w:rPr>
          <w:rFonts w:ascii="黑体"/>
          <w:sz w:val="26"/>
        </w:rPr>
      </w:pPr>
    </w:p>
    <w:p>
      <w:pPr>
        <w:pStyle w:val="11"/>
        <w:spacing w:before="1"/>
        <w:ind w:left="849"/>
      </w:pPr>
      <w:r>
        <w:t>本招标项目是否采用电子招标投标方式，见投标人须知前附表。</w:t>
      </w:r>
    </w:p>
    <w:p>
      <w:pPr>
        <w:pStyle w:val="11"/>
        <w:spacing w:before="4"/>
        <w:rPr>
          <w:sz w:val="28"/>
        </w:rPr>
      </w:pPr>
    </w:p>
    <w:p>
      <w:pPr>
        <w:numPr>
          <w:ilvl w:val="0"/>
          <w:numId w:val="2"/>
        </w:numPr>
        <w:tabs>
          <w:tab w:val="left" w:pos="929"/>
        </w:tabs>
        <w:ind w:left="928" w:hanging="559"/>
        <w:rPr>
          <w:rFonts w:ascii="黑体" w:eastAsia="黑体"/>
          <w:sz w:val="28"/>
        </w:rPr>
      </w:pPr>
      <w:bookmarkStart w:id="74" w:name="_bookmark86"/>
      <w:bookmarkEnd w:id="74"/>
      <w:r>
        <w:rPr>
          <w:rFonts w:hint="eastAsia" w:ascii="黑体" w:eastAsia="黑体"/>
          <w:spacing w:val="-2"/>
          <w:sz w:val="28"/>
        </w:rPr>
        <w:t>需要补充的其他内容</w:t>
      </w:r>
    </w:p>
    <w:p>
      <w:pPr>
        <w:pStyle w:val="11"/>
        <w:spacing w:before="1"/>
        <w:rPr>
          <w:rFonts w:ascii="黑体"/>
          <w:sz w:val="26"/>
        </w:rPr>
      </w:pPr>
    </w:p>
    <w:p>
      <w:pPr>
        <w:pStyle w:val="20"/>
        <w:numPr>
          <w:ilvl w:val="1"/>
          <w:numId w:val="2"/>
        </w:numPr>
        <w:tabs>
          <w:tab w:val="left" w:pos="1392"/>
        </w:tabs>
        <w:spacing w:line="312" w:lineRule="auto"/>
        <w:ind w:right="315" w:firstLine="480"/>
        <w:jc w:val="both"/>
        <w:rPr>
          <w:rFonts w:ascii="Times New Roman" w:eastAsia="Times New Roman"/>
          <w:sz w:val="24"/>
        </w:rPr>
      </w:pPr>
      <w:r>
        <w:rPr>
          <w:sz w:val="24"/>
        </w:rPr>
        <w:t>投标人应保证其提供的联系方式</w:t>
      </w:r>
      <w:r>
        <w:rPr>
          <w:spacing w:val="5"/>
          <w:sz w:val="24"/>
        </w:rPr>
        <w:t>（</w:t>
      </w:r>
      <w:r>
        <w:rPr>
          <w:sz w:val="24"/>
        </w:rPr>
        <w:t>电话、传真、电子邮件）一直有效，以便及时收到招标人发出的函件</w:t>
      </w:r>
      <w:r>
        <w:rPr>
          <w:rFonts w:ascii="Times New Roman" w:eastAsia="Times New Roman"/>
          <w:sz w:val="24"/>
        </w:rPr>
        <w:t>(</w:t>
      </w:r>
      <w:r>
        <w:rPr>
          <w:sz w:val="24"/>
        </w:rPr>
        <w:t>招标文件的澄清、修改等</w:t>
      </w:r>
      <w:r>
        <w:rPr>
          <w:rFonts w:ascii="Times New Roman" w:eastAsia="Times New Roman"/>
          <w:sz w:val="24"/>
        </w:rPr>
        <w:t>)</w:t>
      </w:r>
      <w:r>
        <w:rPr>
          <w:sz w:val="24"/>
        </w:rPr>
        <w:t>， 并应及时向招标人反馈信息，否则招标人不承担由此引起的一切后果。</w:t>
      </w:r>
    </w:p>
    <w:p>
      <w:pPr>
        <w:pStyle w:val="11"/>
        <w:spacing w:before="2"/>
        <w:rPr>
          <w:sz w:val="31"/>
        </w:rPr>
      </w:pPr>
    </w:p>
    <w:p>
      <w:pPr>
        <w:pStyle w:val="11"/>
        <w:ind w:left="849"/>
      </w:pPr>
      <w:r>
        <w:t>需要补充的其他内容：见投标人须知前附表。</w:t>
      </w:r>
    </w:p>
    <w:p>
      <w:pPr>
        <w:sectPr>
          <w:pgSz w:w="11910" w:h="16850"/>
          <w:pgMar w:top="1480" w:right="1200" w:bottom="1080" w:left="1220" w:header="883" w:footer="884" w:gutter="0"/>
          <w:cols w:space="720" w:num="1"/>
        </w:sectPr>
      </w:pPr>
    </w:p>
    <w:p>
      <w:pPr>
        <w:pStyle w:val="11"/>
        <w:spacing w:before="97"/>
        <w:ind w:left="369"/>
        <w:rPr>
          <w:rFonts w:ascii="黑体" w:hAnsi="黑体" w:eastAsia="黑体"/>
          <w:sz w:val="14"/>
        </w:rPr>
      </w:pPr>
      <w:bookmarkStart w:id="75" w:name="_bookmark87"/>
      <w:bookmarkEnd w:id="75"/>
      <w:r>
        <w:rPr>
          <w:rFonts w:hint="eastAsia" w:ascii="黑体" w:hAnsi="黑体" w:eastAsia="黑体"/>
        </w:rPr>
        <w:t xml:space="preserve">附件一 开标记录表 </w:t>
      </w:r>
    </w:p>
    <w:p>
      <w:pPr>
        <w:pStyle w:val="11"/>
        <w:spacing w:before="4"/>
        <w:rPr>
          <w:rFonts w:ascii="黑体"/>
          <w:sz w:val="22"/>
        </w:rPr>
      </w:pPr>
    </w:p>
    <w:p>
      <w:pPr>
        <w:tabs>
          <w:tab w:val="left" w:pos="1609"/>
          <w:tab w:val="left" w:pos="3854"/>
        </w:tabs>
        <w:spacing w:before="70" w:line="292" w:lineRule="auto"/>
        <w:ind w:left="633" w:right="589"/>
        <w:jc w:val="center"/>
        <w:rPr>
          <w:rFonts w:ascii="黑体" w:eastAsia="黑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黑体" w:eastAsia="黑体"/>
          <w:sz w:val="28"/>
        </w:rPr>
        <w:t>（项目名称）</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标段施</w:t>
      </w:r>
      <w:r>
        <w:rPr>
          <w:rFonts w:hint="eastAsia" w:ascii="黑体" w:eastAsia="黑体"/>
          <w:spacing w:val="-3"/>
          <w:sz w:val="28"/>
        </w:rPr>
        <w:t>工第</w:t>
      </w:r>
      <w:r>
        <w:rPr>
          <w:rFonts w:hint="eastAsia" w:ascii="黑体" w:eastAsia="黑体"/>
          <w:sz w:val="28"/>
        </w:rPr>
        <w:t>一个信封（商</w:t>
      </w:r>
      <w:r>
        <w:rPr>
          <w:rFonts w:hint="eastAsia" w:ascii="黑体" w:eastAsia="黑体"/>
          <w:spacing w:val="-3"/>
          <w:sz w:val="28"/>
        </w:rPr>
        <w:t>务及</w:t>
      </w:r>
      <w:r>
        <w:rPr>
          <w:rFonts w:hint="eastAsia" w:ascii="黑体" w:eastAsia="黑体"/>
          <w:sz w:val="28"/>
        </w:rPr>
        <w:t>技术文</w:t>
      </w:r>
      <w:r>
        <w:rPr>
          <w:rFonts w:hint="eastAsia" w:ascii="黑体" w:eastAsia="黑体"/>
          <w:spacing w:val="-3"/>
          <w:sz w:val="28"/>
        </w:rPr>
        <w:t>件</w:t>
      </w:r>
      <w:r>
        <w:rPr>
          <w:rFonts w:hint="eastAsia" w:ascii="黑体" w:eastAsia="黑体"/>
          <w:sz w:val="28"/>
        </w:rPr>
        <w:t>） 开标记</w:t>
      </w:r>
      <w:r>
        <w:rPr>
          <w:rFonts w:hint="eastAsia" w:ascii="黑体" w:eastAsia="黑体"/>
          <w:spacing w:val="-3"/>
          <w:sz w:val="28"/>
        </w:rPr>
        <w:t>录</w:t>
      </w:r>
      <w:r>
        <w:rPr>
          <w:rFonts w:hint="eastAsia" w:ascii="黑体" w:eastAsia="黑体"/>
          <w:sz w:val="28"/>
        </w:rPr>
        <w:t>表</w:t>
      </w:r>
    </w:p>
    <w:p>
      <w:pPr>
        <w:pStyle w:val="11"/>
        <w:tabs>
          <w:tab w:val="left" w:pos="6518"/>
          <w:tab w:val="left" w:pos="7118"/>
          <w:tab w:val="left" w:pos="7719"/>
          <w:tab w:val="left" w:pos="8319"/>
          <w:tab w:val="left" w:pos="8919"/>
        </w:tabs>
        <w:spacing w:before="45" w:after="20"/>
        <w:ind w:left="4958"/>
      </w:pPr>
      <w:r>
        <w:t>开标时间：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w:t>
      </w:r>
      <w:r>
        <w:rPr>
          <w:u w:val="single"/>
        </w:rPr>
        <w:t xml:space="preserve"> </w:t>
      </w:r>
      <w:r>
        <w:rPr>
          <w:u w:val="single"/>
        </w:rPr>
        <w:tab/>
      </w:r>
      <w:r>
        <w:t>分</w:t>
      </w:r>
    </w:p>
    <w:tbl>
      <w:tblPr>
        <w:tblStyle w:val="19"/>
        <w:tblW w:w="8954"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596"/>
        <w:gridCol w:w="1275"/>
        <w:gridCol w:w="1560"/>
        <w:gridCol w:w="1135"/>
        <w:gridCol w:w="84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96" w:type="dxa"/>
          </w:tcPr>
          <w:p>
            <w:pPr>
              <w:pStyle w:val="21"/>
              <w:rPr>
                <w:sz w:val="20"/>
              </w:rPr>
            </w:pPr>
          </w:p>
          <w:p>
            <w:pPr>
              <w:pStyle w:val="21"/>
              <w:spacing w:before="4"/>
              <w:rPr>
                <w:sz w:val="14"/>
              </w:rPr>
            </w:pPr>
          </w:p>
          <w:p>
            <w:pPr>
              <w:pStyle w:val="21"/>
              <w:ind w:left="136"/>
              <w:rPr>
                <w:sz w:val="21"/>
              </w:rPr>
            </w:pPr>
            <w:r>
              <w:rPr>
                <w:sz w:val="21"/>
              </w:rPr>
              <w:t>序号</w:t>
            </w:r>
          </w:p>
        </w:tc>
        <w:tc>
          <w:tcPr>
            <w:tcW w:w="1596" w:type="dxa"/>
          </w:tcPr>
          <w:p>
            <w:pPr>
              <w:pStyle w:val="21"/>
              <w:rPr>
                <w:sz w:val="20"/>
              </w:rPr>
            </w:pPr>
          </w:p>
          <w:p>
            <w:pPr>
              <w:pStyle w:val="21"/>
              <w:spacing w:before="4"/>
              <w:rPr>
                <w:sz w:val="14"/>
              </w:rPr>
            </w:pPr>
          </w:p>
          <w:p>
            <w:pPr>
              <w:pStyle w:val="21"/>
              <w:ind w:left="482"/>
              <w:rPr>
                <w:sz w:val="21"/>
              </w:rPr>
            </w:pPr>
            <w:r>
              <w:rPr>
                <w:sz w:val="21"/>
              </w:rPr>
              <w:t>投标人</w:t>
            </w:r>
          </w:p>
        </w:tc>
        <w:tc>
          <w:tcPr>
            <w:tcW w:w="1275" w:type="dxa"/>
          </w:tcPr>
          <w:p>
            <w:pPr>
              <w:pStyle w:val="21"/>
              <w:rPr>
                <w:sz w:val="20"/>
              </w:rPr>
            </w:pPr>
          </w:p>
          <w:p>
            <w:pPr>
              <w:pStyle w:val="21"/>
              <w:spacing w:before="4"/>
              <w:rPr>
                <w:sz w:val="14"/>
              </w:rPr>
            </w:pPr>
          </w:p>
          <w:p>
            <w:pPr>
              <w:pStyle w:val="21"/>
              <w:ind w:left="216"/>
              <w:rPr>
                <w:sz w:val="21"/>
              </w:rPr>
            </w:pPr>
            <w:r>
              <w:rPr>
                <w:sz w:val="21"/>
              </w:rPr>
              <w:t>密封情况</w:t>
            </w:r>
          </w:p>
        </w:tc>
        <w:tc>
          <w:tcPr>
            <w:tcW w:w="1560" w:type="dxa"/>
          </w:tcPr>
          <w:p>
            <w:pPr>
              <w:pStyle w:val="21"/>
              <w:spacing w:before="11"/>
              <w:rPr>
                <w:sz w:val="14"/>
              </w:rPr>
            </w:pPr>
          </w:p>
          <w:p>
            <w:pPr>
              <w:pStyle w:val="21"/>
              <w:ind w:left="24" w:right="15"/>
              <w:jc w:val="center"/>
              <w:rPr>
                <w:sz w:val="21"/>
              </w:rPr>
            </w:pPr>
            <w:r>
              <w:rPr>
                <w:sz w:val="21"/>
              </w:rPr>
              <w:t>投标保证金递交</w:t>
            </w:r>
          </w:p>
          <w:p>
            <w:pPr>
              <w:pStyle w:val="21"/>
              <w:spacing w:before="2"/>
              <w:rPr>
                <w:sz w:val="18"/>
              </w:rPr>
            </w:pPr>
          </w:p>
          <w:p>
            <w:pPr>
              <w:pStyle w:val="21"/>
              <w:ind w:left="24" w:right="15"/>
              <w:jc w:val="center"/>
              <w:rPr>
                <w:sz w:val="21"/>
              </w:rPr>
            </w:pPr>
            <w:r>
              <w:rPr>
                <w:sz w:val="21"/>
              </w:rPr>
              <w:t>情况</w:t>
            </w:r>
          </w:p>
        </w:tc>
        <w:tc>
          <w:tcPr>
            <w:tcW w:w="1135" w:type="dxa"/>
          </w:tcPr>
          <w:p>
            <w:pPr>
              <w:pStyle w:val="21"/>
              <w:rPr>
                <w:sz w:val="20"/>
              </w:rPr>
            </w:pPr>
          </w:p>
          <w:p>
            <w:pPr>
              <w:pStyle w:val="21"/>
              <w:spacing w:before="4"/>
              <w:rPr>
                <w:sz w:val="14"/>
              </w:rPr>
            </w:pPr>
          </w:p>
          <w:p>
            <w:pPr>
              <w:pStyle w:val="21"/>
              <w:ind w:left="355"/>
              <w:rPr>
                <w:sz w:val="21"/>
              </w:rPr>
            </w:pPr>
            <w:r>
              <w:rPr>
                <w:sz w:val="21"/>
              </w:rPr>
              <w:t>工期</w:t>
            </w:r>
          </w:p>
        </w:tc>
        <w:tc>
          <w:tcPr>
            <w:tcW w:w="849" w:type="dxa"/>
          </w:tcPr>
          <w:p>
            <w:pPr>
              <w:pStyle w:val="21"/>
              <w:rPr>
                <w:sz w:val="20"/>
              </w:rPr>
            </w:pPr>
          </w:p>
          <w:p>
            <w:pPr>
              <w:pStyle w:val="21"/>
              <w:spacing w:before="4"/>
              <w:rPr>
                <w:sz w:val="14"/>
              </w:rPr>
            </w:pPr>
          </w:p>
          <w:p>
            <w:pPr>
              <w:pStyle w:val="21"/>
              <w:ind w:left="211"/>
              <w:rPr>
                <w:sz w:val="21"/>
              </w:rPr>
            </w:pPr>
            <w:r>
              <w:rPr>
                <w:sz w:val="21"/>
              </w:rPr>
              <w:t>备注</w:t>
            </w:r>
          </w:p>
        </w:tc>
        <w:tc>
          <w:tcPr>
            <w:tcW w:w="1843" w:type="dxa"/>
          </w:tcPr>
          <w:p>
            <w:pPr>
              <w:pStyle w:val="21"/>
              <w:rPr>
                <w:sz w:val="20"/>
              </w:rPr>
            </w:pPr>
          </w:p>
          <w:p>
            <w:pPr>
              <w:pStyle w:val="21"/>
              <w:spacing w:before="4"/>
              <w:rPr>
                <w:sz w:val="14"/>
              </w:rPr>
            </w:pPr>
          </w:p>
          <w:p>
            <w:pPr>
              <w:pStyle w:val="21"/>
              <w:ind w:left="185"/>
              <w:rPr>
                <w:sz w:val="21"/>
              </w:rPr>
            </w:pPr>
            <w:r>
              <w:rPr>
                <w:sz w:val="21"/>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1"/>
              <w:rPr>
                <w:rFonts w:ascii="Times New Roman"/>
                <w:sz w:val="20"/>
              </w:rPr>
            </w:pPr>
          </w:p>
        </w:tc>
        <w:tc>
          <w:tcPr>
            <w:tcW w:w="1596" w:type="dxa"/>
          </w:tcPr>
          <w:p>
            <w:pPr>
              <w:pStyle w:val="21"/>
              <w:rPr>
                <w:rFonts w:ascii="Times New Roman"/>
                <w:sz w:val="20"/>
              </w:rPr>
            </w:pPr>
          </w:p>
        </w:tc>
        <w:tc>
          <w:tcPr>
            <w:tcW w:w="1275" w:type="dxa"/>
          </w:tcPr>
          <w:p>
            <w:pPr>
              <w:pStyle w:val="21"/>
              <w:rPr>
                <w:rFonts w:ascii="Times New Roman"/>
                <w:sz w:val="20"/>
              </w:rPr>
            </w:pPr>
          </w:p>
        </w:tc>
        <w:tc>
          <w:tcPr>
            <w:tcW w:w="1560" w:type="dxa"/>
          </w:tcPr>
          <w:p>
            <w:pPr>
              <w:pStyle w:val="21"/>
              <w:rPr>
                <w:rFonts w:ascii="Times New Roman"/>
                <w:sz w:val="20"/>
              </w:rPr>
            </w:pPr>
          </w:p>
        </w:tc>
        <w:tc>
          <w:tcPr>
            <w:tcW w:w="1135" w:type="dxa"/>
          </w:tcPr>
          <w:p>
            <w:pPr>
              <w:pStyle w:val="21"/>
              <w:rPr>
                <w:rFonts w:ascii="Times New Roman"/>
                <w:sz w:val="20"/>
              </w:rPr>
            </w:pPr>
          </w:p>
        </w:tc>
        <w:tc>
          <w:tcPr>
            <w:tcW w:w="849" w:type="dxa"/>
          </w:tcPr>
          <w:p>
            <w:pPr>
              <w:pStyle w:val="21"/>
              <w:rPr>
                <w:rFonts w:ascii="Times New Roman"/>
                <w:sz w:val="20"/>
              </w:rPr>
            </w:pPr>
          </w:p>
        </w:tc>
        <w:tc>
          <w:tcPr>
            <w:tcW w:w="1843" w:type="dxa"/>
          </w:tcPr>
          <w:p>
            <w:pPr>
              <w:pStyle w:val="21"/>
              <w:rPr>
                <w:rFonts w:ascii="Times New Roman"/>
                <w:sz w:val="20"/>
              </w:rPr>
            </w:pPr>
          </w:p>
        </w:tc>
      </w:tr>
    </w:tbl>
    <w:p>
      <w:pPr>
        <w:pStyle w:val="11"/>
        <w:rPr>
          <w:sz w:val="26"/>
        </w:rPr>
      </w:pPr>
    </w:p>
    <w:p>
      <w:pPr>
        <w:pStyle w:val="11"/>
        <w:spacing w:before="8"/>
        <w:rPr>
          <w:sz w:val="30"/>
        </w:rPr>
      </w:pPr>
    </w:p>
    <w:p>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 xml:space="preserve"> </w:t>
      </w:r>
      <w:r>
        <w:rPr>
          <w:sz w:val="21"/>
          <w:u w:val="single"/>
        </w:rPr>
        <w:tab/>
      </w:r>
      <w:r>
        <w:rPr>
          <w:sz w:val="21"/>
        </w:rPr>
        <w:tab/>
      </w:r>
      <w:r>
        <w:rPr>
          <w:sz w:val="21"/>
        </w:rPr>
        <w:t>记</w:t>
      </w:r>
      <w:r>
        <w:rPr>
          <w:spacing w:val="-3"/>
          <w:sz w:val="21"/>
        </w:rPr>
        <w:t>录人</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11"/>
        <w:spacing w:before="8"/>
        <w:rPr>
          <w:rFonts w:ascii="Times New Roman"/>
          <w:sz w:val="21"/>
        </w:rPr>
      </w:pPr>
    </w:p>
    <w:p>
      <w:pPr>
        <w:pStyle w:val="11"/>
        <w:tabs>
          <w:tab w:val="left" w:pos="959"/>
          <w:tab w:val="left" w:pos="1680"/>
          <w:tab w:val="left" w:pos="2400"/>
        </w:tabs>
        <w:spacing w:before="74"/>
        <w:ind w:right="324"/>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11"/>
        <w:rPr>
          <w:sz w:val="20"/>
        </w:rPr>
      </w:pPr>
    </w:p>
    <w:p>
      <w:pPr>
        <w:pStyle w:val="11"/>
        <w:spacing w:before="11"/>
        <w:rPr>
          <w:sz w:val="18"/>
        </w:rPr>
      </w:pPr>
    </w:p>
    <w:p>
      <w:pPr>
        <w:spacing w:line="331" w:lineRule="auto"/>
        <w:rPr>
          <w:sz w:val="18"/>
        </w:rPr>
        <w:sectPr>
          <w:footerReference r:id="rId15" w:type="default"/>
          <w:footerReference r:id="rId16" w:type="even"/>
          <w:pgSz w:w="11910" w:h="16850"/>
          <w:pgMar w:top="1480" w:right="1200" w:bottom="1580" w:left="1220" w:header="876" w:footer="1391" w:gutter="0"/>
          <w:cols w:space="720" w:num="1"/>
        </w:sectPr>
      </w:pPr>
    </w:p>
    <w:p>
      <w:pPr>
        <w:pStyle w:val="11"/>
        <w:spacing w:before="8"/>
        <w:rPr>
          <w:sz w:val="8"/>
        </w:rPr>
      </w:pPr>
    </w:p>
    <w:p>
      <w:pPr>
        <w:tabs>
          <w:tab w:val="left" w:pos="2029"/>
          <w:tab w:val="left" w:pos="4274"/>
        </w:tabs>
        <w:spacing w:before="70" w:line="292" w:lineRule="auto"/>
        <w:ind w:left="1053" w:right="1009"/>
        <w:jc w:val="center"/>
        <w:rPr>
          <w:rFonts w:ascii="黑体" w:eastAsia="黑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黑体" w:eastAsia="黑体"/>
          <w:sz w:val="28"/>
        </w:rPr>
        <w:t>（项目名称）</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标段施工</w:t>
      </w:r>
      <w:r>
        <w:rPr>
          <w:rFonts w:hint="eastAsia" w:ascii="黑体" w:eastAsia="黑体"/>
          <w:spacing w:val="-3"/>
          <w:sz w:val="28"/>
        </w:rPr>
        <w:t>第</w:t>
      </w:r>
      <w:r>
        <w:rPr>
          <w:rFonts w:hint="eastAsia" w:ascii="黑体" w:eastAsia="黑体"/>
          <w:sz w:val="28"/>
        </w:rPr>
        <w:t>二个信</w:t>
      </w:r>
      <w:r>
        <w:rPr>
          <w:rFonts w:hint="eastAsia" w:ascii="黑体" w:eastAsia="黑体"/>
          <w:spacing w:val="-3"/>
          <w:sz w:val="28"/>
        </w:rPr>
        <w:t>封</w:t>
      </w:r>
      <w:r>
        <w:rPr>
          <w:rFonts w:hint="eastAsia" w:ascii="黑体" w:eastAsia="黑体"/>
          <w:sz w:val="28"/>
        </w:rPr>
        <w:t>（报</w:t>
      </w:r>
      <w:r>
        <w:rPr>
          <w:rFonts w:hint="eastAsia" w:ascii="黑体" w:eastAsia="黑体"/>
          <w:spacing w:val="-3"/>
          <w:sz w:val="28"/>
        </w:rPr>
        <w:t>价文</w:t>
      </w:r>
      <w:r>
        <w:rPr>
          <w:rFonts w:hint="eastAsia" w:ascii="黑体" w:eastAsia="黑体"/>
          <w:sz w:val="28"/>
        </w:rPr>
        <w:t>件） 开标记</w:t>
      </w:r>
      <w:r>
        <w:rPr>
          <w:rFonts w:hint="eastAsia" w:ascii="黑体" w:eastAsia="黑体"/>
          <w:spacing w:val="-3"/>
          <w:sz w:val="28"/>
        </w:rPr>
        <w:t>录</w:t>
      </w:r>
      <w:r>
        <w:rPr>
          <w:rFonts w:hint="eastAsia" w:ascii="黑体" w:eastAsia="黑体"/>
          <w:sz w:val="28"/>
        </w:rPr>
        <w:t>表</w:t>
      </w:r>
    </w:p>
    <w:p>
      <w:pPr>
        <w:pStyle w:val="11"/>
        <w:tabs>
          <w:tab w:val="left" w:pos="6518"/>
          <w:tab w:val="left" w:pos="7118"/>
          <w:tab w:val="left" w:pos="7719"/>
          <w:tab w:val="left" w:pos="8319"/>
          <w:tab w:val="left" w:pos="8919"/>
        </w:tabs>
        <w:spacing w:before="43" w:after="22"/>
        <w:ind w:left="4958"/>
      </w:pPr>
      <w:r>
        <w:t>开标时间：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w:t>
      </w:r>
      <w:r>
        <w:rPr>
          <w:u w:val="single"/>
        </w:rPr>
        <w:t xml:space="preserve"> </w:t>
      </w:r>
      <w:r>
        <w:rPr>
          <w:u w:val="single"/>
        </w:rPr>
        <w:tab/>
      </w:r>
      <w:r>
        <w:t>分</w:t>
      </w:r>
    </w:p>
    <w:tbl>
      <w:tblPr>
        <w:tblStyle w:val="19"/>
        <w:tblW w:w="9000"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440"/>
        <w:gridCol w:w="1364"/>
        <w:gridCol w:w="1561"/>
        <w:gridCol w:w="1181"/>
        <w:gridCol w:w="1008"/>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08" w:type="dxa"/>
          </w:tcPr>
          <w:p>
            <w:pPr>
              <w:pStyle w:val="21"/>
              <w:rPr>
                <w:sz w:val="20"/>
              </w:rPr>
            </w:pPr>
          </w:p>
          <w:p>
            <w:pPr>
              <w:pStyle w:val="21"/>
              <w:spacing w:before="4"/>
              <w:rPr>
                <w:sz w:val="14"/>
              </w:rPr>
            </w:pPr>
          </w:p>
          <w:p>
            <w:pPr>
              <w:pStyle w:val="21"/>
              <w:ind w:left="143"/>
              <w:rPr>
                <w:sz w:val="21"/>
              </w:rPr>
            </w:pPr>
            <w:r>
              <w:rPr>
                <w:sz w:val="21"/>
              </w:rPr>
              <w:t>序号</w:t>
            </w:r>
          </w:p>
        </w:tc>
        <w:tc>
          <w:tcPr>
            <w:tcW w:w="1440" w:type="dxa"/>
          </w:tcPr>
          <w:p>
            <w:pPr>
              <w:pStyle w:val="21"/>
              <w:rPr>
                <w:sz w:val="20"/>
              </w:rPr>
            </w:pPr>
          </w:p>
          <w:p>
            <w:pPr>
              <w:pStyle w:val="21"/>
              <w:spacing w:before="4"/>
              <w:rPr>
                <w:sz w:val="14"/>
              </w:rPr>
            </w:pPr>
          </w:p>
          <w:p>
            <w:pPr>
              <w:pStyle w:val="21"/>
              <w:ind w:left="402"/>
              <w:rPr>
                <w:sz w:val="21"/>
              </w:rPr>
            </w:pPr>
            <w:r>
              <w:rPr>
                <w:sz w:val="21"/>
              </w:rPr>
              <w:t>投标人</w:t>
            </w:r>
          </w:p>
        </w:tc>
        <w:tc>
          <w:tcPr>
            <w:tcW w:w="1364" w:type="dxa"/>
          </w:tcPr>
          <w:p>
            <w:pPr>
              <w:pStyle w:val="21"/>
              <w:rPr>
                <w:sz w:val="20"/>
              </w:rPr>
            </w:pPr>
          </w:p>
          <w:p>
            <w:pPr>
              <w:pStyle w:val="21"/>
              <w:spacing w:before="4"/>
              <w:rPr>
                <w:sz w:val="14"/>
              </w:rPr>
            </w:pPr>
          </w:p>
          <w:p>
            <w:pPr>
              <w:pStyle w:val="21"/>
              <w:ind w:left="259"/>
              <w:rPr>
                <w:sz w:val="21"/>
              </w:rPr>
            </w:pPr>
            <w:r>
              <w:rPr>
                <w:sz w:val="21"/>
              </w:rPr>
              <w:t>密封情况</w:t>
            </w:r>
          </w:p>
        </w:tc>
        <w:tc>
          <w:tcPr>
            <w:tcW w:w="1561" w:type="dxa"/>
          </w:tcPr>
          <w:p>
            <w:pPr>
              <w:pStyle w:val="21"/>
              <w:rPr>
                <w:sz w:val="20"/>
              </w:rPr>
            </w:pPr>
          </w:p>
          <w:p>
            <w:pPr>
              <w:pStyle w:val="21"/>
              <w:spacing w:before="4"/>
              <w:rPr>
                <w:sz w:val="14"/>
              </w:rPr>
            </w:pPr>
          </w:p>
          <w:p>
            <w:pPr>
              <w:pStyle w:val="21"/>
              <w:ind w:left="40"/>
              <w:rPr>
                <w:sz w:val="21"/>
              </w:rPr>
            </w:pPr>
            <w:r>
              <w:rPr>
                <w:sz w:val="21"/>
              </w:rPr>
              <w:t>投标报价（元）</w:t>
            </w:r>
          </w:p>
        </w:tc>
        <w:tc>
          <w:tcPr>
            <w:tcW w:w="1181" w:type="dxa"/>
          </w:tcPr>
          <w:p>
            <w:pPr>
              <w:pStyle w:val="21"/>
              <w:spacing w:line="500" w:lineRule="exact"/>
              <w:ind w:left="61" w:right="54"/>
              <w:rPr>
                <w:sz w:val="21"/>
              </w:rPr>
            </w:pPr>
            <w:r>
              <w:rPr>
                <w:sz w:val="21"/>
              </w:rPr>
              <w:t>是否超过最高投标限价</w:t>
            </w:r>
          </w:p>
        </w:tc>
        <w:tc>
          <w:tcPr>
            <w:tcW w:w="1008" w:type="dxa"/>
          </w:tcPr>
          <w:p>
            <w:pPr>
              <w:pStyle w:val="21"/>
              <w:rPr>
                <w:sz w:val="20"/>
              </w:rPr>
            </w:pPr>
          </w:p>
          <w:p>
            <w:pPr>
              <w:pStyle w:val="21"/>
              <w:spacing w:before="4"/>
              <w:rPr>
                <w:sz w:val="14"/>
              </w:rPr>
            </w:pPr>
          </w:p>
          <w:p>
            <w:pPr>
              <w:pStyle w:val="21"/>
              <w:ind w:left="291"/>
              <w:rPr>
                <w:sz w:val="21"/>
              </w:rPr>
            </w:pPr>
            <w:r>
              <w:rPr>
                <w:sz w:val="21"/>
              </w:rPr>
              <w:t>备注</w:t>
            </w:r>
          </w:p>
        </w:tc>
        <w:tc>
          <w:tcPr>
            <w:tcW w:w="1738" w:type="dxa"/>
          </w:tcPr>
          <w:p>
            <w:pPr>
              <w:pStyle w:val="21"/>
              <w:rPr>
                <w:sz w:val="20"/>
              </w:rPr>
            </w:pPr>
          </w:p>
          <w:p>
            <w:pPr>
              <w:pStyle w:val="21"/>
              <w:spacing w:before="4"/>
              <w:rPr>
                <w:sz w:val="14"/>
              </w:rPr>
            </w:pPr>
          </w:p>
          <w:p>
            <w:pPr>
              <w:pStyle w:val="21"/>
              <w:ind w:left="131"/>
              <w:rPr>
                <w:sz w:val="21"/>
              </w:rPr>
            </w:pPr>
            <w:r>
              <w:rPr>
                <w:sz w:val="21"/>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8" w:type="dxa"/>
          </w:tcPr>
          <w:p>
            <w:pPr>
              <w:pStyle w:val="21"/>
              <w:rPr>
                <w:rFonts w:ascii="Times New Roman"/>
              </w:rPr>
            </w:pPr>
          </w:p>
        </w:tc>
        <w:tc>
          <w:tcPr>
            <w:tcW w:w="1440" w:type="dxa"/>
          </w:tcPr>
          <w:p>
            <w:pPr>
              <w:pStyle w:val="21"/>
              <w:rPr>
                <w:rFonts w:ascii="Times New Roman"/>
              </w:rPr>
            </w:pPr>
          </w:p>
        </w:tc>
        <w:tc>
          <w:tcPr>
            <w:tcW w:w="1364" w:type="dxa"/>
          </w:tcPr>
          <w:p>
            <w:pPr>
              <w:pStyle w:val="21"/>
              <w:rPr>
                <w:rFonts w:ascii="Times New Roman"/>
              </w:rPr>
            </w:pPr>
          </w:p>
        </w:tc>
        <w:tc>
          <w:tcPr>
            <w:tcW w:w="1561" w:type="dxa"/>
          </w:tcPr>
          <w:p>
            <w:pPr>
              <w:pStyle w:val="21"/>
              <w:rPr>
                <w:rFonts w:ascii="Times New Roman"/>
              </w:rPr>
            </w:pPr>
          </w:p>
        </w:tc>
        <w:tc>
          <w:tcPr>
            <w:tcW w:w="1181" w:type="dxa"/>
          </w:tcPr>
          <w:p>
            <w:pPr>
              <w:pStyle w:val="21"/>
              <w:rPr>
                <w:rFonts w:ascii="Times New Roman"/>
              </w:rPr>
            </w:pPr>
          </w:p>
        </w:tc>
        <w:tc>
          <w:tcPr>
            <w:tcW w:w="1008" w:type="dxa"/>
          </w:tcPr>
          <w:p>
            <w:pPr>
              <w:pStyle w:val="21"/>
              <w:rPr>
                <w:rFonts w:ascii="Times New Roman"/>
              </w:rPr>
            </w:pPr>
          </w:p>
        </w:tc>
        <w:tc>
          <w:tcPr>
            <w:tcW w:w="1738"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8" w:type="dxa"/>
          </w:tcPr>
          <w:p>
            <w:pPr>
              <w:pStyle w:val="21"/>
              <w:rPr>
                <w:rFonts w:ascii="Times New Roman"/>
              </w:rPr>
            </w:pPr>
          </w:p>
        </w:tc>
        <w:tc>
          <w:tcPr>
            <w:tcW w:w="1440" w:type="dxa"/>
          </w:tcPr>
          <w:p>
            <w:pPr>
              <w:pStyle w:val="21"/>
              <w:rPr>
                <w:rFonts w:ascii="Times New Roman"/>
              </w:rPr>
            </w:pPr>
          </w:p>
        </w:tc>
        <w:tc>
          <w:tcPr>
            <w:tcW w:w="1364" w:type="dxa"/>
          </w:tcPr>
          <w:p>
            <w:pPr>
              <w:pStyle w:val="21"/>
              <w:rPr>
                <w:rFonts w:ascii="Times New Roman"/>
              </w:rPr>
            </w:pPr>
          </w:p>
        </w:tc>
        <w:tc>
          <w:tcPr>
            <w:tcW w:w="1561" w:type="dxa"/>
          </w:tcPr>
          <w:p>
            <w:pPr>
              <w:pStyle w:val="21"/>
              <w:rPr>
                <w:rFonts w:ascii="Times New Roman"/>
              </w:rPr>
            </w:pPr>
          </w:p>
        </w:tc>
        <w:tc>
          <w:tcPr>
            <w:tcW w:w="1181" w:type="dxa"/>
          </w:tcPr>
          <w:p>
            <w:pPr>
              <w:pStyle w:val="21"/>
              <w:rPr>
                <w:rFonts w:ascii="Times New Roman"/>
              </w:rPr>
            </w:pPr>
          </w:p>
        </w:tc>
        <w:tc>
          <w:tcPr>
            <w:tcW w:w="1008" w:type="dxa"/>
          </w:tcPr>
          <w:p>
            <w:pPr>
              <w:pStyle w:val="21"/>
              <w:rPr>
                <w:rFonts w:ascii="Times New Roman"/>
              </w:rPr>
            </w:pPr>
          </w:p>
        </w:tc>
        <w:tc>
          <w:tcPr>
            <w:tcW w:w="1738"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21"/>
              <w:rPr>
                <w:rFonts w:ascii="Times New Roman"/>
              </w:rPr>
            </w:pPr>
          </w:p>
        </w:tc>
        <w:tc>
          <w:tcPr>
            <w:tcW w:w="1440" w:type="dxa"/>
          </w:tcPr>
          <w:p>
            <w:pPr>
              <w:pStyle w:val="21"/>
              <w:rPr>
                <w:rFonts w:ascii="Times New Roman"/>
              </w:rPr>
            </w:pPr>
          </w:p>
        </w:tc>
        <w:tc>
          <w:tcPr>
            <w:tcW w:w="1364" w:type="dxa"/>
          </w:tcPr>
          <w:p>
            <w:pPr>
              <w:pStyle w:val="21"/>
              <w:rPr>
                <w:rFonts w:ascii="Times New Roman"/>
              </w:rPr>
            </w:pPr>
          </w:p>
        </w:tc>
        <w:tc>
          <w:tcPr>
            <w:tcW w:w="1561" w:type="dxa"/>
          </w:tcPr>
          <w:p>
            <w:pPr>
              <w:pStyle w:val="21"/>
              <w:rPr>
                <w:rFonts w:ascii="Times New Roman"/>
              </w:rPr>
            </w:pPr>
          </w:p>
        </w:tc>
        <w:tc>
          <w:tcPr>
            <w:tcW w:w="1181" w:type="dxa"/>
          </w:tcPr>
          <w:p>
            <w:pPr>
              <w:pStyle w:val="21"/>
              <w:rPr>
                <w:rFonts w:ascii="Times New Roman"/>
              </w:rPr>
            </w:pPr>
          </w:p>
        </w:tc>
        <w:tc>
          <w:tcPr>
            <w:tcW w:w="1008" w:type="dxa"/>
          </w:tcPr>
          <w:p>
            <w:pPr>
              <w:pStyle w:val="21"/>
              <w:rPr>
                <w:rFonts w:ascii="Times New Roman"/>
              </w:rPr>
            </w:pPr>
          </w:p>
        </w:tc>
        <w:tc>
          <w:tcPr>
            <w:tcW w:w="1738"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21"/>
              <w:rPr>
                <w:rFonts w:ascii="Times New Roman"/>
              </w:rPr>
            </w:pPr>
          </w:p>
        </w:tc>
        <w:tc>
          <w:tcPr>
            <w:tcW w:w="1440" w:type="dxa"/>
          </w:tcPr>
          <w:p>
            <w:pPr>
              <w:pStyle w:val="21"/>
              <w:rPr>
                <w:rFonts w:ascii="Times New Roman"/>
              </w:rPr>
            </w:pPr>
          </w:p>
        </w:tc>
        <w:tc>
          <w:tcPr>
            <w:tcW w:w="1364" w:type="dxa"/>
          </w:tcPr>
          <w:p>
            <w:pPr>
              <w:pStyle w:val="21"/>
              <w:rPr>
                <w:rFonts w:ascii="Times New Roman"/>
              </w:rPr>
            </w:pPr>
          </w:p>
        </w:tc>
        <w:tc>
          <w:tcPr>
            <w:tcW w:w="1561" w:type="dxa"/>
          </w:tcPr>
          <w:p>
            <w:pPr>
              <w:pStyle w:val="21"/>
              <w:rPr>
                <w:rFonts w:ascii="Times New Roman"/>
              </w:rPr>
            </w:pPr>
          </w:p>
        </w:tc>
        <w:tc>
          <w:tcPr>
            <w:tcW w:w="1181" w:type="dxa"/>
          </w:tcPr>
          <w:p>
            <w:pPr>
              <w:pStyle w:val="21"/>
              <w:rPr>
                <w:rFonts w:ascii="Times New Roman"/>
              </w:rPr>
            </w:pPr>
          </w:p>
        </w:tc>
        <w:tc>
          <w:tcPr>
            <w:tcW w:w="1008" w:type="dxa"/>
          </w:tcPr>
          <w:p>
            <w:pPr>
              <w:pStyle w:val="21"/>
              <w:rPr>
                <w:rFonts w:ascii="Times New Roman"/>
              </w:rPr>
            </w:pPr>
          </w:p>
        </w:tc>
        <w:tc>
          <w:tcPr>
            <w:tcW w:w="1738"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21"/>
              <w:rPr>
                <w:rFonts w:ascii="Times New Roman"/>
              </w:rPr>
            </w:pPr>
          </w:p>
        </w:tc>
        <w:tc>
          <w:tcPr>
            <w:tcW w:w="1440" w:type="dxa"/>
          </w:tcPr>
          <w:p>
            <w:pPr>
              <w:pStyle w:val="21"/>
              <w:rPr>
                <w:rFonts w:ascii="Times New Roman"/>
              </w:rPr>
            </w:pPr>
          </w:p>
        </w:tc>
        <w:tc>
          <w:tcPr>
            <w:tcW w:w="1364" w:type="dxa"/>
          </w:tcPr>
          <w:p>
            <w:pPr>
              <w:pStyle w:val="21"/>
              <w:rPr>
                <w:rFonts w:ascii="Times New Roman"/>
              </w:rPr>
            </w:pPr>
          </w:p>
        </w:tc>
        <w:tc>
          <w:tcPr>
            <w:tcW w:w="1561" w:type="dxa"/>
          </w:tcPr>
          <w:p>
            <w:pPr>
              <w:pStyle w:val="21"/>
              <w:rPr>
                <w:rFonts w:ascii="Times New Roman"/>
              </w:rPr>
            </w:pPr>
          </w:p>
        </w:tc>
        <w:tc>
          <w:tcPr>
            <w:tcW w:w="1181" w:type="dxa"/>
          </w:tcPr>
          <w:p>
            <w:pPr>
              <w:pStyle w:val="21"/>
              <w:rPr>
                <w:rFonts w:ascii="Times New Roman"/>
              </w:rPr>
            </w:pPr>
          </w:p>
        </w:tc>
        <w:tc>
          <w:tcPr>
            <w:tcW w:w="1008" w:type="dxa"/>
          </w:tcPr>
          <w:p>
            <w:pPr>
              <w:pStyle w:val="21"/>
              <w:rPr>
                <w:rFonts w:ascii="Times New Roman"/>
              </w:rPr>
            </w:pPr>
          </w:p>
        </w:tc>
        <w:tc>
          <w:tcPr>
            <w:tcW w:w="1738"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21"/>
              <w:rPr>
                <w:rFonts w:ascii="Times New Roman"/>
              </w:rPr>
            </w:pPr>
          </w:p>
        </w:tc>
        <w:tc>
          <w:tcPr>
            <w:tcW w:w="1440" w:type="dxa"/>
          </w:tcPr>
          <w:p>
            <w:pPr>
              <w:pStyle w:val="21"/>
              <w:rPr>
                <w:rFonts w:ascii="Times New Roman"/>
              </w:rPr>
            </w:pPr>
          </w:p>
        </w:tc>
        <w:tc>
          <w:tcPr>
            <w:tcW w:w="1364" w:type="dxa"/>
          </w:tcPr>
          <w:p>
            <w:pPr>
              <w:pStyle w:val="21"/>
              <w:rPr>
                <w:rFonts w:ascii="Times New Roman"/>
              </w:rPr>
            </w:pPr>
          </w:p>
        </w:tc>
        <w:tc>
          <w:tcPr>
            <w:tcW w:w="1561" w:type="dxa"/>
          </w:tcPr>
          <w:p>
            <w:pPr>
              <w:pStyle w:val="21"/>
              <w:rPr>
                <w:rFonts w:ascii="Times New Roman"/>
              </w:rPr>
            </w:pPr>
          </w:p>
        </w:tc>
        <w:tc>
          <w:tcPr>
            <w:tcW w:w="1181" w:type="dxa"/>
          </w:tcPr>
          <w:p>
            <w:pPr>
              <w:pStyle w:val="21"/>
              <w:rPr>
                <w:rFonts w:ascii="Times New Roman"/>
              </w:rPr>
            </w:pPr>
          </w:p>
        </w:tc>
        <w:tc>
          <w:tcPr>
            <w:tcW w:w="1008" w:type="dxa"/>
          </w:tcPr>
          <w:p>
            <w:pPr>
              <w:pStyle w:val="21"/>
              <w:rPr>
                <w:rFonts w:ascii="Times New Roman"/>
              </w:rPr>
            </w:pPr>
          </w:p>
        </w:tc>
        <w:tc>
          <w:tcPr>
            <w:tcW w:w="1738"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21"/>
              <w:rPr>
                <w:rFonts w:ascii="Times New Roman"/>
              </w:rPr>
            </w:pPr>
          </w:p>
        </w:tc>
        <w:tc>
          <w:tcPr>
            <w:tcW w:w="1440" w:type="dxa"/>
          </w:tcPr>
          <w:p>
            <w:pPr>
              <w:pStyle w:val="21"/>
              <w:rPr>
                <w:rFonts w:ascii="Times New Roman"/>
              </w:rPr>
            </w:pPr>
          </w:p>
        </w:tc>
        <w:tc>
          <w:tcPr>
            <w:tcW w:w="1364" w:type="dxa"/>
          </w:tcPr>
          <w:p>
            <w:pPr>
              <w:pStyle w:val="21"/>
              <w:rPr>
                <w:rFonts w:ascii="Times New Roman"/>
              </w:rPr>
            </w:pPr>
          </w:p>
        </w:tc>
        <w:tc>
          <w:tcPr>
            <w:tcW w:w="1561" w:type="dxa"/>
          </w:tcPr>
          <w:p>
            <w:pPr>
              <w:pStyle w:val="21"/>
              <w:rPr>
                <w:rFonts w:ascii="Times New Roman"/>
              </w:rPr>
            </w:pPr>
          </w:p>
        </w:tc>
        <w:tc>
          <w:tcPr>
            <w:tcW w:w="1181" w:type="dxa"/>
          </w:tcPr>
          <w:p>
            <w:pPr>
              <w:pStyle w:val="21"/>
              <w:rPr>
                <w:rFonts w:ascii="Times New Roman"/>
              </w:rPr>
            </w:pPr>
          </w:p>
        </w:tc>
        <w:tc>
          <w:tcPr>
            <w:tcW w:w="1008" w:type="dxa"/>
          </w:tcPr>
          <w:p>
            <w:pPr>
              <w:pStyle w:val="21"/>
              <w:rPr>
                <w:rFonts w:ascii="Times New Roman"/>
              </w:rPr>
            </w:pPr>
          </w:p>
        </w:tc>
        <w:tc>
          <w:tcPr>
            <w:tcW w:w="1738"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21"/>
              <w:rPr>
                <w:rFonts w:ascii="Times New Roman"/>
              </w:rPr>
            </w:pPr>
          </w:p>
        </w:tc>
        <w:tc>
          <w:tcPr>
            <w:tcW w:w="1440" w:type="dxa"/>
          </w:tcPr>
          <w:p>
            <w:pPr>
              <w:pStyle w:val="21"/>
              <w:rPr>
                <w:rFonts w:ascii="Times New Roman"/>
              </w:rPr>
            </w:pPr>
          </w:p>
        </w:tc>
        <w:tc>
          <w:tcPr>
            <w:tcW w:w="1364" w:type="dxa"/>
          </w:tcPr>
          <w:p>
            <w:pPr>
              <w:pStyle w:val="21"/>
              <w:rPr>
                <w:rFonts w:ascii="Times New Roman"/>
              </w:rPr>
            </w:pPr>
          </w:p>
        </w:tc>
        <w:tc>
          <w:tcPr>
            <w:tcW w:w="1561" w:type="dxa"/>
          </w:tcPr>
          <w:p>
            <w:pPr>
              <w:pStyle w:val="21"/>
              <w:rPr>
                <w:rFonts w:ascii="Times New Roman"/>
              </w:rPr>
            </w:pPr>
          </w:p>
        </w:tc>
        <w:tc>
          <w:tcPr>
            <w:tcW w:w="1181" w:type="dxa"/>
          </w:tcPr>
          <w:p>
            <w:pPr>
              <w:pStyle w:val="21"/>
              <w:rPr>
                <w:rFonts w:ascii="Times New Roman"/>
              </w:rPr>
            </w:pPr>
          </w:p>
        </w:tc>
        <w:tc>
          <w:tcPr>
            <w:tcW w:w="1008" w:type="dxa"/>
          </w:tcPr>
          <w:p>
            <w:pPr>
              <w:pStyle w:val="21"/>
              <w:rPr>
                <w:rFonts w:ascii="Times New Roman"/>
              </w:rPr>
            </w:pPr>
          </w:p>
        </w:tc>
        <w:tc>
          <w:tcPr>
            <w:tcW w:w="1738"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21"/>
              <w:rPr>
                <w:rFonts w:ascii="Times New Roman"/>
              </w:rPr>
            </w:pPr>
          </w:p>
        </w:tc>
        <w:tc>
          <w:tcPr>
            <w:tcW w:w="1440" w:type="dxa"/>
          </w:tcPr>
          <w:p>
            <w:pPr>
              <w:pStyle w:val="21"/>
              <w:rPr>
                <w:rFonts w:ascii="Times New Roman"/>
              </w:rPr>
            </w:pPr>
          </w:p>
        </w:tc>
        <w:tc>
          <w:tcPr>
            <w:tcW w:w="1364" w:type="dxa"/>
          </w:tcPr>
          <w:p>
            <w:pPr>
              <w:pStyle w:val="21"/>
              <w:rPr>
                <w:rFonts w:ascii="Times New Roman"/>
              </w:rPr>
            </w:pPr>
          </w:p>
        </w:tc>
        <w:tc>
          <w:tcPr>
            <w:tcW w:w="1561" w:type="dxa"/>
          </w:tcPr>
          <w:p>
            <w:pPr>
              <w:pStyle w:val="21"/>
              <w:rPr>
                <w:rFonts w:ascii="Times New Roman"/>
              </w:rPr>
            </w:pPr>
          </w:p>
        </w:tc>
        <w:tc>
          <w:tcPr>
            <w:tcW w:w="1181" w:type="dxa"/>
          </w:tcPr>
          <w:p>
            <w:pPr>
              <w:pStyle w:val="21"/>
              <w:rPr>
                <w:rFonts w:ascii="Times New Roman"/>
              </w:rPr>
            </w:pPr>
          </w:p>
        </w:tc>
        <w:tc>
          <w:tcPr>
            <w:tcW w:w="1008" w:type="dxa"/>
          </w:tcPr>
          <w:p>
            <w:pPr>
              <w:pStyle w:val="21"/>
              <w:rPr>
                <w:rFonts w:ascii="Times New Roman"/>
              </w:rPr>
            </w:pPr>
          </w:p>
        </w:tc>
        <w:tc>
          <w:tcPr>
            <w:tcW w:w="1738"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21"/>
              <w:rPr>
                <w:rFonts w:ascii="Times New Roman"/>
              </w:rPr>
            </w:pPr>
          </w:p>
        </w:tc>
        <w:tc>
          <w:tcPr>
            <w:tcW w:w="1440" w:type="dxa"/>
          </w:tcPr>
          <w:p>
            <w:pPr>
              <w:pStyle w:val="21"/>
              <w:rPr>
                <w:rFonts w:ascii="Times New Roman"/>
              </w:rPr>
            </w:pPr>
          </w:p>
        </w:tc>
        <w:tc>
          <w:tcPr>
            <w:tcW w:w="1364" w:type="dxa"/>
          </w:tcPr>
          <w:p>
            <w:pPr>
              <w:pStyle w:val="21"/>
              <w:rPr>
                <w:rFonts w:ascii="Times New Roman"/>
              </w:rPr>
            </w:pPr>
          </w:p>
        </w:tc>
        <w:tc>
          <w:tcPr>
            <w:tcW w:w="1561" w:type="dxa"/>
          </w:tcPr>
          <w:p>
            <w:pPr>
              <w:pStyle w:val="21"/>
              <w:rPr>
                <w:rFonts w:ascii="Times New Roman"/>
              </w:rPr>
            </w:pPr>
          </w:p>
        </w:tc>
        <w:tc>
          <w:tcPr>
            <w:tcW w:w="1181" w:type="dxa"/>
          </w:tcPr>
          <w:p>
            <w:pPr>
              <w:pStyle w:val="21"/>
              <w:rPr>
                <w:rFonts w:ascii="Times New Roman"/>
              </w:rPr>
            </w:pPr>
          </w:p>
        </w:tc>
        <w:tc>
          <w:tcPr>
            <w:tcW w:w="1008" w:type="dxa"/>
          </w:tcPr>
          <w:p>
            <w:pPr>
              <w:pStyle w:val="21"/>
              <w:rPr>
                <w:rFonts w:ascii="Times New Roman"/>
              </w:rPr>
            </w:pPr>
          </w:p>
        </w:tc>
        <w:tc>
          <w:tcPr>
            <w:tcW w:w="1738"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21"/>
              <w:rPr>
                <w:rFonts w:ascii="Times New Roman"/>
              </w:rPr>
            </w:pPr>
          </w:p>
        </w:tc>
        <w:tc>
          <w:tcPr>
            <w:tcW w:w="1440" w:type="dxa"/>
          </w:tcPr>
          <w:p>
            <w:pPr>
              <w:pStyle w:val="21"/>
              <w:rPr>
                <w:rFonts w:ascii="Times New Roman"/>
              </w:rPr>
            </w:pPr>
          </w:p>
        </w:tc>
        <w:tc>
          <w:tcPr>
            <w:tcW w:w="1364" w:type="dxa"/>
          </w:tcPr>
          <w:p>
            <w:pPr>
              <w:pStyle w:val="21"/>
              <w:rPr>
                <w:rFonts w:ascii="Times New Roman"/>
              </w:rPr>
            </w:pPr>
          </w:p>
        </w:tc>
        <w:tc>
          <w:tcPr>
            <w:tcW w:w="1561" w:type="dxa"/>
          </w:tcPr>
          <w:p>
            <w:pPr>
              <w:pStyle w:val="21"/>
              <w:rPr>
                <w:rFonts w:ascii="Times New Roman"/>
              </w:rPr>
            </w:pPr>
          </w:p>
        </w:tc>
        <w:tc>
          <w:tcPr>
            <w:tcW w:w="1181" w:type="dxa"/>
          </w:tcPr>
          <w:p>
            <w:pPr>
              <w:pStyle w:val="21"/>
              <w:rPr>
                <w:rFonts w:ascii="Times New Roman"/>
              </w:rPr>
            </w:pPr>
          </w:p>
        </w:tc>
        <w:tc>
          <w:tcPr>
            <w:tcW w:w="1008" w:type="dxa"/>
          </w:tcPr>
          <w:p>
            <w:pPr>
              <w:pStyle w:val="21"/>
              <w:rPr>
                <w:rFonts w:ascii="Times New Roman"/>
              </w:rPr>
            </w:pPr>
          </w:p>
        </w:tc>
        <w:tc>
          <w:tcPr>
            <w:tcW w:w="1738"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21"/>
              <w:rPr>
                <w:rFonts w:ascii="Times New Roman"/>
              </w:rPr>
            </w:pPr>
          </w:p>
        </w:tc>
        <w:tc>
          <w:tcPr>
            <w:tcW w:w="1440" w:type="dxa"/>
          </w:tcPr>
          <w:p>
            <w:pPr>
              <w:pStyle w:val="21"/>
              <w:rPr>
                <w:rFonts w:ascii="Times New Roman"/>
              </w:rPr>
            </w:pPr>
          </w:p>
        </w:tc>
        <w:tc>
          <w:tcPr>
            <w:tcW w:w="1364" w:type="dxa"/>
          </w:tcPr>
          <w:p>
            <w:pPr>
              <w:pStyle w:val="21"/>
              <w:rPr>
                <w:rFonts w:ascii="Times New Roman"/>
              </w:rPr>
            </w:pPr>
          </w:p>
        </w:tc>
        <w:tc>
          <w:tcPr>
            <w:tcW w:w="1561" w:type="dxa"/>
          </w:tcPr>
          <w:p>
            <w:pPr>
              <w:pStyle w:val="21"/>
              <w:rPr>
                <w:rFonts w:ascii="Times New Roman"/>
              </w:rPr>
            </w:pPr>
          </w:p>
        </w:tc>
        <w:tc>
          <w:tcPr>
            <w:tcW w:w="1181" w:type="dxa"/>
          </w:tcPr>
          <w:p>
            <w:pPr>
              <w:pStyle w:val="21"/>
              <w:rPr>
                <w:rFonts w:ascii="Times New Roman"/>
              </w:rPr>
            </w:pPr>
          </w:p>
        </w:tc>
        <w:tc>
          <w:tcPr>
            <w:tcW w:w="1008" w:type="dxa"/>
          </w:tcPr>
          <w:p>
            <w:pPr>
              <w:pStyle w:val="21"/>
              <w:rPr>
                <w:rFonts w:ascii="Times New Roman"/>
              </w:rPr>
            </w:pPr>
          </w:p>
        </w:tc>
        <w:tc>
          <w:tcPr>
            <w:tcW w:w="1738"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3512" w:type="dxa"/>
            <w:gridSpan w:val="3"/>
          </w:tcPr>
          <w:p>
            <w:pPr>
              <w:pStyle w:val="21"/>
              <w:spacing w:before="9"/>
              <w:rPr>
                <w:sz w:val="20"/>
              </w:rPr>
            </w:pPr>
          </w:p>
          <w:p>
            <w:pPr>
              <w:pStyle w:val="21"/>
              <w:ind w:left="107"/>
              <w:rPr>
                <w:sz w:val="21"/>
              </w:rPr>
            </w:pPr>
            <w:r>
              <w:rPr>
                <w:sz w:val="21"/>
              </w:rPr>
              <w:t>招标人编制的最高投标限价（如有）</w:t>
            </w:r>
          </w:p>
        </w:tc>
        <w:tc>
          <w:tcPr>
            <w:tcW w:w="5488" w:type="dxa"/>
            <w:gridSpan w:val="4"/>
          </w:tcPr>
          <w:p>
            <w:pPr>
              <w:pStyle w:val="21"/>
              <w:rPr>
                <w:rFonts w:ascii="Times New Roman"/>
              </w:rPr>
            </w:pPr>
          </w:p>
        </w:tc>
      </w:tr>
    </w:tbl>
    <w:p>
      <w:pPr>
        <w:pStyle w:val="11"/>
        <w:rPr>
          <w:sz w:val="26"/>
        </w:rPr>
      </w:pPr>
    </w:p>
    <w:p>
      <w:pPr>
        <w:pStyle w:val="11"/>
        <w:spacing w:before="8"/>
        <w:rPr>
          <w:sz w:val="30"/>
        </w:rPr>
      </w:pPr>
    </w:p>
    <w:p>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 xml:space="preserve"> </w:t>
      </w:r>
      <w:r>
        <w:rPr>
          <w:sz w:val="21"/>
          <w:u w:val="single"/>
        </w:rPr>
        <w:tab/>
      </w:r>
      <w:r>
        <w:rPr>
          <w:sz w:val="21"/>
        </w:rPr>
        <w:tab/>
      </w:r>
      <w:r>
        <w:rPr>
          <w:sz w:val="21"/>
        </w:rPr>
        <w:t>记</w:t>
      </w:r>
      <w:r>
        <w:rPr>
          <w:spacing w:val="-3"/>
          <w:sz w:val="21"/>
        </w:rPr>
        <w:t>录人</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11"/>
        <w:spacing w:before="3"/>
        <w:rPr>
          <w:rFonts w:ascii="Times New Roman"/>
          <w:sz w:val="22"/>
        </w:rPr>
      </w:pPr>
    </w:p>
    <w:p>
      <w:pPr>
        <w:pStyle w:val="11"/>
        <w:tabs>
          <w:tab w:val="left" w:pos="959"/>
          <w:tab w:val="left" w:pos="1680"/>
          <w:tab w:val="left" w:pos="2400"/>
        </w:tabs>
        <w:spacing w:before="67"/>
        <w:ind w:right="324"/>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jc w:val="right"/>
        <w:sectPr>
          <w:pgSz w:w="11910" w:h="16850"/>
          <w:pgMar w:top="1480" w:right="1200" w:bottom="1080" w:left="1220" w:header="883" w:footer="884" w:gutter="0"/>
          <w:cols w:space="720" w:num="1"/>
        </w:sectPr>
      </w:pPr>
    </w:p>
    <w:p>
      <w:pPr>
        <w:pStyle w:val="11"/>
        <w:spacing w:before="108"/>
        <w:ind w:left="424"/>
        <w:rPr>
          <w:rFonts w:ascii="黑体" w:eastAsia="黑体"/>
        </w:rPr>
      </w:pPr>
      <w:bookmarkStart w:id="76" w:name="_bookmark88"/>
      <w:bookmarkEnd w:id="76"/>
      <w:r>
        <w:rPr>
          <w:rFonts w:hint="eastAsia" w:ascii="黑体" w:eastAsia="黑体"/>
        </w:rPr>
        <w:t>附件二 问题澄清通知</w:t>
      </w:r>
    </w:p>
    <w:p>
      <w:pPr>
        <w:pStyle w:val="11"/>
        <w:rPr>
          <w:rFonts w:ascii="黑体"/>
          <w:sz w:val="20"/>
        </w:rPr>
      </w:pPr>
    </w:p>
    <w:p>
      <w:pPr>
        <w:pStyle w:val="11"/>
        <w:spacing w:before="7"/>
        <w:rPr>
          <w:rFonts w:ascii="黑体"/>
          <w:sz w:val="15"/>
        </w:rPr>
      </w:pPr>
    </w:p>
    <w:p>
      <w:pPr>
        <w:spacing w:before="61"/>
        <w:ind w:left="1098" w:right="1059"/>
        <w:jc w:val="center"/>
        <w:rPr>
          <w:rFonts w:ascii="黑体" w:eastAsia="黑体"/>
          <w:sz w:val="28"/>
        </w:rPr>
      </w:pPr>
      <w:r>
        <w:rPr>
          <w:rFonts w:hint="eastAsia" w:ascii="黑体" w:eastAsia="黑体"/>
          <w:sz w:val="28"/>
        </w:rPr>
        <w:t>问题澄清通知</w:t>
      </w:r>
    </w:p>
    <w:p>
      <w:pPr>
        <w:tabs>
          <w:tab w:val="left" w:pos="2975"/>
        </w:tabs>
        <w:spacing w:before="151"/>
        <w:ind w:left="37"/>
        <w:jc w:val="center"/>
        <w:rPr>
          <w:sz w:val="21"/>
        </w:rPr>
      </w:pPr>
      <w:r>
        <w:rPr>
          <w:sz w:val="21"/>
        </w:rPr>
        <w:t>（编</w:t>
      </w:r>
      <w:r>
        <w:rPr>
          <w:spacing w:val="-3"/>
          <w:sz w:val="21"/>
        </w:rPr>
        <w:t>号</w:t>
      </w:r>
      <w:r>
        <w:rPr>
          <w:sz w:val="21"/>
        </w:rPr>
        <w:t>：</w:t>
      </w:r>
      <w:r>
        <w:rPr>
          <w:sz w:val="21"/>
          <w:u w:val="single"/>
        </w:rPr>
        <w:t xml:space="preserve"> </w:t>
      </w:r>
      <w:r>
        <w:rPr>
          <w:sz w:val="21"/>
          <w:u w:val="single"/>
        </w:rPr>
        <w:tab/>
      </w:r>
      <w:r>
        <w:rPr>
          <w:sz w:val="21"/>
        </w:rPr>
        <w:t>）</w:t>
      </w:r>
    </w:p>
    <w:p>
      <w:pPr>
        <w:pStyle w:val="11"/>
        <w:rPr>
          <w:sz w:val="20"/>
        </w:rPr>
      </w:pPr>
    </w:p>
    <w:p>
      <w:pPr>
        <w:pStyle w:val="11"/>
        <w:spacing w:before="7"/>
        <w:rPr>
          <w:sz w:val="19"/>
        </w:rPr>
      </w:pPr>
    </w:p>
    <w:p>
      <w:pPr>
        <w:pStyle w:val="11"/>
        <w:tabs>
          <w:tab w:val="left" w:pos="2224"/>
        </w:tabs>
        <w:spacing w:before="75"/>
        <w:ind w:left="424"/>
      </w:pPr>
      <w:r>
        <w:rPr>
          <w:rFonts w:ascii="Times New Roman" w:eastAsia="Times New Roman"/>
          <w:u w:val="single"/>
        </w:rPr>
        <w:t xml:space="preserve"> </w:t>
      </w:r>
      <w:r>
        <w:rPr>
          <w:rFonts w:ascii="Times New Roman" w:eastAsia="Times New Roman"/>
          <w:u w:val="single"/>
        </w:rPr>
        <w:tab/>
      </w:r>
      <w:r>
        <w:t>（投标人名称</w:t>
      </w:r>
      <w:r>
        <w:rPr>
          <w:spacing w:val="-120"/>
        </w:rPr>
        <w:t>）</w:t>
      </w:r>
      <w:r>
        <w:t>：</w:t>
      </w:r>
    </w:p>
    <w:p>
      <w:pPr>
        <w:pStyle w:val="11"/>
        <w:rPr>
          <w:sz w:val="26"/>
        </w:rPr>
      </w:pPr>
    </w:p>
    <w:p>
      <w:pPr>
        <w:pStyle w:val="11"/>
        <w:spacing w:before="7"/>
        <w:rPr>
          <w:sz w:val="18"/>
        </w:rPr>
      </w:pPr>
    </w:p>
    <w:p>
      <w:pPr>
        <w:pStyle w:val="11"/>
        <w:tabs>
          <w:tab w:val="left" w:pos="1146"/>
          <w:tab w:val="left" w:pos="2956"/>
          <w:tab w:val="left" w:pos="5486"/>
        </w:tabs>
        <w:spacing w:line="345" w:lineRule="auto"/>
        <w:ind w:left="424" w:right="262"/>
      </w:pPr>
      <w:r>
        <w:t xml:space="preserve">   </w:t>
      </w:r>
      <w:r>
        <w:tab/>
      </w:r>
      <w:r>
        <w:rPr>
          <w:u w:val="single"/>
        </w:rPr>
        <w:t xml:space="preserve"> </w:t>
      </w:r>
      <w:r>
        <w:rPr>
          <w:u w:val="single"/>
        </w:rPr>
        <w:tab/>
      </w:r>
      <w:r>
        <w:t xml:space="preserve"> （项目名称）</w:t>
      </w:r>
      <w:r>
        <w:rPr>
          <w:u w:val="single"/>
        </w:rPr>
        <w:t xml:space="preserve"> </w:t>
      </w:r>
      <w:r>
        <w:rPr>
          <w:u w:val="single"/>
        </w:rPr>
        <w:tab/>
      </w:r>
      <w:r>
        <w:t>标段施工招标的评标委员会，对你方的投标文件进行了仔细的审查</w:t>
      </w:r>
      <w:r>
        <w:rPr>
          <w:spacing w:val="-84"/>
        </w:rPr>
        <w:t>，</w:t>
      </w:r>
      <w:r>
        <w:t>现需你方对下列问题以书面形式予以澄清或说明：</w:t>
      </w:r>
    </w:p>
    <w:p>
      <w:pPr>
        <w:pStyle w:val="11"/>
        <w:spacing w:line="303" w:lineRule="exact"/>
        <w:ind w:left="424"/>
      </w:pPr>
      <w:r>
        <w:t xml:space="preserve">   </w:t>
      </w:r>
    </w:p>
    <w:p>
      <w:pPr>
        <w:pStyle w:val="11"/>
        <w:spacing w:before="148"/>
        <w:ind w:left="904"/>
        <w:rPr>
          <w:rFonts w:ascii="Times New Roman"/>
        </w:rPr>
      </w:pPr>
      <w:r>
        <w:rPr>
          <w:rFonts w:ascii="Times New Roman"/>
        </w:rPr>
        <w:t>1.</w:t>
      </w:r>
    </w:p>
    <w:p>
      <w:pPr>
        <w:pStyle w:val="11"/>
        <w:spacing w:before="166"/>
        <w:ind w:left="904"/>
        <w:rPr>
          <w:rFonts w:ascii="Times New Roman"/>
        </w:rPr>
      </w:pPr>
      <w:r>
        <w:rPr>
          <w:rFonts w:ascii="Times New Roman"/>
        </w:rPr>
        <w:t>2.</w:t>
      </w:r>
    </w:p>
    <w:p>
      <w:pPr>
        <w:pStyle w:val="11"/>
        <w:spacing w:before="163"/>
        <w:ind w:left="1024"/>
        <w:rPr>
          <w:rFonts w:ascii="Times New Roman"/>
        </w:rPr>
      </w:pPr>
      <w:r>
        <w:rPr>
          <w:rFonts w:ascii="Times New Roman"/>
        </w:rPr>
        <w:t>......</w:t>
      </w:r>
    </w:p>
    <w:p>
      <w:pPr>
        <w:pStyle w:val="11"/>
        <w:spacing w:before="147"/>
        <w:ind w:left="424"/>
        <w:jc w:val="both"/>
      </w:pPr>
      <w:r>
        <w:t xml:space="preserve">     </w:t>
      </w:r>
    </w:p>
    <w:p>
      <w:pPr>
        <w:pStyle w:val="11"/>
        <w:tabs>
          <w:tab w:val="left" w:pos="3127"/>
          <w:tab w:val="left" w:pos="8621"/>
        </w:tabs>
        <w:spacing w:before="135" w:line="343" w:lineRule="auto"/>
        <w:ind w:left="424" w:right="382"/>
        <w:jc w:val="both"/>
      </w:pPr>
      <w:r>
        <w:t xml:space="preserve">   </w:t>
      </w:r>
      <w:r>
        <w:rPr>
          <w:spacing w:val="-1"/>
        </w:rPr>
        <w:t xml:space="preserve"> </w:t>
      </w:r>
      <w:r>
        <w:t>请将上述问题的澄清或说明于</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分前递交至</w:t>
      </w:r>
      <w:r>
        <w:rPr>
          <w:u w:val="single"/>
        </w:rPr>
        <w:t xml:space="preserve">   </w:t>
      </w:r>
      <w:r>
        <w:rPr>
          <w:spacing w:val="35"/>
          <w:u w:val="single"/>
        </w:rPr>
        <w:t xml:space="preserve"> </w:t>
      </w:r>
      <w:r>
        <w:rPr>
          <w:u w:val="single"/>
        </w:rPr>
        <w:t>（</w:t>
      </w:r>
      <w:r>
        <w:t>详细地址</w:t>
      </w:r>
      <w:r>
        <w:rPr>
          <w:spacing w:val="-29"/>
        </w:rPr>
        <w:t>）</w:t>
      </w:r>
      <w:r>
        <w:t>或传真至</w:t>
      </w:r>
      <w:r>
        <w:rPr>
          <w:u w:val="single"/>
        </w:rPr>
        <w:t xml:space="preserve"> </w:t>
      </w:r>
      <w:r>
        <w:rPr>
          <w:u w:val="single"/>
        </w:rPr>
        <w:tab/>
      </w:r>
      <w:r>
        <w:t>（传真号码</w:t>
      </w:r>
      <w:r>
        <w:rPr>
          <w:spacing w:val="-29"/>
        </w:rPr>
        <w:t>）</w:t>
      </w:r>
      <w:r>
        <w:t>或通过下载招标文件的电子招标交易平台上传</w:t>
      </w:r>
      <w:r>
        <w:rPr>
          <w:spacing w:val="-108"/>
        </w:rPr>
        <w:t>。</w:t>
      </w:r>
      <w:r>
        <w:t>采用传真方式的</w:t>
      </w:r>
      <w:r>
        <w:rPr>
          <w:spacing w:val="-108"/>
        </w:rPr>
        <w:t>，</w:t>
      </w:r>
      <w:r>
        <w:t>应在</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分前将原件递交至</w:t>
      </w:r>
      <w:r>
        <w:rPr>
          <w:u w:val="single"/>
        </w:rPr>
        <w:t xml:space="preserve"> </w:t>
      </w:r>
      <w:r>
        <w:rPr>
          <w:u w:val="single"/>
        </w:rPr>
        <w:tab/>
      </w:r>
      <w:r>
        <w:rPr>
          <w:u w:val="single"/>
        </w:rPr>
        <w:t>（</w:t>
      </w:r>
      <w:r>
        <w:t>详细地址</w:t>
      </w:r>
      <w:r>
        <w:rPr>
          <w:spacing w:val="-120"/>
        </w:rPr>
        <w:t>）</w:t>
      </w:r>
      <w:r>
        <w:t>。</w:t>
      </w:r>
    </w:p>
    <w:p>
      <w:pPr>
        <w:pStyle w:val="11"/>
      </w:pPr>
    </w:p>
    <w:p>
      <w:pPr>
        <w:pStyle w:val="11"/>
      </w:pPr>
    </w:p>
    <w:p>
      <w:pPr>
        <w:pStyle w:val="11"/>
        <w:spacing w:before="9"/>
        <w:rPr>
          <w:sz w:val="20"/>
        </w:rPr>
      </w:pPr>
    </w:p>
    <w:p>
      <w:pPr>
        <w:pStyle w:val="11"/>
        <w:tabs>
          <w:tab w:val="left" w:pos="6941"/>
        </w:tabs>
        <w:ind w:left="1420"/>
      </w:pPr>
      <w:r>
        <w:t>评标委员会授权的招标人或招标代理机构：</w:t>
      </w:r>
      <w:r>
        <w:rPr>
          <w:u w:val="single"/>
        </w:rPr>
        <w:t xml:space="preserve"> </w:t>
      </w:r>
      <w:r>
        <w:rPr>
          <w:u w:val="single"/>
        </w:rPr>
        <w:tab/>
      </w:r>
      <w:r>
        <w:t>（签字或盖单位章）</w:t>
      </w:r>
    </w:p>
    <w:p>
      <w:pPr>
        <w:pStyle w:val="11"/>
        <w:rPr>
          <w:sz w:val="20"/>
        </w:rPr>
      </w:pPr>
    </w:p>
    <w:p>
      <w:pPr>
        <w:pStyle w:val="11"/>
        <w:spacing w:before="6"/>
        <w:rPr>
          <w:sz w:val="19"/>
        </w:rPr>
      </w:pPr>
    </w:p>
    <w:p>
      <w:pPr>
        <w:pStyle w:val="11"/>
        <w:tabs>
          <w:tab w:val="left" w:pos="6382"/>
          <w:tab w:val="left" w:pos="7102"/>
          <w:tab w:val="left" w:pos="7822"/>
        </w:tabs>
        <w:spacing w:before="66"/>
        <w:ind w:left="5422"/>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headerReference r:id="rId17" w:type="default"/>
          <w:footerReference r:id="rId19" w:type="default"/>
          <w:headerReference r:id="rId18" w:type="even"/>
          <w:footerReference r:id="rId20" w:type="even"/>
          <w:pgSz w:w="11910" w:h="16850"/>
          <w:pgMar w:top="1480" w:right="1200" w:bottom="1040" w:left="1220" w:header="876" w:footer="853" w:gutter="0"/>
          <w:pgNumType w:start="64"/>
          <w:cols w:space="720" w:num="1"/>
        </w:sectPr>
      </w:pPr>
    </w:p>
    <w:p>
      <w:pPr>
        <w:pStyle w:val="11"/>
        <w:spacing w:before="108"/>
        <w:ind w:left="424"/>
        <w:rPr>
          <w:rFonts w:ascii="黑体" w:eastAsia="黑体"/>
        </w:rPr>
      </w:pPr>
      <w:bookmarkStart w:id="77" w:name="_bookmark89"/>
      <w:bookmarkEnd w:id="77"/>
      <w:r>
        <w:rPr>
          <w:rFonts w:hint="eastAsia" w:ascii="黑体" w:eastAsia="黑体"/>
        </w:rPr>
        <w:t>附件三 问题的澄清</w:t>
      </w:r>
    </w:p>
    <w:p>
      <w:pPr>
        <w:pStyle w:val="11"/>
        <w:spacing w:before="3"/>
        <w:rPr>
          <w:rFonts w:ascii="黑体"/>
          <w:sz w:val="38"/>
        </w:rPr>
      </w:pPr>
      <w:r>
        <w:br w:type="column"/>
      </w:r>
    </w:p>
    <w:p>
      <w:pPr>
        <w:spacing w:before="1"/>
        <w:ind w:right="2997"/>
        <w:jc w:val="center"/>
        <w:rPr>
          <w:rFonts w:ascii="黑体" w:eastAsia="黑体"/>
          <w:sz w:val="28"/>
        </w:rPr>
      </w:pPr>
      <w:r>
        <w:rPr>
          <w:rFonts w:hint="eastAsia" w:ascii="黑体" w:eastAsia="黑体"/>
          <w:sz w:val="28"/>
        </w:rPr>
        <w:t>问题的澄清</w:t>
      </w:r>
    </w:p>
    <w:p>
      <w:pPr>
        <w:tabs>
          <w:tab w:val="left" w:pos="2381"/>
        </w:tabs>
        <w:spacing w:before="152"/>
        <w:ind w:right="3001"/>
        <w:jc w:val="center"/>
        <w:rPr>
          <w:sz w:val="21"/>
        </w:rPr>
      </w:pPr>
      <w:r>
        <w:rPr>
          <w:sz w:val="21"/>
        </w:rPr>
        <w:t>（编</w:t>
      </w:r>
      <w:r>
        <w:rPr>
          <w:spacing w:val="-3"/>
          <w:sz w:val="21"/>
        </w:rPr>
        <w:t>号</w:t>
      </w:r>
      <w:r>
        <w:rPr>
          <w:sz w:val="21"/>
        </w:rPr>
        <w:t>：</w:t>
      </w:r>
      <w:r>
        <w:rPr>
          <w:sz w:val="21"/>
          <w:u w:val="single"/>
        </w:rPr>
        <w:t xml:space="preserve"> </w:t>
      </w:r>
      <w:r>
        <w:rPr>
          <w:sz w:val="21"/>
          <w:u w:val="single"/>
        </w:rPr>
        <w:tab/>
      </w:r>
      <w:r>
        <w:rPr>
          <w:sz w:val="21"/>
        </w:rPr>
        <w:t>）</w:t>
      </w:r>
    </w:p>
    <w:p>
      <w:pPr>
        <w:jc w:val="center"/>
        <w:rPr>
          <w:sz w:val="21"/>
        </w:rPr>
        <w:sectPr>
          <w:pgSz w:w="11910" w:h="16850"/>
          <w:pgMar w:top="1480" w:right="1200" w:bottom="1080" w:left="1220" w:header="883" w:footer="884" w:gutter="0"/>
          <w:cols w:equalWidth="0" w:num="2">
            <w:col w:w="2505" w:space="536"/>
            <w:col w:w="6449"/>
          </w:cols>
        </w:sectPr>
      </w:pPr>
    </w:p>
    <w:p>
      <w:pPr>
        <w:pStyle w:val="11"/>
        <w:rPr>
          <w:sz w:val="20"/>
        </w:rPr>
      </w:pPr>
    </w:p>
    <w:p>
      <w:pPr>
        <w:pStyle w:val="11"/>
        <w:spacing w:before="6"/>
        <w:rPr>
          <w:sz w:val="19"/>
        </w:rPr>
      </w:pPr>
    </w:p>
    <w:p>
      <w:pPr>
        <w:pStyle w:val="11"/>
        <w:tabs>
          <w:tab w:val="left" w:pos="2584"/>
          <w:tab w:val="left" w:pos="5104"/>
        </w:tabs>
        <w:spacing w:before="74"/>
        <w:ind w:left="424"/>
      </w:pPr>
      <w:r>
        <w:rPr>
          <w:rFonts w:ascii="Times New Roman" w:eastAsia="Times New Roman"/>
          <w:u w:val="single"/>
        </w:rPr>
        <w:t xml:space="preserve"> </w:t>
      </w:r>
      <w:r>
        <w:rPr>
          <w:rFonts w:ascii="Times New Roman" w:eastAsia="Times New Roman"/>
          <w:u w:val="single"/>
        </w:rPr>
        <w:tab/>
      </w:r>
      <w:r>
        <w:rPr>
          <w:u w:val="single"/>
        </w:rPr>
        <w:t>（</w:t>
      </w:r>
      <w:r>
        <w:t>项目名称）</w:t>
      </w:r>
      <w:r>
        <w:rPr>
          <w:u w:val="single"/>
        </w:rPr>
        <w:t xml:space="preserve"> </w:t>
      </w:r>
      <w:r>
        <w:rPr>
          <w:u w:val="single"/>
        </w:rPr>
        <w:tab/>
      </w:r>
      <w:r>
        <w:t>标段施工招标评标委员会：</w:t>
      </w:r>
    </w:p>
    <w:p>
      <w:pPr>
        <w:pStyle w:val="11"/>
        <w:rPr>
          <w:sz w:val="26"/>
        </w:rPr>
      </w:pPr>
    </w:p>
    <w:p>
      <w:pPr>
        <w:pStyle w:val="11"/>
        <w:rPr>
          <w:sz w:val="26"/>
        </w:rPr>
      </w:pPr>
    </w:p>
    <w:p>
      <w:pPr>
        <w:pStyle w:val="11"/>
        <w:spacing w:before="1"/>
        <w:rPr>
          <w:sz w:val="27"/>
        </w:rPr>
      </w:pPr>
    </w:p>
    <w:p>
      <w:pPr>
        <w:pStyle w:val="11"/>
        <w:tabs>
          <w:tab w:val="left" w:pos="3360"/>
        </w:tabs>
        <w:ind w:right="954"/>
        <w:jc w:val="center"/>
      </w:pPr>
      <w:r>
        <w:t>问题澄清通知（编号：</w:t>
      </w:r>
      <w:r>
        <w:rPr>
          <w:u w:val="single"/>
        </w:rPr>
        <w:t xml:space="preserve"> </w:t>
      </w:r>
      <w:r>
        <w:rPr>
          <w:u w:val="single"/>
        </w:rPr>
        <w:tab/>
      </w:r>
      <w:r>
        <w:t>）已收悉，现澄清、说明如下：</w:t>
      </w:r>
    </w:p>
    <w:p>
      <w:pPr>
        <w:pStyle w:val="11"/>
        <w:tabs>
          <w:tab w:val="left" w:pos="1264"/>
        </w:tabs>
        <w:spacing w:before="150"/>
        <w:ind w:left="424"/>
        <w:rPr>
          <w:rFonts w:ascii="Times New Roman"/>
        </w:rPr>
      </w:pPr>
      <w:r>
        <w:t xml:space="preserve"> </w:t>
      </w:r>
      <w:r>
        <w:tab/>
      </w:r>
      <w:r>
        <w:rPr>
          <w:rFonts w:ascii="Times New Roman"/>
        </w:rPr>
        <w:t>1.</w:t>
      </w:r>
    </w:p>
    <w:p>
      <w:pPr>
        <w:pStyle w:val="11"/>
        <w:tabs>
          <w:tab w:val="left" w:pos="1264"/>
        </w:tabs>
        <w:spacing w:before="163"/>
        <w:ind w:left="424"/>
        <w:rPr>
          <w:rFonts w:ascii="Times New Roman"/>
        </w:rPr>
      </w:pPr>
      <w:r>
        <w:t xml:space="preserve"> </w:t>
      </w:r>
      <w:r>
        <w:tab/>
      </w:r>
      <w:r>
        <w:rPr>
          <w:rFonts w:ascii="Times New Roman"/>
        </w:rPr>
        <w:t>2.</w:t>
      </w:r>
    </w:p>
    <w:p>
      <w:pPr>
        <w:pStyle w:val="11"/>
        <w:spacing w:before="147"/>
        <w:ind w:left="424"/>
      </w:pPr>
      <w:r>
        <w:t xml:space="preserve"> </w:t>
      </w:r>
    </w:p>
    <w:p>
      <w:pPr>
        <w:pStyle w:val="11"/>
        <w:tabs>
          <w:tab w:val="left" w:pos="1144"/>
        </w:tabs>
        <w:spacing w:before="151"/>
        <w:ind w:left="424"/>
        <w:rPr>
          <w:rFonts w:ascii="Times New Roman"/>
        </w:rPr>
      </w:pPr>
      <w:r>
        <w:t xml:space="preserve"> </w:t>
      </w:r>
      <w:r>
        <w:tab/>
      </w:r>
      <w:r>
        <w:rPr>
          <w:rFonts w:ascii="Times New Roman"/>
        </w:rPr>
        <w:t>.....</w:t>
      </w: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9"/>
        <w:rPr>
          <w:rFonts w:ascii="Times New Roman"/>
          <w:sz w:val="21"/>
        </w:rPr>
      </w:pPr>
    </w:p>
    <w:p>
      <w:pPr>
        <w:pStyle w:val="11"/>
        <w:spacing w:before="67" w:line="343" w:lineRule="auto"/>
        <w:ind w:left="424" w:right="390" w:firstLine="479"/>
      </w:pPr>
      <w:r>
        <w:t>上述问题澄清或说明，不改变我方投标文件的实质性内容，构成我方投标文件的组成部分。</w:t>
      </w:r>
    </w:p>
    <w:p>
      <w:pPr>
        <w:pStyle w:val="11"/>
      </w:pPr>
    </w:p>
    <w:p>
      <w:pPr>
        <w:pStyle w:val="11"/>
      </w:pPr>
    </w:p>
    <w:p>
      <w:pPr>
        <w:pStyle w:val="11"/>
        <w:spacing w:before="8"/>
        <w:rPr>
          <w:sz w:val="20"/>
        </w:rPr>
      </w:pPr>
    </w:p>
    <w:p>
      <w:pPr>
        <w:pStyle w:val="11"/>
        <w:tabs>
          <w:tab w:val="left" w:pos="7567"/>
        </w:tabs>
        <w:ind w:left="424"/>
        <w:rPr>
          <w:sz w:val="12"/>
        </w:rPr>
      </w:pPr>
      <w:r>
        <w:t xml:space="preserve">                              投标人</w:t>
      </w:r>
      <w:r>
        <w:rPr>
          <w:spacing w:val="-29"/>
        </w:rPr>
        <w:t>：</w:t>
      </w:r>
      <w:r>
        <w:rPr>
          <w:spacing w:val="-29"/>
          <w:u w:val="single"/>
        </w:rPr>
        <w:t xml:space="preserve"> </w:t>
      </w:r>
      <w:r>
        <w:rPr>
          <w:spacing w:val="-29"/>
          <w:u w:val="single"/>
        </w:rPr>
        <w:tab/>
      </w:r>
      <w:r>
        <w:t>（盖单位章</w:t>
      </w:r>
      <w:r>
        <w:rPr>
          <w:spacing w:val="-14"/>
        </w:rPr>
        <w:t>）</w:t>
      </w:r>
      <w:r>
        <w:rPr>
          <w:spacing w:val="-14"/>
          <w:position w:val="11"/>
          <w:sz w:val="12"/>
        </w:rPr>
        <w:t>①</w:t>
      </w:r>
    </w:p>
    <w:p>
      <w:pPr>
        <w:pStyle w:val="11"/>
        <w:tabs>
          <w:tab w:val="left" w:pos="8259"/>
        </w:tabs>
        <w:spacing w:before="134"/>
        <w:ind w:left="424"/>
      </w:pPr>
      <w:r>
        <w:t xml:space="preserve">                              法定代表人或其委托代理人</w:t>
      </w:r>
      <w:r>
        <w:rPr>
          <w:u w:val="single"/>
        </w:rPr>
        <w:t>：</w:t>
      </w:r>
      <w:r>
        <w:rPr>
          <w:u w:val="single"/>
        </w:rPr>
        <w:tab/>
      </w:r>
      <w:r>
        <w:rPr>
          <w:u w:val="single"/>
        </w:rPr>
        <w:t>（</w:t>
      </w:r>
      <w:r>
        <w:t>签字）</w:t>
      </w:r>
    </w:p>
    <w:p>
      <w:pPr>
        <w:pStyle w:val="11"/>
        <w:spacing w:before="133"/>
        <w:ind w:left="424"/>
      </w:pPr>
      <w:r>
        <w:t xml:space="preserve">                             </w:t>
      </w:r>
    </w:p>
    <w:p>
      <w:pPr>
        <w:pStyle w:val="11"/>
        <w:tabs>
          <w:tab w:val="left" w:pos="5345"/>
          <w:tab w:val="left" w:pos="6305"/>
          <w:tab w:val="left" w:pos="7025"/>
          <w:tab w:val="left" w:pos="7745"/>
        </w:tabs>
        <w:spacing w:before="131"/>
        <w:ind w:left="424"/>
      </w:pPr>
      <w:r>
        <w:t xml:space="preserve">                             </w:t>
      </w:r>
      <w:r>
        <w:tab/>
      </w: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2"/>
        <w:rPr>
          <w:sz w:val="22"/>
        </w:rPr>
      </w:pPr>
      <w:r>
        <mc:AlternateContent>
          <mc:Choice Requires="wps">
            <w:drawing>
              <wp:anchor distT="0" distB="0" distL="114300" distR="114300" simplePos="0" relativeHeight="251640832" behindDoc="0" locked="0" layoutInCell="1" allowOverlap="1">
                <wp:simplePos x="0" y="0"/>
                <wp:positionH relativeFrom="page">
                  <wp:posOffset>1043940</wp:posOffset>
                </wp:positionH>
                <wp:positionV relativeFrom="paragraph">
                  <wp:posOffset>215265</wp:posOffset>
                </wp:positionV>
                <wp:extent cx="1829435" cy="0"/>
                <wp:effectExtent l="0" t="0" r="0" b="0"/>
                <wp:wrapTopAndBottom/>
                <wp:docPr id="17" name="直线 72"/>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72" o:spid="_x0000_s1026" o:spt="20" style="position:absolute;left:0pt;margin-left:82.2pt;margin-top:16.95pt;height:0pt;width:144.05pt;mso-position-horizontal-relative:page;mso-wrap-distance-bottom:0pt;mso-wrap-distance-top:0pt;z-index:251640832;mso-width-relative:page;mso-height-relative:page;" filled="f" stroked="t" coordsize="21600,21600" o:gfxdata="UEsFBgAAAAAAAAAAAAAAAAAAAAAAAFBLAwQKAAAAAACHTuJAAAAAAAAAAAAAAAAABAAAAGRycy9Q&#10;SwMEFAAAAAgAh07iQLKo0x/YAAAACQEAAA8AAABkcnMvZG93bnJldi54bWxNj8FOwkAQhu8kvsNm&#10;TLzBFihYarccIJpwMEYgnpfu2NZ2Z5vuQuHtHeNBj//Ml3++ydZX24oL9r52pGA6iUAgFc7UVCo4&#10;Hp7HCQgfNBndOkIFN/Swzu9GmU6NG+gdL/tQCi4hn2oFVQhdKqUvKrTaT1yHxLtP11sdOPalNL0e&#10;uNy2chZFS2l1TXyh0h1uKiya/dkqeE3k1r01H8Xtazi8JMmuWT3ujko93E+jJxABr+EPhh99Voec&#10;nU7uTMaLlvMyjhlVMJ+vQDAQL2YLEKffgcwz+f+D/BtQSwMEFAAAAAgAh07iQNKQWAXRAQAAkgMA&#10;AA4AAABkcnMvZTJvRG9jLnhtbK1TS44TMRDdI3EHy3vSSYDMTCudWRCGDYKRBg5Q8afbkn9yOenk&#10;LFyDFRuOM9eg7GQywGxGiCycsqv8/N6r6uX13lm2UwlN8B2fTaacKS+CNL7v+NcvN68uOcMMXoIN&#10;XnX8oJBfr16+WI6xVfMwBCtVYgTisR1jx4ecY9s0KAblACchKk9JHZKDTNvUNzLBSOjONvPpdNGM&#10;IcmYglCIdLo+Jvmq4mutRP6sNarMbMeJW65rquumrM1qCW2fIA5GnGjAP7BwYDw9eoZaQwa2TeYJ&#10;lDMiBQw6T0RwTdDaCFU1kJrZ9C81dwNEVbWQORjPNuH/gxWfdreJGUm9u+DMg6Me3X/7fv/jJ7uY&#10;F3fGiC0V3cXbdNohhUXqXidX/kkE21dHD2dH1T4zQYezy/nVm9dvORMPuebxYkyYP6jgWAk6bo0v&#10;YqGF3UfM9BiVPpSUY+vZ2PHF9GpBcECzoi1kCl0k9uj7eheDNfLGWFtuYOo372xiOyjdr78iiXD/&#10;KCuPrAGHY11NHediUCDfe8nyIZItngaYFwpOSc6sonkvEQFCm8HY51TS09YTg+Lq0ccSbYI8UBe2&#10;MZl+ICdy2qpKtCSp8ZXyaUjLZP2+r2CPn9L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LKo0x/Y&#10;AAAACQEAAA8AAAAAAAAAAQAgAAAAOAAAAGRycy9kb3ducmV2LnhtbFBLAQIUABQAAAAIAIdO4kDS&#10;kFgF0QEAAJIDAAAOAAAAAAAAAAEAIAAAAD0BAABkcnMvZTJvRG9jLnhtbFBLBQYAAAAABgAGAFkB&#10;AACABQAAAAA=&#10;">
                <v:fill on="f" focussize="0,0"/>
                <v:stroke weight="0.48pt" color="#000000" joinstyle="round"/>
                <v:imagedata o:title=""/>
                <o:lock v:ext="edit" aspectratio="f"/>
                <w10:wrap type="topAndBottom"/>
              </v:line>
            </w:pict>
          </mc:Fallback>
        </mc:AlternateContent>
      </w:r>
    </w:p>
    <w:p>
      <w:pPr>
        <w:spacing w:before="129"/>
        <w:ind w:left="424"/>
        <w:rPr>
          <w:sz w:val="18"/>
        </w:rPr>
      </w:pPr>
      <w:r>
        <w:rPr>
          <w:position w:val="9"/>
          <w:sz w:val="9"/>
        </w:rPr>
        <w:t xml:space="preserve">① </w:t>
      </w:r>
      <w:r>
        <w:rPr>
          <w:sz w:val="18"/>
        </w:rPr>
        <w:t>投标人仅须在投标文件的澄清或说明上加盖单位章，或由法定代表人或其委托代理人签字。</w:t>
      </w:r>
    </w:p>
    <w:p>
      <w:pPr>
        <w:rPr>
          <w:sz w:val="18"/>
        </w:rPr>
        <w:sectPr>
          <w:type w:val="continuous"/>
          <w:pgSz w:w="11910" w:h="16850"/>
          <w:pgMar w:top="1600" w:right="1200" w:bottom="280" w:left="1220" w:header="720" w:footer="720" w:gutter="0"/>
          <w:cols w:space="720" w:num="1"/>
        </w:sectPr>
      </w:pPr>
    </w:p>
    <w:p>
      <w:pPr>
        <w:pStyle w:val="11"/>
        <w:spacing w:before="108"/>
        <w:ind w:left="424"/>
        <w:rPr>
          <w:rFonts w:ascii="黑体" w:eastAsia="黑体"/>
        </w:rPr>
      </w:pPr>
      <w:bookmarkStart w:id="78" w:name="_bookmark90"/>
      <w:bookmarkEnd w:id="78"/>
      <w:r>
        <w:rPr>
          <w:rFonts w:hint="eastAsia" w:ascii="黑体" w:eastAsia="黑体"/>
        </w:rPr>
        <w:t>附件四 中标通知书</w:t>
      </w:r>
    </w:p>
    <w:p>
      <w:pPr>
        <w:pStyle w:val="11"/>
        <w:rPr>
          <w:rFonts w:ascii="黑体"/>
          <w:sz w:val="20"/>
        </w:rPr>
      </w:pPr>
    </w:p>
    <w:p>
      <w:pPr>
        <w:pStyle w:val="11"/>
        <w:spacing w:before="7"/>
        <w:rPr>
          <w:rFonts w:ascii="黑体"/>
          <w:sz w:val="15"/>
        </w:rPr>
      </w:pPr>
    </w:p>
    <w:p>
      <w:pPr>
        <w:spacing w:before="61"/>
        <w:ind w:left="1098" w:right="1052"/>
        <w:jc w:val="center"/>
        <w:rPr>
          <w:rFonts w:ascii="黑体" w:eastAsia="黑体"/>
          <w:sz w:val="28"/>
        </w:rPr>
      </w:pPr>
      <w:r>
        <w:rPr>
          <w:rFonts w:hint="eastAsia" w:ascii="黑体" w:eastAsia="黑体"/>
          <w:sz w:val="28"/>
        </w:rPr>
        <w:t>中标通知书</w:t>
      </w:r>
    </w:p>
    <w:p>
      <w:pPr>
        <w:pStyle w:val="11"/>
        <w:rPr>
          <w:rFonts w:ascii="黑体"/>
          <w:sz w:val="20"/>
        </w:rPr>
      </w:pPr>
    </w:p>
    <w:p>
      <w:pPr>
        <w:pStyle w:val="11"/>
        <w:spacing w:before="12"/>
        <w:rPr>
          <w:rFonts w:ascii="黑体"/>
          <w:sz w:val="17"/>
        </w:rPr>
      </w:pPr>
    </w:p>
    <w:p>
      <w:pPr>
        <w:pStyle w:val="11"/>
        <w:tabs>
          <w:tab w:val="left" w:pos="2824"/>
        </w:tabs>
        <w:spacing w:before="74"/>
        <w:ind w:left="544"/>
      </w:pPr>
      <w:r>
        <w:rPr>
          <w:rFonts w:ascii="Times New Roman" w:eastAsia="Times New Roman"/>
          <w:u w:val="single"/>
        </w:rPr>
        <w:t xml:space="preserve"> </w:t>
      </w:r>
      <w:r>
        <w:rPr>
          <w:rFonts w:ascii="Times New Roman" w:eastAsia="Times New Roman"/>
          <w:u w:val="single"/>
        </w:rPr>
        <w:tab/>
      </w:r>
      <w:r>
        <w:t>（中标人名称</w:t>
      </w:r>
      <w:r>
        <w:rPr>
          <w:spacing w:val="-120"/>
        </w:rPr>
        <w:t>）</w:t>
      </w:r>
      <w:r>
        <w:t>：</w:t>
      </w:r>
    </w:p>
    <w:p>
      <w:pPr>
        <w:pStyle w:val="11"/>
        <w:rPr>
          <w:sz w:val="26"/>
        </w:rPr>
      </w:pPr>
    </w:p>
    <w:p>
      <w:pPr>
        <w:pStyle w:val="11"/>
        <w:spacing w:before="9"/>
        <w:rPr>
          <w:sz w:val="18"/>
        </w:rPr>
      </w:pPr>
    </w:p>
    <w:p>
      <w:pPr>
        <w:pStyle w:val="11"/>
        <w:tabs>
          <w:tab w:val="left" w:pos="2683"/>
          <w:tab w:val="left" w:pos="6720"/>
          <w:tab w:val="left" w:pos="8859"/>
        </w:tabs>
        <w:spacing w:line="343" w:lineRule="auto"/>
        <w:ind w:left="424" w:right="384"/>
      </w:pPr>
      <w:r>
        <w:t xml:space="preserve">   </w:t>
      </w:r>
      <w:r>
        <w:rPr>
          <w:spacing w:val="-1"/>
        </w:rPr>
        <w:t xml:space="preserve"> </w:t>
      </w:r>
      <w:r>
        <w:t>你方于</w:t>
      </w:r>
      <w:r>
        <w:rPr>
          <w:u w:val="single"/>
        </w:rPr>
        <w:t xml:space="preserve"> </w:t>
      </w:r>
      <w:r>
        <w:rPr>
          <w:u w:val="single"/>
        </w:rPr>
        <w:tab/>
      </w:r>
      <w:r>
        <w:t>（投标日期</w:t>
      </w:r>
      <w:r>
        <w:rPr>
          <w:spacing w:val="-22"/>
        </w:rPr>
        <w:t>）</w:t>
      </w:r>
      <w:r>
        <w:t>所递交的</w:t>
      </w:r>
      <w:r>
        <w:rPr>
          <w:u w:val="single"/>
        </w:rPr>
        <w:t xml:space="preserve"> </w:t>
      </w:r>
      <w:r>
        <w:rPr>
          <w:u w:val="single"/>
        </w:rPr>
        <w:tab/>
      </w:r>
      <w:r>
        <w:t>（项目名称</w:t>
      </w:r>
      <w:r>
        <w:rPr>
          <w:spacing w:val="-22"/>
        </w:rPr>
        <w:t>）</w:t>
      </w:r>
      <w:r>
        <w:rPr>
          <w:spacing w:val="-22"/>
          <w:u w:val="single"/>
        </w:rPr>
        <w:t xml:space="preserve"> </w:t>
      </w:r>
      <w:r>
        <w:rPr>
          <w:spacing w:val="-22"/>
          <w:u w:val="single"/>
        </w:rPr>
        <w:tab/>
      </w:r>
      <w:r>
        <w:t>标段施工投标文件已被我方接受，被确定为中标人。</w:t>
      </w:r>
    </w:p>
    <w:p>
      <w:pPr>
        <w:pStyle w:val="11"/>
        <w:tabs>
          <w:tab w:val="left" w:pos="4144"/>
        </w:tabs>
        <w:spacing w:before="2"/>
        <w:ind w:left="424"/>
      </w:pPr>
      <w:r>
        <w:t xml:space="preserve">   </w:t>
      </w:r>
      <w:r>
        <w:rPr>
          <w:spacing w:val="-1"/>
        </w:rPr>
        <w:t xml:space="preserve"> </w:t>
      </w:r>
      <w:r>
        <w:t>中标价：</w:t>
      </w:r>
      <w:r>
        <w:rPr>
          <w:u w:val="single"/>
        </w:rPr>
        <w:t xml:space="preserve"> </w:t>
      </w:r>
      <w:r>
        <w:rPr>
          <w:u w:val="single"/>
        </w:rPr>
        <w:tab/>
      </w:r>
      <w:r>
        <w:t>元。</w:t>
      </w:r>
    </w:p>
    <w:p>
      <w:pPr>
        <w:pStyle w:val="11"/>
        <w:tabs>
          <w:tab w:val="left" w:pos="2344"/>
        </w:tabs>
        <w:spacing w:before="132"/>
        <w:ind w:left="424"/>
      </w:pPr>
      <w:r>
        <w:t xml:space="preserve">   </w:t>
      </w:r>
      <w:r>
        <w:rPr>
          <w:spacing w:val="-1"/>
        </w:rPr>
        <w:t xml:space="preserve"> </w:t>
      </w:r>
      <w:r>
        <w:t>工期：</w:t>
      </w:r>
      <w:r>
        <w:rPr>
          <w:u w:val="single"/>
        </w:rPr>
        <w:t xml:space="preserve"> </w:t>
      </w:r>
      <w:r>
        <w:rPr>
          <w:u w:val="single"/>
        </w:rPr>
        <w:tab/>
      </w:r>
      <w:r>
        <w:t>日历天。</w:t>
      </w:r>
    </w:p>
    <w:p>
      <w:pPr>
        <w:pStyle w:val="11"/>
        <w:tabs>
          <w:tab w:val="left" w:pos="5225"/>
        </w:tabs>
        <w:spacing w:before="132" w:line="345" w:lineRule="auto"/>
        <w:ind w:left="904" w:right="3539"/>
      </w:pPr>
      <w:r>
        <w:t>工程质量：符合</w:t>
      </w:r>
      <w:r>
        <w:rPr>
          <w:u w:val="single"/>
        </w:rPr>
        <w:t xml:space="preserve"> </w:t>
      </w:r>
      <w:r>
        <w:rPr>
          <w:u w:val="single"/>
        </w:rPr>
        <w:tab/>
      </w:r>
      <w:r>
        <w:t>标准。工程安全目标：</w:t>
      </w:r>
      <w:r>
        <w:rPr>
          <w:u w:val="single"/>
        </w:rPr>
        <w:t xml:space="preserve"> </w:t>
      </w:r>
      <w:r>
        <w:rPr>
          <w:u w:val="single"/>
        </w:rPr>
        <w:tab/>
      </w:r>
      <w:r>
        <w:t>。</w:t>
      </w:r>
    </w:p>
    <w:p>
      <w:pPr>
        <w:pStyle w:val="11"/>
        <w:tabs>
          <w:tab w:val="left" w:pos="3813"/>
        </w:tabs>
        <w:spacing w:line="343" w:lineRule="auto"/>
        <w:ind w:left="933" w:right="4590"/>
      </w:pPr>
      <w:r>
        <mc:AlternateContent>
          <mc:Choice Requires="wps">
            <w:drawing>
              <wp:anchor distT="0" distB="0" distL="114300" distR="114300" simplePos="0" relativeHeight="251683840" behindDoc="1" locked="0" layoutInCell="1" allowOverlap="1">
                <wp:simplePos x="0" y="0"/>
                <wp:positionH relativeFrom="page">
                  <wp:posOffset>2129155</wp:posOffset>
                </wp:positionH>
                <wp:positionV relativeFrom="paragraph">
                  <wp:posOffset>452120</wp:posOffset>
                </wp:positionV>
                <wp:extent cx="1067435" cy="0"/>
                <wp:effectExtent l="0" t="0" r="0" b="0"/>
                <wp:wrapNone/>
                <wp:docPr id="70" name="直线 71"/>
                <wp:cNvGraphicFramePr/>
                <a:graphic xmlns:a="http://schemas.openxmlformats.org/drawingml/2006/main">
                  <a:graphicData uri="http://schemas.microsoft.com/office/word/2010/wordprocessingShape">
                    <wps:wsp>
                      <wps:cNvSpPr/>
                      <wps:spPr>
                        <a:xfrm>
                          <a:off x="0" y="0"/>
                          <a:ext cx="1067435" cy="0"/>
                        </a:xfrm>
                        <a:prstGeom prst="line">
                          <a:avLst/>
                        </a:prstGeom>
                        <a:ln w="7620" cap="flat" cmpd="sng">
                          <a:solidFill>
                            <a:srgbClr val="000000"/>
                          </a:solidFill>
                          <a:prstDash val="solid"/>
                          <a:headEnd type="none" w="med" len="med"/>
                          <a:tailEnd type="none" w="med" len="med"/>
                        </a:ln>
                      </wps:spPr>
                      <wps:bodyPr upright="true"/>
                    </wps:wsp>
                  </a:graphicData>
                </a:graphic>
              </wp:anchor>
            </w:drawing>
          </mc:Choice>
          <mc:Fallback>
            <w:pict>
              <v:line id="直线 71" o:spid="_x0000_s1026" o:spt="20" style="position:absolute;left:0pt;margin-left:167.65pt;margin-top:35.6pt;height:0pt;width:84.05pt;mso-position-horizontal-relative:page;z-index:-251632640;mso-width-relative:page;mso-height-relative:page;" filled="f" stroked="t" coordsize="21600,21600" o:gfxdata="UEsFBgAAAAAAAAAAAAAAAAAAAAAAAFBLAwQKAAAAAACHTuJAAAAAAAAAAAAAAAAABAAAAGRycy9Q&#10;SwMEFAAAAAgAh07iQKPS5e/XAAAACQEAAA8AAABkcnMvZG93bnJldi54bWxNj8tOwzAQRfdI/Qdr&#10;KrGjdhL6UIhTCQpLqGgRazce4oh4HMVuUvh6jLpolzNzdOfcYn2yLRuw940jCclMAEOqnG6olvCx&#10;f7lbAfNBkVatI5Twgx7W5eSmULl2I73jsAs1iyHkcyXBhNDlnPvKoFV+5jqkePtyvVUhjn3Nda/G&#10;GG5bngqx4FY1FD8Y1eGTwep7d7QSfhej2fDnt+XWfPLH1fZ1P6S4kfJ2mogHYAFP4QLDv35UhzI6&#10;HdyRtGethCybZxGVsExSYBGYi+we2OG84GXBrxuUf1BLAwQUAAAACACHTuJAY6yqEdABAACSAwAA&#10;DgAAAGRycy9lMm9Eb2MueG1srVNLjhMxEN0jcQfLe9JJgAS10pkFYdggGGmGA1T86bbkn1xOOjkL&#10;12DFhuPMNSg7mQwwmxEiC6fsKr9677l6dXVwlu1VQhN8x2eTKWfKiyCN7zv+9e761TvOMIOXYINX&#10;HT8q5Ffrly9WY2zVPAzBSpUYgXhsx9jxIefYNg2KQTnASYjKU1KH5CDTNvWNTDASurPNfDpdNGNI&#10;MqYgFCKdbk5Jvq74WiuRv2iNKjPbceKW65rqui1rs15B2yeIgxFnGvAPLBwYT00vUBvIwHbJPIFy&#10;RqSAQeeJCK4JWhuhqgZSM5v+peZ2gKiqFjIH48Um/H+w4vP+JjEjO74kezw4eqP7b9/vf/xky1lx&#10;Z4zYUtFtvEnnHVJYpB50cuWfRLBDdfR4cVQdMhN0OJsulm9ev+VMPOSax4sxYf6ogmMl6Lg1voiF&#10;FvafMFMzKn0oKcfWs5FoLuZEVADNiraQKXSR2KPv610M1shrY225ganfvreJ7aG8fv0VSYT7R1lp&#10;sgEcTnU1dZqLQYH84CXLx0i2eBpgXig4JTmziua9RAQIbQZjn1NJra0nBsXVk48l2gZ5pFfYxWT6&#10;gZzIaacq0ZKkh6+Uz0NaJuv3fQV7/JT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j0uXv1wAA&#10;AAkBAAAPAAAAAAAAAAEAIAAAADgAAABkcnMvZG93bnJldi54bWxQSwECFAAUAAAACACHTuJAY6yq&#10;EdABAACSAwAADgAAAAAAAAABACAAAAA8AQAAZHJzL2Uyb0RvYy54bWxQSwUGAAAAAAYABgBZAQAA&#10;fgUAAAAA&#10;">
                <v:fill on="f" focussize="0,0"/>
                <v:stroke weight="0.6pt" color="#000000" joinstyle="round"/>
                <v:imagedata o:title=""/>
                <o:lock v:ext="edit" aspectratio="f"/>
              </v:line>
            </w:pict>
          </mc:Fallback>
        </mc:AlternateContent>
      </w:r>
      <w:r>
        <w:t>项目经理：</w:t>
      </w:r>
      <w:r>
        <w:rPr>
          <w:u w:val="single"/>
        </w:rPr>
        <w:t xml:space="preserve"> </w:t>
      </w:r>
      <w:r>
        <w:rPr>
          <w:u w:val="single"/>
        </w:rPr>
        <w:tab/>
      </w:r>
      <w:r>
        <w:t>（姓名</w:t>
      </w:r>
      <w:r>
        <w:rPr>
          <w:spacing w:val="-120"/>
        </w:rPr>
        <w:t>）</w:t>
      </w:r>
      <w:r>
        <w:t>。项目总工：</w:t>
      </w:r>
      <w:r>
        <w:tab/>
      </w:r>
      <w:r>
        <w:t>（姓名</w:t>
      </w:r>
      <w:r>
        <w:rPr>
          <w:spacing w:val="-120"/>
        </w:rPr>
        <w:t>）</w:t>
      </w:r>
      <w:r>
        <w:t>。</w:t>
      </w:r>
    </w:p>
    <w:p>
      <w:pPr>
        <w:pStyle w:val="11"/>
        <w:tabs>
          <w:tab w:val="left" w:pos="4384"/>
          <w:tab w:val="left" w:pos="7745"/>
        </w:tabs>
        <w:spacing w:line="343" w:lineRule="auto"/>
        <w:ind w:left="424" w:right="298"/>
      </w:pPr>
      <w:r>
        <mc:AlternateContent>
          <mc:Choice Requires="wps">
            <w:drawing>
              <wp:anchor distT="0" distB="0" distL="114300" distR="114300" simplePos="0" relativeHeight="251684864" behindDoc="1" locked="0" layoutInCell="1" allowOverlap="1">
                <wp:simplePos x="0" y="0"/>
                <wp:positionH relativeFrom="page">
                  <wp:posOffset>3178175</wp:posOffset>
                </wp:positionH>
                <wp:positionV relativeFrom="paragraph">
                  <wp:posOffset>172720</wp:posOffset>
                </wp:positionV>
                <wp:extent cx="381000" cy="0"/>
                <wp:effectExtent l="0" t="0" r="0" b="0"/>
                <wp:wrapNone/>
                <wp:docPr id="71" name="直线 70"/>
                <wp:cNvGraphicFramePr/>
                <a:graphic xmlns:a="http://schemas.openxmlformats.org/drawingml/2006/main">
                  <a:graphicData uri="http://schemas.microsoft.com/office/word/2010/wordprocessingShape">
                    <wps:wsp>
                      <wps:cNvSpPr/>
                      <wps:spPr>
                        <a:xfrm>
                          <a:off x="0" y="0"/>
                          <a:ext cx="381000" cy="0"/>
                        </a:xfrm>
                        <a:prstGeom prst="line">
                          <a:avLst/>
                        </a:prstGeom>
                        <a:ln w="7620" cap="flat" cmpd="sng">
                          <a:solidFill>
                            <a:srgbClr val="000000"/>
                          </a:solidFill>
                          <a:prstDash val="solid"/>
                          <a:headEnd type="none" w="med" len="med"/>
                          <a:tailEnd type="none" w="med" len="med"/>
                        </a:ln>
                      </wps:spPr>
                      <wps:bodyPr upright="true"/>
                    </wps:wsp>
                  </a:graphicData>
                </a:graphic>
              </wp:anchor>
            </w:drawing>
          </mc:Choice>
          <mc:Fallback>
            <w:pict>
              <v:line id="直线 70" o:spid="_x0000_s1026" o:spt="20" style="position:absolute;left:0pt;margin-left:250.25pt;margin-top:13.6pt;height:0pt;width:30pt;mso-position-horizontal-relative:page;z-index:-251631616;mso-width-relative:page;mso-height-relative:page;" filled="f" stroked="t" coordsize="21600,21600" o:gfxdata="UEsFBgAAAAAAAAAAAAAAAAAAAAAAAFBLAwQKAAAAAACHTuJAAAAAAAAAAAAAAAAABAAAAGRycy9Q&#10;SwMEFAAAAAgAh07iQJz5vOnVAAAACQEAAA8AAABkcnMvZG93bnJldi54bWxNj8FuwjAMhu+TeIfI&#10;SLuNhEotqGuKBGzHDQ2mnUNjmorGqZrQsj39gnZgR//+9Ptzsbralg3Y+8aRhPlMAEOqnG6olvB5&#10;eH1aAvNBkVatI5TwjR5W5eShULl2I33gsA81iyXkcyXBhNDlnPvKoFV+5jqkuDu53qoQx77muldj&#10;LLctT4TIuFUNxQtGdbgxWJ33FyvhJxvNlr+8L3bmi6+Xu7fDkOBWysfpXDwDC3gNdxhu+lEdyuh0&#10;dBfSnrUSUiHSiEpIFgmwCKTZLTj+Bbws+P8Pyl9QSwMEFAAAAAgAh07iQItEfLLMAQAAkQMAAA4A&#10;AABkcnMvZTJvRG9jLnhtbK1TS24bMQzdF+gdBO3rGbtAEgw8zqJusgnaAGkPQOszI0A/iLLHPkuv&#10;0VU3PU6uUUpO7LbZBEVnoaFE6vHxkVpe751lO5XQBN/z+azlTHkRpPFDz79+uXl3xRlm8BJs8Krn&#10;B4X8evX2zXKKnVqEMVipEiMQj90Uez7mHLumQTEqBzgLUXly6pAcZNqmoZEJJkJ3tlm07UUzhSRj&#10;CkIh0un66OSriq+1Evmz1qgysz0nbrmuqa6bsjarJXRDgjga8UQD/oGFA+Mp6QlqDRnYNpkXUM6I&#10;FDDoPBPBNUFrI1StgaqZt39V8zBCVLUWEgfjSSb8f7Di0+4+MSN7fjnnzIOjHj1++/744ye7rOpM&#10;ETsKeoj3ibQqOySzlLrXyZU/FcH2VdHDSVG1z0zQ4fureduS7uLZ1ZzvxYT5VgXHitFza3ypFTrY&#10;3WGmXBT6HFKOrWcTsbxYFDigUdEWMpkuEnn0Q72LwRp5Y6wtNzANmw82sR2U5tev9Jtw/wgrSdaA&#10;4zGuuo5jMSqQH71k+RBJFU/zywsFpyRnVtG4F6sOUAZjXxNJqa0nBmcZi7UJ8kBN2MZkhpGUyGmr&#10;KtHipL5Xyk8zWgbr930FO7+k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c+bzp1QAAAAkBAAAP&#10;AAAAAAAAAAEAIAAAADgAAABkcnMvZG93bnJldi54bWxQSwECFAAUAAAACACHTuJAi0R8sswBAACR&#10;AwAADgAAAAAAAAABACAAAAA6AQAAZHJzL2Uyb0RvYy54bWxQSwUGAAAAAAYABgBZAQAAeAUAAAAA&#10;">
                <v:fill on="f" focussize="0,0"/>
                <v:stroke weight="0.6pt" color="#000000" joinstyle="round"/>
                <v:imagedata o:title=""/>
                <o:lock v:ext="edit" aspectratio="f"/>
              </v:line>
            </w:pict>
          </mc:Fallback>
        </mc:AlternateContent>
      </w:r>
      <w:r>
        <w:t xml:space="preserve">   </w:t>
      </w:r>
      <w:r>
        <w:rPr>
          <w:spacing w:val="-1"/>
        </w:rPr>
        <w:t xml:space="preserve"> </w:t>
      </w:r>
      <w:r>
        <w:t>请你方在接到本通知书后的</w:t>
      </w:r>
      <w:r>
        <w:tab/>
      </w:r>
      <w:r>
        <w:t>日内到</w:t>
      </w:r>
      <w:r>
        <w:rPr>
          <w:u w:val="single"/>
        </w:rPr>
        <w:t xml:space="preserve"> </w:t>
      </w:r>
      <w:r>
        <w:rPr>
          <w:u w:val="single"/>
        </w:rPr>
        <w:tab/>
      </w:r>
      <w:r>
        <w:t>（指定地点） 与我方签订施工承包合同</w:t>
      </w:r>
      <w:r>
        <w:rPr>
          <w:spacing w:val="-118"/>
        </w:rPr>
        <w:t>，</w:t>
      </w:r>
      <w:r>
        <w:t>并按招标文件第二章</w:t>
      </w:r>
      <w:r>
        <w:rPr>
          <w:rFonts w:ascii="Times New Roman" w:hAnsi="Times New Roman" w:eastAsia="Times New Roman"/>
        </w:rPr>
        <w:t>“</w:t>
      </w:r>
      <w:r>
        <w:t>投标人须知</w:t>
      </w:r>
      <w:r>
        <w:rPr>
          <w:rFonts w:ascii="Times New Roman" w:hAnsi="Times New Roman" w:eastAsia="Times New Roman"/>
        </w:rPr>
        <w:t>”</w:t>
      </w:r>
      <w:r>
        <w:t>第</w:t>
      </w:r>
      <w:r>
        <w:rPr>
          <w:spacing w:val="-61"/>
        </w:rPr>
        <w:t xml:space="preserve"> </w:t>
      </w:r>
      <w:r>
        <w:rPr>
          <w:rFonts w:ascii="Times New Roman" w:hAnsi="Times New Roman" w:eastAsia="Times New Roman"/>
        </w:rPr>
        <w:t xml:space="preserve">7.7 </w:t>
      </w:r>
      <w:r>
        <w:t>款规定向我方提交履约保证金。</w:t>
      </w:r>
    </w:p>
    <w:p>
      <w:pPr>
        <w:pStyle w:val="11"/>
        <w:ind w:left="424"/>
      </w:pPr>
      <w:r>
        <w:t xml:space="preserve">    特此通知。</w:t>
      </w:r>
    </w:p>
    <w:p>
      <w:pPr>
        <w:pStyle w:val="11"/>
      </w:pPr>
    </w:p>
    <w:p>
      <w:pPr>
        <w:pStyle w:val="11"/>
      </w:pPr>
    </w:p>
    <w:p>
      <w:pPr>
        <w:pStyle w:val="11"/>
      </w:pPr>
    </w:p>
    <w:p>
      <w:pPr>
        <w:pStyle w:val="11"/>
        <w:tabs>
          <w:tab w:val="left" w:pos="7726"/>
        </w:tabs>
        <w:spacing w:before="215" w:line="468" w:lineRule="auto"/>
        <w:ind w:left="4125" w:right="317"/>
      </w:pPr>
      <w:r>
        <w:t>招标人：</w:t>
      </w:r>
      <w:r>
        <w:rPr>
          <w:u w:val="single"/>
        </w:rPr>
        <w:t xml:space="preserve"> </w:t>
      </w:r>
      <w:r>
        <w:rPr>
          <w:u w:val="single"/>
        </w:rPr>
        <w:tab/>
      </w:r>
      <w:r>
        <w:t>（盖单位章） 招标代理机构：</w:t>
      </w:r>
      <w:r>
        <w:rPr>
          <w:u w:val="single"/>
        </w:rPr>
        <w:t xml:space="preserve"> </w:t>
      </w:r>
      <w:r>
        <w:rPr>
          <w:u w:val="single"/>
        </w:rPr>
        <w:tab/>
      </w:r>
      <w:r>
        <w:t>（盖单位章）</w:t>
      </w:r>
    </w:p>
    <w:p>
      <w:pPr>
        <w:pStyle w:val="11"/>
        <w:tabs>
          <w:tab w:val="left" w:pos="6161"/>
          <w:tab w:val="left" w:pos="6881"/>
          <w:tab w:val="left" w:pos="7601"/>
        </w:tabs>
        <w:spacing w:before="1"/>
        <w:ind w:left="5201"/>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50"/>
          <w:pgMar w:top="1480" w:right="1200" w:bottom="1040" w:left="1220" w:header="876" w:footer="853" w:gutter="0"/>
          <w:cols w:space="720" w:num="1"/>
        </w:sectPr>
      </w:pPr>
    </w:p>
    <w:p>
      <w:pPr>
        <w:pStyle w:val="11"/>
        <w:rPr>
          <w:sz w:val="20"/>
        </w:rPr>
      </w:pPr>
    </w:p>
    <w:p>
      <w:pPr>
        <w:pStyle w:val="11"/>
        <w:spacing w:before="7"/>
        <w:rPr>
          <w:sz w:val="17"/>
        </w:rPr>
      </w:pPr>
    </w:p>
    <w:p>
      <w:pPr>
        <w:rPr>
          <w:sz w:val="17"/>
        </w:rPr>
        <w:sectPr>
          <w:pgSz w:w="11910" w:h="16850"/>
          <w:pgMar w:top="1480" w:right="1200" w:bottom="1080" w:left="1220" w:header="883" w:footer="884" w:gutter="0"/>
          <w:cols w:space="720" w:num="1"/>
        </w:sectPr>
      </w:pPr>
    </w:p>
    <w:p>
      <w:pPr>
        <w:pStyle w:val="11"/>
        <w:spacing w:before="66"/>
        <w:ind w:left="424"/>
        <w:rPr>
          <w:rFonts w:ascii="黑体" w:eastAsia="黑体"/>
        </w:rPr>
      </w:pPr>
      <w:bookmarkStart w:id="79" w:name="_bookmark91"/>
      <w:bookmarkEnd w:id="79"/>
      <w:r>
        <w:rPr>
          <w:rFonts w:hint="eastAsia" w:ascii="黑体" w:eastAsia="黑体"/>
        </w:rPr>
        <w:t>附件五 中标结果通知书</w:t>
      </w:r>
    </w:p>
    <w:p>
      <w:pPr>
        <w:pStyle w:val="11"/>
        <w:spacing w:before="2"/>
        <w:rPr>
          <w:rFonts w:ascii="黑体"/>
          <w:sz w:val="35"/>
        </w:rPr>
      </w:pPr>
      <w:r>
        <w:br w:type="column"/>
      </w:r>
    </w:p>
    <w:p>
      <w:pPr>
        <w:ind w:left="424"/>
        <w:rPr>
          <w:rFonts w:ascii="黑体" w:eastAsia="黑体"/>
          <w:sz w:val="28"/>
        </w:rPr>
      </w:pPr>
      <w:r>
        <w:rPr>
          <w:rFonts w:hint="eastAsia" w:ascii="黑体" w:eastAsia="黑体"/>
          <w:sz w:val="28"/>
        </w:rPr>
        <w:t>中标结果通知书</w:t>
      </w:r>
    </w:p>
    <w:p>
      <w:pPr>
        <w:rPr>
          <w:rFonts w:ascii="黑体" w:eastAsia="黑体"/>
          <w:sz w:val="28"/>
        </w:rPr>
        <w:sectPr>
          <w:type w:val="continuous"/>
          <w:pgSz w:w="11910" w:h="16850"/>
          <w:pgMar w:top="1600" w:right="1200" w:bottom="280" w:left="1220" w:header="720" w:footer="720" w:gutter="0"/>
          <w:cols w:equalWidth="0" w:num="2">
            <w:col w:w="2985" w:space="373"/>
            <w:col w:w="6132"/>
          </w:cols>
        </w:sectPr>
      </w:pPr>
    </w:p>
    <w:p>
      <w:pPr>
        <w:pStyle w:val="11"/>
        <w:rPr>
          <w:rFonts w:ascii="黑体"/>
          <w:sz w:val="20"/>
        </w:rPr>
      </w:pPr>
    </w:p>
    <w:p>
      <w:pPr>
        <w:pStyle w:val="11"/>
        <w:spacing w:before="12"/>
        <w:rPr>
          <w:rFonts w:ascii="黑体"/>
          <w:sz w:val="17"/>
        </w:rPr>
      </w:pPr>
    </w:p>
    <w:p>
      <w:pPr>
        <w:pStyle w:val="11"/>
        <w:tabs>
          <w:tab w:val="left" w:pos="2704"/>
        </w:tabs>
        <w:spacing w:before="74"/>
        <w:ind w:left="544"/>
      </w:pPr>
      <w:r>
        <w:rPr>
          <w:rFonts w:ascii="Times New Roman" w:eastAsia="Times New Roman"/>
          <w:u w:val="single"/>
        </w:rPr>
        <w:t xml:space="preserve"> </w:t>
      </w:r>
      <w:r>
        <w:rPr>
          <w:rFonts w:ascii="Times New Roman" w:eastAsia="Times New Roman"/>
          <w:u w:val="single"/>
        </w:rPr>
        <w:tab/>
      </w:r>
      <w:r>
        <w:t>（未中标人名称</w:t>
      </w:r>
      <w:r>
        <w:rPr>
          <w:spacing w:val="-120"/>
        </w:rPr>
        <w:t>）</w:t>
      </w:r>
      <w:r>
        <w:t>：</w:t>
      </w:r>
    </w:p>
    <w:p>
      <w:pPr>
        <w:pStyle w:val="11"/>
        <w:rPr>
          <w:sz w:val="26"/>
        </w:rPr>
      </w:pPr>
    </w:p>
    <w:p>
      <w:pPr>
        <w:pStyle w:val="11"/>
        <w:spacing w:before="9"/>
        <w:rPr>
          <w:sz w:val="18"/>
        </w:rPr>
      </w:pPr>
    </w:p>
    <w:p>
      <w:pPr>
        <w:pStyle w:val="11"/>
        <w:tabs>
          <w:tab w:val="left" w:pos="2142"/>
          <w:tab w:val="left" w:pos="4319"/>
          <w:tab w:val="left" w:pos="7440"/>
          <w:tab w:val="left" w:pos="8619"/>
        </w:tabs>
        <w:spacing w:before="1" w:line="343" w:lineRule="auto"/>
        <w:ind w:left="424" w:right="384"/>
        <w:jc w:val="both"/>
      </w:pPr>
      <w:r>
        <w:t xml:space="preserve">   </w:t>
      </w:r>
      <w:r>
        <w:rPr>
          <w:spacing w:val="-1"/>
        </w:rPr>
        <w:t xml:space="preserve"> </w:t>
      </w:r>
      <w:r>
        <w:t>我方已接受</w:t>
      </w:r>
      <w:r>
        <w:rPr>
          <w:u w:val="single"/>
        </w:rPr>
        <w:tab/>
      </w:r>
      <w:r>
        <w:rPr>
          <w:u w:val="single"/>
        </w:rPr>
        <w:tab/>
      </w:r>
      <w:r>
        <w:t>（中标人名称</w:t>
      </w:r>
      <w:r>
        <w:rPr>
          <w:spacing w:val="-22"/>
        </w:rPr>
        <w:t>）</w:t>
      </w:r>
      <w:r>
        <w:t>于</w:t>
      </w:r>
      <w:r>
        <w:rPr>
          <w:u w:val="single"/>
        </w:rPr>
        <w:t xml:space="preserve"> </w:t>
      </w:r>
      <w:r>
        <w:rPr>
          <w:u w:val="single"/>
        </w:rPr>
        <w:tab/>
      </w:r>
      <w:r>
        <w:t>（投标日期</w:t>
      </w:r>
      <w:r>
        <w:rPr>
          <w:spacing w:val="-22"/>
        </w:rPr>
        <w:t>）</w:t>
      </w:r>
      <w:r>
        <w:t>所递交的</w:t>
      </w:r>
      <w:r>
        <w:rPr>
          <w:u w:val="single"/>
        </w:rPr>
        <w:t xml:space="preserve"> </w:t>
      </w:r>
      <w:r>
        <w:rPr>
          <w:u w:val="single"/>
        </w:rPr>
        <w:tab/>
      </w:r>
      <w:r>
        <w:rPr>
          <w:u w:val="single"/>
        </w:rPr>
        <w:t>（</w:t>
      </w:r>
      <w:r>
        <w:t xml:space="preserve">项目名称）   </w:t>
      </w:r>
      <w:r>
        <w:rPr>
          <w:spacing w:val="36"/>
        </w:rPr>
        <w:t xml:space="preserve"> </w:t>
      </w:r>
      <w:r>
        <w:t>标段施工投标文件</w:t>
      </w:r>
      <w:r>
        <w:rPr>
          <w:spacing w:val="-82"/>
        </w:rPr>
        <w:t>，</w:t>
      </w:r>
      <w:r>
        <w:t>确定</w:t>
      </w:r>
      <w:r>
        <w:rPr>
          <w:u w:val="single"/>
        </w:rPr>
        <w:t xml:space="preserve"> </w:t>
      </w:r>
      <w:r>
        <w:rPr>
          <w:u w:val="single"/>
        </w:rPr>
        <w:tab/>
      </w:r>
      <w:r>
        <w:rPr>
          <w:u w:val="single"/>
        </w:rPr>
        <w:tab/>
      </w:r>
      <w:r>
        <w:t>（中标人名称）为中标人。</w:t>
      </w:r>
    </w:p>
    <w:p>
      <w:pPr>
        <w:pStyle w:val="11"/>
        <w:spacing w:before="1"/>
        <w:ind w:left="424"/>
      </w:pPr>
      <w:r>
        <w:t xml:space="preserve">   </w:t>
      </w:r>
    </w:p>
    <w:p>
      <w:pPr>
        <w:pStyle w:val="11"/>
        <w:spacing w:before="132"/>
        <w:ind w:left="424"/>
      </w:pPr>
      <w:r>
        <w:t xml:space="preserve">    感谢你单位对招标项目的参与！</w:t>
      </w:r>
    </w:p>
    <w:p>
      <w:pPr>
        <w:pStyle w:val="11"/>
      </w:pPr>
    </w:p>
    <w:p>
      <w:pPr>
        <w:pStyle w:val="11"/>
      </w:pPr>
    </w:p>
    <w:p>
      <w:pPr>
        <w:pStyle w:val="11"/>
      </w:pPr>
    </w:p>
    <w:p>
      <w:pPr>
        <w:pStyle w:val="11"/>
      </w:pPr>
    </w:p>
    <w:p>
      <w:pPr>
        <w:pStyle w:val="11"/>
        <w:spacing w:before="4"/>
        <w:rPr>
          <w:sz w:val="31"/>
        </w:rPr>
      </w:pPr>
    </w:p>
    <w:p>
      <w:pPr>
        <w:pStyle w:val="11"/>
        <w:tabs>
          <w:tab w:val="left" w:pos="7726"/>
        </w:tabs>
        <w:spacing w:before="1" w:line="468" w:lineRule="auto"/>
        <w:ind w:left="4125" w:right="317"/>
      </w:pPr>
      <w:r>
        <w:t>招标人：</w:t>
      </w:r>
      <w:r>
        <w:rPr>
          <w:u w:val="single"/>
        </w:rPr>
        <w:t xml:space="preserve"> </w:t>
      </w:r>
      <w:r>
        <w:rPr>
          <w:u w:val="single"/>
        </w:rPr>
        <w:tab/>
      </w:r>
      <w:r>
        <w:t>（盖单位章） 招标代理机构：</w:t>
      </w:r>
      <w:r>
        <w:rPr>
          <w:u w:val="single"/>
        </w:rPr>
        <w:t xml:space="preserve"> </w:t>
      </w:r>
      <w:r>
        <w:rPr>
          <w:u w:val="single"/>
        </w:rPr>
        <w:tab/>
      </w:r>
      <w:r>
        <w:t>（盖单位章）</w:t>
      </w:r>
    </w:p>
    <w:p>
      <w:pPr>
        <w:pStyle w:val="11"/>
        <w:tabs>
          <w:tab w:val="left" w:pos="6425"/>
          <w:tab w:val="left" w:pos="7145"/>
          <w:tab w:val="left" w:pos="7865"/>
        </w:tabs>
        <w:ind w:left="546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type w:val="continuous"/>
          <w:pgSz w:w="11910" w:h="16850"/>
          <w:pgMar w:top="1600" w:right="1200" w:bottom="280" w:left="1220" w:header="720" w:footer="720" w:gutter="0"/>
          <w:cols w:space="720" w:num="1"/>
        </w:sectPr>
      </w:pPr>
    </w:p>
    <w:p>
      <w:pPr>
        <w:pStyle w:val="11"/>
        <w:spacing w:before="108"/>
        <w:ind w:left="424"/>
        <w:rPr>
          <w:rFonts w:ascii="黑体" w:eastAsia="黑体"/>
        </w:rPr>
      </w:pPr>
      <w:bookmarkStart w:id="80" w:name="_bookmark92"/>
      <w:bookmarkEnd w:id="80"/>
      <w:r>
        <w:rPr>
          <w:rFonts w:hint="eastAsia" w:ascii="黑体" w:eastAsia="黑体"/>
        </w:rPr>
        <w:t>附件六 确认通知</w:t>
      </w:r>
    </w:p>
    <w:p>
      <w:pPr>
        <w:pStyle w:val="11"/>
        <w:spacing w:before="3"/>
        <w:rPr>
          <w:rFonts w:ascii="黑体"/>
          <w:sz w:val="38"/>
        </w:rPr>
      </w:pPr>
      <w:r>
        <w:br w:type="column"/>
      </w:r>
    </w:p>
    <w:p>
      <w:pPr>
        <w:spacing w:before="1"/>
        <w:ind w:left="424"/>
        <w:rPr>
          <w:rFonts w:ascii="黑体" w:eastAsia="黑体"/>
          <w:sz w:val="28"/>
        </w:rPr>
      </w:pPr>
      <w:r>
        <w:rPr>
          <w:rFonts w:hint="eastAsia" w:ascii="黑体" w:eastAsia="黑体"/>
          <w:sz w:val="28"/>
        </w:rPr>
        <w:t>确 认 通 知</w:t>
      </w:r>
    </w:p>
    <w:p>
      <w:pPr>
        <w:rPr>
          <w:rFonts w:ascii="黑体" w:eastAsia="黑体"/>
          <w:sz w:val="28"/>
        </w:rPr>
        <w:sectPr>
          <w:pgSz w:w="11910" w:h="16850"/>
          <w:pgMar w:top="1480" w:right="1200" w:bottom="1040" w:left="1220" w:header="876" w:footer="853" w:gutter="0"/>
          <w:cols w:equalWidth="0" w:num="2">
            <w:col w:w="2265" w:space="1302"/>
            <w:col w:w="5923"/>
          </w:cols>
        </w:sectPr>
      </w:pPr>
    </w:p>
    <w:p>
      <w:pPr>
        <w:pStyle w:val="11"/>
        <w:rPr>
          <w:rFonts w:ascii="黑体"/>
          <w:sz w:val="20"/>
        </w:rPr>
      </w:pPr>
    </w:p>
    <w:p>
      <w:pPr>
        <w:pStyle w:val="11"/>
        <w:spacing w:before="1"/>
        <w:rPr>
          <w:rFonts w:ascii="黑体"/>
          <w:sz w:val="18"/>
        </w:rPr>
      </w:pPr>
    </w:p>
    <w:p>
      <w:pPr>
        <w:pStyle w:val="11"/>
        <w:tabs>
          <w:tab w:val="left" w:pos="1864"/>
        </w:tabs>
        <w:spacing w:before="74"/>
        <w:ind w:left="424"/>
      </w:pPr>
      <w:r>
        <w:rPr>
          <w:rFonts w:ascii="Times New Roman" w:eastAsia="Times New Roman"/>
          <w:u w:val="single"/>
        </w:rPr>
        <w:t xml:space="preserve"> </w:t>
      </w:r>
      <w:r>
        <w:rPr>
          <w:rFonts w:ascii="Times New Roman" w:eastAsia="Times New Roman"/>
          <w:u w:val="single"/>
        </w:rPr>
        <w:tab/>
      </w:r>
      <w:r>
        <w:t>（招标人名称</w:t>
      </w:r>
      <w:r>
        <w:rPr>
          <w:spacing w:val="-120"/>
        </w:rPr>
        <w:t>）</w:t>
      </w:r>
      <w:r>
        <w:t>：</w:t>
      </w:r>
    </w:p>
    <w:p>
      <w:pPr>
        <w:pStyle w:val="11"/>
        <w:rPr>
          <w:sz w:val="20"/>
        </w:rPr>
      </w:pPr>
    </w:p>
    <w:p>
      <w:pPr>
        <w:pStyle w:val="11"/>
        <w:rPr>
          <w:sz w:val="20"/>
        </w:rPr>
      </w:pPr>
    </w:p>
    <w:p>
      <w:pPr>
        <w:pStyle w:val="11"/>
        <w:spacing w:before="7"/>
        <w:rPr>
          <w:sz w:val="18"/>
        </w:rPr>
      </w:pPr>
    </w:p>
    <w:p>
      <w:pPr>
        <w:pStyle w:val="11"/>
        <w:tabs>
          <w:tab w:val="left" w:pos="2471"/>
          <w:tab w:val="left" w:pos="6811"/>
        </w:tabs>
        <w:spacing w:line="422" w:lineRule="auto"/>
        <w:ind w:left="424" w:right="380"/>
        <w:jc w:val="both"/>
      </w:pPr>
      <w:r>
        <w:t xml:space="preserve">   </w:t>
      </w:r>
      <w:r>
        <w:rPr>
          <w:spacing w:val="-1"/>
        </w:rPr>
        <w:t xml:space="preserve"> </w:t>
      </w:r>
      <w:r>
        <w:t>你方于</w:t>
      </w:r>
      <w:r>
        <w:rPr>
          <w:u w:val="single"/>
        </w:rPr>
        <w:t xml:space="preserve"> </w:t>
      </w:r>
      <w:r>
        <w:rPr>
          <w:u w:val="single"/>
        </w:rPr>
        <w:tab/>
      </w:r>
      <w:r>
        <w:t>年</w:t>
      </w:r>
      <w:r>
        <w:rPr>
          <w:u w:val="single"/>
        </w:rPr>
        <w:t xml:space="preserve">    </w:t>
      </w:r>
      <w:r>
        <w:t>月</w:t>
      </w:r>
      <w:r>
        <w:rPr>
          <w:u w:val="single"/>
        </w:rPr>
        <w:t xml:space="preserve"> </w:t>
      </w:r>
      <w:r>
        <w:rPr>
          <w:spacing w:val="6"/>
          <w:u w:val="single"/>
        </w:rPr>
        <w:t xml:space="preserve"> </w:t>
      </w:r>
      <w:r>
        <w:t>日 发 出的</w:t>
      </w:r>
      <w:r>
        <w:rPr>
          <w:u w:val="single"/>
        </w:rPr>
        <w:t xml:space="preserve"> </w:t>
      </w:r>
      <w:r>
        <w:rPr>
          <w:u w:val="single"/>
        </w:rPr>
        <w:tab/>
      </w:r>
      <w:r>
        <w:t>（项目名称）</w:t>
      </w:r>
      <w:r>
        <w:rPr>
          <w:spacing w:val="2"/>
          <w:u w:val="single"/>
        </w:rPr>
        <w:t xml:space="preserve"> </w:t>
      </w:r>
      <w:r>
        <w:t>标</w:t>
      </w:r>
      <w:r>
        <w:rPr>
          <w:spacing w:val="1"/>
        </w:rPr>
        <w:t>段施工招标关于招标</w:t>
      </w:r>
      <w:r>
        <w:t>文</w:t>
      </w:r>
      <w:r>
        <w:rPr>
          <w:spacing w:val="1"/>
        </w:rPr>
        <w:t>件澄</w:t>
      </w:r>
      <w:r>
        <w:rPr>
          <w:spacing w:val="2"/>
        </w:rPr>
        <w:t>清</w:t>
      </w:r>
      <w:r>
        <w:rPr>
          <w:rFonts w:ascii="Times New Roman" w:eastAsia="Times New Roman"/>
          <w:spacing w:val="1"/>
        </w:rPr>
        <w:t>/</w:t>
      </w:r>
      <w:r>
        <w:rPr>
          <w:spacing w:val="1"/>
        </w:rPr>
        <w:t>修改的通知</w:t>
      </w:r>
      <w:r>
        <w:t>（</w:t>
      </w:r>
      <w:r>
        <w:rPr>
          <w:spacing w:val="1"/>
        </w:rPr>
        <w:t>第</w:t>
      </w:r>
      <w:r>
        <w:rPr>
          <w:rFonts w:ascii="Times New Roman" w:eastAsia="Times New Roman"/>
          <w:u w:val="single"/>
        </w:rPr>
        <w:t xml:space="preserve">       </w:t>
      </w:r>
      <w:r>
        <w:rPr>
          <w:rFonts w:ascii="Times New Roman" w:eastAsia="Times New Roman"/>
          <w:spacing w:val="8"/>
          <w:u w:val="single"/>
        </w:rPr>
        <w:t xml:space="preserve"> </w:t>
      </w:r>
      <w:r>
        <w:rPr>
          <w:spacing w:val="1"/>
        </w:rPr>
        <w:t>号补遗书，正</w:t>
      </w:r>
      <w:r>
        <w:t>文</w:t>
      </w:r>
      <w:r>
        <w:rPr>
          <w:spacing w:val="3"/>
        </w:rPr>
        <w:t>共</w:t>
      </w:r>
      <w:r>
        <w:rPr>
          <w:rFonts w:ascii="Times New Roman" w:eastAsia="Times New Roman"/>
          <w:u w:val="single"/>
        </w:rPr>
        <w:t xml:space="preserve">       </w:t>
      </w:r>
      <w:r>
        <w:rPr>
          <w:rFonts w:ascii="Times New Roman" w:eastAsia="Times New Roman"/>
          <w:spacing w:val="8"/>
          <w:u w:val="single"/>
        </w:rPr>
        <w:t xml:space="preserve"> </w:t>
      </w:r>
      <w:r>
        <w:rPr>
          <w:spacing w:val="1"/>
        </w:rPr>
        <w:t>页</w:t>
      </w:r>
      <w:r>
        <w:rPr>
          <w:spacing w:val="-118"/>
        </w:rPr>
        <w:t>）</w:t>
      </w:r>
      <w:r>
        <w:rPr>
          <w:spacing w:val="1"/>
        </w:rPr>
        <w:t>，我</w:t>
      </w:r>
      <w:r>
        <w:t>方已于</w:t>
      </w:r>
      <w:r>
        <w:rPr>
          <w:spacing w:val="118"/>
          <w:u w:val="single"/>
        </w:rPr>
        <w:t xml:space="preserve"> </w:t>
      </w:r>
      <w:r>
        <w:t>年</w:t>
      </w:r>
      <w:r>
        <w:rPr>
          <w:spacing w:val="118"/>
          <w:u w:val="single"/>
        </w:rPr>
        <w:t xml:space="preserve"> </w:t>
      </w:r>
      <w:r>
        <w:t>月</w:t>
      </w:r>
      <w:r>
        <w:rPr>
          <w:spacing w:val="118"/>
          <w:u w:val="single"/>
        </w:rPr>
        <w:t xml:space="preserve"> </w:t>
      </w:r>
      <w:r>
        <w:t>日收到。</w:t>
      </w:r>
    </w:p>
    <w:p>
      <w:pPr>
        <w:pStyle w:val="11"/>
        <w:spacing w:line="305" w:lineRule="exact"/>
        <w:ind w:left="424"/>
        <w:jc w:val="both"/>
      </w:pPr>
      <w:r>
        <w:t xml:space="preserve">    特此确认。</w:t>
      </w:r>
    </w:p>
    <w:p>
      <w:pPr>
        <w:pStyle w:val="11"/>
      </w:pPr>
    </w:p>
    <w:p>
      <w:pPr>
        <w:pStyle w:val="11"/>
      </w:pPr>
    </w:p>
    <w:p>
      <w:pPr>
        <w:pStyle w:val="11"/>
      </w:pPr>
    </w:p>
    <w:p>
      <w:pPr>
        <w:pStyle w:val="11"/>
      </w:pPr>
    </w:p>
    <w:p>
      <w:pPr>
        <w:pStyle w:val="11"/>
        <w:rPr>
          <w:sz w:val="19"/>
        </w:rPr>
      </w:pPr>
    </w:p>
    <w:p>
      <w:pPr>
        <w:pStyle w:val="11"/>
        <w:tabs>
          <w:tab w:val="left" w:pos="7625"/>
        </w:tabs>
        <w:ind w:left="4025"/>
      </w:pPr>
      <w:r>
        <w:t>投标人：</w:t>
      </w:r>
      <w:r>
        <w:rPr>
          <w:u w:val="single"/>
        </w:rPr>
        <w:t xml:space="preserve"> </w:t>
      </w:r>
      <w:r>
        <w:rPr>
          <w:u w:val="single"/>
        </w:rPr>
        <w:tab/>
      </w:r>
      <w:r>
        <w:t>（盖单位章）</w:t>
      </w:r>
    </w:p>
    <w:p>
      <w:pPr>
        <w:pStyle w:val="11"/>
        <w:rPr>
          <w:sz w:val="20"/>
        </w:rPr>
      </w:pPr>
    </w:p>
    <w:p>
      <w:pPr>
        <w:pStyle w:val="11"/>
        <w:spacing w:before="8"/>
        <w:rPr>
          <w:sz w:val="19"/>
        </w:rPr>
      </w:pPr>
    </w:p>
    <w:p>
      <w:pPr>
        <w:pStyle w:val="11"/>
        <w:tabs>
          <w:tab w:val="left" w:pos="5945"/>
          <w:tab w:val="left" w:pos="6665"/>
          <w:tab w:val="left" w:pos="7385"/>
        </w:tabs>
        <w:spacing w:before="66"/>
        <w:ind w:left="498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type w:val="continuous"/>
          <w:pgSz w:w="11910" w:h="16850"/>
          <w:pgMar w:top="1600" w:right="1200" w:bottom="280" w:left="1220" w:header="720" w:footer="720" w:gutter="0"/>
          <w:cols w:space="720" w:num="1"/>
        </w:sectPr>
      </w:pPr>
    </w:p>
    <w:p>
      <w:pPr>
        <w:jc w:val="center"/>
        <w:rPr>
          <w:rFonts w:ascii="黑体" w:hAnsi="黑体" w:eastAsia="黑体"/>
          <w:sz w:val="42"/>
        </w:rPr>
      </w:pPr>
      <w:bookmarkStart w:id="81" w:name="_bookmark93"/>
      <w:bookmarkEnd w:id="81"/>
      <w:r>
        <w:rPr>
          <w:rFonts w:hint="eastAsia" w:ascii="黑体" w:hAnsi="黑体" w:eastAsia="黑体"/>
          <w:sz w:val="42"/>
        </w:rPr>
        <w:t>第三章</w:t>
      </w:r>
      <w:r>
        <w:rPr>
          <w:rFonts w:hint="eastAsia" w:ascii="黑体" w:hAnsi="黑体" w:eastAsia="黑体"/>
          <w:sz w:val="42"/>
        </w:rPr>
        <w:tab/>
      </w:r>
      <w:r>
        <w:rPr>
          <w:rFonts w:hint="eastAsia" w:ascii="黑体" w:hAnsi="黑体" w:eastAsia="黑体"/>
          <w:sz w:val="42"/>
        </w:rPr>
        <w:t>评标办法</w:t>
      </w:r>
    </w:p>
    <w:p>
      <w:pPr>
        <w:spacing w:line="312" w:lineRule="auto"/>
        <w:rPr>
          <w:rFonts w:asciiTheme="minorEastAsia" w:hAnsiTheme="minorEastAsia" w:eastAsiaTheme="minorEastAsia" w:cstheme="minorEastAsia"/>
          <w:sz w:val="28"/>
          <w:szCs w:val="28"/>
          <w:lang w:val="en-US"/>
        </w:rPr>
      </w:pPr>
    </w:p>
    <w:p>
      <w:pPr>
        <w:spacing w:line="312" w:lineRule="auto"/>
        <w:ind w:firstLine="560" w:firstLineChars="200"/>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按照四川省交通运输厅《关于印发&lt;四川省公路工程建设项目招标投标管理实施细则&gt;的通知》（川交发〔2019〕32号）第四十一条要求，</w:t>
      </w:r>
      <w:r>
        <w:rPr>
          <w:rFonts w:hint="eastAsia" w:asciiTheme="minorEastAsia" w:hAnsiTheme="minorEastAsia" w:eastAsiaTheme="minorEastAsia" w:cstheme="minorEastAsia"/>
          <w:b/>
          <w:bCs/>
          <w:sz w:val="28"/>
          <w:szCs w:val="28"/>
          <w:lang w:val="en-US"/>
        </w:rPr>
        <w:t>公路工程建设项目施招标评标，一般采用合理低价法。技术特别复杂工程的主体施工可采用综合评分法或技术评分最低标价法。工程规模较小、技术量较低的工程施工，应采用经评审的最低投标价法。</w:t>
      </w:r>
    </w:p>
    <w:p>
      <w:pPr>
        <w:spacing w:line="312" w:lineRule="auto"/>
        <w:ind w:firstLine="560" w:firstLineChars="200"/>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通信、监控、收费系统得机用工程采购安装应采用合理低价法；房建、交安、绿化等附属工程施工招标评标应采用合理低价法或经评审的最低投标价法；通用性材料采购应采用经评审的最低投标价法。</w:t>
      </w:r>
    </w:p>
    <w:p>
      <w:pP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br w:type="page"/>
      </w:r>
    </w:p>
    <w:p>
      <w:pPr>
        <w:rPr>
          <w:rFonts w:asciiTheme="minorEastAsia" w:hAnsiTheme="minorEastAsia" w:eastAsiaTheme="minorEastAsia" w:cstheme="minorEastAsia"/>
          <w:sz w:val="28"/>
          <w:szCs w:val="28"/>
          <w:lang w:val="en-US"/>
        </w:rPr>
      </w:pPr>
    </w:p>
    <w:p>
      <w:pPr>
        <w:tabs>
          <w:tab w:val="left" w:pos="3184"/>
        </w:tabs>
        <w:spacing w:before="108"/>
        <w:ind w:left="1504"/>
        <w:rPr>
          <w:rFonts w:ascii="黑体" w:hAnsi="黑体" w:eastAsia="黑体"/>
          <w:b/>
          <w:sz w:val="21"/>
        </w:rPr>
      </w:pPr>
      <w:r>
        <w:rPr>
          <w:rFonts w:hint="eastAsia" w:ascii="黑体" w:hAnsi="黑体" w:eastAsia="黑体"/>
          <w:sz w:val="42"/>
        </w:rPr>
        <w:t>第三章</w:t>
      </w:r>
      <w:r>
        <w:rPr>
          <w:rFonts w:hint="eastAsia" w:ascii="黑体" w:hAnsi="黑体" w:eastAsia="黑体"/>
          <w:sz w:val="42"/>
        </w:rPr>
        <w:tab/>
      </w:r>
      <w:r>
        <w:rPr>
          <w:rFonts w:hint="eastAsia" w:ascii="黑体" w:hAnsi="黑体" w:eastAsia="黑体"/>
          <w:sz w:val="42"/>
        </w:rPr>
        <w:t>评标办法（合理低价法）</w:t>
      </w:r>
      <w:r>
        <w:rPr>
          <w:rFonts w:hint="eastAsia" w:ascii="黑体" w:hAnsi="黑体" w:eastAsia="黑体"/>
          <w:b/>
          <w:position w:val="19"/>
          <w:sz w:val="21"/>
        </w:rPr>
        <w:t>①</w:t>
      </w:r>
    </w:p>
    <w:p>
      <w:pPr>
        <w:pStyle w:val="11"/>
        <w:spacing w:before="10"/>
        <w:rPr>
          <w:rFonts w:ascii="黑体"/>
          <w:b/>
          <w:sz w:val="41"/>
        </w:rPr>
      </w:pPr>
    </w:p>
    <w:p>
      <w:pPr>
        <w:pStyle w:val="11"/>
        <w:spacing w:before="1"/>
        <w:ind w:left="424"/>
        <w:rPr>
          <w:b/>
          <w:sz w:val="14"/>
        </w:rPr>
      </w:pPr>
      <w:bookmarkStart w:id="82" w:name="_bookmark94"/>
      <w:bookmarkEnd w:id="82"/>
      <w:r>
        <w:rPr>
          <w:rFonts w:hint="eastAsia" w:ascii="黑体" w:hAnsi="黑体" w:eastAsia="黑体"/>
        </w:rPr>
        <w:t xml:space="preserve">评标办法前附表 </w:t>
      </w:r>
      <w:r>
        <w:rPr>
          <w:b/>
          <w:position w:val="13"/>
          <w:sz w:val="14"/>
        </w:rPr>
        <w:t>②</w:t>
      </w:r>
    </w:p>
    <w:tbl>
      <w:tblPr>
        <w:tblStyle w:val="19"/>
        <w:tblW w:w="8641"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6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23" w:type="dxa"/>
            <w:gridSpan w:val="2"/>
          </w:tcPr>
          <w:p>
            <w:pPr>
              <w:pStyle w:val="21"/>
              <w:spacing w:before="130" w:line="250" w:lineRule="exact"/>
              <w:ind w:left="673" w:right="666"/>
              <w:jc w:val="center"/>
              <w:rPr>
                <w:b/>
                <w:sz w:val="21"/>
              </w:rPr>
            </w:pPr>
            <w:r>
              <w:rPr>
                <w:b/>
                <w:sz w:val="21"/>
              </w:rPr>
              <w:t>条款号</w:t>
            </w:r>
          </w:p>
        </w:tc>
        <w:tc>
          <w:tcPr>
            <w:tcW w:w="6618" w:type="dxa"/>
          </w:tcPr>
          <w:p>
            <w:pPr>
              <w:pStyle w:val="21"/>
              <w:spacing w:before="130" w:line="250" w:lineRule="exact"/>
              <w:ind w:left="2341" w:right="2329"/>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900" w:type="dxa"/>
          </w:tcPr>
          <w:p>
            <w:pPr>
              <w:pStyle w:val="21"/>
              <w:rPr>
                <w:b/>
              </w:rPr>
            </w:pPr>
          </w:p>
          <w:p>
            <w:pPr>
              <w:pStyle w:val="21"/>
              <w:rPr>
                <w:b/>
              </w:rPr>
            </w:pPr>
          </w:p>
          <w:p>
            <w:pPr>
              <w:pStyle w:val="21"/>
              <w:rPr>
                <w:b/>
              </w:rPr>
            </w:pPr>
          </w:p>
          <w:p>
            <w:pPr>
              <w:pStyle w:val="21"/>
              <w:spacing w:before="187"/>
              <w:ind w:left="7"/>
              <w:jc w:val="center"/>
              <w:rPr>
                <w:rFonts w:ascii="Times New Roman"/>
                <w:sz w:val="21"/>
              </w:rPr>
            </w:pPr>
            <w:r>
              <w:rPr>
                <w:rFonts w:ascii="Times New Roman"/>
                <w:sz w:val="21"/>
              </w:rPr>
              <w:t>1</w:t>
            </w:r>
          </w:p>
        </w:tc>
        <w:tc>
          <w:tcPr>
            <w:tcW w:w="1123" w:type="dxa"/>
          </w:tcPr>
          <w:p>
            <w:pPr>
              <w:pStyle w:val="21"/>
              <w:rPr>
                <w:b/>
                <w:sz w:val="20"/>
              </w:rPr>
            </w:pPr>
          </w:p>
          <w:p>
            <w:pPr>
              <w:pStyle w:val="21"/>
              <w:rPr>
                <w:b/>
                <w:sz w:val="20"/>
              </w:rPr>
            </w:pPr>
          </w:p>
          <w:p>
            <w:pPr>
              <w:pStyle w:val="21"/>
              <w:rPr>
                <w:b/>
                <w:sz w:val="20"/>
              </w:rPr>
            </w:pPr>
          </w:p>
          <w:p>
            <w:pPr>
              <w:pStyle w:val="21"/>
              <w:spacing w:before="10"/>
              <w:rPr>
                <w:b/>
                <w:sz w:val="18"/>
              </w:rPr>
            </w:pPr>
          </w:p>
          <w:p>
            <w:pPr>
              <w:pStyle w:val="21"/>
              <w:ind w:left="141"/>
              <w:rPr>
                <w:sz w:val="21"/>
              </w:rPr>
            </w:pPr>
            <w:r>
              <w:rPr>
                <w:sz w:val="21"/>
              </w:rPr>
              <w:t>评标方法</w:t>
            </w:r>
          </w:p>
        </w:tc>
        <w:tc>
          <w:tcPr>
            <w:tcW w:w="6618" w:type="dxa"/>
          </w:tcPr>
          <w:p>
            <w:pPr>
              <w:pStyle w:val="21"/>
              <w:spacing w:before="89" w:line="321" w:lineRule="auto"/>
              <w:ind w:left="107" w:right="96" w:firstLine="420"/>
              <w:rPr>
                <w:sz w:val="21"/>
              </w:rPr>
            </w:pPr>
            <w:r>
              <w:rPr>
                <w:sz w:val="21"/>
              </w:rPr>
              <w:t>综合评分相等时，评标委员会依次按照以下优先顺序推荐中标候选人或确定中标人：</w:t>
            </w:r>
          </w:p>
          <w:p>
            <w:pPr>
              <w:pStyle w:val="21"/>
              <w:spacing w:line="268" w:lineRule="exact"/>
              <w:ind w:left="528"/>
              <w:rPr>
                <w:sz w:val="21"/>
              </w:rPr>
            </w:pPr>
            <w:r>
              <w:rPr>
                <w:sz w:val="21"/>
              </w:rPr>
              <w:t>（</w:t>
            </w:r>
            <w:r>
              <w:rPr>
                <w:rFonts w:ascii="Times New Roman" w:eastAsia="Times New Roman"/>
                <w:sz w:val="21"/>
              </w:rPr>
              <w:t>1</w:t>
            </w:r>
            <w:r>
              <w:rPr>
                <w:sz w:val="21"/>
              </w:rPr>
              <w:t>）评标价低的投标人优先；</w:t>
            </w:r>
          </w:p>
          <w:p>
            <w:pPr>
              <w:pStyle w:val="21"/>
              <w:spacing w:before="92" w:line="321" w:lineRule="auto"/>
              <w:ind w:left="107" w:right="93" w:firstLine="420"/>
              <w:rPr>
                <w:sz w:val="21"/>
              </w:rPr>
            </w:pPr>
            <w:r>
              <w:rPr>
                <w:sz w:val="21"/>
              </w:rPr>
              <w:t>（</w:t>
            </w:r>
            <w:r>
              <w:rPr>
                <w:rFonts w:ascii="Times New Roman" w:eastAsia="Times New Roman"/>
                <w:sz w:val="21"/>
              </w:rPr>
              <w:t>2</w:t>
            </w:r>
            <w:r>
              <w:rPr>
                <w:sz w:val="21"/>
              </w:rPr>
              <w:t>）被招标项目所在地省级交通运输主管部门评为较高信用等级的投标人优先；</w:t>
            </w:r>
          </w:p>
          <w:p>
            <w:pPr>
              <w:pStyle w:val="21"/>
              <w:spacing w:line="249" w:lineRule="exact"/>
              <w:ind w:left="528"/>
              <w:rPr>
                <w:rFonts w:ascii="Times New Roman" w:hAnsi="Times New Roman" w:eastAsia="Times New Roman"/>
                <w:sz w:val="21"/>
              </w:rPr>
            </w:pPr>
            <w:r>
              <w:rPr>
                <w:sz w:val="21"/>
              </w:rPr>
              <w:t>（</w:t>
            </w:r>
            <w:r>
              <w:rPr>
                <w:rFonts w:ascii="Times New Roman" w:hAnsi="Times New Roman" w:eastAsia="Times New Roman"/>
                <w:sz w:val="21"/>
              </w:rPr>
              <w:t>3</w:t>
            </w:r>
            <w:r>
              <w:rPr>
                <w:sz w:val="21"/>
              </w:rPr>
              <w:t>）</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2" w:hRule="atLeast"/>
        </w:trPr>
        <w:tc>
          <w:tcPr>
            <w:tcW w:w="900" w:type="dxa"/>
          </w:tcPr>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spacing w:before="151"/>
              <w:ind w:left="239"/>
              <w:rPr>
                <w:rFonts w:ascii="Times New Roman"/>
                <w:sz w:val="21"/>
              </w:rPr>
            </w:pPr>
            <w:r>
              <w:rPr>
                <w:rFonts w:ascii="Times New Roman"/>
                <w:sz w:val="21"/>
              </w:rPr>
              <w:t>2.1.1</w:t>
            </w:r>
          </w:p>
          <w:p>
            <w:pPr>
              <w:pStyle w:val="21"/>
              <w:spacing w:before="159"/>
              <w:ind w:left="239"/>
              <w:rPr>
                <w:rFonts w:ascii="Times New Roman"/>
                <w:sz w:val="21"/>
              </w:rPr>
            </w:pPr>
            <w:r>
              <w:rPr>
                <w:rFonts w:ascii="Times New Roman"/>
                <w:sz w:val="21"/>
              </w:rPr>
              <w:t>2.1.3</w:t>
            </w:r>
          </w:p>
        </w:tc>
        <w:tc>
          <w:tcPr>
            <w:tcW w:w="1123" w:type="dxa"/>
          </w:tcPr>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spacing w:before="5"/>
              <w:rPr>
                <w:b/>
                <w:sz w:val="18"/>
              </w:rPr>
            </w:pPr>
          </w:p>
          <w:p>
            <w:pPr>
              <w:pStyle w:val="21"/>
              <w:spacing w:line="357" w:lineRule="auto"/>
              <w:ind w:left="141" w:right="127"/>
              <w:jc w:val="both"/>
              <w:rPr>
                <w:sz w:val="21"/>
              </w:rPr>
            </w:pPr>
            <w:r>
              <w:rPr>
                <w:sz w:val="21"/>
              </w:rPr>
              <w:t>形式评审与响应性评审标准</w:t>
            </w:r>
          </w:p>
        </w:tc>
        <w:tc>
          <w:tcPr>
            <w:tcW w:w="6618" w:type="dxa"/>
          </w:tcPr>
          <w:p>
            <w:pPr>
              <w:pStyle w:val="21"/>
              <w:spacing w:before="92"/>
              <w:ind w:left="530"/>
              <w:rPr>
                <w:b/>
                <w:sz w:val="21"/>
              </w:rPr>
            </w:pPr>
            <w:r>
              <w:rPr>
                <w:b/>
                <w:sz w:val="21"/>
              </w:rPr>
              <w:t>第一个信封（商务及技术文件）评审标准：</w:t>
            </w:r>
          </w:p>
          <w:p>
            <w:pPr>
              <w:pStyle w:val="21"/>
              <w:spacing w:before="91" w:line="321" w:lineRule="auto"/>
              <w:ind w:left="107" w:right="93" w:firstLine="420"/>
              <w:rPr>
                <w:sz w:val="21"/>
              </w:rPr>
            </w:pPr>
            <w:r>
              <w:rPr>
                <w:sz w:val="21"/>
              </w:rPr>
              <w:t>（</w:t>
            </w:r>
            <w:r>
              <w:rPr>
                <w:rFonts w:ascii="Times New Roman" w:eastAsia="Times New Roman"/>
                <w:sz w:val="21"/>
              </w:rPr>
              <w:t>1</w:t>
            </w:r>
            <w:r>
              <w:rPr>
                <w:sz w:val="21"/>
              </w:rPr>
              <w:t>）投标文件按照招标文件规定的格式、内容填写，字迹清晰可辨：</w:t>
            </w:r>
          </w:p>
          <w:p>
            <w:pPr>
              <w:pStyle w:val="21"/>
              <w:spacing w:line="321" w:lineRule="auto"/>
              <w:ind w:left="107" w:right="93" w:firstLine="420"/>
              <w:rPr>
                <w:sz w:val="21"/>
              </w:rPr>
            </w:pPr>
            <w:r>
              <w:rPr>
                <w:rFonts w:ascii="Times New Roman" w:eastAsia="Times New Roman"/>
                <w:sz w:val="21"/>
              </w:rPr>
              <w:t>a.</w:t>
            </w:r>
            <w:r>
              <w:rPr>
                <w:spacing w:val="-15"/>
                <w:sz w:val="21"/>
              </w:rPr>
              <w:t>投标函按招标文件规定填报了项目名称、标段号、补遗书编号</w:t>
            </w:r>
            <w:r>
              <w:rPr>
                <w:sz w:val="21"/>
              </w:rPr>
              <w:t>（如有</w:t>
            </w:r>
            <w:r>
              <w:rPr>
                <w:spacing w:val="-106"/>
                <w:sz w:val="21"/>
              </w:rPr>
              <w:t>）</w:t>
            </w:r>
            <w:r>
              <w:rPr>
                <w:spacing w:val="-3"/>
                <w:sz w:val="21"/>
              </w:rPr>
              <w:t>、工期、工程质量要求及安全目标；</w:t>
            </w:r>
          </w:p>
          <w:p>
            <w:pPr>
              <w:pStyle w:val="21"/>
              <w:spacing w:line="268" w:lineRule="exact"/>
              <w:ind w:left="528"/>
              <w:rPr>
                <w:sz w:val="21"/>
              </w:rPr>
            </w:pPr>
            <w:r>
              <w:rPr>
                <w:rFonts w:ascii="Times New Roman" w:eastAsia="Times New Roman"/>
                <w:sz w:val="21"/>
              </w:rPr>
              <w:t>b.</w:t>
            </w:r>
            <w:r>
              <w:rPr>
                <w:sz w:val="21"/>
              </w:rPr>
              <w:t>投标函附录的所有数据均符合招标文件规定；</w:t>
            </w:r>
          </w:p>
          <w:p>
            <w:pPr>
              <w:pStyle w:val="21"/>
              <w:spacing w:before="90"/>
              <w:ind w:left="528"/>
              <w:rPr>
                <w:sz w:val="21"/>
              </w:rPr>
            </w:pPr>
            <w:r>
              <w:rPr>
                <w:rFonts w:ascii="Times New Roman" w:eastAsia="Times New Roman"/>
                <w:sz w:val="21"/>
              </w:rPr>
              <w:t>c.</w:t>
            </w:r>
            <w:r>
              <w:rPr>
                <w:sz w:val="21"/>
              </w:rPr>
              <w:t>投标文件组成齐全完整，内容均按规定填写。</w:t>
            </w:r>
          </w:p>
          <w:p>
            <w:pPr>
              <w:pStyle w:val="21"/>
              <w:spacing w:before="91" w:line="321" w:lineRule="auto"/>
              <w:ind w:left="107" w:right="93" w:firstLine="420"/>
              <w:rPr>
                <w:sz w:val="21"/>
              </w:rPr>
            </w:pPr>
            <w:r>
              <w:rPr>
                <w:sz w:val="21"/>
              </w:rPr>
              <w:t>（</w:t>
            </w:r>
            <w:r>
              <w:rPr>
                <w:rFonts w:ascii="Times New Roman" w:eastAsia="Times New Roman"/>
                <w:sz w:val="21"/>
              </w:rPr>
              <w:t>2</w:t>
            </w:r>
            <w:r>
              <w:rPr>
                <w:sz w:val="21"/>
              </w:rPr>
              <w:t>）投标文件上法定代表人或其委托代理人的签字、投标人的单位章盖章齐全，符合招标文件规定。</w:t>
            </w:r>
          </w:p>
          <w:p>
            <w:pPr>
              <w:pStyle w:val="21"/>
              <w:spacing w:line="321" w:lineRule="auto"/>
              <w:ind w:left="107" w:right="90" w:firstLine="420"/>
              <w:jc w:val="both"/>
              <w:rPr>
                <w:sz w:val="21"/>
              </w:rPr>
            </w:pPr>
            <w:r>
              <w:rPr>
                <w:sz w:val="21"/>
              </w:rPr>
              <w:t>（</w:t>
            </w:r>
            <w:r>
              <w:rPr>
                <w:rFonts w:ascii="Times New Roman" w:eastAsia="Times New Roman"/>
                <w:sz w:val="21"/>
              </w:rPr>
              <w:t>3</w:t>
            </w:r>
            <w:r>
              <w:rPr>
                <w:sz w:val="21"/>
              </w:rPr>
              <w:t>）与申请资格预审时比较，投标人发生合并、分立、破产等重大变化的，仍具备资格预审文件规定的相应资格条件且其投标未影响招标公正性：</w:t>
            </w:r>
          </w:p>
          <w:p>
            <w:pPr>
              <w:pStyle w:val="21"/>
              <w:spacing w:line="321" w:lineRule="auto"/>
              <w:ind w:left="107" w:right="97" w:firstLine="420"/>
              <w:rPr>
                <w:sz w:val="21"/>
              </w:rPr>
            </w:pPr>
            <w:r>
              <w:rPr>
                <w:rFonts w:ascii="Times New Roman" w:eastAsia="Times New Roman"/>
                <w:sz w:val="21"/>
              </w:rPr>
              <w:t>a.</w:t>
            </w:r>
            <w:r>
              <w:rPr>
                <w:sz w:val="21"/>
              </w:rPr>
              <w:t>投标人应提供相关部门的合法批件及企业法人营业执照和资质证书等证件的副本变更记录复印件；</w:t>
            </w:r>
          </w:p>
          <w:p>
            <w:pPr>
              <w:pStyle w:val="21"/>
              <w:spacing w:line="269" w:lineRule="exact"/>
              <w:ind w:left="528"/>
              <w:rPr>
                <w:sz w:val="21"/>
              </w:rPr>
            </w:pPr>
            <w:r>
              <w:rPr>
                <w:rFonts w:ascii="Times New Roman" w:eastAsia="Times New Roman"/>
                <w:sz w:val="21"/>
              </w:rPr>
              <w:t>b.</w:t>
            </w:r>
            <w:r>
              <w:rPr>
                <w:sz w:val="21"/>
              </w:rPr>
              <w:t>投标人仍然满足资格预审文件中规定的资格预审条件最低要求</w:t>
            </w:r>
          </w:p>
          <w:p>
            <w:pPr>
              <w:pStyle w:val="21"/>
              <w:spacing w:before="88"/>
              <w:ind w:left="107"/>
              <w:rPr>
                <w:sz w:val="21"/>
              </w:rPr>
            </w:pPr>
            <w:r>
              <w:rPr>
                <w:sz w:val="21"/>
              </w:rPr>
              <w:t>（</w:t>
            </w:r>
            <w:r>
              <w:rPr>
                <w:spacing w:val="-3"/>
                <w:sz w:val="21"/>
              </w:rPr>
              <w:t>资质、业绩、人员、信誉、财务等</w:t>
            </w:r>
            <w:r>
              <w:rPr>
                <w:spacing w:val="-106"/>
                <w:sz w:val="21"/>
              </w:rPr>
              <w:t>）</w:t>
            </w:r>
            <w:r>
              <w:rPr>
                <w:sz w:val="21"/>
              </w:rPr>
              <w:t>；</w:t>
            </w:r>
          </w:p>
          <w:p>
            <w:pPr>
              <w:pStyle w:val="21"/>
              <w:spacing w:before="91" w:line="321" w:lineRule="auto"/>
              <w:ind w:left="107" w:right="36" w:firstLine="420"/>
              <w:rPr>
                <w:sz w:val="21"/>
              </w:rPr>
            </w:pPr>
            <w:r>
              <w:rPr>
                <w:rFonts w:ascii="Times New Roman" w:eastAsia="Times New Roman"/>
                <w:sz w:val="21"/>
              </w:rPr>
              <w:t>c.</w:t>
            </w:r>
            <w:r>
              <w:rPr>
                <w:sz w:val="21"/>
              </w:rPr>
              <w:t>与所投标段的其他投标人不存在控股、管理关系或单位负责人为同一人的情况；与招标人也不存在利害关系并可能影响招标公正性。</w:t>
            </w:r>
          </w:p>
          <w:p>
            <w:pPr>
              <w:pStyle w:val="21"/>
              <w:spacing w:line="268" w:lineRule="exact"/>
              <w:ind w:left="528"/>
              <w:rPr>
                <w:sz w:val="21"/>
              </w:rPr>
            </w:pPr>
            <w:r>
              <w:rPr>
                <w:sz w:val="21"/>
              </w:rPr>
              <w:t>（</w:t>
            </w:r>
            <w:r>
              <w:rPr>
                <w:rFonts w:ascii="Times New Roman" w:eastAsia="Times New Roman"/>
                <w:sz w:val="21"/>
              </w:rPr>
              <w:t>4</w:t>
            </w:r>
            <w:r>
              <w:rPr>
                <w:sz w:val="21"/>
              </w:rPr>
              <w:t>）投标人按照招标文件的规定提供了投标保证金：</w:t>
            </w:r>
          </w:p>
          <w:p>
            <w:pPr>
              <w:pStyle w:val="21"/>
              <w:spacing w:line="360" w:lineRule="atLeast"/>
              <w:ind w:left="107" w:right="36" w:firstLine="420"/>
              <w:rPr>
                <w:sz w:val="21"/>
              </w:rPr>
            </w:pPr>
            <w:r>
              <w:rPr>
                <w:rFonts w:ascii="Times New Roman" w:eastAsia="Times New Roman"/>
                <w:sz w:val="21"/>
              </w:rPr>
              <w:t>a.</w:t>
            </w:r>
            <w:r>
              <w:rPr>
                <w:sz w:val="21"/>
              </w:rPr>
              <w:t>投标保证金金额符合招标文件规定的金额，且投标保证金有效期不少于投标有效期；</w:t>
            </w:r>
          </w:p>
        </w:tc>
      </w:tr>
    </w:tbl>
    <w:p>
      <w:pPr>
        <w:pStyle w:val="11"/>
        <w:rPr>
          <w:b/>
          <w:sz w:val="20"/>
        </w:rPr>
      </w:pPr>
    </w:p>
    <w:p>
      <w:pPr>
        <w:pStyle w:val="11"/>
        <w:rPr>
          <w:b/>
          <w:sz w:val="20"/>
        </w:rPr>
      </w:pPr>
    </w:p>
    <w:p>
      <w:pPr>
        <w:pStyle w:val="11"/>
        <w:rPr>
          <w:b/>
          <w:sz w:val="21"/>
        </w:rPr>
      </w:pPr>
      <w:r>
        <mc:AlternateContent>
          <mc:Choice Requires="wps">
            <w:drawing>
              <wp:anchor distT="0" distB="0" distL="114300" distR="114300" simplePos="0" relativeHeight="251641856" behindDoc="0" locked="0" layoutInCell="1" allowOverlap="1">
                <wp:simplePos x="0" y="0"/>
                <wp:positionH relativeFrom="page">
                  <wp:posOffset>1043940</wp:posOffset>
                </wp:positionH>
                <wp:positionV relativeFrom="paragraph">
                  <wp:posOffset>198755</wp:posOffset>
                </wp:positionV>
                <wp:extent cx="1829435" cy="0"/>
                <wp:effectExtent l="0" t="0" r="0" b="0"/>
                <wp:wrapTopAndBottom/>
                <wp:docPr id="18" name="直线 69"/>
                <wp:cNvGraphicFramePr/>
                <a:graphic xmlns:a="http://schemas.openxmlformats.org/drawingml/2006/main">
                  <a:graphicData uri="http://schemas.microsoft.com/office/word/2010/wordprocessingShape">
                    <wps:wsp>
                      <wps:cNvSpPr/>
                      <wps:spPr>
                        <a:xfrm>
                          <a:off x="0" y="0"/>
                          <a:ext cx="1829435" cy="0"/>
                        </a:xfrm>
                        <a:prstGeom prst="line">
                          <a:avLst/>
                        </a:prstGeom>
                        <a:ln w="6097" cap="flat" cmpd="sng">
                          <a:solidFill>
                            <a:srgbClr val="000000"/>
                          </a:solidFill>
                          <a:prstDash val="solid"/>
                          <a:headEnd type="none" w="med" len="med"/>
                          <a:tailEnd type="none" w="med" len="med"/>
                        </a:ln>
                      </wps:spPr>
                      <wps:bodyPr upright="true"/>
                    </wps:wsp>
                  </a:graphicData>
                </a:graphic>
              </wp:anchor>
            </w:drawing>
          </mc:Choice>
          <mc:Fallback>
            <w:pict>
              <v:line id="直线 69" o:spid="_x0000_s1026" o:spt="20" style="position:absolute;left:0pt;margin-left:82.2pt;margin-top:15.65pt;height:0pt;width:144.05pt;mso-position-horizontal-relative:page;mso-wrap-distance-bottom:0pt;mso-wrap-distance-top:0pt;z-index:251641856;mso-width-relative:page;mso-height-relative:page;" filled="f" stroked="t" coordsize="21600,21600" o:gfxdata="UEsFBgAAAAAAAAAAAAAAAAAAAAAAAFBLAwQKAAAAAACHTuJAAAAAAAAAAAAAAAAABAAAAGRycy9Q&#10;SwMEFAAAAAgAh07iQGRWegjWAAAACQEAAA8AAABkcnMvZG93bnJldi54bWxNj8FOg0AQhu8mvsNm&#10;mnizCwWaBlma2MTExJO1el7YEUjZWcJuKfj0jvGgx3/myz/fFPvZ9mLC0XeOFMTrCARS7UxHjYLT&#10;29P9DoQPmozuHaGCBT3sy9ubQufGXekVp2NoBJeQz7WCNoQhl9LXLVrt125A4t2nG60OHMdGmlFf&#10;udz2chNFW2l1R3yh1QMeWqzPx4tVkE7z8vJ1wMekeo6XXda8J/6jV+puFUcPIALO4Q+GH31Wh5Kd&#10;Knch40XPeZumjCpI4gQEA2m2yUBUvwNZFvL/B+U3UEsDBBQAAAAIAIdO4kBTXaCh0AEAAJIDAAAO&#10;AAAAZHJzL2Uyb0RvYy54bWytU0uOEzEQ3SNxB8t70kmAMGmlMwvCsEEw0gwHqPjTbck/uZx0chau&#10;wYoNx5lrUHYyGT4bhMjCKbvKz++9ql5dH5xle5XQBN/x2WTKmfIiSOP7jn++v3lxxRlm8BJs8Krj&#10;R4X8ev382WqMrZqHIVipEiMQj+0YOz7kHNumQTEoBzgJUXlK6pAcZNqmvpEJRkJ3tplPp4tmDEnG&#10;FIRCpNPNKcnXFV9rJfInrVFlZjtO3HJdU123ZW3WK2j7BHEw4kwD/oGFA+Pp0QvUBjKwXTJ/QDkj&#10;UsCg80QE1wStjVBVA6mZTX9TczdAVFULmYPxYhP+P1jxcX+bmJHUO+qUB0c9evjy9eHbd7ZYFnfG&#10;iC0V3cXbdN4hhUXqQSdX/kkEO1RHjxdH1SEzQYezq/ny1cvXnInHXPN0MSbM71VwrAQdt8YXsdDC&#10;/gNmeoxKH0vKsfVs7PhiunxDcECzoi1kCl0k9uj7eheDNfLGWFtuYOq3b21ieyjdr78iiXB/KSuP&#10;bACHU11NneZiUCDfecnyMZItngaYFwpOSc6sonkvEQFCm8HYv6mkp60nBsXVk48l2gZ5pC7sYjL9&#10;QE7ktFOVaElS4yvl85CWyfp5X8GePqX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RWegjWAAAA&#10;CQEAAA8AAAAAAAAAAQAgAAAAOAAAAGRycy9kb3ducmV2LnhtbFBLAQIUABQAAAAIAIdO4kBTXaCh&#10;0AEAAJIDAAAOAAAAAAAAAAEAIAAAADsBAABkcnMvZTJvRG9jLnhtbFBLBQYAAAAABgAGAFkBAAB9&#10;BQAAAAA=&#10;">
                <v:fill on="f" focussize="0,0"/>
                <v:stroke weight="0.48007874015748pt" color="#000000" joinstyle="round"/>
                <v:imagedata o:title=""/>
                <o:lock v:ext="edit" aspectratio="f"/>
                <w10:wrap type="topAndBottom"/>
              </v:line>
            </w:pict>
          </mc:Fallback>
        </mc:AlternateContent>
      </w:r>
    </w:p>
    <w:p>
      <w:pPr>
        <w:spacing w:before="148" w:line="333" w:lineRule="auto"/>
        <w:ind w:left="604" w:right="340" w:hanging="180"/>
        <w:rPr>
          <w:sz w:val="18"/>
        </w:rPr>
      </w:pPr>
      <w:r>
        <w:rPr>
          <w:position w:val="8"/>
          <w:sz w:val="9"/>
        </w:rPr>
        <w:t xml:space="preserve">① </w:t>
      </w:r>
      <w:r>
        <w:rPr>
          <w:sz w:val="18"/>
        </w:rPr>
        <w:t xml:space="preserve">“合理低价法”是综合评估法的评分因素中评标价得分为 </w:t>
      </w:r>
      <w:r>
        <w:rPr>
          <w:rFonts w:ascii="Times New Roman" w:hAnsi="Times New Roman" w:eastAsia="Times New Roman"/>
          <w:sz w:val="18"/>
        </w:rPr>
        <w:t xml:space="preserve">100 </w:t>
      </w:r>
      <w:r>
        <w:rPr>
          <w:sz w:val="18"/>
        </w:rPr>
        <w:t xml:space="preserve">分、其他评分因素分值为 </w:t>
      </w:r>
      <w:r>
        <w:rPr>
          <w:rFonts w:ascii="Times New Roman" w:hAnsi="Times New Roman" w:eastAsia="Times New Roman"/>
          <w:sz w:val="18"/>
        </w:rPr>
        <w:t xml:space="preserve">0 </w:t>
      </w:r>
      <w:r>
        <w:rPr>
          <w:sz w:val="18"/>
        </w:rPr>
        <w:t>分的特例。“合理低价法”中，第一个信封（商务及技术文件）的评审应采用合格制。</w:t>
      </w:r>
    </w:p>
    <w:p>
      <w:pPr>
        <w:spacing w:line="331" w:lineRule="auto"/>
        <w:ind w:left="604" w:right="376" w:hanging="180"/>
        <w:rPr>
          <w:sz w:val="18"/>
        </w:rPr>
      </w:pPr>
      <w:r>
        <w:rPr>
          <w:position w:val="8"/>
          <w:sz w:val="9"/>
        </w:rPr>
        <w:t xml:space="preserve">② </w:t>
      </w:r>
      <w:r>
        <w:rPr>
          <w:sz w:val="18"/>
        </w:rPr>
        <w:t>“评标办法前附表”用于明确评标的方法、因素、标准和程序。招标人应根据招标项目具体特点和实际需要，详细列明全部评审因素、标准，没有列明的因素和标准不得作为评标的依据。</w:t>
      </w:r>
    </w:p>
    <w:p>
      <w:pPr>
        <w:spacing w:line="331" w:lineRule="auto"/>
        <w:rPr>
          <w:sz w:val="18"/>
        </w:rPr>
        <w:sectPr>
          <w:headerReference r:id="rId21" w:type="default"/>
          <w:footerReference r:id="rId23" w:type="default"/>
          <w:headerReference r:id="rId22" w:type="even"/>
          <w:footerReference r:id="rId24" w:type="even"/>
          <w:pgSz w:w="11910" w:h="16850"/>
          <w:pgMar w:top="1480" w:right="1200" w:bottom="1040" w:left="1220" w:header="876" w:footer="853" w:gutter="0"/>
          <w:pgNumType w:start="70"/>
          <w:cols w:space="720" w:num="1"/>
        </w:sectPr>
      </w:pPr>
    </w:p>
    <w:p>
      <w:pPr>
        <w:pStyle w:val="11"/>
        <w:rPr>
          <w:sz w:val="20"/>
        </w:rPr>
      </w:pPr>
    </w:p>
    <w:p>
      <w:pPr>
        <w:pStyle w:val="11"/>
        <w:spacing w:before="12"/>
        <w:rPr>
          <w:sz w:val="20"/>
        </w:rPr>
      </w:pPr>
    </w:p>
    <w:p>
      <w:pPr>
        <w:spacing w:before="72"/>
        <w:ind w:right="526"/>
        <w:jc w:val="right"/>
        <w:rPr>
          <w:sz w:val="21"/>
        </w:rPr>
      </w:pPr>
      <w:r>
        <w:rPr>
          <w:sz w:val="21"/>
        </w:rPr>
        <w:t>续上表</w:t>
      </w:r>
    </w:p>
    <w:tbl>
      <w:tblPr>
        <w:tblStyle w:val="19"/>
        <w:tblW w:w="8641"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30"/>
        <w:gridCol w:w="6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030" w:type="dxa"/>
            <w:gridSpan w:val="2"/>
          </w:tcPr>
          <w:p>
            <w:pPr>
              <w:pStyle w:val="21"/>
              <w:spacing w:before="109" w:line="252" w:lineRule="exact"/>
              <w:ind w:left="678" w:right="669"/>
              <w:jc w:val="center"/>
              <w:rPr>
                <w:b/>
                <w:sz w:val="21"/>
              </w:rPr>
            </w:pPr>
            <w:r>
              <w:rPr>
                <w:b/>
                <w:sz w:val="21"/>
              </w:rPr>
              <w:t>条款号</w:t>
            </w:r>
          </w:p>
        </w:tc>
        <w:tc>
          <w:tcPr>
            <w:tcW w:w="6611" w:type="dxa"/>
          </w:tcPr>
          <w:p>
            <w:pPr>
              <w:pStyle w:val="21"/>
              <w:spacing w:before="109" w:line="252" w:lineRule="exact"/>
              <w:ind w:left="2331" w:right="2332"/>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1" w:hRule="atLeast"/>
        </w:trPr>
        <w:tc>
          <w:tcPr>
            <w:tcW w:w="900" w:type="dxa"/>
          </w:tcPr>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spacing w:before="4"/>
              <w:rPr>
                <w:sz w:val="32"/>
              </w:rPr>
            </w:pPr>
          </w:p>
          <w:p>
            <w:pPr>
              <w:pStyle w:val="21"/>
              <w:ind w:left="239"/>
              <w:rPr>
                <w:rFonts w:ascii="Times New Roman"/>
                <w:sz w:val="21"/>
              </w:rPr>
            </w:pPr>
            <w:r>
              <w:rPr>
                <w:rFonts w:ascii="Times New Roman"/>
                <w:sz w:val="21"/>
              </w:rPr>
              <w:t>2.1.1</w:t>
            </w:r>
          </w:p>
          <w:p>
            <w:pPr>
              <w:pStyle w:val="21"/>
              <w:spacing w:before="159"/>
              <w:ind w:left="239"/>
              <w:rPr>
                <w:rFonts w:ascii="Times New Roman"/>
                <w:sz w:val="21"/>
              </w:rPr>
            </w:pPr>
            <w:r>
              <w:rPr>
                <w:rFonts w:ascii="Times New Roman"/>
                <w:sz w:val="21"/>
              </w:rPr>
              <w:t>2.1.3</w:t>
            </w:r>
          </w:p>
        </w:tc>
        <w:tc>
          <w:tcPr>
            <w:tcW w:w="1130" w:type="dxa"/>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12"/>
              <w:rPr>
                <w:sz w:val="14"/>
              </w:rPr>
            </w:pPr>
          </w:p>
          <w:p>
            <w:pPr>
              <w:pStyle w:val="21"/>
              <w:spacing w:line="357" w:lineRule="auto"/>
              <w:ind w:left="143" w:right="131"/>
              <w:jc w:val="both"/>
              <w:rPr>
                <w:sz w:val="21"/>
              </w:rPr>
            </w:pPr>
            <w:r>
              <w:rPr>
                <w:sz w:val="21"/>
              </w:rPr>
              <w:t>形式评审与响应性评审标准</w:t>
            </w:r>
          </w:p>
        </w:tc>
        <w:tc>
          <w:tcPr>
            <w:tcW w:w="6611" w:type="dxa"/>
          </w:tcPr>
          <w:p>
            <w:pPr>
              <w:pStyle w:val="21"/>
              <w:spacing w:before="90" w:line="321" w:lineRule="auto"/>
              <w:ind w:left="108" w:right="90" w:firstLine="420"/>
              <w:jc w:val="both"/>
              <w:rPr>
                <w:sz w:val="21"/>
              </w:rPr>
            </w:pPr>
            <w:r>
              <w:rPr>
                <w:rFonts w:ascii="Times New Roman" w:eastAsia="Times New Roman"/>
                <w:sz w:val="21"/>
              </w:rPr>
              <w:t>b.</w:t>
            </w:r>
            <w:r>
              <w:rPr>
                <w:spacing w:val="-7"/>
                <w:sz w:val="21"/>
              </w:rPr>
              <w:t>若投标保证金采用现金或支票形式提交，投标人应在递交投标文件截止时间之前，将投标保证金由投标人的基本账户转入招标人指定账户；</w:t>
            </w:r>
          </w:p>
          <w:p>
            <w:pPr>
              <w:pStyle w:val="21"/>
              <w:spacing w:line="321" w:lineRule="auto"/>
              <w:ind w:left="108" w:right="90" w:firstLine="384"/>
              <w:jc w:val="both"/>
              <w:rPr>
                <w:sz w:val="21"/>
              </w:rPr>
            </w:pPr>
            <w:r>
              <w:rPr>
                <w:rFonts w:ascii="Times New Roman" w:eastAsia="Times New Roman"/>
                <w:sz w:val="21"/>
              </w:rPr>
              <w:t>c.</w:t>
            </w:r>
            <w:r>
              <w:rPr>
                <w:spacing w:val="-5"/>
                <w:sz w:val="21"/>
              </w:rPr>
              <w:t>若投标保证金采用银行保函形式提交，银行保函的格式、开具保函的银行均满足招标文件要求，且在递交投标文件截止时间之前向招</w:t>
            </w:r>
            <w:r>
              <w:rPr>
                <w:spacing w:val="-4"/>
                <w:sz w:val="21"/>
              </w:rPr>
              <w:t>标人提交了银行保函原件。</w:t>
            </w:r>
          </w:p>
          <w:p>
            <w:pPr>
              <w:pStyle w:val="21"/>
              <w:spacing w:line="321" w:lineRule="auto"/>
              <w:ind w:left="108" w:right="90" w:firstLine="384"/>
              <w:jc w:val="both"/>
              <w:rPr>
                <w:sz w:val="21"/>
              </w:rPr>
            </w:pPr>
            <w:r>
              <w:rPr>
                <w:sz w:val="21"/>
              </w:rPr>
              <w:t>（</w:t>
            </w:r>
            <w:r>
              <w:rPr>
                <w:rFonts w:ascii="Times New Roman" w:eastAsia="Times New Roman"/>
                <w:sz w:val="21"/>
              </w:rPr>
              <w:t>5</w:t>
            </w:r>
            <w:r>
              <w:rPr>
                <w:sz w:val="21"/>
              </w:rPr>
              <w:t>）投标人法定代表人授权委托代理人签署投标文件的，须提交授权委托书，且授权人和被授权人均在授权委托书上签名，未使用印章、签名章或其他电子制版签名代替。</w:t>
            </w:r>
          </w:p>
          <w:p>
            <w:pPr>
              <w:pStyle w:val="21"/>
              <w:spacing w:line="321" w:lineRule="auto"/>
              <w:ind w:left="108" w:right="-15" w:firstLine="384"/>
              <w:rPr>
                <w:sz w:val="21"/>
              </w:rPr>
            </w:pPr>
            <w:r>
              <w:rPr>
                <w:sz w:val="21"/>
              </w:rPr>
              <w:t>（</w:t>
            </w:r>
            <w:r>
              <w:rPr>
                <w:rFonts w:ascii="Times New Roman" w:eastAsia="Times New Roman"/>
                <w:sz w:val="21"/>
              </w:rPr>
              <w:t>6</w:t>
            </w:r>
            <w:r>
              <w:rPr>
                <w:sz w:val="21"/>
              </w:rPr>
              <w:t>）</w:t>
            </w:r>
            <w:r>
              <w:rPr>
                <w:spacing w:val="-2"/>
                <w:sz w:val="21"/>
              </w:rPr>
              <w:t>投标人法定代表人亲自签署投标文件的，提供了法定代表人</w:t>
            </w:r>
            <w:r>
              <w:rPr>
                <w:spacing w:val="-5"/>
                <w:sz w:val="21"/>
              </w:rPr>
              <w:t>身份证明，且法定代表人在法定代表人身份证明上签名，未使用印章、</w:t>
            </w:r>
            <w:r>
              <w:rPr>
                <w:spacing w:val="-4"/>
                <w:sz w:val="21"/>
              </w:rPr>
              <w:t>签名章或其他电子制版签名代替。</w:t>
            </w:r>
          </w:p>
          <w:p>
            <w:pPr>
              <w:pStyle w:val="21"/>
              <w:spacing w:line="267" w:lineRule="exact"/>
              <w:ind w:left="492"/>
              <w:rPr>
                <w:sz w:val="21"/>
              </w:rPr>
            </w:pPr>
            <w:r>
              <w:rPr>
                <w:sz w:val="21"/>
              </w:rPr>
              <w:t>（</w:t>
            </w:r>
            <w:r>
              <w:rPr>
                <w:rFonts w:ascii="Times New Roman" w:eastAsia="Times New Roman"/>
                <w:sz w:val="21"/>
              </w:rPr>
              <w:t>7</w:t>
            </w:r>
            <w:r>
              <w:rPr>
                <w:sz w:val="21"/>
              </w:rPr>
              <w:t>）投标人以联合体形式投标时，联合体满足招标文件的要求：</w:t>
            </w:r>
          </w:p>
          <w:p>
            <w:pPr>
              <w:pStyle w:val="21"/>
              <w:spacing w:before="87" w:line="321" w:lineRule="auto"/>
              <w:ind w:left="108" w:right="50" w:firstLine="384"/>
              <w:rPr>
                <w:sz w:val="21"/>
              </w:rPr>
            </w:pPr>
            <w:r>
              <w:rPr>
                <w:rFonts w:ascii="Times New Roman" w:eastAsia="Times New Roman"/>
                <w:sz w:val="21"/>
              </w:rPr>
              <w:t>a.</w:t>
            </w:r>
            <w:r>
              <w:rPr>
                <w:sz w:val="21"/>
              </w:rPr>
              <w:t>未进行资格预审的，投标人按照招标文件提供的格式签订了联合体协议书，明确各方承担连带责任，并明确了联合体牵头人；</w:t>
            </w:r>
          </w:p>
          <w:p>
            <w:pPr>
              <w:pStyle w:val="21"/>
              <w:spacing w:line="321" w:lineRule="auto"/>
              <w:ind w:left="108" w:right="90" w:firstLine="384"/>
              <w:jc w:val="both"/>
              <w:rPr>
                <w:sz w:val="21"/>
              </w:rPr>
            </w:pPr>
            <w:r>
              <w:rPr>
                <w:rFonts w:ascii="Times New Roman" w:eastAsia="Times New Roman"/>
                <w:sz w:val="21"/>
              </w:rPr>
              <w:t>b.</w:t>
            </w:r>
            <w:r>
              <w:rPr>
                <w:spacing w:val="-6"/>
                <w:sz w:val="21"/>
              </w:rPr>
              <w:t>已进行资格预审的，投标人提供了资格预审申请文件中所附的联合体协议书复印件，且通过资格预审后的联合体无成员增减或更换的情况。</w:t>
            </w:r>
          </w:p>
          <w:p>
            <w:pPr>
              <w:pStyle w:val="21"/>
              <w:spacing w:line="321" w:lineRule="auto"/>
              <w:ind w:left="108" w:right="48" w:firstLine="384"/>
              <w:rPr>
                <w:sz w:val="21"/>
              </w:rPr>
            </w:pPr>
            <w:r>
              <w:rPr>
                <w:sz w:val="21"/>
              </w:rPr>
              <w:t>（</w:t>
            </w:r>
            <w:r>
              <w:rPr>
                <w:rFonts w:ascii="Times New Roman" w:hAnsi="Times New Roman" w:eastAsia="Times New Roman"/>
                <w:sz w:val="21"/>
              </w:rPr>
              <w:t>8</w:t>
            </w:r>
            <w:r>
              <w:rPr>
                <w:sz w:val="21"/>
              </w:rPr>
              <w:t xml:space="preserve">）投标人如有分包计划，符合招标文件第二章“投标人须知” 第 </w:t>
            </w:r>
            <w:r>
              <w:rPr>
                <w:rFonts w:ascii="Times New Roman" w:hAnsi="Times New Roman" w:eastAsia="Times New Roman"/>
                <w:sz w:val="21"/>
              </w:rPr>
              <w:t xml:space="preserve">1.11 </w:t>
            </w:r>
            <w:r>
              <w:rPr>
                <w:sz w:val="21"/>
              </w:rPr>
              <w:t>款规定，且按招标文件第九章“投标文件格式”的要求填写了</w:t>
            </w:r>
          </w:p>
          <w:p>
            <w:pPr>
              <w:pStyle w:val="21"/>
              <w:spacing w:line="268" w:lineRule="exact"/>
              <w:ind w:left="108"/>
              <w:rPr>
                <w:sz w:val="21"/>
              </w:rPr>
            </w:pPr>
            <w:r>
              <w:rPr>
                <w:sz w:val="21"/>
              </w:rPr>
              <w:t>“拟分包项目情况表”。</w:t>
            </w:r>
          </w:p>
          <w:p>
            <w:pPr>
              <w:pStyle w:val="21"/>
              <w:spacing w:before="88" w:line="321" w:lineRule="auto"/>
              <w:ind w:left="108" w:right="91" w:firstLine="384"/>
              <w:rPr>
                <w:sz w:val="21"/>
              </w:rPr>
            </w:pPr>
            <w:r>
              <w:rPr>
                <w:sz w:val="21"/>
              </w:rPr>
              <w:t>（</w:t>
            </w:r>
            <w:r>
              <w:rPr>
                <w:rFonts w:ascii="Times New Roman" w:eastAsia="Times New Roman"/>
                <w:sz w:val="21"/>
              </w:rPr>
              <w:t>9</w:t>
            </w:r>
            <w:r>
              <w:rPr>
                <w:sz w:val="21"/>
              </w:rPr>
              <w:t>）同一投标人未提交两个以上不同的投标文件，但招标文件要求提交备选投标的除外。</w:t>
            </w:r>
          </w:p>
          <w:p>
            <w:pPr>
              <w:pStyle w:val="21"/>
              <w:spacing w:line="269" w:lineRule="exact"/>
              <w:ind w:left="492"/>
              <w:rPr>
                <w:sz w:val="21"/>
              </w:rPr>
            </w:pPr>
            <w:r>
              <w:rPr>
                <w:sz w:val="21"/>
              </w:rPr>
              <w:t>（</w:t>
            </w:r>
            <w:r>
              <w:rPr>
                <w:rFonts w:ascii="Times New Roman" w:eastAsia="Times New Roman"/>
                <w:sz w:val="21"/>
              </w:rPr>
              <w:t>10</w:t>
            </w:r>
            <w:r>
              <w:rPr>
                <w:sz w:val="21"/>
              </w:rPr>
              <w:t>）投标文件中未出现有关投标报价的内容。</w:t>
            </w:r>
          </w:p>
          <w:p>
            <w:pPr>
              <w:pStyle w:val="21"/>
              <w:spacing w:before="91" w:line="321" w:lineRule="auto"/>
              <w:ind w:left="108" w:right="14" w:firstLine="384"/>
              <w:rPr>
                <w:sz w:val="21"/>
              </w:rPr>
            </w:pPr>
            <w:r>
              <w:rPr>
                <w:sz w:val="21"/>
              </w:rPr>
              <w:t>（</w:t>
            </w:r>
            <w:r>
              <w:rPr>
                <w:rFonts w:ascii="Times New Roman" w:eastAsia="Times New Roman"/>
                <w:sz w:val="21"/>
              </w:rPr>
              <w:t>11</w:t>
            </w:r>
            <w:r>
              <w:rPr>
                <w:sz w:val="21"/>
              </w:rPr>
              <w:t>）投标文件载明的招标项目完成期限未超过招标文件规定的时限。</w:t>
            </w:r>
          </w:p>
          <w:p>
            <w:pPr>
              <w:pStyle w:val="21"/>
              <w:spacing w:line="268" w:lineRule="exact"/>
              <w:ind w:left="492"/>
              <w:rPr>
                <w:sz w:val="21"/>
              </w:rPr>
            </w:pPr>
            <w:r>
              <w:rPr>
                <w:sz w:val="21"/>
              </w:rPr>
              <w:t>（</w:t>
            </w:r>
            <w:r>
              <w:rPr>
                <w:rFonts w:ascii="Times New Roman" w:eastAsia="Times New Roman"/>
                <w:sz w:val="21"/>
              </w:rPr>
              <w:t>12</w:t>
            </w:r>
            <w:r>
              <w:rPr>
                <w:sz w:val="21"/>
              </w:rPr>
              <w:t>）投标文件对招标文件的实质性要求和条件作出响应。</w:t>
            </w:r>
          </w:p>
          <w:p>
            <w:pPr>
              <w:pStyle w:val="21"/>
              <w:spacing w:before="91"/>
              <w:ind w:left="492"/>
              <w:rPr>
                <w:sz w:val="21"/>
              </w:rPr>
            </w:pPr>
            <w:r>
              <w:rPr>
                <w:sz w:val="21"/>
              </w:rPr>
              <w:t>（</w:t>
            </w:r>
            <w:r>
              <w:rPr>
                <w:rFonts w:ascii="Times New Roman" w:eastAsia="Times New Roman"/>
                <w:sz w:val="21"/>
              </w:rPr>
              <w:t>13</w:t>
            </w:r>
            <w:r>
              <w:rPr>
                <w:sz w:val="21"/>
              </w:rPr>
              <w:t>）权利义务符合招标文件规定：</w:t>
            </w:r>
          </w:p>
          <w:p>
            <w:pPr>
              <w:pStyle w:val="21"/>
              <w:spacing w:before="91" w:line="321" w:lineRule="auto"/>
              <w:ind w:left="108" w:right="47" w:firstLine="384"/>
              <w:rPr>
                <w:sz w:val="21"/>
              </w:rPr>
            </w:pPr>
            <w:r>
              <w:rPr>
                <w:rFonts w:ascii="Times New Roman" w:eastAsia="Times New Roman"/>
                <w:sz w:val="21"/>
              </w:rPr>
              <w:t>a.</w:t>
            </w:r>
            <w:r>
              <w:rPr>
                <w:sz w:val="21"/>
              </w:rPr>
              <w:t>投标人应接受招标文件规定的风险划分原则，未提出新的风险划分办法；</w:t>
            </w:r>
          </w:p>
          <w:p>
            <w:pPr>
              <w:pStyle w:val="21"/>
              <w:spacing w:line="268" w:lineRule="exact"/>
              <w:ind w:left="492"/>
              <w:rPr>
                <w:sz w:val="21"/>
              </w:rPr>
            </w:pPr>
            <w:r>
              <w:rPr>
                <w:rFonts w:ascii="Times New Roman" w:eastAsia="Times New Roman"/>
                <w:sz w:val="21"/>
              </w:rPr>
              <w:t>b.</w:t>
            </w:r>
            <w:r>
              <w:rPr>
                <w:sz w:val="21"/>
              </w:rPr>
              <w:t>投标人未增加发包人的责任范围，或减少投标人义务；</w:t>
            </w:r>
          </w:p>
          <w:p>
            <w:pPr>
              <w:pStyle w:val="21"/>
              <w:spacing w:before="91"/>
              <w:ind w:left="492"/>
              <w:rPr>
                <w:sz w:val="21"/>
              </w:rPr>
            </w:pPr>
            <w:r>
              <w:rPr>
                <w:rFonts w:ascii="Times New Roman" w:eastAsia="Times New Roman"/>
                <w:sz w:val="21"/>
              </w:rPr>
              <w:t>c.</w:t>
            </w:r>
            <w:r>
              <w:rPr>
                <w:sz w:val="21"/>
              </w:rPr>
              <w:t>投标人未提出不同的工程验收、计量、支付办法；</w:t>
            </w:r>
          </w:p>
          <w:p>
            <w:pPr>
              <w:pStyle w:val="21"/>
              <w:spacing w:before="91"/>
              <w:ind w:left="492"/>
              <w:rPr>
                <w:sz w:val="21"/>
              </w:rPr>
            </w:pPr>
            <w:r>
              <w:rPr>
                <w:rFonts w:ascii="Times New Roman" w:eastAsia="Times New Roman"/>
                <w:sz w:val="21"/>
              </w:rPr>
              <w:t>d.</w:t>
            </w:r>
            <w:r>
              <w:rPr>
                <w:sz w:val="21"/>
              </w:rPr>
              <w:t>投标人对合同纠纷、事故处理办法未提出异议；</w:t>
            </w:r>
          </w:p>
          <w:p>
            <w:pPr>
              <w:pStyle w:val="21"/>
              <w:spacing w:before="91"/>
              <w:ind w:left="492"/>
              <w:rPr>
                <w:sz w:val="21"/>
              </w:rPr>
            </w:pPr>
            <w:r>
              <w:rPr>
                <w:rFonts w:ascii="Times New Roman" w:eastAsia="Times New Roman"/>
                <w:sz w:val="21"/>
              </w:rPr>
              <w:t>e.</w:t>
            </w:r>
            <w:r>
              <w:rPr>
                <w:sz w:val="21"/>
              </w:rPr>
              <w:t>投标人在投标活动中无欺诈行为；</w:t>
            </w:r>
          </w:p>
          <w:p>
            <w:pPr>
              <w:pStyle w:val="21"/>
              <w:spacing w:before="91" w:line="250" w:lineRule="exact"/>
              <w:ind w:left="492"/>
              <w:rPr>
                <w:sz w:val="21"/>
              </w:rPr>
            </w:pPr>
            <w:r>
              <w:rPr>
                <w:rFonts w:ascii="Times New Roman" w:eastAsia="Times New Roman"/>
                <w:sz w:val="21"/>
              </w:rPr>
              <w:t>f.</w:t>
            </w:r>
            <w:r>
              <w:rPr>
                <w:sz w:val="21"/>
              </w:rPr>
              <w:t>投标人未对合同条款有重要保留。</w:t>
            </w:r>
          </w:p>
        </w:tc>
      </w:tr>
    </w:tbl>
    <w:p>
      <w:pPr>
        <w:spacing w:line="250" w:lineRule="exact"/>
        <w:rPr>
          <w:sz w:val="21"/>
        </w:rPr>
        <w:sectPr>
          <w:pgSz w:w="11910" w:h="16850"/>
          <w:pgMar w:top="1480" w:right="1200" w:bottom="1080" w:left="1220" w:header="883" w:footer="884" w:gutter="0"/>
          <w:cols w:space="720" w:num="1"/>
        </w:sectPr>
      </w:pPr>
    </w:p>
    <w:p>
      <w:pPr>
        <w:pStyle w:val="11"/>
        <w:rPr>
          <w:sz w:val="20"/>
        </w:rPr>
      </w:pPr>
    </w:p>
    <w:p>
      <w:pPr>
        <w:pStyle w:val="11"/>
        <w:spacing w:before="12"/>
        <w:rPr>
          <w:sz w:val="20"/>
        </w:rPr>
      </w:pPr>
    </w:p>
    <w:p>
      <w:pPr>
        <w:spacing w:before="72"/>
        <w:ind w:right="526"/>
        <w:jc w:val="right"/>
        <w:rPr>
          <w:sz w:val="21"/>
        </w:rPr>
      </w:pPr>
      <w:r>
        <w:rPr>
          <w:sz w:val="21"/>
        </w:rPr>
        <w:t>续上表</w:t>
      </w:r>
    </w:p>
    <w:tbl>
      <w:tblPr>
        <w:tblStyle w:val="19"/>
        <w:tblW w:w="8641"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30"/>
        <w:gridCol w:w="6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030" w:type="dxa"/>
            <w:gridSpan w:val="2"/>
          </w:tcPr>
          <w:p>
            <w:pPr>
              <w:pStyle w:val="21"/>
              <w:spacing w:before="109" w:line="252" w:lineRule="exact"/>
              <w:ind w:left="678" w:right="669"/>
              <w:jc w:val="center"/>
              <w:rPr>
                <w:b/>
                <w:sz w:val="21"/>
              </w:rPr>
            </w:pPr>
            <w:r>
              <w:rPr>
                <w:b/>
                <w:sz w:val="21"/>
              </w:rPr>
              <w:t>条款号</w:t>
            </w:r>
          </w:p>
        </w:tc>
        <w:tc>
          <w:tcPr>
            <w:tcW w:w="6611" w:type="dxa"/>
          </w:tcPr>
          <w:p>
            <w:pPr>
              <w:pStyle w:val="21"/>
              <w:spacing w:before="109" w:line="252" w:lineRule="exact"/>
              <w:ind w:left="2331" w:right="2332"/>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1" w:hRule="atLeast"/>
        </w:trPr>
        <w:tc>
          <w:tcPr>
            <w:tcW w:w="900" w:type="dxa"/>
          </w:tcPr>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spacing w:before="11"/>
              <w:rPr>
                <w:sz w:val="29"/>
              </w:rPr>
            </w:pPr>
          </w:p>
          <w:p>
            <w:pPr>
              <w:pStyle w:val="21"/>
              <w:spacing w:before="1"/>
              <w:ind w:left="239"/>
              <w:rPr>
                <w:rFonts w:ascii="Times New Roman"/>
                <w:sz w:val="21"/>
              </w:rPr>
            </w:pPr>
            <w:r>
              <w:rPr>
                <w:rFonts w:ascii="Times New Roman"/>
                <w:sz w:val="21"/>
              </w:rPr>
              <w:t>2.1.1</w:t>
            </w:r>
          </w:p>
          <w:p>
            <w:pPr>
              <w:pStyle w:val="21"/>
              <w:spacing w:before="159"/>
              <w:ind w:left="239"/>
              <w:rPr>
                <w:rFonts w:ascii="Times New Roman"/>
                <w:sz w:val="21"/>
              </w:rPr>
            </w:pPr>
            <w:r>
              <w:rPr>
                <w:rFonts w:ascii="Times New Roman"/>
                <w:sz w:val="21"/>
              </w:rPr>
              <w:t>2.1.3</w:t>
            </w:r>
          </w:p>
        </w:tc>
        <w:tc>
          <w:tcPr>
            <w:tcW w:w="1130" w:type="dxa"/>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6"/>
            </w:pPr>
          </w:p>
          <w:p>
            <w:pPr>
              <w:pStyle w:val="21"/>
              <w:spacing w:before="1" w:line="357" w:lineRule="auto"/>
              <w:ind w:left="143" w:right="131"/>
              <w:jc w:val="both"/>
              <w:rPr>
                <w:sz w:val="21"/>
              </w:rPr>
            </w:pPr>
            <w:r>
              <w:rPr>
                <w:sz w:val="21"/>
              </w:rPr>
              <w:t>形式评审与响应性评审标准</w:t>
            </w:r>
          </w:p>
        </w:tc>
        <w:tc>
          <w:tcPr>
            <w:tcW w:w="6611" w:type="dxa"/>
          </w:tcPr>
          <w:p>
            <w:pPr>
              <w:pStyle w:val="21"/>
              <w:spacing w:before="90" w:line="321" w:lineRule="auto"/>
              <w:ind w:left="108" w:right="90" w:firstLine="384"/>
              <w:rPr>
                <w:sz w:val="21"/>
              </w:rPr>
            </w:pPr>
            <w:r>
              <w:rPr>
                <w:sz w:val="21"/>
              </w:rPr>
              <w:t>（</w:t>
            </w:r>
            <w:r>
              <w:rPr>
                <w:rFonts w:ascii="Times New Roman" w:hAnsi="Times New Roman" w:eastAsia="Times New Roman"/>
                <w:sz w:val="21"/>
              </w:rPr>
              <w:t>14</w:t>
            </w:r>
            <w:r>
              <w:rPr>
                <w:sz w:val="21"/>
              </w:rPr>
              <w:t>）投标文件正、副本份数符合招标文件第二章</w:t>
            </w:r>
            <w:r>
              <w:rPr>
                <w:rFonts w:ascii="Times New Roman" w:hAnsi="Times New Roman" w:eastAsia="Times New Roman"/>
                <w:sz w:val="21"/>
              </w:rPr>
              <w:t>“</w:t>
            </w:r>
            <w:r>
              <w:rPr>
                <w:sz w:val="21"/>
              </w:rPr>
              <w:t>投标人须知</w:t>
            </w:r>
            <w:r>
              <w:rPr>
                <w:rFonts w:ascii="Times New Roman" w:hAnsi="Times New Roman" w:eastAsia="Times New Roman"/>
                <w:sz w:val="21"/>
              </w:rPr>
              <w:t xml:space="preserve">” </w:t>
            </w:r>
            <w:r>
              <w:rPr>
                <w:sz w:val="21"/>
              </w:rPr>
              <w:t xml:space="preserve">第 </w:t>
            </w:r>
            <w:r>
              <w:rPr>
                <w:rFonts w:ascii="Times New Roman" w:hAnsi="Times New Roman" w:eastAsia="Times New Roman"/>
                <w:sz w:val="21"/>
              </w:rPr>
              <w:t xml:space="preserve">3.7.4 </w:t>
            </w:r>
            <w:r>
              <w:rPr>
                <w:sz w:val="21"/>
              </w:rPr>
              <w:t>项规定。</w:t>
            </w:r>
          </w:p>
          <w:p>
            <w:pPr>
              <w:pStyle w:val="21"/>
              <w:spacing w:before="22"/>
              <w:ind w:left="492"/>
              <w:rPr>
                <w:rFonts w:ascii="Times New Roman" w:hAnsi="Times New Roman"/>
                <w:sz w:val="21"/>
              </w:rPr>
            </w:pPr>
            <w:r>
              <w:rPr>
                <w:rFonts w:ascii="Times New Roman" w:hAnsi="Times New Roman"/>
                <w:sz w:val="21"/>
              </w:rPr>
              <w:t>……</w:t>
            </w:r>
          </w:p>
          <w:p>
            <w:pPr>
              <w:pStyle w:val="21"/>
            </w:pPr>
          </w:p>
          <w:p>
            <w:pPr>
              <w:pStyle w:val="21"/>
              <w:spacing w:before="173"/>
              <w:ind w:left="495"/>
              <w:rPr>
                <w:b/>
                <w:sz w:val="21"/>
              </w:rPr>
            </w:pPr>
            <w:r>
              <w:rPr>
                <w:b/>
                <w:sz w:val="21"/>
              </w:rPr>
              <w:t>第二个信封（报价文件）评审标准：</w:t>
            </w:r>
          </w:p>
          <w:p>
            <w:pPr>
              <w:pStyle w:val="21"/>
              <w:spacing w:before="92" w:line="321" w:lineRule="auto"/>
              <w:ind w:left="108" w:right="50" w:firstLine="420"/>
              <w:rPr>
                <w:sz w:val="21"/>
              </w:rPr>
            </w:pPr>
            <w:r>
              <w:rPr>
                <w:sz w:val="21"/>
              </w:rPr>
              <w:t>（</w:t>
            </w:r>
            <w:r>
              <w:rPr>
                <w:rFonts w:ascii="Times New Roman" w:eastAsia="Times New Roman"/>
                <w:sz w:val="21"/>
              </w:rPr>
              <w:t>1</w:t>
            </w:r>
            <w:r>
              <w:rPr>
                <w:sz w:val="21"/>
              </w:rPr>
              <w:t>）投标文件按照招标文件规定的格式、内容填写，字迹清晰可辨：</w:t>
            </w:r>
          </w:p>
          <w:p>
            <w:pPr>
              <w:pStyle w:val="21"/>
              <w:spacing w:line="321" w:lineRule="auto"/>
              <w:ind w:left="108" w:right="93" w:firstLine="420"/>
              <w:rPr>
                <w:sz w:val="21"/>
              </w:rPr>
            </w:pPr>
            <w:r>
              <w:rPr>
                <w:rFonts w:ascii="Times New Roman" w:eastAsia="Times New Roman"/>
                <w:sz w:val="21"/>
              </w:rPr>
              <w:t>a.</w:t>
            </w:r>
            <w:r>
              <w:rPr>
                <w:spacing w:val="-15"/>
                <w:sz w:val="21"/>
              </w:rPr>
              <w:t>投标函按招标文件规定填报了项目名称、标段号、补遗书编号</w:t>
            </w:r>
            <w:r>
              <w:rPr>
                <w:sz w:val="21"/>
              </w:rPr>
              <w:t>（如有</w:t>
            </w:r>
            <w:r>
              <w:rPr>
                <w:spacing w:val="-106"/>
                <w:sz w:val="21"/>
              </w:rPr>
              <w:t>）</w:t>
            </w:r>
            <w:r>
              <w:rPr>
                <w:spacing w:val="-2"/>
                <w:sz w:val="21"/>
              </w:rPr>
              <w:t>、投标价</w:t>
            </w:r>
            <w:r>
              <w:rPr>
                <w:spacing w:val="-3"/>
                <w:sz w:val="21"/>
              </w:rPr>
              <w:t>（包括大写金额和小写金额</w:t>
            </w:r>
            <w:r>
              <w:rPr>
                <w:spacing w:val="-109"/>
                <w:sz w:val="21"/>
              </w:rPr>
              <w:t>）</w:t>
            </w:r>
            <w:r>
              <w:rPr>
                <w:sz w:val="21"/>
              </w:rPr>
              <w:t>；</w:t>
            </w:r>
          </w:p>
          <w:p>
            <w:pPr>
              <w:pStyle w:val="21"/>
              <w:spacing w:line="321" w:lineRule="auto"/>
              <w:ind w:left="108" w:right="22" w:firstLine="420"/>
              <w:rPr>
                <w:sz w:val="21"/>
              </w:rPr>
            </w:pPr>
            <w:r>
              <w:rPr>
                <w:rFonts w:ascii="Times New Roman" w:eastAsia="Times New Roman"/>
                <w:sz w:val="21"/>
              </w:rPr>
              <w:t>b.</w:t>
            </w:r>
            <w:r>
              <w:rPr>
                <w:sz w:val="21"/>
              </w:rPr>
              <w:t>已标价工程量清单说明文字与招标文件规定一致，未进行实质性修改和删减；</w:t>
            </w:r>
          </w:p>
          <w:p>
            <w:pPr>
              <w:pStyle w:val="21"/>
              <w:spacing w:line="268" w:lineRule="exact"/>
              <w:ind w:left="528"/>
              <w:rPr>
                <w:sz w:val="21"/>
              </w:rPr>
            </w:pPr>
            <w:r>
              <w:rPr>
                <w:rFonts w:ascii="Times New Roman" w:eastAsia="Times New Roman"/>
                <w:sz w:val="21"/>
              </w:rPr>
              <w:t>c.</w:t>
            </w:r>
            <w:r>
              <w:rPr>
                <w:sz w:val="21"/>
              </w:rPr>
              <w:t>投标文件组成齐全完整，内容均按规定填写。</w:t>
            </w:r>
          </w:p>
          <w:p>
            <w:pPr>
              <w:pStyle w:val="21"/>
              <w:spacing w:before="88" w:line="321" w:lineRule="auto"/>
              <w:ind w:left="108" w:right="49" w:firstLine="420"/>
              <w:rPr>
                <w:sz w:val="21"/>
              </w:rPr>
            </w:pPr>
            <w:r>
              <w:rPr>
                <w:sz w:val="21"/>
              </w:rPr>
              <w:t>（</w:t>
            </w:r>
            <w:r>
              <w:rPr>
                <w:rFonts w:ascii="Times New Roman" w:eastAsia="Times New Roman"/>
                <w:sz w:val="21"/>
              </w:rPr>
              <w:t>2</w:t>
            </w:r>
            <w:r>
              <w:rPr>
                <w:sz w:val="21"/>
              </w:rPr>
              <w:t>）投标文件上法定代表人或其委托代理人的签字、投标人的单位章盖章齐全，符合招标文件规定。</w:t>
            </w:r>
          </w:p>
          <w:p>
            <w:pPr>
              <w:pStyle w:val="21"/>
              <w:spacing w:line="321" w:lineRule="auto"/>
              <w:ind w:left="108" w:right="90" w:firstLine="420"/>
              <w:rPr>
                <w:sz w:val="21"/>
              </w:rPr>
            </w:pPr>
            <w:r>
              <w:rPr>
                <w:spacing w:val="-4"/>
                <w:sz w:val="21"/>
              </w:rPr>
              <w:t>（</w:t>
            </w:r>
            <w:r>
              <w:rPr>
                <w:rFonts w:ascii="Times New Roman" w:eastAsia="Times New Roman"/>
                <w:spacing w:val="-4"/>
                <w:sz w:val="21"/>
              </w:rPr>
              <w:t>3</w:t>
            </w:r>
            <w:r>
              <w:rPr>
                <w:spacing w:val="-4"/>
                <w:sz w:val="21"/>
              </w:rPr>
              <w:t>）</w:t>
            </w:r>
            <w:r>
              <w:rPr>
                <w:spacing w:val="-3"/>
                <w:sz w:val="21"/>
              </w:rPr>
              <w:t>投标报价或调价函中的报价未超过招标文件设定的最高投标限价（</w:t>
            </w:r>
            <w:r>
              <w:rPr>
                <w:spacing w:val="-2"/>
                <w:sz w:val="21"/>
              </w:rPr>
              <w:t>如有</w:t>
            </w:r>
            <w:r>
              <w:rPr>
                <w:spacing w:val="-106"/>
                <w:sz w:val="21"/>
              </w:rPr>
              <w:t>）</w:t>
            </w:r>
            <w:r>
              <w:rPr>
                <w:sz w:val="21"/>
              </w:rPr>
              <w:t>。</w:t>
            </w:r>
          </w:p>
          <w:p>
            <w:pPr>
              <w:pStyle w:val="21"/>
              <w:spacing w:line="268" w:lineRule="exact"/>
              <w:ind w:left="528"/>
              <w:rPr>
                <w:sz w:val="21"/>
              </w:rPr>
            </w:pPr>
            <w:r>
              <w:rPr>
                <w:sz w:val="21"/>
              </w:rPr>
              <w:t>（</w:t>
            </w:r>
            <w:r>
              <w:rPr>
                <w:rFonts w:ascii="Times New Roman" w:eastAsia="Times New Roman"/>
                <w:sz w:val="21"/>
              </w:rPr>
              <w:t>4</w:t>
            </w:r>
            <w:r>
              <w:rPr>
                <w:sz w:val="21"/>
              </w:rPr>
              <w:t>）投标报价或调价函中报价的大写金额能够确定具体数值。</w:t>
            </w:r>
          </w:p>
          <w:p>
            <w:pPr>
              <w:pStyle w:val="21"/>
              <w:spacing w:before="91" w:line="321" w:lineRule="auto"/>
              <w:ind w:left="108" w:right="50" w:firstLine="420"/>
              <w:rPr>
                <w:sz w:val="21"/>
              </w:rPr>
            </w:pPr>
            <w:r>
              <w:rPr>
                <w:sz w:val="21"/>
              </w:rPr>
              <w:t>（</w:t>
            </w:r>
            <w:r>
              <w:rPr>
                <w:rFonts w:ascii="Times New Roman" w:eastAsia="Times New Roman"/>
                <w:sz w:val="21"/>
              </w:rPr>
              <w:t>5</w:t>
            </w:r>
            <w:r>
              <w:rPr>
                <w:sz w:val="21"/>
              </w:rPr>
              <w:t>）同一投标人未提交两个以上不同的投标报价，但招标文件要求提交备选投标的除外。</w:t>
            </w:r>
          </w:p>
          <w:p>
            <w:pPr>
              <w:pStyle w:val="21"/>
              <w:spacing w:line="321" w:lineRule="auto"/>
              <w:ind w:left="108" w:right="55" w:firstLine="420"/>
              <w:rPr>
                <w:sz w:val="21"/>
              </w:rPr>
            </w:pPr>
            <w:r>
              <w:rPr>
                <w:sz w:val="21"/>
              </w:rPr>
              <w:t>（</w:t>
            </w:r>
            <w:r>
              <w:rPr>
                <w:rFonts w:ascii="Times New Roman" w:hAnsi="Times New Roman" w:eastAsia="Times New Roman"/>
                <w:sz w:val="21"/>
              </w:rPr>
              <w:t>6</w:t>
            </w:r>
            <w:r>
              <w:rPr>
                <w:sz w:val="21"/>
              </w:rPr>
              <w:t xml:space="preserve">）投标人若提交调价函，调价函符合招标文件第二章“投标人须知”第 </w:t>
            </w:r>
            <w:r>
              <w:rPr>
                <w:rFonts w:ascii="Times New Roman" w:hAnsi="Times New Roman" w:eastAsia="Times New Roman"/>
                <w:sz w:val="21"/>
              </w:rPr>
              <w:t xml:space="preserve">3.2.6 </w:t>
            </w:r>
            <w:r>
              <w:rPr>
                <w:sz w:val="21"/>
              </w:rPr>
              <w:t>项要求。</w:t>
            </w:r>
          </w:p>
          <w:p>
            <w:pPr>
              <w:pStyle w:val="21"/>
              <w:spacing w:line="321" w:lineRule="auto"/>
              <w:ind w:left="108" w:right="93" w:firstLine="420"/>
              <w:jc w:val="both"/>
              <w:rPr>
                <w:sz w:val="21"/>
              </w:rPr>
            </w:pPr>
            <w:r>
              <w:rPr>
                <w:spacing w:val="-3"/>
                <w:sz w:val="21"/>
              </w:rPr>
              <w:t>（</w:t>
            </w:r>
            <w:r>
              <w:rPr>
                <w:rFonts w:ascii="Times New Roman" w:eastAsia="Times New Roman"/>
                <w:spacing w:val="-3"/>
                <w:sz w:val="21"/>
              </w:rPr>
              <w:t>7</w:t>
            </w:r>
            <w:r>
              <w:rPr>
                <w:spacing w:val="-3"/>
                <w:sz w:val="21"/>
              </w:rPr>
              <w:t>）</w:t>
            </w:r>
            <w:r>
              <w:rPr>
                <w:spacing w:val="-4"/>
                <w:sz w:val="21"/>
              </w:rPr>
              <w:t xml:space="preserve">投标人若填写工程量固化清单，填写完毕的工程量固化清单未对工程量固化清单电子文件中的数据、格式和运算定义进行修改； </w:t>
            </w:r>
            <w:r>
              <w:rPr>
                <w:spacing w:val="-3"/>
                <w:sz w:val="21"/>
              </w:rPr>
              <w:t>工程量固化清单中的投标报价和投标函大写金额报价一致。</w:t>
            </w:r>
          </w:p>
          <w:p>
            <w:pPr>
              <w:pStyle w:val="21"/>
              <w:spacing w:line="268" w:lineRule="exact"/>
              <w:ind w:left="528"/>
              <w:rPr>
                <w:sz w:val="21"/>
              </w:rPr>
            </w:pPr>
            <w:r>
              <w:rPr>
                <w:sz w:val="21"/>
              </w:rPr>
              <w:t>（</w:t>
            </w:r>
            <w:r>
              <w:rPr>
                <w:rFonts w:ascii="Times New Roman" w:hAnsi="Times New Roman" w:eastAsia="Times New Roman"/>
                <w:sz w:val="21"/>
              </w:rPr>
              <w:t>8</w:t>
            </w:r>
            <w:r>
              <w:rPr>
                <w:sz w:val="21"/>
              </w:rPr>
              <w:t>）投标文件正、副本份数符合招标文件第二章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p>
          <w:p>
            <w:pPr>
              <w:pStyle w:val="21"/>
              <w:spacing w:before="88"/>
              <w:ind w:left="108"/>
              <w:rPr>
                <w:sz w:val="21"/>
              </w:rPr>
            </w:pPr>
            <w:r>
              <w:rPr>
                <w:rFonts w:ascii="Times New Roman" w:eastAsia="Times New Roman"/>
                <w:sz w:val="21"/>
              </w:rPr>
              <w:t xml:space="preserve">3.7.4 </w:t>
            </w:r>
            <w:r>
              <w:rPr>
                <w:sz w:val="21"/>
              </w:rPr>
              <w:t>项规定。</w:t>
            </w:r>
          </w:p>
          <w:p>
            <w:pPr>
              <w:pStyle w:val="21"/>
              <w:spacing w:before="115" w:line="226" w:lineRule="exact"/>
              <w:ind w:left="52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900" w:type="dxa"/>
          </w:tcPr>
          <w:p>
            <w:pPr>
              <w:pStyle w:val="21"/>
            </w:pPr>
          </w:p>
          <w:p>
            <w:pPr>
              <w:pStyle w:val="21"/>
            </w:pPr>
          </w:p>
          <w:p>
            <w:pPr>
              <w:pStyle w:val="21"/>
            </w:pPr>
          </w:p>
          <w:p>
            <w:pPr>
              <w:pStyle w:val="21"/>
              <w:spacing w:before="187"/>
              <w:ind w:left="239"/>
              <w:rPr>
                <w:rFonts w:ascii="Times New Roman"/>
                <w:sz w:val="21"/>
              </w:rPr>
            </w:pPr>
            <w:r>
              <w:rPr>
                <w:rFonts w:ascii="Times New Roman"/>
                <w:sz w:val="21"/>
              </w:rPr>
              <w:t>2.1.2</w:t>
            </w:r>
          </w:p>
        </w:tc>
        <w:tc>
          <w:tcPr>
            <w:tcW w:w="1130" w:type="dxa"/>
          </w:tcPr>
          <w:p>
            <w:pPr>
              <w:pStyle w:val="21"/>
            </w:pPr>
          </w:p>
          <w:p>
            <w:pPr>
              <w:pStyle w:val="21"/>
            </w:pPr>
          </w:p>
          <w:p>
            <w:pPr>
              <w:pStyle w:val="21"/>
              <w:spacing w:before="2"/>
              <w:rPr>
                <w:sz w:val="19"/>
              </w:rPr>
            </w:pPr>
          </w:p>
          <w:p>
            <w:pPr>
              <w:pStyle w:val="21"/>
              <w:spacing w:line="321" w:lineRule="auto"/>
              <w:ind w:left="299" w:right="131" w:hanging="156"/>
              <w:rPr>
                <w:sz w:val="11"/>
              </w:rPr>
            </w:pPr>
            <w:r>
              <w:rPr>
                <w:sz w:val="21"/>
              </w:rPr>
              <w:t>资格评审标准</w:t>
            </w:r>
          </w:p>
        </w:tc>
        <w:tc>
          <w:tcPr>
            <w:tcW w:w="6611" w:type="dxa"/>
          </w:tcPr>
          <w:p>
            <w:pPr>
              <w:pStyle w:val="21"/>
              <w:spacing w:before="89" w:line="321" w:lineRule="auto"/>
              <w:ind w:left="108" w:right="81" w:firstLine="420"/>
              <w:rPr>
                <w:sz w:val="21"/>
              </w:rPr>
            </w:pPr>
            <w:r>
              <w:rPr>
                <w:sz w:val="21"/>
              </w:rPr>
              <w:t>（</w:t>
            </w:r>
            <w:r>
              <w:rPr>
                <w:rFonts w:ascii="Times New Roman" w:eastAsia="Times New Roman"/>
                <w:sz w:val="21"/>
              </w:rPr>
              <w:t>1</w:t>
            </w:r>
            <w:r>
              <w:rPr>
                <w:sz w:val="21"/>
              </w:rPr>
              <w:t>）投标人具备有效的营业执照、组织机构代码证、资质证书、安全生产许可证和基本账户开户许可证。</w:t>
            </w:r>
          </w:p>
          <w:p>
            <w:pPr>
              <w:pStyle w:val="21"/>
              <w:spacing w:line="268" w:lineRule="exact"/>
              <w:ind w:left="528"/>
              <w:rPr>
                <w:sz w:val="21"/>
              </w:rPr>
            </w:pPr>
            <w:r>
              <w:rPr>
                <w:sz w:val="21"/>
              </w:rPr>
              <w:t>（</w:t>
            </w:r>
            <w:r>
              <w:rPr>
                <w:rFonts w:ascii="Times New Roman" w:eastAsia="Times New Roman"/>
                <w:sz w:val="21"/>
              </w:rPr>
              <w:t>2</w:t>
            </w:r>
            <w:r>
              <w:rPr>
                <w:sz w:val="21"/>
              </w:rPr>
              <w:t>）投标人的资质等级符合招标文件规定。</w:t>
            </w:r>
          </w:p>
          <w:p>
            <w:pPr>
              <w:pStyle w:val="21"/>
              <w:spacing w:before="91"/>
              <w:ind w:left="528"/>
              <w:rPr>
                <w:sz w:val="21"/>
              </w:rPr>
            </w:pPr>
            <w:r>
              <w:rPr>
                <w:sz w:val="21"/>
              </w:rPr>
              <w:t>（</w:t>
            </w:r>
            <w:r>
              <w:rPr>
                <w:rFonts w:ascii="Times New Roman" w:eastAsia="Times New Roman"/>
                <w:sz w:val="21"/>
              </w:rPr>
              <w:t>3</w:t>
            </w:r>
            <w:r>
              <w:rPr>
                <w:sz w:val="21"/>
              </w:rPr>
              <w:t>）投标人的财务状况符合招标文件规定。</w:t>
            </w:r>
          </w:p>
          <w:p>
            <w:pPr>
              <w:pStyle w:val="21"/>
              <w:spacing w:before="92"/>
              <w:ind w:left="528"/>
              <w:rPr>
                <w:sz w:val="21"/>
              </w:rPr>
            </w:pPr>
            <w:r>
              <w:rPr>
                <w:sz w:val="21"/>
              </w:rPr>
              <w:t>（</w:t>
            </w:r>
            <w:r>
              <w:rPr>
                <w:rFonts w:ascii="Times New Roman" w:eastAsia="Times New Roman"/>
                <w:sz w:val="21"/>
              </w:rPr>
              <w:t>4</w:t>
            </w:r>
            <w:r>
              <w:rPr>
                <w:sz w:val="21"/>
              </w:rPr>
              <w:t>）投标人的类似项目业绩符合招标文件规定。</w:t>
            </w:r>
          </w:p>
          <w:p>
            <w:pPr>
              <w:pStyle w:val="21"/>
              <w:spacing w:before="91" w:line="250" w:lineRule="exact"/>
              <w:ind w:left="528"/>
              <w:rPr>
                <w:sz w:val="21"/>
              </w:rPr>
            </w:pPr>
            <w:r>
              <w:rPr>
                <w:sz w:val="21"/>
              </w:rPr>
              <w:t>（</w:t>
            </w:r>
            <w:r>
              <w:rPr>
                <w:rFonts w:ascii="Times New Roman" w:eastAsia="Times New Roman"/>
                <w:sz w:val="21"/>
              </w:rPr>
              <w:t>5</w:t>
            </w:r>
            <w:r>
              <w:rPr>
                <w:sz w:val="21"/>
              </w:rPr>
              <w:t>）投标人的信誉符合招标文件规定。</w:t>
            </w:r>
          </w:p>
        </w:tc>
      </w:tr>
    </w:tbl>
    <w:p>
      <w:pPr>
        <w:pStyle w:val="11"/>
        <w:spacing w:before="2"/>
        <w:rPr>
          <w:sz w:val="20"/>
        </w:rPr>
      </w:pPr>
    </w:p>
    <w:p>
      <w:pPr>
        <w:rPr>
          <w:sz w:val="18"/>
        </w:rPr>
        <w:sectPr>
          <w:pgSz w:w="11910" w:h="16850"/>
          <w:pgMar w:top="1480" w:right="1200" w:bottom="1040" w:left="1220" w:header="876" w:footer="853" w:gutter="0"/>
          <w:cols w:space="720" w:num="1"/>
        </w:sectPr>
      </w:pPr>
    </w:p>
    <w:p>
      <w:pPr>
        <w:pStyle w:val="11"/>
        <w:rPr>
          <w:sz w:val="20"/>
        </w:rPr>
      </w:pPr>
    </w:p>
    <w:p>
      <w:pPr>
        <w:pStyle w:val="11"/>
        <w:spacing w:before="9"/>
        <w:rPr>
          <w:sz w:val="15"/>
        </w:rPr>
      </w:pPr>
    </w:p>
    <w:p>
      <w:pPr>
        <w:spacing w:after="3"/>
        <w:ind w:left="8302"/>
        <w:rPr>
          <w:sz w:val="21"/>
        </w:rPr>
      </w:pPr>
      <w:r>
        <w:rPr>
          <w:sz w:val="21"/>
        </w:rPr>
        <w:t>续上表</w:t>
      </w:r>
    </w:p>
    <w:tbl>
      <w:tblPr>
        <w:tblStyle w:val="19"/>
        <w:tblW w:w="8641"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30"/>
        <w:gridCol w:w="1510"/>
        <w:gridCol w:w="5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030" w:type="dxa"/>
            <w:gridSpan w:val="2"/>
          </w:tcPr>
          <w:p>
            <w:pPr>
              <w:pStyle w:val="21"/>
              <w:spacing w:before="109" w:line="250" w:lineRule="exact"/>
              <w:ind w:left="678" w:right="669"/>
              <w:jc w:val="center"/>
              <w:rPr>
                <w:b/>
                <w:sz w:val="21"/>
              </w:rPr>
            </w:pPr>
            <w:r>
              <w:rPr>
                <w:b/>
                <w:sz w:val="21"/>
              </w:rPr>
              <w:t>条款号</w:t>
            </w:r>
          </w:p>
        </w:tc>
        <w:tc>
          <w:tcPr>
            <w:tcW w:w="6611" w:type="dxa"/>
            <w:gridSpan w:val="2"/>
          </w:tcPr>
          <w:p>
            <w:pPr>
              <w:pStyle w:val="21"/>
              <w:spacing w:before="109" w:line="250" w:lineRule="exact"/>
              <w:ind w:left="2331" w:right="2332"/>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900" w:type="dxa"/>
          </w:tcPr>
          <w:p>
            <w:pPr>
              <w:pStyle w:val="21"/>
            </w:pPr>
          </w:p>
          <w:p>
            <w:pPr>
              <w:pStyle w:val="21"/>
            </w:pPr>
          </w:p>
          <w:p>
            <w:pPr>
              <w:pStyle w:val="21"/>
            </w:pPr>
          </w:p>
          <w:p>
            <w:pPr>
              <w:pStyle w:val="21"/>
            </w:pPr>
          </w:p>
          <w:p>
            <w:pPr>
              <w:pStyle w:val="21"/>
            </w:pPr>
          </w:p>
          <w:p>
            <w:pPr>
              <w:pStyle w:val="21"/>
              <w:spacing w:before="10"/>
              <w:rPr>
                <w:sz w:val="26"/>
              </w:rPr>
            </w:pPr>
          </w:p>
          <w:p>
            <w:pPr>
              <w:pStyle w:val="21"/>
              <w:ind w:left="239"/>
              <w:rPr>
                <w:rFonts w:ascii="Times New Roman"/>
                <w:sz w:val="21"/>
              </w:rPr>
            </w:pPr>
            <w:r>
              <w:rPr>
                <w:rFonts w:ascii="Times New Roman"/>
                <w:sz w:val="21"/>
              </w:rPr>
              <w:t>2.1.2</w:t>
            </w:r>
          </w:p>
        </w:tc>
        <w:tc>
          <w:tcPr>
            <w:tcW w:w="1130" w:type="dxa"/>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5"/>
              <w:rPr>
                <w:sz w:val="19"/>
              </w:rPr>
            </w:pPr>
          </w:p>
          <w:p>
            <w:pPr>
              <w:pStyle w:val="21"/>
              <w:spacing w:line="321" w:lineRule="auto"/>
              <w:ind w:left="354" w:right="131" w:hanging="212"/>
              <w:rPr>
                <w:sz w:val="21"/>
              </w:rPr>
            </w:pPr>
            <w:r>
              <w:rPr>
                <w:sz w:val="21"/>
              </w:rPr>
              <w:t>资格评审标准</w:t>
            </w:r>
          </w:p>
        </w:tc>
        <w:tc>
          <w:tcPr>
            <w:tcW w:w="6611" w:type="dxa"/>
            <w:gridSpan w:val="2"/>
          </w:tcPr>
          <w:p>
            <w:pPr>
              <w:pStyle w:val="21"/>
              <w:spacing w:before="89" w:line="321" w:lineRule="auto"/>
              <w:ind w:left="108" w:right="50" w:firstLine="420"/>
              <w:rPr>
                <w:sz w:val="21"/>
              </w:rPr>
            </w:pPr>
            <w:r>
              <w:rPr>
                <w:sz w:val="21"/>
              </w:rPr>
              <w:t>（</w:t>
            </w:r>
            <w:r>
              <w:rPr>
                <w:rFonts w:ascii="Times New Roman" w:eastAsia="Times New Roman"/>
                <w:sz w:val="21"/>
              </w:rPr>
              <w:t>6</w:t>
            </w:r>
            <w:r>
              <w:rPr>
                <w:sz w:val="21"/>
              </w:rPr>
              <w:t>）投标人的项目经理和项目总工资格、在岗情况符合招标文件规定。</w:t>
            </w:r>
          </w:p>
          <w:p>
            <w:pPr>
              <w:pStyle w:val="21"/>
              <w:spacing w:line="268" w:lineRule="exact"/>
              <w:ind w:left="528"/>
              <w:rPr>
                <w:sz w:val="11"/>
              </w:rPr>
            </w:pPr>
            <w:r>
              <w:rPr>
                <w:sz w:val="21"/>
              </w:rPr>
              <w:t>（</w:t>
            </w:r>
            <w:r>
              <w:rPr>
                <w:rFonts w:ascii="Times New Roman" w:hAnsi="Times New Roman" w:eastAsia="Times New Roman"/>
                <w:sz w:val="21"/>
              </w:rPr>
              <w:t>7</w:t>
            </w:r>
            <w:r>
              <w:rPr>
                <w:sz w:val="21"/>
              </w:rPr>
              <w:t>）投标人的其他要求符合招标文件规定。</w:t>
            </w:r>
            <w:r>
              <w:rPr>
                <w:position w:val="10"/>
                <w:sz w:val="11"/>
              </w:rPr>
              <w:t>①</w:t>
            </w:r>
          </w:p>
          <w:p>
            <w:pPr>
              <w:pStyle w:val="21"/>
              <w:spacing w:before="91" w:line="321" w:lineRule="auto"/>
              <w:ind w:left="108" w:right="93" w:firstLine="420"/>
              <w:rPr>
                <w:sz w:val="21"/>
              </w:rPr>
            </w:pPr>
            <w:r>
              <w:rPr>
                <w:sz w:val="21"/>
              </w:rPr>
              <w:t>（</w:t>
            </w:r>
            <w:r>
              <w:rPr>
                <w:rFonts w:ascii="Times New Roman" w:hAnsi="Times New Roman" w:eastAsia="Times New Roman"/>
                <w:sz w:val="21"/>
              </w:rPr>
              <w:t>8</w:t>
            </w:r>
            <w:r>
              <w:rPr>
                <w:sz w:val="21"/>
              </w:rPr>
              <w:t>）</w:t>
            </w:r>
            <w:r>
              <w:rPr>
                <w:spacing w:val="-3"/>
                <w:sz w:val="21"/>
              </w:rPr>
              <w:t>投标人不存在第二章</w:t>
            </w:r>
            <w:r>
              <w:rPr>
                <w:rFonts w:ascii="Times New Roman" w:hAnsi="Times New Roman" w:eastAsia="Times New Roman"/>
                <w:sz w:val="21"/>
              </w:rPr>
              <w:t>“</w:t>
            </w:r>
            <w:r>
              <w:rPr>
                <w:spacing w:val="-3"/>
                <w:sz w:val="21"/>
              </w:rPr>
              <w:t>投标人须知</w:t>
            </w:r>
            <w:r>
              <w:rPr>
                <w:rFonts w:ascii="Times New Roman" w:hAnsi="Times New Roman" w:eastAsia="Times New Roman"/>
                <w:sz w:val="21"/>
              </w:rPr>
              <w:t>”</w:t>
            </w:r>
            <w:r>
              <w:rPr>
                <w:spacing w:val="-23"/>
                <w:sz w:val="21"/>
              </w:rPr>
              <w:t xml:space="preserve">第 </w:t>
            </w:r>
            <w:r>
              <w:rPr>
                <w:rFonts w:ascii="Times New Roman" w:hAnsi="Times New Roman" w:eastAsia="Times New Roman"/>
                <w:sz w:val="21"/>
              </w:rPr>
              <w:t xml:space="preserve">1.4.3 </w:t>
            </w:r>
            <w:r>
              <w:rPr>
                <w:spacing w:val="-13"/>
                <w:sz w:val="21"/>
              </w:rPr>
              <w:t xml:space="preserve">项或第 </w:t>
            </w:r>
            <w:r>
              <w:rPr>
                <w:rFonts w:ascii="Times New Roman" w:hAnsi="Times New Roman" w:eastAsia="Times New Roman"/>
                <w:sz w:val="21"/>
              </w:rPr>
              <w:t xml:space="preserve">1.4.4 </w:t>
            </w:r>
            <w:r>
              <w:rPr>
                <w:sz w:val="21"/>
              </w:rPr>
              <w:t>项规</w:t>
            </w:r>
            <w:r>
              <w:rPr>
                <w:spacing w:val="-3"/>
                <w:sz w:val="21"/>
              </w:rPr>
              <w:t>定的任何一种情形。</w:t>
            </w:r>
          </w:p>
          <w:p>
            <w:pPr>
              <w:pStyle w:val="21"/>
              <w:spacing w:line="269" w:lineRule="exact"/>
              <w:ind w:left="528"/>
              <w:rPr>
                <w:sz w:val="11"/>
              </w:rPr>
            </w:pPr>
            <w:r>
              <w:rPr>
                <w:sz w:val="21"/>
              </w:rPr>
              <w:t>（</w:t>
            </w:r>
            <w:r>
              <w:rPr>
                <w:rFonts w:ascii="Times New Roman" w:hAnsi="Times New Roman" w:eastAsia="Times New Roman"/>
                <w:sz w:val="21"/>
              </w:rPr>
              <w:t>9</w:t>
            </w:r>
            <w:r>
              <w:rPr>
                <w:sz w:val="21"/>
              </w:rPr>
              <w:t>）投标人符合第二章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1.4.5 </w:t>
            </w:r>
            <w:r>
              <w:rPr>
                <w:sz w:val="21"/>
              </w:rPr>
              <w:t>项规定。</w:t>
            </w:r>
            <w:r>
              <w:rPr>
                <w:position w:val="10"/>
                <w:sz w:val="11"/>
              </w:rPr>
              <w:t>②</w:t>
            </w:r>
          </w:p>
          <w:p>
            <w:pPr>
              <w:pStyle w:val="21"/>
              <w:spacing w:before="91" w:line="321" w:lineRule="auto"/>
              <w:ind w:left="108" w:right="94" w:firstLine="420"/>
              <w:jc w:val="both"/>
              <w:rPr>
                <w:sz w:val="21"/>
              </w:rPr>
            </w:pPr>
            <w:r>
              <w:rPr>
                <w:sz w:val="21"/>
              </w:rPr>
              <w:t>（</w:t>
            </w:r>
            <w:r>
              <w:rPr>
                <w:rFonts w:ascii="Times New Roman" w:eastAsia="Times New Roman"/>
                <w:sz w:val="21"/>
              </w:rPr>
              <w:t>10</w:t>
            </w:r>
            <w:r>
              <w:rPr>
                <w:sz w:val="21"/>
              </w:rPr>
              <w:t>）以联合体形式参与投标的，联合体各方均未再以自己名义单独或参加其他联合体在同一标段中投标；独立参与投标的，投标人未同时参加联合体在同一标段中投标。</w:t>
            </w:r>
          </w:p>
          <w:p>
            <w:pPr>
              <w:pStyle w:val="21"/>
              <w:spacing w:before="22" w:line="226" w:lineRule="exact"/>
              <w:ind w:left="52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30" w:type="dxa"/>
            <w:gridSpan w:val="2"/>
          </w:tcPr>
          <w:p>
            <w:pPr>
              <w:pStyle w:val="21"/>
              <w:spacing w:before="89" w:line="250" w:lineRule="exact"/>
              <w:ind w:left="678" w:right="669"/>
              <w:jc w:val="center"/>
              <w:rPr>
                <w:b/>
                <w:sz w:val="21"/>
              </w:rPr>
            </w:pPr>
            <w:r>
              <w:rPr>
                <w:b/>
                <w:sz w:val="21"/>
              </w:rPr>
              <w:t>条款号</w:t>
            </w:r>
          </w:p>
        </w:tc>
        <w:tc>
          <w:tcPr>
            <w:tcW w:w="1510" w:type="dxa"/>
          </w:tcPr>
          <w:p>
            <w:pPr>
              <w:pStyle w:val="21"/>
              <w:spacing w:before="89" w:line="250" w:lineRule="exact"/>
              <w:ind w:left="334"/>
              <w:rPr>
                <w:b/>
                <w:sz w:val="21"/>
              </w:rPr>
            </w:pPr>
            <w:r>
              <w:rPr>
                <w:b/>
                <w:sz w:val="21"/>
              </w:rPr>
              <w:t>条款内容</w:t>
            </w:r>
          </w:p>
        </w:tc>
        <w:tc>
          <w:tcPr>
            <w:tcW w:w="5101" w:type="dxa"/>
          </w:tcPr>
          <w:p>
            <w:pPr>
              <w:pStyle w:val="21"/>
              <w:spacing w:before="89" w:line="250" w:lineRule="exact"/>
              <w:ind w:left="2109" w:right="2097"/>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2030" w:type="dxa"/>
            <w:gridSpan w:val="2"/>
          </w:tcPr>
          <w:p>
            <w:pPr>
              <w:pStyle w:val="21"/>
            </w:pPr>
          </w:p>
          <w:p>
            <w:pPr>
              <w:pStyle w:val="21"/>
              <w:spacing w:before="194"/>
              <w:ind w:left="678" w:right="669"/>
              <w:jc w:val="center"/>
              <w:rPr>
                <w:rFonts w:ascii="Times New Roman"/>
                <w:sz w:val="21"/>
              </w:rPr>
            </w:pPr>
            <w:r>
              <w:rPr>
                <w:rFonts w:ascii="Times New Roman"/>
                <w:sz w:val="21"/>
              </w:rPr>
              <w:t>2.2.1</w:t>
            </w:r>
          </w:p>
        </w:tc>
        <w:tc>
          <w:tcPr>
            <w:tcW w:w="1510" w:type="dxa"/>
          </w:tcPr>
          <w:p>
            <w:pPr>
              <w:pStyle w:val="21"/>
              <w:spacing w:before="92"/>
              <w:ind w:left="210" w:right="199"/>
              <w:jc w:val="center"/>
              <w:rPr>
                <w:sz w:val="21"/>
              </w:rPr>
            </w:pPr>
            <w:r>
              <w:rPr>
                <w:sz w:val="21"/>
              </w:rPr>
              <w:t>分值构成</w:t>
            </w:r>
          </w:p>
          <w:p>
            <w:pPr>
              <w:pStyle w:val="21"/>
              <w:spacing w:before="91"/>
              <w:ind w:left="210" w:right="199"/>
              <w:jc w:val="center"/>
              <w:rPr>
                <w:rFonts w:ascii="Times New Roman" w:eastAsia="Times New Roman"/>
                <w:sz w:val="21"/>
              </w:rPr>
            </w:pPr>
            <w:r>
              <w:rPr>
                <w:sz w:val="21"/>
              </w:rPr>
              <w:t xml:space="preserve">（总分 </w:t>
            </w:r>
            <w:r>
              <w:rPr>
                <w:rFonts w:ascii="Times New Roman" w:eastAsia="Times New Roman"/>
                <w:sz w:val="21"/>
              </w:rPr>
              <w:t>100</w:t>
            </w:r>
          </w:p>
          <w:p>
            <w:pPr>
              <w:pStyle w:val="21"/>
              <w:spacing w:before="91" w:line="250" w:lineRule="exact"/>
              <w:ind w:left="210" w:right="197"/>
              <w:jc w:val="center"/>
              <w:rPr>
                <w:sz w:val="21"/>
              </w:rPr>
            </w:pPr>
            <w:r>
              <w:rPr>
                <w:sz w:val="21"/>
              </w:rPr>
              <w:t>分）</w:t>
            </w:r>
          </w:p>
        </w:tc>
        <w:tc>
          <w:tcPr>
            <w:tcW w:w="5101" w:type="dxa"/>
          </w:tcPr>
          <w:p>
            <w:pPr>
              <w:pStyle w:val="21"/>
            </w:pPr>
          </w:p>
          <w:p>
            <w:pPr>
              <w:pStyle w:val="21"/>
              <w:spacing w:before="170"/>
              <w:ind w:left="108"/>
              <w:rPr>
                <w:sz w:val="21"/>
              </w:rPr>
            </w:pPr>
            <w:r>
              <w:rPr>
                <w:sz w:val="21"/>
              </w:rPr>
              <w:t>评标价：</w:t>
            </w:r>
            <w:r>
              <w:rPr>
                <w:rFonts w:ascii="Times New Roman" w:eastAsia="Times New Roman"/>
                <w:sz w:val="21"/>
              </w:rPr>
              <w:t xml:space="preserve">100 </w:t>
            </w:r>
            <w:r>
              <w:rPr>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0" w:hRule="atLeast"/>
        </w:trPr>
        <w:tc>
          <w:tcPr>
            <w:tcW w:w="2030" w:type="dxa"/>
            <w:gridSpan w:val="2"/>
          </w:tcPr>
          <w:p>
            <w:pPr>
              <w:pStyle w:val="21"/>
            </w:pPr>
          </w:p>
          <w:p>
            <w:pPr>
              <w:pStyle w:val="21"/>
            </w:pPr>
          </w:p>
          <w:p>
            <w:pPr>
              <w:pStyle w:val="21"/>
            </w:pPr>
          </w:p>
          <w:p>
            <w:pPr>
              <w:pStyle w:val="21"/>
            </w:pPr>
          </w:p>
          <w:p>
            <w:pPr>
              <w:pStyle w:val="21"/>
            </w:pPr>
          </w:p>
          <w:p>
            <w:pPr>
              <w:pStyle w:val="21"/>
            </w:pPr>
          </w:p>
          <w:p>
            <w:pPr>
              <w:pStyle w:val="21"/>
            </w:pPr>
          </w:p>
          <w:p>
            <w:pPr>
              <w:pStyle w:val="21"/>
            </w:pPr>
          </w:p>
          <w:p>
            <w:pPr>
              <w:pStyle w:val="21"/>
              <w:spacing w:before="11"/>
              <w:rPr>
                <w:sz w:val="29"/>
              </w:rPr>
            </w:pPr>
          </w:p>
          <w:p>
            <w:pPr>
              <w:pStyle w:val="21"/>
              <w:spacing w:before="1"/>
              <w:ind w:left="678" w:right="669"/>
              <w:jc w:val="center"/>
              <w:rPr>
                <w:rFonts w:ascii="Times New Roman"/>
                <w:sz w:val="21"/>
              </w:rPr>
            </w:pPr>
            <w:r>
              <w:rPr>
                <w:rFonts w:ascii="Times New Roman"/>
                <w:sz w:val="21"/>
              </w:rPr>
              <w:t>2.2.2</w:t>
            </w:r>
          </w:p>
        </w:tc>
        <w:tc>
          <w:tcPr>
            <w:tcW w:w="1510" w:type="dxa"/>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128" w:line="321" w:lineRule="auto"/>
              <w:ind w:left="439" w:right="110" w:hanging="315"/>
              <w:rPr>
                <w:sz w:val="21"/>
              </w:rPr>
            </w:pPr>
            <w:r>
              <w:rPr>
                <w:sz w:val="21"/>
              </w:rPr>
              <w:t>评标基准价计算方法</w:t>
            </w:r>
          </w:p>
        </w:tc>
        <w:tc>
          <w:tcPr>
            <w:tcW w:w="5101" w:type="dxa"/>
          </w:tcPr>
          <w:p>
            <w:pPr>
              <w:pStyle w:val="21"/>
              <w:spacing w:before="95"/>
              <w:ind w:left="108"/>
              <w:rPr>
                <w:sz w:val="21"/>
              </w:rPr>
            </w:pPr>
            <w:r>
              <w:rPr>
                <w:sz w:val="21"/>
              </w:rPr>
              <w:t>评标基准价的计算：</w:t>
            </w:r>
          </w:p>
          <w:p>
            <w:pPr>
              <w:pStyle w:val="21"/>
              <w:spacing w:before="91" w:line="321" w:lineRule="auto"/>
              <w:ind w:left="108" w:right="98" w:firstLine="420"/>
              <w:rPr>
                <w:sz w:val="21"/>
              </w:rPr>
            </w:pPr>
            <w:r>
              <w:rPr>
                <w:sz w:val="21"/>
              </w:rPr>
              <w:t>在开标现场，招标人将当场计算并宣布评标基准价。</w:t>
            </w:r>
          </w:p>
          <w:p>
            <w:pPr>
              <w:pStyle w:val="21"/>
              <w:spacing w:line="268" w:lineRule="exact"/>
              <w:ind w:left="528"/>
              <w:rPr>
                <w:sz w:val="21"/>
              </w:rPr>
            </w:pPr>
            <w:r>
              <w:rPr>
                <w:sz w:val="21"/>
              </w:rPr>
              <w:t>（</w:t>
            </w:r>
            <w:r>
              <w:rPr>
                <w:rFonts w:ascii="Times New Roman" w:eastAsia="Times New Roman"/>
                <w:sz w:val="21"/>
              </w:rPr>
              <w:t>1</w:t>
            </w:r>
            <w:r>
              <w:rPr>
                <w:sz w:val="21"/>
              </w:rPr>
              <w:t>）评标价的确定：</w:t>
            </w:r>
          </w:p>
          <w:p>
            <w:pPr>
              <w:pStyle w:val="21"/>
              <w:spacing w:before="91"/>
              <w:ind w:left="528"/>
              <w:rPr>
                <w:sz w:val="21"/>
              </w:rPr>
            </w:pPr>
            <w:r>
              <w:rPr>
                <w:sz w:val="21"/>
              </w:rPr>
              <w:t>方法一：评标价＝投标函文字报价</w:t>
            </w:r>
          </w:p>
          <w:p>
            <w:pPr>
              <w:pStyle w:val="21"/>
              <w:spacing w:before="91" w:line="321" w:lineRule="auto"/>
              <w:ind w:left="108" w:right="98" w:firstLine="420"/>
              <w:rPr>
                <w:sz w:val="21"/>
              </w:rPr>
            </w:pPr>
            <w:r>
              <w:rPr>
                <w:sz w:val="21"/>
              </w:rPr>
              <w:t>方法二：评标价＝投标函文字报价－暂估价－暂列金额（不含计日工总额）</w:t>
            </w:r>
          </w:p>
          <w:p>
            <w:pPr>
              <w:pStyle w:val="21"/>
              <w:spacing w:line="268" w:lineRule="exact"/>
              <w:ind w:left="528"/>
              <w:rPr>
                <w:rFonts w:ascii="Times New Roman" w:hAnsi="Times New Roman" w:eastAsia="Times New Roman"/>
                <w:sz w:val="21"/>
              </w:rPr>
            </w:pPr>
            <w:r>
              <w:rPr>
                <w:sz w:val="21"/>
              </w:rPr>
              <w:t>方法三：</w:t>
            </w:r>
            <w:r>
              <w:rPr>
                <w:rFonts w:ascii="Times New Roman" w:hAnsi="Times New Roman" w:eastAsia="Times New Roman"/>
                <w:sz w:val="21"/>
              </w:rPr>
              <w:t>……</w:t>
            </w:r>
          </w:p>
          <w:p>
            <w:pPr>
              <w:pStyle w:val="21"/>
              <w:spacing w:before="91"/>
              <w:ind w:left="528"/>
              <w:rPr>
                <w:sz w:val="21"/>
              </w:rPr>
            </w:pPr>
            <w:r>
              <w:rPr>
                <w:sz w:val="21"/>
              </w:rPr>
              <w:t>（</w:t>
            </w:r>
            <w:r>
              <w:rPr>
                <w:rFonts w:ascii="Times New Roman" w:eastAsia="Times New Roman"/>
                <w:sz w:val="21"/>
              </w:rPr>
              <w:t>2</w:t>
            </w:r>
            <w:r>
              <w:rPr>
                <w:sz w:val="21"/>
              </w:rPr>
              <w:t>）评标价平均值的计算：</w:t>
            </w:r>
          </w:p>
          <w:p>
            <w:pPr>
              <w:pStyle w:val="21"/>
              <w:spacing w:line="360" w:lineRule="atLeast"/>
              <w:ind w:left="108" w:right="93" w:firstLine="420"/>
              <w:jc w:val="both"/>
              <w:rPr>
                <w:sz w:val="21"/>
              </w:rPr>
            </w:pPr>
            <w:r>
              <w:rPr>
                <w:spacing w:val="-11"/>
                <w:sz w:val="21"/>
              </w:rPr>
              <w:t xml:space="preserve">除按第二章“投标人须知”第 </w:t>
            </w:r>
            <w:r>
              <w:rPr>
                <w:rFonts w:ascii="Times New Roman" w:hAnsi="Times New Roman" w:eastAsia="Times New Roman"/>
                <w:sz w:val="21"/>
              </w:rPr>
              <w:t xml:space="preserve">5.2.4 </w:t>
            </w:r>
            <w:r>
              <w:rPr>
                <w:spacing w:val="-3"/>
                <w:sz w:val="21"/>
              </w:rPr>
              <w:t>项规定开标现场被宣布为不进入评标基准价计算的投标报价之外， 所有投标人的评标价去掉一个最高值和一个最低值后的算术平均值即为评标价平均值（如果参与评标价平</w:t>
            </w:r>
            <w:r>
              <w:rPr>
                <w:spacing w:val="-4"/>
                <w:sz w:val="21"/>
              </w:rPr>
              <w:t xml:space="preserve">均值计算的有效投标人少于 </w:t>
            </w:r>
            <w:r>
              <w:rPr>
                <w:rFonts w:ascii="Times New Roman" w:hAnsi="Times New Roman" w:eastAsia="Times New Roman"/>
                <w:sz w:val="21"/>
              </w:rPr>
              <w:t xml:space="preserve">5 </w:t>
            </w:r>
            <w:r>
              <w:rPr>
                <w:spacing w:val="-3"/>
                <w:sz w:val="21"/>
              </w:rPr>
              <w:t>家时，则计算评标价平均值时不去掉最高值和最低值</w:t>
            </w:r>
            <w:r>
              <w:rPr>
                <w:spacing w:val="-108"/>
                <w:sz w:val="21"/>
              </w:rPr>
              <w:t>）</w:t>
            </w:r>
            <w:r>
              <w:rPr>
                <w:sz w:val="21"/>
              </w:rPr>
              <w:t>；</w:t>
            </w:r>
          </w:p>
        </w:tc>
      </w:tr>
    </w:tbl>
    <w:p>
      <w:pPr>
        <w:pStyle w:val="11"/>
        <w:rPr>
          <w:sz w:val="20"/>
        </w:rPr>
      </w:pPr>
    </w:p>
    <w:p>
      <w:pPr>
        <w:pStyle w:val="11"/>
        <w:rPr>
          <w:sz w:val="20"/>
        </w:rPr>
      </w:pPr>
    </w:p>
    <w:p>
      <w:pPr>
        <w:pStyle w:val="11"/>
        <w:spacing w:before="1"/>
        <w:rPr>
          <w:sz w:val="26"/>
        </w:rPr>
      </w:pPr>
      <w:r>
        <mc:AlternateContent>
          <mc:Choice Requires="wps">
            <w:drawing>
              <wp:anchor distT="0" distB="0" distL="114300" distR="114300" simplePos="0" relativeHeight="251643904" behindDoc="0" locked="0" layoutInCell="1" allowOverlap="1">
                <wp:simplePos x="0" y="0"/>
                <wp:positionH relativeFrom="page">
                  <wp:posOffset>1043940</wp:posOffset>
                </wp:positionH>
                <wp:positionV relativeFrom="paragraph">
                  <wp:posOffset>240030</wp:posOffset>
                </wp:positionV>
                <wp:extent cx="1829435" cy="0"/>
                <wp:effectExtent l="0" t="0" r="0" b="0"/>
                <wp:wrapTopAndBottom/>
                <wp:docPr id="19" name="直线 67"/>
                <wp:cNvGraphicFramePr/>
                <a:graphic xmlns:a="http://schemas.openxmlformats.org/drawingml/2006/main">
                  <a:graphicData uri="http://schemas.microsoft.com/office/word/2010/wordprocessingShape">
                    <wps:wsp>
                      <wps:cNvSpPr/>
                      <wps:spPr>
                        <a:xfrm>
                          <a:off x="0" y="0"/>
                          <a:ext cx="1829435" cy="0"/>
                        </a:xfrm>
                        <a:prstGeom prst="line">
                          <a:avLst/>
                        </a:prstGeom>
                        <a:ln w="6097" cap="flat" cmpd="sng">
                          <a:solidFill>
                            <a:srgbClr val="000000"/>
                          </a:solidFill>
                          <a:prstDash val="solid"/>
                          <a:headEnd type="none" w="med" len="med"/>
                          <a:tailEnd type="none" w="med" len="med"/>
                        </a:ln>
                      </wps:spPr>
                      <wps:bodyPr upright="true"/>
                    </wps:wsp>
                  </a:graphicData>
                </a:graphic>
              </wp:anchor>
            </w:drawing>
          </mc:Choice>
          <mc:Fallback>
            <w:pict>
              <v:line id="直线 67" o:spid="_x0000_s1026" o:spt="20" style="position:absolute;left:0pt;margin-left:82.2pt;margin-top:18.9pt;height:0pt;width:144.05pt;mso-position-horizontal-relative:page;mso-wrap-distance-bottom:0pt;mso-wrap-distance-top:0pt;z-index:251643904;mso-width-relative:page;mso-height-relative:page;" filled="f" stroked="t" coordsize="21600,21600" o:gfxdata="UEsFBgAAAAAAAAAAAAAAAAAAAAAAAFBLAwQKAAAAAACHTuJAAAAAAAAAAAAAAAAABAAAAGRycy9Q&#10;SwMEFAAAAAgAh07iQI3kLIbXAAAACQEAAA8AAABkcnMvZG93bnJldi54bWxNj09Pg0AQxe8mfofN&#10;mHizCwXaBlma2MTExJP1z3lhp0BkZwm7peCnd4wHPb43v7x5r9jPthcTjr5zpCBeRSCQamc6ahS8&#10;vT7e7UD4oMno3hEqWNDDvry+KnRu3IVecDqGRnAI+VwraEMYcil93aLVfuUGJL6d3Gh1YDk20oz6&#10;wuG2l+so2kirO+IPrR7w0GL9eTxbBek0L89fB3xIqqd42WXNe+I/eqVub+LoHkTAOfzB8FOfq0PJ&#10;nSp3JuNFz3qTpowqSLY8gYE0W2cgql9DloX8v6D8BlBLAwQUAAAACACHTuJAc8ZYU9EBAACSAwAA&#10;DgAAAGRycy9lMm9Eb2MueG1srVNLjhMxEN0jcQfLe9JJgMyklc4sCMMGwUgDB6j4023JP7mcdHIW&#10;rsGKDceZa1B2Mhk+G4TIwim7ys/vvape3RycZXuV0ATf8dlkypnyIkjj+45//nT74pozzOAl2OBV&#10;x48K+c36+bPVGFs1D0OwUiVGIB7bMXZ8yDm2TYNiUA5wEqLylNQhOci0TX0jE4yE7mwzn04XzRiS&#10;jCkIhUinm1OSryu+1krkj1qjysx2nLjluqa6bsvarFfQ9gniYMSZBvwDCwfG06MXqA1kYLtk/oBy&#10;RqSAQeeJCK4JWhuhqgZSM5v+puZ+gKiqFjIH48Um/H+w4sP+LjEjqXdLzjw46tHDl68P376zxVVx&#10;Z4zYUtF9vEvnHVJYpB50cuWfRLBDdfR4cVQdMhN0OLueL1+9fM2ZeMw1TxdjwvxOBcdK0HFrfBEL&#10;LezfY6bHqPSxpBxbz8aOL6bLK4IDmhVtIVPoIrFH39e7GKyRt8bacgNTv31jE9tD6X79FUmE+0tZ&#10;eWQDOJzqauo0F4MC+dZLlo+RbPE0wLxQcEpyZhXNe4kIENoMxv5NJT1tPTEorp58LNE2yCN1YReT&#10;6QdyIqedqkRLkhpfKZ+HtEzWz/sK9vQpr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eQshtcA&#10;AAAJAQAADwAAAAAAAAABACAAAAA4AAAAZHJzL2Rvd25yZXYueG1sUEsBAhQAFAAAAAgAh07iQHPG&#10;WFPRAQAAkgMAAA4AAAAAAAAAAQAgAAAAPAEAAGRycy9lMm9Eb2MueG1sUEsFBgAAAAAGAAYAWQEA&#10;AH8FAAAAAA==&#10;">
                <v:fill on="f" focussize="0,0"/>
                <v:stroke weight="0.48007874015748pt" color="#000000" joinstyle="round"/>
                <v:imagedata o:title=""/>
                <o:lock v:ext="edit" aspectratio="f"/>
                <w10:wrap type="topAndBottom"/>
              </v:line>
            </w:pict>
          </mc:Fallback>
        </mc:AlternateContent>
      </w:r>
    </w:p>
    <w:p>
      <w:pPr>
        <w:spacing w:before="148"/>
        <w:ind w:left="424"/>
        <w:rPr>
          <w:sz w:val="18"/>
        </w:rPr>
      </w:pPr>
      <w:r>
        <w:rPr>
          <w:position w:val="8"/>
          <w:sz w:val="9"/>
        </w:rPr>
        <w:t>①</w:t>
      </w:r>
      <w:r>
        <w:rPr>
          <w:sz w:val="9"/>
        </w:rPr>
        <w:t xml:space="preserve"> </w:t>
      </w:r>
      <w:r>
        <w:rPr>
          <w:sz w:val="18"/>
        </w:rPr>
        <w:t>对于特别复杂的特大桥梁和特长隧道项目主体工程以及其他有特殊要求的工程，还可对其他管理和技术人员</w:t>
      </w:r>
    </w:p>
    <w:p>
      <w:pPr>
        <w:spacing w:before="91"/>
        <w:ind w:left="604"/>
        <w:rPr>
          <w:sz w:val="18"/>
        </w:rPr>
      </w:pPr>
      <w:r>
        <w:rPr>
          <w:sz w:val="18"/>
        </w:rPr>
        <w:t>（例如项目副经理、专业工程师等）以及主要机械设备和试验检测设备进行资格评审。</w:t>
      </w:r>
    </w:p>
    <w:p>
      <w:pPr>
        <w:spacing w:before="89" w:line="331" w:lineRule="auto"/>
        <w:ind w:left="604" w:right="459" w:hanging="180"/>
        <w:rPr>
          <w:sz w:val="18"/>
        </w:rPr>
      </w:pPr>
      <w:r>
        <w:rPr>
          <w:position w:val="8"/>
          <w:sz w:val="9"/>
        </w:rPr>
        <w:t xml:space="preserve">② </w:t>
      </w:r>
      <w:r>
        <w:rPr>
          <w:sz w:val="18"/>
        </w:rPr>
        <w:t>本款规定仅适用于根据《关于发布公路工程从业企业资质名录的通知》（厅公路字〔</w:t>
      </w:r>
      <w:r>
        <w:rPr>
          <w:rFonts w:ascii="Times New Roman" w:hAnsi="Times New Roman" w:eastAsia="Times New Roman"/>
          <w:sz w:val="18"/>
        </w:rPr>
        <w:t>2011</w:t>
      </w:r>
      <w:r>
        <w:rPr>
          <w:sz w:val="18"/>
        </w:rPr>
        <w:t>〕</w:t>
      </w:r>
      <w:r>
        <w:rPr>
          <w:rFonts w:ascii="Times New Roman" w:hAnsi="Times New Roman" w:eastAsia="Times New Roman"/>
          <w:sz w:val="18"/>
        </w:rPr>
        <w:t xml:space="preserve">114 </w:t>
      </w:r>
      <w:r>
        <w:rPr>
          <w:sz w:val="18"/>
        </w:rPr>
        <w:t>号）要求， 招标人应通过名录对投标人资质条件进行审核的公路施工企业。</w:t>
      </w:r>
    </w:p>
    <w:p>
      <w:pPr>
        <w:spacing w:line="331" w:lineRule="auto"/>
        <w:rPr>
          <w:sz w:val="18"/>
        </w:rPr>
        <w:sectPr>
          <w:pgSz w:w="11910" w:h="16850"/>
          <w:pgMar w:top="1480" w:right="1200" w:bottom="1080" w:left="1220" w:header="883" w:footer="884" w:gutter="0"/>
          <w:cols w:space="720" w:num="1"/>
        </w:sectPr>
      </w:pPr>
    </w:p>
    <w:p>
      <w:pPr>
        <w:pStyle w:val="11"/>
        <w:rPr>
          <w:sz w:val="20"/>
        </w:rPr>
      </w:pPr>
    </w:p>
    <w:p>
      <w:pPr>
        <w:pStyle w:val="11"/>
        <w:spacing w:before="9"/>
        <w:rPr>
          <w:sz w:val="15"/>
        </w:rPr>
      </w:pPr>
    </w:p>
    <w:p>
      <w:pPr>
        <w:spacing w:after="3"/>
        <w:ind w:left="8302"/>
        <w:rPr>
          <w:sz w:val="21"/>
        </w:rPr>
      </w:pPr>
      <w:r>
        <w:rPr>
          <w:sz w:val="21"/>
        </w:rPr>
        <w:t>续上表</w:t>
      </w:r>
    </w:p>
    <w:tbl>
      <w:tblPr>
        <w:tblStyle w:val="19"/>
        <w:tblW w:w="8641"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3"/>
        <w:gridCol w:w="1517"/>
        <w:gridCol w:w="5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23" w:type="dxa"/>
          </w:tcPr>
          <w:p>
            <w:pPr>
              <w:pStyle w:val="21"/>
              <w:spacing w:before="89" w:line="250" w:lineRule="exact"/>
              <w:ind w:left="673" w:right="666"/>
              <w:jc w:val="center"/>
              <w:rPr>
                <w:b/>
                <w:sz w:val="21"/>
              </w:rPr>
            </w:pPr>
            <w:r>
              <w:rPr>
                <w:b/>
                <w:sz w:val="21"/>
              </w:rPr>
              <w:t>条款号</w:t>
            </w:r>
          </w:p>
        </w:tc>
        <w:tc>
          <w:tcPr>
            <w:tcW w:w="1517" w:type="dxa"/>
          </w:tcPr>
          <w:p>
            <w:pPr>
              <w:pStyle w:val="21"/>
              <w:spacing w:before="89" w:line="250" w:lineRule="exact"/>
              <w:ind w:left="316" w:right="306"/>
              <w:jc w:val="center"/>
              <w:rPr>
                <w:b/>
                <w:sz w:val="21"/>
              </w:rPr>
            </w:pPr>
            <w:r>
              <w:rPr>
                <w:b/>
                <w:sz w:val="21"/>
              </w:rPr>
              <w:t>条款内容</w:t>
            </w:r>
          </w:p>
        </w:tc>
        <w:tc>
          <w:tcPr>
            <w:tcW w:w="5101" w:type="dxa"/>
          </w:tcPr>
          <w:p>
            <w:pPr>
              <w:pStyle w:val="21"/>
              <w:spacing w:before="89" w:line="250" w:lineRule="exact"/>
              <w:ind w:left="2129"/>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trPr>
        <w:tc>
          <w:tcPr>
            <w:tcW w:w="2023" w:type="dxa"/>
          </w:tcPr>
          <w:p>
            <w:pPr>
              <w:pStyle w:val="21"/>
            </w:pPr>
          </w:p>
          <w:p>
            <w:pPr>
              <w:pStyle w:val="21"/>
            </w:pPr>
          </w:p>
          <w:p>
            <w:pPr>
              <w:pStyle w:val="21"/>
            </w:pPr>
          </w:p>
          <w:p>
            <w:pPr>
              <w:pStyle w:val="21"/>
            </w:pPr>
          </w:p>
          <w:p>
            <w:pPr>
              <w:pStyle w:val="21"/>
            </w:pPr>
          </w:p>
          <w:p>
            <w:pPr>
              <w:pStyle w:val="21"/>
            </w:pPr>
          </w:p>
          <w:p>
            <w:pPr>
              <w:pStyle w:val="21"/>
              <w:spacing w:before="5"/>
              <w:rPr>
                <w:sz w:val="31"/>
              </w:rPr>
            </w:pPr>
          </w:p>
          <w:p>
            <w:pPr>
              <w:pStyle w:val="21"/>
              <w:ind w:left="673" w:right="661"/>
              <w:jc w:val="center"/>
              <w:rPr>
                <w:rFonts w:ascii="Times New Roman"/>
                <w:sz w:val="21"/>
              </w:rPr>
            </w:pPr>
            <w:r>
              <w:rPr>
                <w:rFonts w:ascii="Times New Roman"/>
                <w:sz w:val="21"/>
              </w:rPr>
              <w:t>2.2.2</w:t>
            </w:r>
          </w:p>
        </w:tc>
        <w:tc>
          <w:tcPr>
            <w:tcW w:w="1517" w:type="dxa"/>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6"/>
              <w:rPr>
                <w:sz w:val="27"/>
              </w:rPr>
            </w:pPr>
          </w:p>
          <w:p>
            <w:pPr>
              <w:pStyle w:val="21"/>
              <w:spacing w:before="1" w:line="321" w:lineRule="auto"/>
              <w:ind w:left="442" w:right="115" w:hanging="315"/>
              <w:rPr>
                <w:sz w:val="21"/>
              </w:rPr>
            </w:pPr>
            <w:r>
              <w:rPr>
                <w:sz w:val="21"/>
              </w:rPr>
              <w:t>评标基准价计算方法</w:t>
            </w:r>
          </w:p>
        </w:tc>
        <w:tc>
          <w:tcPr>
            <w:tcW w:w="5101" w:type="dxa"/>
          </w:tcPr>
          <w:p>
            <w:pPr>
              <w:pStyle w:val="21"/>
              <w:spacing w:before="90"/>
              <w:ind w:left="528"/>
              <w:rPr>
                <w:sz w:val="21"/>
              </w:rPr>
            </w:pPr>
            <w:r>
              <w:rPr>
                <w:sz w:val="21"/>
              </w:rPr>
              <w:t>（</w:t>
            </w:r>
            <w:r>
              <w:rPr>
                <w:rFonts w:ascii="Times New Roman" w:hAnsi="Times New Roman" w:eastAsia="Times New Roman"/>
                <w:sz w:val="21"/>
              </w:rPr>
              <w:t>3</w:t>
            </w:r>
            <w:r>
              <w:rPr>
                <w:sz w:val="21"/>
              </w:rPr>
              <w:t>）评标基准价的确定</w:t>
            </w:r>
            <w:r>
              <w:rPr>
                <w:position w:val="10"/>
                <w:sz w:val="11"/>
              </w:rPr>
              <w:t>①</w:t>
            </w:r>
            <w:r>
              <w:rPr>
                <w:sz w:val="21"/>
              </w:rPr>
              <w:t>：</w:t>
            </w:r>
          </w:p>
          <w:p>
            <w:pPr>
              <w:pStyle w:val="21"/>
              <w:tabs>
                <w:tab w:val="left" w:pos="3550"/>
              </w:tabs>
              <w:spacing w:before="90" w:line="321" w:lineRule="auto"/>
              <w:ind w:left="528" w:right="93"/>
              <w:rPr>
                <w:sz w:val="21"/>
              </w:rPr>
            </w:pPr>
            <w:r>
              <w:rPr>
                <w:sz w:val="21"/>
              </w:rPr>
              <w:t>方法</w:t>
            </w:r>
            <w:r>
              <w:rPr>
                <w:spacing w:val="-3"/>
                <w:sz w:val="21"/>
              </w:rPr>
              <w:t>一</w:t>
            </w:r>
            <w:r>
              <w:rPr>
                <w:sz w:val="21"/>
              </w:rPr>
              <w:t>：</w:t>
            </w:r>
            <w:r>
              <w:rPr>
                <w:spacing w:val="-3"/>
                <w:sz w:val="21"/>
              </w:rPr>
              <w:t>将</w:t>
            </w:r>
            <w:r>
              <w:rPr>
                <w:sz w:val="21"/>
              </w:rPr>
              <w:t>评</w:t>
            </w:r>
            <w:r>
              <w:rPr>
                <w:spacing w:val="-3"/>
                <w:sz w:val="21"/>
              </w:rPr>
              <w:t>标</w:t>
            </w:r>
            <w:r>
              <w:rPr>
                <w:sz w:val="21"/>
              </w:rPr>
              <w:t>价</w:t>
            </w:r>
            <w:r>
              <w:rPr>
                <w:spacing w:val="-3"/>
                <w:sz w:val="21"/>
              </w:rPr>
              <w:t>平</w:t>
            </w:r>
            <w:r>
              <w:rPr>
                <w:sz w:val="21"/>
              </w:rPr>
              <w:t>均</w:t>
            </w:r>
            <w:r>
              <w:rPr>
                <w:spacing w:val="-3"/>
                <w:sz w:val="21"/>
              </w:rPr>
              <w:t>值</w:t>
            </w:r>
            <w:r>
              <w:rPr>
                <w:sz w:val="21"/>
              </w:rPr>
              <w:t>直接</w:t>
            </w:r>
            <w:r>
              <w:rPr>
                <w:spacing w:val="-3"/>
                <w:sz w:val="21"/>
              </w:rPr>
              <w:t>作</w:t>
            </w:r>
            <w:r>
              <w:rPr>
                <w:sz w:val="21"/>
              </w:rPr>
              <w:t>为</w:t>
            </w:r>
            <w:r>
              <w:rPr>
                <w:spacing w:val="-3"/>
                <w:sz w:val="21"/>
              </w:rPr>
              <w:t>评</w:t>
            </w:r>
            <w:r>
              <w:rPr>
                <w:sz w:val="21"/>
              </w:rPr>
              <w:t>标</w:t>
            </w:r>
            <w:r>
              <w:rPr>
                <w:spacing w:val="-3"/>
                <w:sz w:val="21"/>
              </w:rPr>
              <w:t>基</w:t>
            </w:r>
            <w:r>
              <w:rPr>
                <w:sz w:val="21"/>
              </w:rPr>
              <w:t>准</w:t>
            </w:r>
            <w:r>
              <w:rPr>
                <w:spacing w:val="-3"/>
                <w:sz w:val="21"/>
              </w:rPr>
              <w:t>价</w:t>
            </w:r>
            <w:r>
              <w:rPr>
                <w:sz w:val="21"/>
              </w:rPr>
              <w:t>。方法</w:t>
            </w:r>
            <w:r>
              <w:rPr>
                <w:spacing w:val="-3"/>
                <w:sz w:val="21"/>
              </w:rPr>
              <w:t>二</w:t>
            </w:r>
            <w:r>
              <w:rPr>
                <w:spacing w:val="-27"/>
                <w:sz w:val="21"/>
              </w:rPr>
              <w:t>：</w:t>
            </w:r>
            <w:r>
              <w:rPr>
                <w:spacing w:val="-3"/>
                <w:sz w:val="21"/>
              </w:rPr>
              <w:t>将</w:t>
            </w:r>
            <w:r>
              <w:rPr>
                <w:sz w:val="21"/>
              </w:rPr>
              <w:t>评</w:t>
            </w:r>
            <w:r>
              <w:rPr>
                <w:spacing w:val="-3"/>
                <w:sz w:val="21"/>
              </w:rPr>
              <w:t>标</w:t>
            </w:r>
            <w:r>
              <w:rPr>
                <w:sz w:val="21"/>
              </w:rPr>
              <w:t>价</w:t>
            </w:r>
            <w:r>
              <w:rPr>
                <w:spacing w:val="-3"/>
                <w:sz w:val="21"/>
              </w:rPr>
              <w:t>平</w:t>
            </w:r>
            <w:r>
              <w:rPr>
                <w:sz w:val="21"/>
              </w:rPr>
              <w:t>均</w:t>
            </w:r>
            <w:r>
              <w:rPr>
                <w:spacing w:val="-3"/>
                <w:sz w:val="21"/>
              </w:rPr>
              <w:t>值</w:t>
            </w:r>
            <w:r>
              <w:rPr>
                <w:sz w:val="21"/>
              </w:rPr>
              <w:t>下浮</w:t>
            </w:r>
            <w:r>
              <w:rPr>
                <w:sz w:val="21"/>
                <w:u w:val="single"/>
              </w:rPr>
              <w:t xml:space="preserve"> </w:t>
            </w:r>
            <w:r>
              <w:rPr>
                <w:sz w:val="21"/>
                <w:u w:val="single"/>
              </w:rPr>
              <w:tab/>
            </w:r>
            <w:r>
              <w:rPr>
                <w:spacing w:val="-15"/>
                <w:sz w:val="21"/>
              </w:rPr>
              <w:t>％，</w:t>
            </w:r>
            <w:r>
              <w:rPr>
                <w:spacing w:val="-3"/>
                <w:sz w:val="21"/>
              </w:rPr>
              <w:t>作</w:t>
            </w:r>
            <w:r>
              <w:rPr>
                <w:sz w:val="21"/>
              </w:rPr>
              <w:t>为</w:t>
            </w:r>
            <w:r>
              <w:rPr>
                <w:spacing w:val="-3"/>
                <w:sz w:val="21"/>
              </w:rPr>
              <w:t>评</w:t>
            </w:r>
            <w:r>
              <w:rPr>
                <w:sz w:val="21"/>
              </w:rPr>
              <w:t>标基</w:t>
            </w:r>
          </w:p>
          <w:p>
            <w:pPr>
              <w:pStyle w:val="21"/>
              <w:spacing w:line="268" w:lineRule="exact"/>
              <w:ind w:left="108"/>
              <w:rPr>
                <w:sz w:val="21"/>
              </w:rPr>
            </w:pPr>
            <w:r>
              <w:rPr>
                <w:sz w:val="21"/>
              </w:rPr>
              <w:t>准价。</w:t>
            </w:r>
          </w:p>
          <w:p>
            <w:pPr>
              <w:pStyle w:val="21"/>
              <w:spacing w:before="91" w:line="321" w:lineRule="auto"/>
              <w:ind w:left="108" w:right="97" w:firstLine="420"/>
              <w:jc w:val="both"/>
              <w:rPr>
                <w:sz w:val="21"/>
              </w:rPr>
            </w:pPr>
            <w:r>
              <w:rPr>
                <w:sz w:val="21"/>
              </w:rPr>
              <w:t>方法三：招标人设置评标基准价系数，由投标人代表现场抽取，评标价平均值乘以现场抽取的评标基准价系数作为评标基准价。</w:t>
            </w:r>
          </w:p>
          <w:p>
            <w:pPr>
              <w:pStyle w:val="21"/>
              <w:spacing w:line="268" w:lineRule="exact"/>
              <w:ind w:left="528"/>
              <w:rPr>
                <w:rFonts w:ascii="Times New Roman" w:hAnsi="Times New Roman" w:eastAsia="Times New Roman"/>
                <w:sz w:val="21"/>
              </w:rPr>
            </w:pPr>
            <w:r>
              <w:rPr>
                <w:sz w:val="21"/>
              </w:rPr>
              <w:t>方法四：</w:t>
            </w:r>
            <w:r>
              <w:rPr>
                <w:rFonts w:ascii="Times New Roman" w:hAnsi="Times New Roman" w:eastAsia="Times New Roman"/>
                <w:sz w:val="21"/>
              </w:rPr>
              <w:t>……</w:t>
            </w:r>
          </w:p>
          <w:p>
            <w:pPr>
              <w:pStyle w:val="21"/>
              <w:spacing w:line="360" w:lineRule="atLeast"/>
              <w:ind w:left="108" w:right="93" w:firstLine="420"/>
              <w:jc w:val="both"/>
              <w:rPr>
                <w:sz w:val="21"/>
              </w:rPr>
            </w:pPr>
            <w:r>
              <w:rPr>
                <w:sz w:val="21"/>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sz w:val="21"/>
              </w:rPr>
              <w:t>。</w:t>
            </w:r>
          </w:p>
          <w:p>
            <w:pPr>
              <w:pStyle w:val="21"/>
              <w:spacing w:line="360" w:lineRule="atLeast"/>
              <w:ind w:left="108" w:right="93" w:firstLine="420"/>
              <w:jc w:val="both"/>
              <w:rPr>
                <w:sz w:val="21"/>
                <w:lang w:val="en-US"/>
              </w:rPr>
            </w:pPr>
            <w:r>
              <w:rPr>
                <w:rFonts w:hint="eastAsia"/>
                <w:sz w:val="21"/>
                <w:lang w:val="en-US"/>
              </w:rPr>
              <w:t>另：根据项目特点，招标人可选择</w:t>
            </w:r>
            <w:r>
              <w:rPr>
                <w:sz w:val="21"/>
                <w:lang w:val="en-US"/>
              </w:rPr>
              <w:t>四川省交通运输厅《关于印发&lt;四川省公路工程建设项目招标投标管理实施细则&gt;的通知》（川交发〔2019〕32号）</w:t>
            </w:r>
            <w:r>
              <w:rPr>
                <w:rFonts w:hint="eastAsia"/>
                <w:sz w:val="21"/>
                <w:lang w:val="en-US"/>
              </w:rPr>
              <w:t>所附评标基准价的确定方式。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2023" w:type="dxa"/>
          </w:tcPr>
          <w:p>
            <w:pPr>
              <w:pStyle w:val="21"/>
            </w:pPr>
          </w:p>
          <w:p>
            <w:pPr>
              <w:pStyle w:val="21"/>
              <w:spacing w:before="191"/>
              <w:ind w:left="673" w:right="661"/>
              <w:jc w:val="center"/>
              <w:rPr>
                <w:rFonts w:ascii="Times New Roman"/>
                <w:sz w:val="21"/>
              </w:rPr>
            </w:pPr>
            <w:r>
              <w:rPr>
                <w:rFonts w:ascii="Times New Roman"/>
                <w:sz w:val="21"/>
              </w:rPr>
              <w:t>2.2.3</w:t>
            </w:r>
          </w:p>
        </w:tc>
        <w:tc>
          <w:tcPr>
            <w:tcW w:w="1517" w:type="dxa"/>
          </w:tcPr>
          <w:p>
            <w:pPr>
              <w:pStyle w:val="21"/>
              <w:rPr>
                <w:sz w:val="21"/>
              </w:rPr>
            </w:pPr>
          </w:p>
          <w:p>
            <w:pPr>
              <w:pStyle w:val="21"/>
              <w:spacing w:line="321" w:lineRule="auto"/>
              <w:ind w:left="233" w:right="115" w:hanging="107"/>
              <w:rPr>
                <w:sz w:val="21"/>
              </w:rPr>
            </w:pPr>
            <w:r>
              <w:rPr>
                <w:sz w:val="21"/>
              </w:rPr>
              <w:t>评标价的偏差率计算公式</w:t>
            </w:r>
          </w:p>
        </w:tc>
        <w:tc>
          <w:tcPr>
            <w:tcW w:w="5101" w:type="dxa"/>
          </w:tcPr>
          <w:p>
            <w:pPr>
              <w:pStyle w:val="21"/>
              <w:spacing w:before="89" w:line="321" w:lineRule="auto"/>
              <w:ind w:left="108" w:right="95"/>
              <w:rPr>
                <w:sz w:val="21"/>
              </w:rPr>
            </w:pPr>
            <w:r>
              <w:rPr>
                <w:sz w:val="21"/>
              </w:rPr>
              <w:t>偏差率</w:t>
            </w:r>
            <w:r>
              <w:rPr>
                <w:rFonts w:ascii="Times New Roman" w:hAnsi="Times New Roman" w:eastAsia="Times New Roman"/>
                <w:sz w:val="21"/>
              </w:rPr>
              <w:t>=100% ×</w:t>
            </w:r>
            <w:r>
              <w:rPr>
                <w:sz w:val="21"/>
              </w:rPr>
              <w:t>（投标人评标价－评标基准价）</w:t>
            </w:r>
            <w:r>
              <w:rPr>
                <w:rFonts w:ascii="Times New Roman" w:hAnsi="Times New Roman" w:eastAsia="Times New Roman"/>
                <w:sz w:val="21"/>
              </w:rPr>
              <w:t>/</w:t>
            </w:r>
            <w:r>
              <w:rPr>
                <w:sz w:val="21"/>
              </w:rPr>
              <w:t>评标基准价</w:t>
            </w:r>
          </w:p>
          <w:p>
            <w:pPr>
              <w:pStyle w:val="21"/>
              <w:tabs>
                <w:tab w:val="left" w:pos="1579"/>
              </w:tabs>
              <w:spacing w:line="249" w:lineRule="exact"/>
              <w:ind w:left="108"/>
              <w:rPr>
                <w:sz w:val="21"/>
              </w:rPr>
            </w:pPr>
            <w:r>
              <w:rPr>
                <w:sz w:val="21"/>
              </w:rPr>
              <w:t>偏差</w:t>
            </w:r>
            <w:r>
              <w:rPr>
                <w:spacing w:val="-3"/>
                <w:sz w:val="21"/>
              </w:rPr>
              <w:t>率</w:t>
            </w:r>
            <w:r>
              <w:rPr>
                <w:sz w:val="21"/>
              </w:rPr>
              <w:t>保留</w:t>
            </w:r>
            <w:r>
              <w:rPr>
                <w:sz w:val="21"/>
                <w:u w:val="single"/>
              </w:rPr>
              <w:t xml:space="preserve"> </w:t>
            </w:r>
            <w:r>
              <w:rPr>
                <w:sz w:val="21"/>
                <w:u w:val="single"/>
              </w:rPr>
              <w:tab/>
            </w:r>
            <w:r>
              <w:rPr>
                <w:sz w:val="21"/>
              </w:rPr>
              <w:t>位</w:t>
            </w:r>
            <w:r>
              <w:rPr>
                <w:spacing w:val="-3"/>
                <w:sz w:val="21"/>
              </w:rPr>
              <w:t>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23" w:type="dxa"/>
          </w:tcPr>
          <w:p>
            <w:pPr>
              <w:pStyle w:val="21"/>
              <w:spacing w:before="89" w:line="250" w:lineRule="exact"/>
              <w:ind w:left="673" w:right="666"/>
              <w:jc w:val="center"/>
              <w:rPr>
                <w:b/>
                <w:sz w:val="21"/>
              </w:rPr>
            </w:pPr>
            <w:r>
              <w:rPr>
                <w:b/>
                <w:sz w:val="21"/>
              </w:rPr>
              <w:t>条款号</w:t>
            </w:r>
          </w:p>
        </w:tc>
        <w:tc>
          <w:tcPr>
            <w:tcW w:w="1517" w:type="dxa"/>
          </w:tcPr>
          <w:p>
            <w:pPr>
              <w:pStyle w:val="21"/>
              <w:spacing w:before="89" w:line="250" w:lineRule="exact"/>
              <w:ind w:left="316" w:right="306"/>
              <w:jc w:val="center"/>
              <w:rPr>
                <w:b/>
                <w:sz w:val="21"/>
              </w:rPr>
            </w:pPr>
            <w:r>
              <w:rPr>
                <w:b/>
                <w:sz w:val="21"/>
              </w:rPr>
              <w:t>评分因素</w:t>
            </w:r>
          </w:p>
        </w:tc>
        <w:tc>
          <w:tcPr>
            <w:tcW w:w="5101" w:type="dxa"/>
          </w:tcPr>
          <w:p>
            <w:pPr>
              <w:pStyle w:val="21"/>
              <w:spacing w:before="89" w:line="250" w:lineRule="exact"/>
              <w:ind w:left="2129"/>
              <w:rPr>
                <w:b/>
                <w:sz w:val="21"/>
              </w:rPr>
            </w:pPr>
            <w:r>
              <w:rPr>
                <w:b/>
                <w:sz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2023" w:type="dxa"/>
          </w:tcPr>
          <w:p>
            <w:pPr>
              <w:pStyle w:val="21"/>
            </w:pPr>
          </w:p>
          <w:p>
            <w:pPr>
              <w:pStyle w:val="21"/>
            </w:pPr>
          </w:p>
          <w:p>
            <w:pPr>
              <w:pStyle w:val="21"/>
            </w:pPr>
          </w:p>
          <w:p>
            <w:pPr>
              <w:pStyle w:val="21"/>
            </w:pPr>
          </w:p>
          <w:p>
            <w:pPr>
              <w:pStyle w:val="21"/>
            </w:pPr>
          </w:p>
          <w:p>
            <w:pPr>
              <w:pStyle w:val="21"/>
              <w:spacing w:before="3"/>
              <w:rPr>
                <w:sz w:val="25"/>
              </w:rPr>
            </w:pPr>
          </w:p>
          <w:p>
            <w:pPr>
              <w:pStyle w:val="21"/>
              <w:ind w:left="673" w:right="661"/>
              <w:jc w:val="center"/>
              <w:rPr>
                <w:rFonts w:ascii="Times New Roman"/>
                <w:sz w:val="21"/>
              </w:rPr>
            </w:pPr>
            <w:r>
              <w:rPr>
                <w:rFonts w:ascii="Times New Roman"/>
                <w:sz w:val="21"/>
              </w:rPr>
              <w:t>2.2.4</w:t>
            </w:r>
          </w:p>
        </w:tc>
        <w:tc>
          <w:tcPr>
            <w:tcW w:w="1517" w:type="dxa"/>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172"/>
              <w:ind w:left="316" w:right="306"/>
              <w:jc w:val="center"/>
              <w:rPr>
                <w:sz w:val="21"/>
              </w:rPr>
            </w:pPr>
            <w:r>
              <w:rPr>
                <w:sz w:val="21"/>
              </w:rPr>
              <w:t>评标价</w:t>
            </w:r>
          </w:p>
        </w:tc>
        <w:tc>
          <w:tcPr>
            <w:tcW w:w="5101" w:type="dxa"/>
          </w:tcPr>
          <w:p>
            <w:pPr>
              <w:pStyle w:val="21"/>
              <w:spacing w:before="90"/>
              <w:ind w:left="108"/>
              <w:rPr>
                <w:sz w:val="21"/>
              </w:rPr>
            </w:pPr>
            <w:r>
              <w:rPr>
                <w:rFonts w:ascii="Times New Roman" w:eastAsia="Times New Roman"/>
                <w:sz w:val="21"/>
              </w:rPr>
              <w:t xml:space="preserve">100 </w:t>
            </w:r>
            <w:r>
              <w:rPr>
                <w:sz w:val="21"/>
              </w:rPr>
              <w:t>分</w:t>
            </w:r>
          </w:p>
          <w:p>
            <w:pPr>
              <w:pStyle w:val="21"/>
              <w:spacing w:before="90"/>
              <w:ind w:left="108"/>
              <w:rPr>
                <w:sz w:val="21"/>
              </w:rPr>
            </w:pPr>
            <w:r>
              <w:rPr>
                <w:sz w:val="21"/>
              </w:rPr>
              <w:t>评标价得分计算公式示例：</w:t>
            </w:r>
          </w:p>
          <w:p>
            <w:pPr>
              <w:pStyle w:val="21"/>
              <w:spacing w:before="91" w:line="321" w:lineRule="auto"/>
              <w:ind w:left="108" w:right="94"/>
              <w:rPr>
                <w:sz w:val="21"/>
              </w:rPr>
            </w:pPr>
            <w:r>
              <w:rPr>
                <w:sz w:val="21"/>
              </w:rPr>
              <w:t>（</w:t>
            </w:r>
            <w:r>
              <w:rPr>
                <w:rFonts w:ascii="Times New Roman" w:hAnsi="Times New Roman" w:eastAsia="Times New Roman"/>
                <w:sz w:val="21"/>
              </w:rPr>
              <w:t>1</w:t>
            </w:r>
            <w:r>
              <w:rPr>
                <w:sz w:val="21"/>
              </w:rPr>
              <w:t>）如果投标人的评标价</w:t>
            </w:r>
            <w:r>
              <w:rPr>
                <w:rFonts w:ascii="Times New Roman" w:hAnsi="Times New Roman" w:eastAsia="Times New Roman"/>
                <w:sz w:val="21"/>
              </w:rPr>
              <w:t>&gt;</w:t>
            </w:r>
            <w:r>
              <w:rPr>
                <w:sz w:val="21"/>
              </w:rPr>
              <w:t>评标基准价，则评标价得分＝</w:t>
            </w:r>
            <w:r>
              <w:rPr>
                <w:rFonts w:ascii="Times New Roman" w:hAnsi="Times New Roman" w:eastAsia="Times New Roman"/>
                <w:sz w:val="21"/>
              </w:rPr>
              <w:t>100</w:t>
            </w:r>
            <w:r>
              <w:rPr>
                <w:sz w:val="21"/>
              </w:rPr>
              <w:t>－偏差率</w:t>
            </w:r>
            <w:r>
              <w:rPr>
                <w:rFonts w:ascii="Times New Roman" w:hAnsi="Times New Roman" w:eastAsia="Times New Roman"/>
                <w:sz w:val="21"/>
              </w:rPr>
              <w:t xml:space="preserve">×100×E </w:t>
            </w:r>
            <w:r>
              <w:rPr>
                <w:rFonts w:ascii="Times New Roman" w:hAnsi="Times New Roman" w:eastAsia="Times New Roman"/>
                <w:sz w:val="21"/>
                <w:vertAlign w:val="subscript"/>
              </w:rPr>
              <w:t>1</w:t>
            </w:r>
            <w:r>
              <w:rPr>
                <w:sz w:val="21"/>
              </w:rPr>
              <w:t>；</w:t>
            </w:r>
          </w:p>
          <w:p>
            <w:pPr>
              <w:pStyle w:val="21"/>
              <w:spacing w:line="321" w:lineRule="auto"/>
              <w:ind w:left="108" w:right="94"/>
              <w:rPr>
                <w:sz w:val="21"/>
              </w:rPr>
            </w:pPr>
            <w:r>
              <w:rPr>
                <w:sz w:val="21"/>
              </w:rPr>
              <w:t>（</w:t>
            </w:r>
            <w:r>
              <w:rPr>
                <w:rFonts w:ascii="Times New Roman" w:hAnsi="Times New Roman" w:eastAsia="Times New Roman"/>
                <w:sz w:val="21"/>
              </w:rPr>
              <w:t>2</w:t>
            </w:r>
            <w:r>
              <w:rPr>
                <w:sz w:val="21"/>
              </w:rPr>
              <w:t>）如果投标人的评标价</w:t>
            </w:r>
            <w:r>
              <w:rPr>
                <w:rFonts w:ascii="Times New Roman" w:hAnsi="Times New Roman" w:eastAsia="Times New Roman"/>
                <w:sz w:val="21"/>
              </w:rPr>
              <w:t>≤</w:t>
            </w:r>
            <w:r>
              <w:rPr>
                <w:sz w:val="21"/>
              </w:rPr>
              <w:t>评标基准价，则评标价得分＝</w:t>
            </w:r>
            <w:r>
              <w:rPr>
                <w:rFonts w:ascii="Times New Roman" w:hAnsi="Times New Roman" w:eastAsia="Times New Roman"/>
                <w:sz w:val="21"/>
              </w:rPr>
              <w:t>100</w:t>
            </w:r>
            <w:r>
              <w:rPr>
                <w:sz w:val="21"/>
              </w:rPr>
              <w:t>＋偏差率</w:t>
            </w:r>
            <w:r>
              <w:rPr>
                <w:rFonts w:ascii="Times New Roman" w:hAnsi="Times New Roman" w:eastAsia="Times New Roman"/>
                <w:sz w:val="21"/>
              </w:rPr>
              <w:t xml:space="preserve">×100×E </w:t>
            </w:r>
            <w:r>
              <w:rPr>
                <w:rFonts w:ascii="Times New Roman" w:hAnsi="Times New Roman" w:eastAsia="Times New Roman"/>
                <w:sz w:val="21"/>
                <w:vertAlign w:val="subscript"/>
              </w:rPr>
              <w:t>2</w:t>
            </w:r>
            <w:r>
              <w:rPr>
                <w:sz w:val="21"/>
              </w:rPr>
              <w:t>。</w:t>
            </w:r>
          </w:p>
          <w:p>
            <w:pPr>
              <w:pStyle w:val="21"/>
              <w:spacing w:line="321" w:lineRule="auto"/>
              <w:ind w:left="108" w:right="93"/>
              <w:jc w:val="both"/>
              <w:rPr>
                <w:sz w:val="21"/>
              </w:rPr>
            </w:pPr>
            <w:r>
              <w:rPr>
                <w:sz w:val="21"/>
              </w:rPr>
              <w:t>其中：</w:t>
            </w:r>
            <w:r>
              <w:rPr>
                <w:rFonts w:ascii="Times New Roman" w:eastAsia="Times New Roman"/>
                <w:sz w:val="21"/>
              </w:rPr>
              <w:t>E</w:t>
            </w:r>
            <w:r>
              <w:rPr>
                <w:rFonts w:ascii="Times New Roman" w:eastAsia="Times New Roman"/>
                <w:sz w:val="21"/>
                <w:vertAlign w:val="subscript"/>
              </w:rPr>
              <w:t>1</w:t>
            </w:r>
            <w:r>
              <w:rPr>
                <w:rFonts w:ascii="Times New Roman" w:eastAsia="Times New Roman"/>
                <w:sz w:val="21"/>
              </w:rPr>
              <w:t xml:space="preserve"> </w:t>
            </w:r>
            <w:r>
              <w:rPr>
                <w:sz w:val="21"/>
              </w:rPr>
              <w:t>是评标价每高于评标基准价一个百分点的扣分值，</w:t>
            </w:r>
            <w:r>
              <w:rPr>
                <w:rFonts w:ascii="Times New Roman" w:eastAsia="Times New Roman"/>
                <w:sz w:val="21"/>
              </w:rPr>
              <w:t>E</w:t>
            </w:r>
            <w:r>
              <w:rPr>
                <w:rFonts w:ascii="Times New Roman" w:eastAsia="Times New Roman"/>
                <w:sz w:val="21"/>
                <w:vertAlign w:val="subscript"/>
              </w:rPr>
              <w:t>2</w:t>
            </w:r>
            <w:r>
              <w:rPr>
                <w:rFonts w:ascii="Times New Roman" w:eastAsia="Times New Roman"/>
                <w:sz w:val="21"/>
              </w:rPr>
              <w:t xml:space="preserve"> </w:t>
            </w:r>
            <w:r>
              <w:rPr>
                <w:sz w:val="21"/>
              </w:rPr>
              <w:t>是评标价每低于评标基准价一个百分点的扣分值；招标人可依据招标项目具体特点和实际需要设</w:t>
            </w:r>
          </w:p>
          <w:p>
            <w:pPr>
              <w:pStyle w:val="21"/>
              <w:spacing w:line="248" w:lineRule="exact"/>
              <w:ind w:left="108"/>
              <w:jc w:val="both"/>
              <w:rPr>
                <w:rFonts w:ascii="Times New Roman" w:eastAsia="Times New Roman"/>
                <w:sz w:val="21"/>
              </w:rPr>
            </w:pPr>
            <w:r>
              <w:rPr>
                <w:sz w:val="21"/>
              </w:rPr>
              <w:t xml:space="preserve">置 </w:t>
            </w:r>
            <w:r>
              <w:rPr>
                <w:rFonts w:ascii="Times New Roman" w:eastAsia="Times New Roman"/>
                <w:sz w:val="21"/>
              </w:rPr>
              <w:t>E</w:t>
            </w:r>
            <w:r>
              <w:rPr>
                <w:rFonts w:ascii="Times New Roman" w:eastAsia="Times New Roman"/>
                <w:sz w:val="21"/>
                <w:vertAlign w:val="subscript"/>
              </w:rPr>
              <w:t>1</w:t>
            </w:r>
            <w:r>
              <w:rPr>
                <w:sz w:val="21"/>
              </w:rPr>
              <w:t>、</w:t>
            </w:r>
            <w:r>
              <w:rPr>
                <w:rFonts w:ascii="Times New Roman" w:eastAsia="Times New Roman"/>
                <w:sz w:val="21"/>
              </w:rPr>
              <w:t>E</w:t>
            </w:r>
            <w:r>
              <w:rPr>
                <w:rFonts w:ascii="Times New Roman" w:eastAsia="Times New Roman"/>
                <w:sz w:val="21"/>
                <w:vertAlign w:val="subscript"/>
              </w:rPr>
              <w:t>2</w:t>
            </w:r>
            <w:r>
              <w:rPr>
                <w:sz w:val="21"/>
              </w:rPr>
              <w:t xml:space="preserve">，但 </w:t>
            </w:r>
            <w:r>
              <w:rPr>
                <w:rFonts w:ascii="Times New Roman" w:eastAsia="Times New Roman"/>
                <w:sz w:val="21"/>
              </w:rPr>
              <w:t>E</w:t>
            </w:r>
            <w:r>
              <w:rPr>
                <w:rFonts w:ascii="Times New Roman" w:eastAsia="Times New Roman"/>
                <w:sz w:val="21"/>
                <w:vertAlign w:val="subscript"/>
              </w:rPr>
              <w:t>1</w:t>
            </w:r>
            <w:r>
              <w:rPr>
                <w:rFonts w:ascii="Times New Roman" w:eastAsia="Times New Roman"/>
                <w:sz w:val="21"/>
              </w:rPr>
              <w:t xml:space="preserve"> </w:t>
            </w:r>
            <w:r>
              <w:rPr>
                <w:sz w:val="21"/>
              </w:rPr>
              <w:t xml:space="preserve">应大于 </w:t>
            </w:r>
            <w:r>
              <w:rPr>
                <w:rFonts w:ascii="Times New Roman" w:eastAsia="Times New Roman"/>
                <w:sz w:val="21"/>
              </w:rPr>
              <w:t>E</w:t>
            </w:r>
            <w:r>
              <w:rPr>
                <w:rFonts w:ascii="Times New Roman" w:eastAsia="Times New Roman"/>
                <w:sz w:val="21"/>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641" w:type="dxa"/>
            <w:gridSpan w:val="3"/>
          </w:tcPr>
          <w:p>
            <w:pPr>
              <w:pStyle w:val="21"/>
              <w:spacing w:before="92"/>
              <w:ind w:left="107"/>
              <w:rPr>
                <w:sz w:val="21"/>
              </w:rPr>
            </w:pPr>
            <w:r>
              <w:rPr>
                <w:sz w:val="21"/>
              </w:rPr>
              <w:t>需要补充的其他内容：</w:t>
            </w:r>
          </w:p>
          <w:p>
            <w:pPr>
              <w:pStyle w:val="21"/>
              <w:spacing w:before="114" w:line="226" w:lineRule="exact"/>
              <w:ind w:left="107"/>
              <w:rPr>
                <w:rFonts w:ascii="Times New Roman" w:hAnsi="Times New Roman"/>
                <w:sz w:val="21"/>
              </w:rPr>
            </w:pPr>
            <w:r>
              <w:rPr>
                <w:rFonts w:ascii="Times New Roman" w:hAnsi="Times New Roman"/>
                <w:sz w:val="21"/>
              </w:rPr>
              <w:t>……</w:t>
            </w:r>
          </w:p>
        </w:tc>
      </w:tr>
    </w:tbl>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8"/>
        <w:rPr>
          <w:sz w:val="25"/>
        </w:rPr>
      </w:pPr>
      <w:r>
        <mc:AlternateContent>
          <mc:Choice Requires="wps">
            <w:drawing>
              <wp:anchor distT="0" distB="0" distL="114300" distR="114300" simplePos="0" relativeHeight="251644928" behindDoc="0" locked="0" layoutInCell="1" allowOverlap="1">
                <wp:simplePos x="0" y="0"/>
                <wp:positionH relativeFrom="page">
                  <wp:posOffset>1043940</wp:posOffset>
                </wp:positionH>
                <wp:positionV relativeFrom="paragraph">
                  <wp:posOffset>236855</wp:posOffset>
                </wp:positionV>
                <wp:extent cx="1829435" cy="0"/>
                <wp:effectExtent l="0" t="0" r="0" b="0"/>
                <wp:wrapTopAndBottom/>
                <wp:docPr id="20" name="直线 66"/>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66" o:spid="_x0000_s1026" o:spt="20" style="position:absolute;left:0pt;margin-left:82.2pt;margin-top:18.65pt;height:0pt;width:144.05pt;mso-position-horizontal-relative:page;mso-wrap-distance-bottom:0pt;mso-wrap-distance-top:0pt;z-index:251644928;mso-width-relative:page;mso-height-relative:page;" filled="f" stroked="t" coordsize="21600,21600" o:gfxdata="UEsFBgAAAAAAAAAAAAAAAAAAAAAAAFBLAwQKAAAAAACHTuJAAAAAAAAAAAAAAAAABAAAAGRycy9Q&#10;SwMEFAAAAAgAh07iQGUQSMPYAAAACQEAAA8AAABkcnMvZG93bnJldi54bWxNj8FOwkAQhu8mvsNm&#10;SLjJFihQa7ccJJpwMEYgnpfu2JZ2Z5vuQuHtHeNBj//Ml3++ydZX24oL9r52pGA6iUAgFc7UVCo4&#10;7F8eEhA+aDK6dYQKbuhhnd/fZTo1bqAPvOxCKbiEfKoVVCF0qZS+qNBqP3EdEu++XG914NiX0vR6&#10;4HLbylkULaXVNfGFSnf4XGHR7M5WwVsiN+69+Sxup2H/miTb5nG1PSg1Hk2jJxABr+EPhh99Voec&#10;nY7uTMaLlvMyjhlVMF/NQTAQL2YLEMffgcwz+f+D/BtQSwMEFAAAAAgAh07iQGFafdnQAQAAkgMA&#10;AA4AAABkcnMvZTJvRG9jLnhtbK1TS44TMRDdI3EHy3vSnQDRTCudWRCGDYKRBg5Q8afbkn9yOenk&#10;LFyDFRuOM9eg7GQyfDYIkYVTdpVfvfdcvbo5OMv2KqEJvufzWcuZ8iJI44eef/50++KKM8zgJdjg&#10;Vc+PCvnN+vmz1RQ7tQhjsFIlRiAeuyn2fMw5dk2DYlQOcBai8pTUITnItE1DIxNMhO5ss2jbZTOF&#10;JGMKQiHS6eaU5OuKr7US+aPWqDKzPSduua6prtuyNusVdEOCOBpxpgH/wMKB8dT0ArWBDGyXzB9Q&#10;zogUMOg8E8E1QWsjVNVAaubtb2ruR4iqaiFzMF5swv8HKz7s7xIzsucLsseDozd6+PL14dt3tlwW&#10;d6aIHRXdx7t03iGFRepBJ1f+SQQ7VEePF0fVITNBh/OrxfWrl685E4+55uliTJjfqeBYCXpujS9i&#10;oYP9e8zUjEofS8qx9Wzq+bK9XhIc0KxoC5lCF4k9+qHexWCNvDXWlhuYhu0bm9geyuvXX5FEuL+U&#10;lSYbwPFUV1OnuRgVyLdesnyMZIunAeaFglOSM6to3ktEgNBlMPZvKqm19cSguHrysUTbII/0CruY&#10;zDCSEzntVCVakvTwlfJ5SMtk/byvYE+f0v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ZRBIw9gA&#10;AAAJAQAADwAAAAAAAAABACAAAAA4AAAAZHJzL2Rvd25yZXYueG1sUEsBAhQAFAAAAAgAh07iQGFa&#10;fdnQAQAAkgMAAA4AAAAAAAAAAQAgAAAAPQEAAGRycy9lMm9Eb2MueG1sUEsFBgAAAAAGAAYAWQEA&#10;AH8FAAAAAA==&#10;">
                <v:fill on="f" focussize="0,0"/>
                <v:stroke weight="0.48pt" color="#000000" joinstyle="round"/>
                <v:imagedata o:title=""/>
                <o:lock v:ext="edit" aspectratio="f"/>
                <w10:wrap type="topAndBottom"/>
              </v:line>
            </w:pict>
          </mc:Fallback>
        </mc:AlternateContent>
      </w:r>
    </w:p>
    <w:p>
      <w:pPr>
        <w:spacing w:before="148" w:line="331" w:lineRule="auto"/>
        <w:ind w:left="635" w:right="387" w:hanging="212"/>
        <w:rPr>
          <w:sz w:val="18"/>
        </w:rPr>
      </w:pPr>
      <w:r>
        <w:rPr>
          <w:position w:val="8"/>
          <w:sz w:val="9"/>
        </w:rPr>
        <w:t xml:space="preserve">① </w:t>
      </w:r>
      <w:r>
        <w:rPr>
          <w:sz w:val="18"/>
        </w:rPr>
        <w:t>招标人可依据招标项目特点和实际需要，选择或制定适合项目的评标基准价计算方法。与评标基准价计算或评标价得分计算相关的所有系数（如有），其具体数值或随机抽取的数值区间均应在评标办法中予以明确。</w:t>
      </w:r>
    </w:p>
    <w:p>
      <w:pPr>
        <w:spacing w:line="331" w:lineRule="auto"/>
        <w:rPr>
          <w:sz w:val="18"/>
        </w:rPr>
        <w:sectPr>
          <w:pgSz w:w="11910" w:h="16850"/>
          <w:pgMar w:top="1480" w:right="1200" w:bottom="1040" w:left="1220" w:header="876" w:footer="853" w:gutter="0"/>
          <w:cols w:space="720" w:num="1"/>
        </w:sectPr>
      </w:pPr>
    </w:p>
    <w:p>
      <w:pPr>
        <w:pStyle w:val="11"/>
        <w:spacing w:before="5"/>
        <w:rPr>
          <w:sz w:val="22"/>
        </w:rPr>
      </w:pPr>
    </w:p>
    <w:p>
      <w:pPr>
        <w:numPr>
          <w:ilvl w:val="0"/>
          <w:numId w:val="10"/>
        </w:numPr>
        <w:tabs>
          <w:tab w:val="left" w:pos="845"/>
        </w:tabs>
        <w:spacing w:before="62"/>
        <w:rPr>
          <w:rFonts w:ascii="黑体" w:eastAsia="黑体"/>
          <w:sz w:val="28"/>
        </w:rPr>
      </w:pPr>
      <w:bookmarkStart w:id="83" w:name="_bookmark95"/>
      <w:bookmarkEnd w:id="83"/>
      <w:r>
        <w:rPr>
          <w:rFonts w:hint="eastAsia" w:ascii="黑体" w:eastAsia="黑体"/>
          <w:sz w:val="28"/>
        </w:rPr>
        <w:t>评标方法</w:t>
      </w:r>
    </w:p>
    <w:p>
      <w:pPr>
        <w:pStyle w:val="11"/>
        <w:spacing w:before="11"/>
        <w:rPr>
          <w:rFonts w:ascii="黑体"/>
          <w:sz w:val="25"/>
        </w:rPr>
      </w:pPr>
    </w:p>
    <w:p>
      <w:pPr>
        <w:pStyle w:val="11"/>
        <w:spacing w:line="312" w:lineRule="auto"/>
        <w:ind w:left="424" w:right="263" w:firstLine="479"/>
      </w:pPr>
      <w:r>
        <w:rPr>
          <w:spacing w:val="-7"/>
        </w:rPr>
        <w:t xml:space="preserve">本次评标采用合理低价法。评标委员会对满足招标文件实质性要求的投标文件， </w:t>
      </w:r>
      <w:r>
        <w:rPr>
          <w:spacing w:val="-8"/>
        </w:rPr>
        <w:t xml:space="preserve">按照本章第 </w:t>
      </w:r>
      <w:r>
        <w:rPr>
          <w:rFonts w:ascii="Times New Roman" w:eastAsia="Times New Roman"/>
        </w:rPr>
        <w:t xml:space="preserve">2.2 </w:t>
      </w:r>
      <w: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11"/>
        <w:spacing w:before="4"/>
        <w:rPr>
          <w:sz w:val="21"/>
        </w:rPr>
      </w:pPr>
    </w:p>
    <w:p>
      <w:pPr>
        <w:numPr>
          <w:ilvl w:val="0"/>
          <w:numId w:val="10"/>
        </w:numPr>
        <w:tabs>
          <w:tab w:val="left" w:pos="845"/>
        </w:tabs>
        <w:rPr>
          <w:rFonts w:ascii="黑体" w:eastAsia="黑体"/>
          <w:sz w:val="28"/>
        </w:rPr>
      </w:pPr>
      <w:bookmarkStart w:id="84" w:name="_bookmark96"/>
      <w:bookmarkEnd w:id="84"/>
      <w:r>
        <w:rPr>
          <w:rFonts w:hint="eastAsia" w:ascii="黑体" w:eastAsia="黑体"/>
          <w:sz w:val="28"/>
        </w:rPr>
        <w:t>评审标准</w:t>
      </w:r>
    </w:p>
    <w:p>
      <w:pPr>
        <w:pStyle w:val="20"/>
        <w:numPr>
          <w:ilvl w:val="1"/>
          <w:numId w:val="10"/>
        </w:numPr>
        <w:tabs>
          <w:tab w:val="left" w:pos="905"/>
        </w:tabs>
        <w:spacing w:before="246"/>
        <w:rPr>
          <w:rFonts w:ascii="黑体" w:eastAsia="黑体"/>
          <w:sz w:val="24"/>
        </w:rPr>
      </w:pPr>
      <w:bookmarkStart w:id="85" w:name="_bookmark97"/>
      <w:bookmarkEnd w:id="85"/>
      <w:r>
        <w:rPr>
          <w:rFonts w:hint="eastAsia" w:ascii="黑体" w:eastAsia="黑体"/>
          <w:sz w:val="24"/>
        </w:rPr>
        <w:t>初步评审标准</w:t>
      </w:r>
    </w:p>
    <w:p>
      <w:pPr>
        <w:pStyle w:val="11"/>
        <w:spacing w:before="12"/>
        <w:rPr>
          <w:rFonts w:ascii="黑体"/>
          <w:sz w:val="27"/>
        </w:rPr>
      </w:pPr>
    </w:p>
    <w:p>
      <w:pPr>
        <w:pStyle w:val="11"/>
        <w:ind w:left="904"/>
        <w:rPr>
          <w:rFonts w:ascii="Times New Roman"/>
        </w:rPr>
      </w:pPr>
      <w:r>
        <w:rPr>
          <w:rFonts w:ascii="Times New Roman"/>
        </w:rPr>
        <w:t>2.1.1</w:t>
      </w:r>
    </w:p>
    <w:p>
      <w:pPr>
        <w:pStyle w:val="11"/>
        <w:spacing w:before="125"/>
        <w:ind w:left="904"/>
        <w:rPr>
          <w:rFonts w:ascii="Times New Roman"/>
        </w:rPr>
      </w:pPr>
      <w:r>
        <w:rPr>
          <w:rFonts w:ascii="Times New Roman"/>
        </w:rPr>
        <w:t>2.1.2</w:t>
      </w:r>
    </w:p>
    <w:p>
      <w:pPr>
        <w:pStyle w:val="11"/>
        <w:spacing w:before="97" w:line="312" w:lineRule="auto"/>
        <w:ind w:left="424" w:right="383" w:firstLine="479"/>
      </w:pPr>
      <w:r>
        <w:rPr>
          <w:rFonts w:ascii="Times New Roman" w:hAnsi="Times New Roman" w:eastAsia="Times New Roman"/>
        </w:rPr>
        <w:t xml:space="preserve">2.1.2 </w:t>
      </w:r>
      <w:r>
        <w:rPr>
          <w:spacing w:val="-5"/>
        </w:rPr>
        <w:t>资格评审标准：见资格预审文件第三章</w:t>
      </w:r>
      <w:r>
        <w:rPr>
          <w:rFonts w:ascii="Times New Roman" w:hAnsi="Times New Roman" w:eastAsia="Times New Roman"/>
        </w:rPr>
        <w:t>“</w:t>
      </w:r>
      <w:r>
        <w:t>资格审查办法</w:t>
      </w:r>
      <w:r>
        <w:rPr>
          <w:rFonts w:ascii="Times New Roman" w:hAnsi="Times New Roman" w:eastAsia="Times New Roman"/>
        </w:rPr>
        <w:t>”</w:t>
      </w:r>
      <w:r>
        <w:rPr>
          <w:spacing w:val="-5"/>
        </w:rPr>
        <w:t>详细审查标准</w:t>
      </w:r>
      <w:r>
        <w:t>（适用于已进行资格预审的</w:t>
      </w:r>
      <w:r>
        <w:rPr>
          <w:spacing w:val="-120"/>
        </w:rPr>
        <w:t>）</w:t>
      </w:r>
      <w:r>
        <w:t>。</w:t>
      </w:r>
    </w:p>
    <w:p>
      <w:pPr>
        <w:pStyle w:val="11"/>
        <w:spacing w:before="28"/>
        <w:ind w:left="904"/>
        <w:rPr>
          <w:rFonts w:ascii="Times New Roman"/>
        </w:rPr>
      </w:pPr>
      <w:r>
        <w:rPr>
          <w:rFonts w:ascii="Times New Roman"/>
        </w:rPr>
        <w:t>2.1.3</w:t>
      </w:r>
    </w:p>
    <w:p>
      <w:pPr>
        <w:pStyle w:val="11"/>
        <w:spacing w:before="7"/>
        <w:rPr>
          <w:rFonts w:ascii="Times New Roman"/>
          <w:sz w:val="21"/>
        </w:rPr>
      </w:pPr>
    </w:p>
    <w:p>
      <w:pPr>
        <w:pStyle w:val="20"/>
        <w:numPr>
          <w:ilvl w:val="1"/>
          <w:numId w:val="10"/>
        </w:numPr>
        <w:tabs>
          <w:tab w:val="left" w:pos="905"/>
        </w:tabs>
        <w:rPr>
          <w:rFonts w:ascii="黑体" w:eastAsia="黑体"/>
          <w:sz w:val="24"/>
        </w:rPr>
      </w:pPr>
      <w:bookmarkStart w:id="86" w:name="_bookmark98"/>
      <w:bookmarkEnd w:id="86"/>
      <w:r>
        <w:rPr>
          <w:rFonts w:hint="eastAsia" w:ascii="黑体" w:eastAsia="黑体"/>
          <w:sz w:val="24"/>
        </w:rPr>
        <w:t>分值构成与评分标准</w:t>
      </w:r>
    </w:p>
    <w:p>
      <w:pPr>
        <w:pStyle w:val="11"/>
        <w:spacing w:before="10"/>
        <w:rPr>
          <w:rFonts w:ascii="黑体"/>
          <w:sz w:val="25"/>
        </w:rPr>
      </w:pPr>
    </w:p>
    <w:p>
      <w:pPr>
        <w:pStyle w:val="20"/>
        <w:numPr>
          <w:ilvl w:val="2"/>
          <w:numId w:val="10"/>
        </w:numPr>
        <w:tabs>
          <w:tab w:val="left" w:pos="1505"/>
        </w:tabs>
        <w:rPr>
          <w:rFonts w:ascii="黑体" w:eastAsia="黑体"/>
          <w:sz w:val="24"/>
        </w:rPr>
      </w:pPr>
      <w:r>
        <w:rPr>
          <w:rFonts w:hint="eastAsia" w:ascii="黑体" w:eastAsia="黑体"/>
          <w:sz w:val="24"/>
        </w:rPr>
        <w:t>分值构成</w:t>
      </w:r>
    </w:p>
    <w:p>
      <w:pPr>
        <w:pStyle w:val="11"/>
        <w:spacing w:before="94"/>
        <w:ind w:left="904"/>
      </w:pPr>
      <w:r>
        <w:t>评标价：见评标办法前附表。</w:t>
      </w:r>
    </w:p>
    <w:p>
      <w:pPr>
        <w:pStyle w:val="20"/>
        <w:numPr>
          <w:ilvl w:val="2"/>
          <w:numId w:val="10"/>
        </w:numPr>
        <w:tabs>
          <w:tab w:val="left" w:pos="1505"/>
        </w:tabs>
        <w:spacing w:before="93"/>
        <w:rPr>
          <w:rFonts w:ascii="黑体" w:eastAsia="黑体"/>
          <w:sz w:val="24"/>
        </w:rPr>
      </w:pPr>
      <w:r>
        <w:rPr>
          <w:rFonts w:hint="eastAsia" w:ascii="黑体" w:eastAsia="黑体"/>
          <w:sz w:val="24"/>
        </w:rPr>
        <w:t>评标基准价计算</w:t>
      </w:r>
    </w:p>
    <w:p>
      <w:pPr>
        <w:pStyle w:val="11"/>
        <w:spacing w:before="91"/>
        <w:ind w:left="904"/>
      </w:pPr>
      <w:r>
        <w:t>评标基准价计算方法：见评标办法前附表。</w:t>
      </w:r>
    </w:p>
    <w:p>
      <w:pPr>
        <w:pStyle w:val="20"/>
        <w:numPr>
          <w:ilvl w:val="2"/>
          <w:numId w:val="10"/>
        </w:numPr>
        <w:tabs>
          <w:tab w:val="left" w:pos="1505"/>
        </w:tabs>
        <w:spacing w:before="93"/>
        <w:rPr>
          <w:rFonts w:ascii="黑体" w:eastAsia="黑体"/>
          <w:sz w:val="24"/>
        </w:rPr>
      </w:pPr>
      <w:r>
        <w:rPr>
          <w:rFonts w:hint="eastAsia" w:ascii="黑体" w:eastAsia="黑体"/>
          <w:sz w:val="24"/>
        </w:rPr>
        <w:t>评标价的偏差率计算</w:t>
      </w:r>
    </w:p>
    <w:p>
      <w:pPr>
        <w:pStyle w:val="11"/>
        <w:spacing w:before="94"/>
        <w:ind w:left="904"/>
      </w:pPr>
      <w:r>
        <w:t>评标价的偏差率计算公式：见评标办法前附表。</w:t>
      </w:r>
    </w:p>
    <w:p>
      <w:pPr>
        <w:pStyle w:val="20"/>
        <w:numPr>
          <w:ilvl w:val="2"/>
          <w:numId w:val="10"/>
        </w:numPr>
        <w:tabs>
          <w:tab w:val="left" w:pos="1505"/>
        </w:tabs>
        <w:spacing w:before="91"/>
        <w:rPr>
          <w:rFonts w:ascii="黑体" w:eastAsia="黑体"/>
          <w:sz w:val="24"/>
        </w:rPr>
      </w:pPr>
      <w:r>
        <w:rPr>
          <w:rFonts w:hint="eastAsia" w:ascii="黑体" w:eastAsia="黑体"/>
          <w:sz w:val="24"/>
        </w:rPr>
        <w:t>评分标准</w:t>
      </w:r>
    </w:p>
    <w:p>
      <w:pPr>
        <w:pStyle w:val="11"/>
        <w:spacing w:before="93"/>
        <w:ind w:left="904"/>
      </w:pPr>
      <w:r>
        <w:t>评标价评分标准：见评标办法前附表。</w:t>
      </w:r>
    </w:p>
    <w:p>
      <w:pPr>
        <w:pStyle w:val="11"/>
        <w:spacing w:before="7"/>
        <w:rPr>
          <w:sz w:val="28"/>
        </w:rPr>
      </w:pPr>
    </w:p>
    <w:p>
      <w:pPr>
        <w:numPr>
          <w:ilvl w:val="0"/>
          <w:numId w:val="10"/>
        </w:numPr>
        <w:tabs>
          <w:tab w:val="left" w:pos="845"/>
        </w:tabs>
        <w:rPr>
          <w:rFonts w:ascii="黑体" w:eastAsia="黑体"/>
          <w:sz w:val="28"/>
        </w:rPr>
      </w:pPr>
      <w:bookmarkStart w:id="87" w:name="_bookmark99"/>
      <w:bookmarkEnd w:id="87"/>
      <w:r>
        <w:rPr>
          <w:rFonts w:hint="eastAsia" w:ascii="黑体" w:eastAsia="黑体"/>
          <w:sz w:val="28"/>
        </w:rPr>
        <w:t>评标程序</w:t>
      </w:r>
    </w:p>
    <w:p>
      <w:pPr>
        <w:pStyle w:val="20"/>
        <w:numPr>
          <w:ilvl w:val="1"/>
          <w:numId w:val="10"/>
        </w:numPr>
        <w:tabs>
          <w:tab w:val="left" w:pos="905"/>
        </w:tabs>
        <w:spacing w:before="243"/>
        <w:rPr>
          <w:rFonts w:ascii="黑体" w:eastAsia="黑体"/>
          <w:sz w:val="24"/>
        </w:rPr>
      </w:pPr>
      <w:bookmarkStart w:id="88" w:name="_bookmark100"/>
      <w:bookmarkEnd w:id="88"/>
      <w:r>
        <w:rPr>
          <w:rFonts w:hint="eastAsia" w:ascii="黑体" w:eastAsia="黑体"/>
          <w:sz w:val="24"/>
        </w:rPr>
        <w:t>第一个信封初步评审</w:t>
      </w:r>
    </w:p>
    <w:p>
      <w:pPr>
        <w:pStyle w:val="11"/>
        <w:rPr>
          <w:rFonts w:ascii="黑体"/>
          <w:sz w:val="26"/>
        </w:rPr>
      </w:pPr>
    </w:p>
    <w:p>
      <w:pPr>
        <w:pStyle w:val="20"/>
        <w:numPr>
          <w:ilvl w:val="2"/>
          <w:numId w:val="10"/>
        </w:numPr>
        <w:tabs>
          <w:tab w:val="left" w:pos="1505"/>
        </w:tabs>
        <w:spacing w:line="312" w:lineRule="auto"/>
        <w:ind w:left="424" w:right="382" w:firstLine="480"/>
        <w:jc w:val="both"/>
        <w:rPr>
          <w:sz w:val="24"/>
        </w:rPr>
      </w:pPr>
      <w:r>
        <w:rPr>
          <w:sz w:val="24"/>
        </w:rPr>
        <w:t>评标委员会可以要求投标人提交第二章</w:t>
      </w:r>
      <w:r>
        <w:rPr>
          <w:rFonts w:ascii="Times New Roman" w:hAnsi="Times New Roman" w:eastAsia="Times New Roman"/>
          <w:sz w:val="24"/>
        </w:rPr>
        <w:t>“</w:t>
      </w:r>
      <w:r>
        <w:rPr>
          <w:sz w:val="24"/>
        </w:rPr>
        <w:t>投标人须知</w:t>
      </w:r>
      <w:r>
        <w:rPr>
          <w:rFonts w:ascii="Times New Roman" w:hAnsi="Times New Roman" w:eastAsia="Times New Roman"/>
          <w:sz w:val="24"/>
        </w:rPr>
        <w:t>”</w:t>
      </w:r>
      <w:r>
        <w:rPr>
          <w:spacing w:val="-31"/>
          <w:sz w:val="24"/>
        </w:rPr>
        <w:t xml:space="preserve">第 </w:t>
      </w:r>
      <w:r>
        <w:rPr>
          <w:rFonts w:ascii="Times New Roman" w:hAnsi="Times New Roman" w:eastAsia="Times New Roman"/>
          <w:sz w:val="24"/>
        </w:rPr>
        <w:t>3.5.1</w:t>
      </w:r>
      <w:r>
        <w:rPr>
          <w:rFonts w:ascii="Times New Roman" w:hAnsi="Times New Roman" w:eastAsia="Times New Roman"/>
          <w:spacing w:val="1"/>
          <w:sz w:val="24"/>
        </w:rPr>
        <w:t xml:space="preserve"> </w:t>
      </w:r>
      <w:r>
        <w:rPr>
          <w:spacing w:val="-16"/>
          <w:sz w:val="24"/>
        </w:rPr>
        <w:t xml:space="preserve">项至第 </w:t>
      </w:r>
      <w:r>
        <w:rPr>
          <w:rFonts w:ascii="Times New Roman" w:hAnsi="Times New Roman" w:eastAsia="Times New Roman"/>
          <w:sz w:val="24"/>
        </w:rPr>
        <w:t xml:space="preserve">3.5.6 </w:t>
      </w:r>
      <w:r>
        <w:rPr>
          <w:spacing w:val="-1"/>
          <w:sz w:val="24"/>
        </w:rPr>
        <w:t xml:space="preserve">项规定的有关证明和证件的原件，以便核验。评标委员会依据本章第 </w:t>
      </w:r>
      <w:r>
        <w:rPr>
          <w:rFonts w:ascii="Times New Roman" w:hAnsi="Times New Roman" w:eastAsia="Times New Roman"/>
          <w:sz w:val="24"/>
        </w:rPr>
        <w:t>2.1</w:t>
      </w:r>
      <w:r>
        <w:rPr>
          <w:rFonts w:ascii="Times New Roman" w:hAnsi="Times New Roman" w:eastAsia="Times New Roman"/>
          <w:spacing w:val="47"/>
          <w:sz w:val="24"/>
        </w:rPr>
        <w:t xml:space="preserve"> </w:t>
      </w:r>
      <w:r>
        <w:rPr>
          <w:sz w:val="24"/>
        </w:rPr>
        <w:t>款规定的标准对投标文件第一个信封（商务及技术文件）进行初步评审。有一项不符合评审</w:t>
      </w:r>
      <w:r>
        <w:rPr>
          <w:spacing w:val="-8"/>
          <w:sz w:val="24"/>
        </w:rPr>
        <w:t>标准的，评标委员会应否决其投标。</w:t>
      </w:r>
      <w:r>
        <w:rPr>
          <w:sz w:val="24"/>
        </w:rPr>
        <w:t>（适用于未进行资格预审的）</w:t>
      </w:r>
    </w:p>
    <w:p>
      <w:pPr>
        <w:spacing w:line="312" w:lineRule="auto"/>
        <w:jc w:val="both"/>
        <w:rPr>
          <w:sz w:val="24"/>
        </w:rPr>
        <w:sectPr>
          <w:pgSz w:w="11910" w:h="16850"/>
          <w:pgMar w:top="1480" w:right="1200" w:bottom="1080" w:left="1220" w:header="883" w:footer="884" w:gutter="0"/>
          <w:cols w:space="720" w:num="1"/>
        </w:sectPr>
      </w:pPr>
    </w:p>
    <w:p>
      <w:pPr>
        <w:pStyle w:val="11"/>
        <w:spacing w:before="7"/>
        <w:rPr>
          <w:sz w:val="9"/>
        </w:rPr>
      </w:pPr>
    </w:p>
    <w:p>
      <w:pPr>
        <w:pStyle w:val="11"/>
        <w:spacing w:before="74" w:line="312" w:lineRule="auto"/>
        <w:ind w:left="424" w:right="262" w:firstLine="479"/>
        <w:jc w:val="both"/>
      </w:pPr>
      <w:r>
        <w:rPr>
          <w:rFonts w:ascii="Times New Roman" w:eastAsia="Times New Roman"/>
        </w:rPr>
        <w:t xml:space="preserve">3.1.1 </w:t>
      </w:r>
      <w:r>
        <w:rPr>
          <w:spacing w:val="-6"/>
        </w:rPr>
        <w:t xml:space="preserve">评标委员会依据本章第 </w:t>
      </w:r>
      <w:r>
        <w:rPr>
          <w:rFonts w:ascii="Times New Roman" w:eastAsia="Times New Roman"/>
        </w:rPr>
        <w:t xml:space="preserve">2.1.1 </w:t>
      </w:r>
      <w:r>
        <w:rPr>
          <w:spacing w:val="-36"/>
        </w:rPr>
        <w:t xml:space="preserve">项、第 </w:t>
      </w:r>
      <w:r>
        <w:rPr>
          <w:rFonts w:ascii="Times New Roman" w:eastAsia="Times New Roman"/>
        </w:rPr>
        <w:t xml:space="preserve">2.1.3 </w:t>
      </w:r>
      <w:r>
        <w:t>项规定的评审标准对投标文件第一个信封（商务及技术文件）进行初步评审。有一项不符合评审标准的，评标委员会应否决其投标。当投标人资格预审申请文件的内容发生重大变化时，评标委员会</w:t>
      </w:r>
      <w:r>
        <w:rPr>
          <w:spacing w:val="-11"/>
        </w:rPr>
        <w:t xml:space="preserve">依据本章第 </w:t>
      </w:r>
      <w:r>
        <w:rPr>
          <w:rFonts w:ascii="Times New Roman" w:eastAsia="Times New Roman"/>
        </w:rPr>
        <w:t xml:space="preserve">2.1.2 </w:t>
      </w:r>
      <w:r>
        <w:t>项规定的标准对其更新资料进行评审</w:t>
      </w:r>
      <w:r>
        <w:rPr>
          <w:spacing w:val="-203"/>
        </w:rPr>
        <w:t>。</w:t>
      </w:r>
      <w:r>
        <w:t>（适用于已进行资格预审的）</w:t>
      </w:r>
    </w:p>
    <w:p>
      <w:pPr>
        <w:pStyle w:val="20"/>
        <w:numPr>
          <w:ilvl w:val="1"/>
          <w:numId w:val="10"/>
        </w:numPr>
        <w:tabs>
          <w:tab w:val="left" w:pos="905"/>
        </w:tabs>
        <w:spacing w:before="151"/>
        <w:rPr>
          <w:rFonts w:ascii="黑体" w:eastAsia="黑体"/>
          <w:sz w:val="24"/>
        </w:rPr>
      </w:pPr>
      <w:bookmarkStart w:id="89" w:name="_bookmark101"/>
      <w:bookmarkEnd w:id="89"/>
      <w:r>
        <w:rPr>
          <w:rFonts w:hint="eastAsia" w:ascii="黑体" w:eastAsia="黑体"/>
          <w:sz w:val="24"/>
        </w:rPr>
        <w:t>第二个信封开标</w:t>
      </w:r>
    </w:p>
    <w:p>
      <w:pPr>
        <w:pStyle w:val="11"/>
        <w:rPr>
          <w:rFonts w:ascii="黑体"/>
          <w:sz w:val="26"/>
        </w:rPr>
      </w:pPr>
    </w:p>
    <w:p>
      <w:pPr>
        <w:pStyle w:val="11"/>
        <w:spacing w:line="312" w:lineRule="auto"/>
        <w:ind w:left="424" w:right="384" w:firstLine="479"/>
        <w:jc w:val="both"/>
      </w:pPr>
      <w:r>
        <w:rPr>
          <w:spacing w:val="-12"/>
        </w:rPr>
        <w:t>第一个信封</w:t>
      </w:r>
      <w:r>
        <w:t>（商务及技术文件</w:t>
      </w:r>
      <w:r>
        <w:rPr>
          <w:spacing w:val="-60"/>
        </w:rPr>
        <w:t>）</w:t>
      </w:r>
      <w:r>
        <w:rPr>
          <w:spacing w:val="-8"/>
        </w:rPr>
        <w:t>评审结束后，招标人将按照第二章</w:t>
      </w:r>
      <w:r>
        <w:rPr>
          <w:rFonts w:ascii="Times New Roman" w:hAnsi="Times New Roman" w:eastAsia="Times New Roman"/>
        </w:rPr>
        <w:t>“</w:t>
      </w:r>
      <w:r>
        <w:t>投标人须知</w:t>
      </w:r>
      <w:r>
        <w:rPr>
          <w:rFonts w:ascii="Times New Roman" w:hAnsi="Times New Roman" w:eastAsia="Times New Roman"/>
        </w:rPr>
        <w:t xml:space="preserve">” </w:t>
      </w:r>
      <w:r>
        <w:rPr>
          <w:spacing w:val="-6"/>
        </w:rPr>
        <w:t xml:space="preserve">第 </w:t>
      </w:r>
      <w:r>
        <w:rPr>
          <w:rFonts w:ascii="Times New Roman" w:hAnsi="Times New Roman" w:eastAsia="Times New Roman"/>
        </w:rPr>
        <w:t xml:space="preserve">5.1 </w:t>
      </w:r>
      <w:r>
        <w:t>款规定的时间和地点对通过投标文件第一个信封（商务及技术文件）评审的投标文件第二个信封（报价文件）进行开标。</w:t>
      </w:r>
    </w:p>
    <w:p>
      <w:pPr>
        <w:pStyle w:val="20"/>
        <w:numPr>
          <w:ilvl w:val="1"/>
          <w:numId w:val="10"/>
        </w:numPr>
        <w:tabs>
          <w:tab w:val="left" w:pos="905"/>
        </w:tabs>
        <w:spacing w:before="153"/>
        <w:rPr>
          <w:rFonts w:ascii="黑体" w:eastAsia="黑体"/>
          <w:sz w:val="24"/>
        </w:rPr>
      </w:pPr>
      <w:bookmarkStart w:id="90" w:name="_bookmark102"/>
      <w:bookmarkEnd w:id="90"/>
      <w:r>
        <w:rPr>
          <w:rFonts w:hint="eastAsia" w:ascii="黑体" w:eastAsia="黑体"/>
          <w:sz w:val="24"/>
        </w:rPr>
        <w:t>第二个信封初步评审</w:t>
      </w:r>
    </w:p>
    <w:p>
      <w:pPr>
        <w:pStyle w:val="11"/>
        <w:rPr>
          <w:rFonts w:ascii="黑体"/>
          <w:sz w:val="26"/>
        </w:rPr>
      </w:pPr>
    </w:p>
    <w:p>
      <w:pPr>
        <w:pStyle w:val="20"/>
        <w:numPr>
          <w:ilvl w:val="2"/>
          <w:numId w:val="10"/>
        </w:numPr>
        <w:tabs>
          <w:tab w:val="left" w:pos="1505"/>
        </w:tabs>
        <w:spacing w:line="312" w:lineRule="auto"/>
        <w:ind w:left="424" w:right="382" w:firstLine="480"/>
        <w:jc w:val="both"/>
        <w:rPr>
          <w:sz w:val="24"/>
        </w:rPr>
      </w:pPr>
      <w:r>
        <w:rPr>
          <w:spacing w:val="-6"/>
          <w:sz w:val="24"/>
        </w:rPr>
        <w:t xml:space="preserve">评标委员会依据本章第 </w:t>
      </w:r>
      <w:r>
        <w:rPr>
          <w:rFonts w:ascii="Times New Roman" w:eastAsia="Times New Roman"/>
          <w:sz w:val="24"/>
        </w:rPr>
        <w:t xml:space="preserve">2.1.1 </w:t>
      </w:r>
      <w:r>
        <w:rPr>
          <w:spacing w:val="-36"/>
          <w:sz w:val="24"/>
        </w:rPr>
        <w:t xml:space="preserve">项、第 </w:t>
      </w:r>
      <w:r>
        <w:rPr>
          <w:rFonts w:ascii="Times New Roman" w:eastAsia="Times New Roman"/>
          <w:sz w:val="24"/>
        </w:rPr>
        <w:t xml:space="preserve">2.1.3 </w:t>
      </w:r>
      <w:r>
        <w:rPr>
          <w:sz w:val="24"/>
        </w:rPr>
        <w:t>项规定的评审标准对投标文件第二个信封（报价文件）进行初步评审。有一项不符合评审标准的，评标委员会应否决其投标。</w:t>
      </w:r>
    </w:p>
    <w:p>
      <w:pPr>
        <w:pStyle w:val="20"/>
        <w:numPr>
          <w:ilvl w:val="2"/>
          <w:numId w:val="10"/>
        </w:numPr>
        <w:tabs>
          <w:tab w:val="left" w:pos="1386"/>
        </w:tabs>
        <w:spacing w:before="1" w:line="312" w:lineRule="auto"/>
        <w:ind w:left="424" w:right="387" w:firstLine="480"/>
        <w:jc w:val="both"/>
        <w:rPr>
          <w:sz w:val="24"/>
        </w:rPr>
      </w:pPr>
      <w:r>
        <w:rPr>
          <w:spacing w:val="10"/>
          <w:position w:val="11"/>
          <w:sz w:val="12"/>
        </w:rPr>
        <w:t xml:space="preserve">① </w:t>
      </w:r>
      <w:r>
        <w:rPr>
          <w:sz w:val="24"/>
        </w:rPr>
        <w:t>投标报价有算术错误的，评标委员会按以下原则对投标报价进行修正， 修正的价格经投标人书面确认后具有约束力。投标人不接受修正价格的，评标委员会应否决其投标。</w:t>
      </w:r>
    </w:p>
    <w:p>
      <w:pPr>
        <w:pStyle w:val="11"/>
        <w:spacing w:before="1"/>
        <w:ind w:left="904"/>
      </w:pPr>
      <w:r>
        <w:t>（</w:t>
      </w:r>
      <w:r>
        <w:rPr>
          <w:rFonts w:ascii="Times New Roman" w:eastAsia="Times New Roman"/>
        </w:rPr>
        <w:t>1</w:t>
      </w:r>
      <w:r>
        <w:t>）投标文件中的大写金额与小写金额不一致的，以大写金额为准；</w:t>
      </w:r>
    </w:p>
    <w:p>
      <w:pPr>
        <w:pStyle w:val="11"/>
        <w:spacing w:before="91" w:line="312" w:lineRule="auto"/>
        <w:ind w:left="424" w:right="301" w:firstLine="479"/>
        <w:jc w:val="both"/>
      </w:pPr>
      <w:r>
        <w:t>（</w:t>
      </w:r>
      <w:r>
        <w:rPr>
          <w:rFonts w:ascii="Times New Roman" w:eastAsia="Times New Roman"/>
        </w:rPr>
        <w:t>2</w:t>
      </w:r>
      <w:r>
        <w:t>）总价金额与依据单价计算出的结果不一致的，以单价金额为准修正总价， 但单价金额小数点有明显错误的除外；</w:t>
      </w:r>
    </w:p>
    <w:p>
      <w:pPr>
        <w:pStyle w:val="11"/>
        <w:spacing w:before="2" w:line="312" w:lineRule="auto"/>
        <w:ind w:left="424" w:right="386" w:firstLine="479"/>
        <w:jc w:val="both"/>
      </w:pPr>
      <w:r>
        <w:rPr>
          <w:spacing w:val="-10"/>
        </w:rPr>
        <w:t>（</w:t>
      </w:r>
      <w:r>
        <w:rPr>
          <w:rFonts w:ascii="Times New Roman" w:eastAsia="Times New Roman"/>
          <w:spacing w:val="-10"/>
        </w:rPr>
        <w:t>3</w:t>
      </w:r>
      <w:r>
        <w:rPr>
          <w:spacing w:val="-10"/>
        </w:rPr>
        <w:t>）</w:t>
      </w:r>
      <w:r>
        <w:rPr>
          <w:spacing w:val="-4"/>
        </w:rPr>
        <w:t>当单价与数量相乘不等于合价时，以单价计算为准，如果单价有明显的小数点位置差错，应以标出的合价为准，同时对单价予以修正；</w:t>
      </w:r>
    </w:p>
    <w:p>
      <w:pPr>
        <w:pStyle w:val="11"/>
        <w:spacing w:line="314" w:lineRule="auto"/>
        <w:ind w:left="424" w:right="386" w:firstLine="479"/>
        <w:jc w:val="both"/>
      </w:pPr>
      <w:r>
        <w:rPr>
          <w:spacing w:val="-10"/>
        </w:rPr>
        <w:t>（</w:t>
      </w:r>
      <w:r>
        <w:rPr>
          <w:rFonts w:ascii="Times New Roman" w:eastAsia="Times New Roman"/>
          <w:spacing w:val="-10"/>
        </w:rPr>
        <w:t>4</w:t>
      </w:r>
      <w:r>
        <w:rPr>
          <w:spacing w:val="-10"/>
        </w:rPr>
        <w:t>）</w:t>
      </w:r>
      <w:r>
        <w:rPr>
          <w:spacing w:val="-3"/>
        </w:rPr>
        <w:t>当各子目的合价累计不等于总价时，应以各子目合价累计数为准，修正总价。</w:t>
      </w:r>
    </w:p>
    <w:p>
      <w:pPr>
        <w:pStyle w:val="20"/>
        <w:numPr>
          <w:ilvl w:val="2"/>
          <w:numId w:val="10"/>
        </w:numPr>
        <w:tabs>
          <w:tab w:val="left" w:pos="1505"/>
        </w:tabs>
        <w:spacing w:line="312" w:lineRule="auto"/>
        <w:ind w:left="424" w:right="385" w:firstLine="480"/>
        <w:jc w:val="both"/>
        <w:rPr>
          <w:sz w:val="24"/>
        </w:rPr>
      </w:pPr>
      <w:r>
        <w:rPr>
          <w:spacing w:val="-5"/>
          <w:sz w:val="24"/>
        </w:rPr>
        <w:t>工程量清单中的投标报价有其他错误的，评标委员会按以下原则对投标报价进行修正，修正的价格经投标人书面确认后具有约束力。投标人不接受修正价格的，评标委员会应否决其投标。</w:t>
      </w:r>
    </w:p>
    <w:p>
      <w:pPr>
        <w:pStyle w:val="11"/>
        <w:spacing w:line="312" w:lineRule="auto"/>
        <w:ind w:left="424" w:right="266" w:firstLine="479"/>
      </w:pPr>
      <w:r>
        <w:t>（</w:t>
      </w:r>
      <w:r>
        <w:rPr>
          <w:rFonts w:ascii="Times New Roman" w:eastAsia="Times New Roman"/>
        </w:rPr>
        <w:t>1</w:t>
      </w:r>
      <w:r>
        <w:rPr>
          <w:spacing w:val="-104"/>
        </w:rPr>
        <w:t>）</w:t>
      </w:r>
      <w:r>
        <w:rPr>
          <w:spacing w:val="-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w:t>
      </w:r>
      <w:r>
        <w:t>和总额价之中。</w:t>
      </w:r>
    </w:p>
    <w:p>
      <w:pPr>
        <w:pStyle w:val="11"/>
        <w:spacing w:before="91" w:line="312" w:lineRule="auto"/>
        <w:ind w:left="424" w:right="266" w:firstLine="479"/>
      </w:pPr>
      <w:r>
        <w:t>（</w:t>
      </w:r>
      <w:r>
        <w:rPr>
          <w:rFonts w:ascii="Times New Roman" w:eastAsia="Times New Roman"/>
        </w:rPr>
        <w:t>2</w:t>
      </w:r>
      <w:r>
        <w:rPr>
          <w:spacing w:val="-104"/>
        </w:rPr>
        <w:t>）</w:t>
      </w:r>
      <w:r>
        <w:rPr>
          <w:spacing w:val="-4"/>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11"/>
        <w:spacing w:line="312" w:lineRule="auto"/>
        <w:ind w:left="424" w:right="305" w:firstLine="479"/>
      </w:pPr>
      <w:r>
        <w:t>（</w:t>
      </w:r>
      <w:r>
        <w:rPr>
          <w:rFonts w:ascii="Times New Roman" w:eastAsia="Times New Roman"/>
        </w:rPr>
        <w:t>3</w:t>
      </w:r>
      <w:r>
        <w:t>）当单价与数量的乘积与合价（金额）虽然一致，但投标人修改了该子目的工程数量，则其合价按招标人给定的工程数量乘以投标人所报单价予以修正。</w:t>
      </w:r>
    </w:p>
    <w:p>
      <w:pPr>
        <w:pStyle w:val="20"/>
        <w:numPr>
          <w:ilvl w:val="2"/>
          <w:numId w:val="10"/>
        </w:numPr>
        <w:tabs>
          <w:tab w:val="left" w:pos="1505"/>
        </w:tabs>
        <w:spacing w:before="2" w:line="312" w:lineRule="auto"/>
        <w:ind w:left="424" w:right="387" w:firstLine="480"/>
        <w:rPr>
          <w:sz w:val="24"/>
        </w:rPr>
      </w:pPr>
      <w:r>
        <w:rPr>
          <w:sz w:val="24"/>
        </w:rPr>
        <w:t>修正后的最终投标报价若超过最高投标限价</w:t>
      </w:r>
      <w:r>
        <w:rPr>
          <w:spacing w:val="1"/>
          <w:sz w:val="24"/>
        </w:rPr>
        <w:t>（</w:t>
      </w:r>
      <w:r>
        <w:rPr>
          <w:sz w:val="24"/>
        </w:rPr>
        <w:t>如有</w:t>
      </w:r>
      <w:r>
        <w:rPr>
          <w:spacing w:val="-120"/>
          <w:sz w:val="24"/>
        </w:rPr>
        <w:t>）</w:t>
      </w:r>
      <w:r>
        <w:rPr>
          <w:sz w:val="24"/>
        </w:rPr>
        <w:t>，评标委员会应否决其投标。</w:t>
      </w:r>
    </w:p>
    <w:p>
      <w:pPr>
        <w:pStyle w:val="20"/>
        <w:numPr>
          <w:ilvl w:val="2"/>
          <w:numId w:val="10"/>
        </w:numPr>
        <w:tabs>
          <w:tab w:val="left" w:pos="1505"/>
        </w:tabs>
        <w:spacing w:before="1" w:line="312" w:lineRule="auto"/>
        <w:ind w:left="424" w:right="385" w:firstLine="480"/>
        <w:rPr>
          <w:sz w:val="24"/>
        </w:rPr>
      </w:pPr>
      <w:r>
        <w:rPr>
          <w:spacing w:val="-4"/>
          <w:sz w:val="24"/>
        </w:rPr>
        <w:t>修正后的最终投标报价仅作为签订合同的一个依据，不参与评标价得分的计算。</w:t>
      </w:r>
    </w:p>
    <w:p>
      <w:pPr>
        <w:pStyle w:val="20"/>
        <w:numPr>
          <w:ilvl w:val="1"/>
          <w:numId w:val="10"/>
        </w:numPr>
        <w:tabs>
          <w:tab w:val="left" w:pos="905"/>
        </w:tabs>
        <w:spacing w:before="151"/>
        <w:rPr>
          <w:rFonts w:ascii="黑体" w:eastAsia="黑体"/>
          <w:sz w:val="24"/>
        </w:rPr>
      </w:pPr>
      <w:bookmarkStart w:id="91" w:name="_bookmark103"/>
      <w:bookmarkEnd w:id="91"/>
      <w:r>
        <w:rPr>
          <w:rFonts w:hint="eastAsia" w:ascii="黑体" w:eastAsia="黑体"/>
          <w:sz w:val="24"/>
        </w:rPr>
        <w:t>第二个信封详细评审</w:t>
      </w:r>
    </w:p>
    <w:p>
      <w:pPr>
        <w:pStyle w:val="11"/>
        <w:rPr>
          <w:rFonts w:ascii="黑体"/>
          <w:sz w:val="26"/>
        </w:rPr>
      </w:pPr>
    </w:p>
    <w:p>
      <w:pPr>
        <w:pStyle w:val="20"/>
        <w:numPr>
          <w:ilvl w:val="2"/>
          <w:numId w:val="10"/>
        </w:numPr>
        <w:tabs>
          <w:tab w:val="left" w:pos="1505"/>
        </w:tabs>
        <w:spacing w:line="312" w:lineRule="auto"/>
        <w:ind w:left="424" w:right="383" w:firstLine="480"/>
        <w:rPr>
          <w:sz w:val="24"/>
        </w:rPr>
      </w:pPr>
      <w:r>
        <w:rPr>
          <w:spacing w:val="-6"/>
          <w:sz w:val="24"/>
        </w:rPr>
        <w:t xml:space="preserve">评标委员会按本章第 </w:t>
      </w:r>
      <w:r>
        <w:rPr>
          <w:rFonts w:ascii="Times New Roman" w:eastAsia="Times New Roman"/>
          <w:sz w:val="24"/>
        </w:rPr>
        <w:t xml:space="preserve">2.2 </w:t>
      </w:r>
      <w:r>
        <w:rPr>
          <w:spacing w:val="-2"/>
          <w:sz w:val="24"/>
        </w:rPr>
        <w:t>款规定的量化因素和分值进行打分，并计算出综合评估得分（即评标价得分</w:t>
      </w:r>
      <w:r>
        <w:rPr>
          <w:spacing w:val="-120"/>
          <w:sz w:val="24"/>
        </w:rPr>
        <w:t>）</w:t>
      </w:r>
      <w:r>
        <w:rPr>
          <w:sz w:val="24"/>
        </w:rPr>
        <w:t>。</w:t>
      </w:r>
    </w:p>
    <w:p>
      <w:pPr>
        <w:pStyle w:val="20"/>
        <w:numPr>
          <w:ilvl w:val="2"/>
          <w:numId w:val="10"/>
        </w:numPr>
        <w:tabs>
          <w:tab w:val="left" w:pos="1505"/>
        </w:tabs>
        <w:spacing w:line="307" w:lineRule="exact"/>
        <w:ind w:left="424" w:firstLine="480"/>
        <w:rPr>
          <w:sz w:val="24"/>
        </w:rPr>
      </w:pPr>
      <w:r>
        <w:rPr>
          <w:sz w:val="24"/>
        </w:rPr>
        <w:t>投标人得分分值计算保留小数点后两位，小数点后第三位</w:t>
      </w:r>
      <w:r>
        <w:rPr>
          <w:rFonts w:ascii="Times New Roman" w:hAnsi="Times New Roman" w:eastAsia="Times New Roman"/>
          <w:sz w:val="24"/>
        </w:rPr>
        <w:t>“</w:t>
      </w:r>
      <w:r>
        <w:rPr>
          <w:sz w:val="24"/>
        </w:rPr>
        <w:t>四舍五入</w:t>
      </w:r>
      <w:r>
        <w:rPr>
          <w:rFonts w:ascii="Times New Roman" w:hAnsi="Times New Roman" w:eastAsia="Times New Roman"/>
          <w:sz w:val="24"/>
        </w:rPr>
        <w:t>”</w:t>
      </w:r>
      <w:r>
        <w:rPr>
          <w:sz w:val="24"/>
        </w:rPr>
        <w:t>。</w:t>
      </w:r>
    </w:p>
    <w:p>
      <w:pPr>
        <w:pStyle w:val="20"/>
        <w:numPr>
          <w:ilvl w:val="2"/>
          <w:numId w:val="10"/>
        </w:numPr>
        <w:tabs>
          <w:tab w:val="left" w:pos="1505"/>
        </w:tabs>
        <w:spacing w:before="94" w:line="312" w:lineRule="auto"/>
        <w:ind w:left="424" w:right="385" w:firstLine="480"/>
        <w:jc w:val="both"/>
        <w:rPr>
          <w:sz w:val="24"/>
        </w:rPr>
      </w:pPr>
      <w:r>
        <w:rPr>
          <w:spacing w:val="-4"/>
          <w:sz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20"/>
        <w:numPr>
          <w:ilvl w:val="1"/>
          <w:numId w:val="10"/>
        </w:numPr>
        <w:tabs>
          <w:tab w:val="left" w:pos="905"/>
        </w:tabs>
        <w:spacing w:before="153"/>
        <w:rPr>
          <w:rFonts w:ascii="黑体" w:eastAsia="黑体"/>
          <w:sz w:val="24"/>
        </w:rPr>
      </w:pPr>
      <w:bookmarkStart w:id="92" w:name="_bookmark104"/>
      <w:bookmarkEnd w:id="92"/>
      <w:r>
        <w:rPr>
          <w:rFonts w:hint="eastAsia" w:ascii="黑体" w:eastAsia="黑体"/>
          <w:sz w:val="24"/>
        </w:rPr>
        <w:t>投标文件相关信息的核查</w:t>
      </w:r>
    </w:p>
    <w:p>
      <w:pPr>
        <w:pStyle w:val="11"/>
        <w:spacing w:before="10"/>
        <w:rPr>
          <w:rFonts w:ascii="黑体"/>
          <w:sz w:val="25"/>
        </w:rPr>
      </w:pPr>
    </w:p>
    <w:p>
      <w:pPr>
        <w:pStyle w:val="20"/>
        <w:numPr>
          <w:ilvl w:val="2"/>
          <w:numId w:val="10"/>
        </w:numPr>
        <w:tabs>
          <w:tab w:val="left" w:pos="1505"/>
        </w:tabs>
        <w:spacing w:line="312" w:lineRule="auto"/>
        <w:ind w:left="424" w:right="385" w:firstLine="480"/>
        <w:jc w:val="both"/>
        <w:rPr>
          <w:sz w:val="24"/>
        </w:rPr>
      </w:pPr>
      <w:r>
        <w:rPr>
          <w:spacing w:val="-9"/>
          <w:sz w:val="24"/>
        </w:rPr>
        <w:t>在评标过程中，评标委员会应查询交通运输主管部门“公路建设市场信用</w:t>
      </w:r>
      <w:r>
        <w:rPr>
          <w:spacing w:val="-18"/>
          <w:sz w:val="24"/>
        </w:rPr>
        <w:t>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20"/>
        <w:numPr>
          <w:ilvl w:val="2"/>
          <w:numId w:val="10"/>
        </w:numPr>
        <w:tabs>
          <w:tab w:val="left" w:pos="1505"/>
        </w:tabs>
        <w:spacing w:before="4" w:line="312" w:lineRule="auto"/>
        <w:ind w:left="424" w:right="385" w:firstLine="480"/>
        <w:jc w:val="both"/>
        <w:rPr>
          <w:sz w:val="24"/>
        </w:rPr>
      </w:pPr>
      <w:r>
        <w:rPr>
          <w:spacing w:val="-4"/>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1"/>
        <w:ind w:left="904"/>
      </w:pPr>
      <w:r>
        <w:t>（</w:t>
      </w:r>
      <w:r>
        <w:rPr>
          <w:rFonts w:ascii="Times New Roman" w:eastAsia="Times New Roman"/>
        </w:rPr>
        <w:t>1</w:t>
      </w:r>
      <w:r>
        <w:t>）有下列情形之一的，属于投标人相互串通投标：</w:t>
      </w:r>
    </w:p>
    <w:p>
      <w:pPr>
        <w:pStyle w:val="11"/>
        <w:spacing w:before="91"/>
        <w:ind w:left="904"/>
      </w:pPr>
      <w:r>
        <w:rPr>
          <w:rFonts w:ascii="Times New Roman" w:eastAsia="Times New Roman"/>
        </w:rPr>
        <w:t>a.</w:t>
      </w:r>
      <w:r>
        <w:t>投标人之间协商投标报价等投标文件的实质性内容；</w:t>
      </w:r>
    </w:p>
    <w:p>
      <w:pPr>
        <w:pStyle w:val="11"/>
        <w:spacing w:before="94"/>
        <w:ind w:left="904"/>
      </w:pPr>
      <w:r>
        <w:rPr>
          <w:rFonts w:ascii="Times New Roman" w:eastAsia="Times New Roman"/>
        </w:rPr>
        <w:t>b.</w:t>
      </w:r>
      <w:r>
        <w:t>投标人之间约定中标人；</w:t>
      </w:r>
    </w:p>
    <w:p>
      <w:pPr>
        <w:pStyle w:val="11"/>
        <w:spacing w:before="93"/>
        <w:ind w:left="904"/>
      </w:pPr>
      <w:r>
        <w:rPr>
          <w:rFonts w:ascii="Times New Roman" w:eastAsia="Times New Roman"/>
        </w:rPr>
        <w:t>c.</w:t>
      </w:r>
      <w:r>
        <w:t>投标人之间约定部分投标人放弃投标或中标；</w:t>
      </w:r>
    </w:p>
    <w:p>
      <w:pPr>
        <w:pStyle w:val="11"/>
        <w:spacing w:before="91"/>
        <w:ind w:left="904"/>
      </w:pPr>
      <w:r>
        <w:rPr>
          <w:rFonts w:ascii="Times New Roman" w:eastAsia="Times New Roman"/>
        </w:rPr>
        <w:t>d.</w:t>
      </w:r>
      <w:r>
        <w:t>属于同一集团、协会、商会等组织成员的投标人按照该组织要求协同投标；</w:t>
      </w:r>
    </w:p>
    <w:p>
      <w:pPr>
        <w:sectPr>
          <w:pgSz w:w="11910" w:h="16850"/>
          <w:pgMar w:top="1480" w:right="1200" w:bottom="1080" w:left="1220" w:header="883" w:footer="884" w:gutter="0"/>
          <w:cols w:space="720" w:num="1"/>
        </w:sectPr>
      </w:pPr>
    </w:p>
    <w:p>
      <w:pPr>
        <w:pStyle w:val="11"/>
        <w:spacing w:before="7"/>
        <w:rPr>
          <w:sz w:val="9"/>
        </w:rPr>
      </w:pPr>
    </w:p>
    <w:p>
      <w:pPr>
        <w:pStyle w:val="11"/>
        <w:spacing w:before="74"/>
        <w:ind w:left="904"/>
      </w:pPr>
      <w:r>
        <w:rPr>
          <w:rFonts w:ascii="Times New Roman" w:eastAsia="Times New Roman"/>
        </w:rPr>
        <w:t>e.</w:t>
      </w:r>
      <w:r>
        <w:t>投标人之间为谋取中标或排斥特定投标人而采取的其他联合行动。</w:t>
      </w:r>
    </w:p>
    <w:p>
      <w:pPr>
        <w:pStyle w:val="11"/>
        <w:spacing w:before="91"/>
        <w:ind w:left="904"/>
      </w:pPr>
      <w:r>
        <w:t>（</w:t>
      </w:r>
      <w:r>
        <w:rPr>
          <w:rFonts w:ascii="Times New Roman" w:eastAsia="Times New Roman"/>
        </w:rPr>
        <w:t>2</w:t>
      </w:r>
      <w:r>
        <w:t>）有下列情形之一的，视为投标人相互串通投标：</w:t>
      </w:r>
    </w:p>
    <w:p>
      <w:pPr>
        <w:pStyle w:val="11"/>
        <w:spacing w:before="94" w:line="312" w:lineRule="auto"/>
        <w:ind w:left="904" w:right="3346"/>
      </w:pPr>
      <w:r>
        <w:rPr>
          <w:rFonts w:ascii="Times New Roman" w:eastAsia="Times New Roman"/>
        </w:rPr>
        <w:t>a.</w:t>
      </w:r>
      <w:r>
        <w:t xml:space="preserve">不同投标人的投标文件由同一单位或个人编制； </w:t>
      </w:r>
      <w:r>
        <w:rPr>
          <w:rFonts w:ascii="Times New Roman" w:eastAsia="Times New Roman"/>
        </w:rPr>
        <w:t>b.</w:t>
      </w:r>
      <w:r>
        <w:t>不同投标人委托同一单位或个人办理投标事宜；</w:t>
      </w:r>
    </w:p>
    <w:p>
      <w:pPr>
        <w:pStyle w:val="11"/>
        <w:spacing w:line="307" w:lineRule="exact"/>
        <w:ind w:left="904"/>
      </w:pPr>
      <w:r>
        <w:rPr>
          <w:rFonts w:ascii="Times New Roman" w:eastAsia="Times New Roman"/>
        </w:rPr>
        <w:t>c.</w:t>
      </w:r>
      <w:r>
        <w:t>不同投标人的投标文件载明的项目管理成员为同一人；</w:t>
      </w:r>
    </w:p>
    <w:p>
      <w:pPr>
        <w:pStyle w:val="11"/>
        <w:spacing w:before="93"/>
        <w:ind w:left="904"/>
      </w:pPr>
      <w:r>
        <w:rPr>
          <w:rFonts w:ascii="Times New Roman" w:eastAsia="Times New Roman"/>
        </w:rPr>
        <w:t>d.</w:t>
      </w:r>
      <w:r>
        <w:t>不同投标人的投标文件异常一致或投标报价呈规律性差异；</w:t>
      </w:r>
    </w:p>
    <w:p>
      <w:pPr>
        <w:pStyle w:val="11"/>
        <w:spacing w:before="93" w:line="312" w:lineRule="auto"/>
        <w:ind w:left="904" w:right="2439"/>
      </w:pPr>
      <w:r>
        <w:rPr>
          <w:rFonts w:ascii="Times New Roman" w:eastAsia="Times New Roman"/>
        </w:rPr>
        <w:t>e.</w:t>
      </w:r>
      <w:r>
        <w:t xml:space="preserve">不同投标人的投标文件相互混装；                   </w:t>
      </w:r>
    </w:p>
    <w:p>
      <w:pPr>
        <w:pStyle w:val="11"/>
        <w:spacing w:before="93" w:line="312" w:lineRule="auto"/>
        <w:ind w:left="904" w:right="2439"/>
      </w:pPr>
      <w:r>
        <w:rPr>
          <w:rFonts w:ascii="Times New Roman" w:eastAsia="Times New Roman"/>
          <w:spacing w:val="-1"/>
        </w:rPr>
        <w:t>f.</w:t>
      </w:r>
      <w:r>
        <w:t>不同投标人的投标保证金从同一单位或个人的账户转出。</w:t>
      </w:r>
    </w:p>
    <w:p>
      <w:pPr>
        <w:pStyle w:val="11"/>
        <w:spacing w:before="1"/>
        <w:ind w:left="904"/>
      </w:pPr>
      <w:r>
        <w:t>（</w:t>
      </w:r>
      <w:r>
        <w:rPr>
          <w:rFonts w:ascii="Times New Roman" w:eastAsia="Times New Roman"/>
        </w:rPr>
        <w:t>3</w:t>
      </w:r>
      <w:r>
        <w:t>）有下列情形之一的，属于招标人与投标人串通投标：</w:t>
      </w:r>
    </w:p>
    <w:p>
      <w:pPr>
        <w:pStyle w:val="11"/>
        <w:spacing w:before="93"/>
        <w:ind w:left="904"/>
        <w:rPr>
          <w:rFonts w:ascii="Times New Roman" w:eastAsia="Times New Roman"/>
        </w:rPr>
      </w:pPr>
      <w:r>
        <w:rPr>
          <w:rFonts w:ascii="Times New Roman" w:eastAsia="Times New Roman"/>
        </w:rPr>
        <w:t>a.</w:t>
      </w:r>
      <w:r>
        <w:t>招标人在开标前开启投标文件并将有关信息泄露给其他投标人</w:t>
      </w:r>
      <w:r>
        <w:rPr>
          <w:rFonts w:ascii="Times New Roman" w:eastAsia="Times New Roman"/>
        </w:rPr>
        <w:t>;</w:t>
      </w:r>
    </w:p>
    <w:p>
      <w:pPr>
        <w:pStyle w:val="11"/>
        <w:spacing w:before="91"/>
        <w:ind w:left="904"/>
      </w:pPr>
      <w:r>
        <w:rPr>
          <w:rFonts w:ascii="Times New Roman" w:eastAsia="Times New Roman"/>
        </w:rPr>
        <w:t>b.</w:t>
      </w:r>
      <w:r>
        <w:t>招标人直接或间接向投标人泄露标底、评标委员会成员等信息；</w:t>
      </w:r>
    </w:p>
    <w:p>
      <w:pPr>
        <w:pStyle w:val="11"/>
        <w:spacing w:before="93"/>
        <w:ind w:left="904"/>
      </w:pPr>
      <w:r>
        <w:rPr>
          <w:rFonts w:ascii="Times New Roman" w:eastAsia="Times New Roman"/>
        </w:rPr>
        <w:t>c.</w:t>
      </w:r>
      <w:r>
        <w:t>招标人明示或暗示投标人压低或抬高投标报价；</w:t>
      </w:r>
    </w:p>
    <w:p>
      <w:pPr>
        <w:pStyle w:val="11"/>
        <w:spacing w:before="93" w:line="312" w:lineRule="auto"/>
        <w:ind w:left="904" w:right="2654"/>
      </w:pPr>
      <w:r>
        <w:rPr>
          <w:rFonts w:ascii="Times New Roman" w:eastAsia="Times New Roman"/>
        </w:rPr>
        <w:t>d.</w:t>
      </w:r>
      <w:r>
        <w:t xml:space="preserve">招标人授意投标人撤换、修改投标文件；           </w:t>
      </w:r>
    </w:p>
    <w:p>
      <w:pPr>
        <w:pStyle w:val="11"/>
        <w:spacing w:before="93" w:line="312" w:lineRule="auto"/>
        <w:ind w:left="904" w:right="2654"/>
      </w:pPr>
      <w:r>
        <w:rPr>
          <w:rFonts w:ascii="Times New Roman" w:eastAsia="Times New Roman"/>
        </w:rPr>
        <w:t>e.</w:t>
      </w:r>
      <w:r>
        <w:t>招标人明示或暗示投标人为特定投标人中标提供方便；</w:t>
      </w:r>
    </w:p>
    <w:p>
      <w:pPr>
        <w:pStyle w:val="11"/>
        <w:spacing w:line="307" w:lineRule="exact"/>
        <w:ind w:left="904"/>
      </w:pPr>
      <w:r>
        <w:rPr>
          <w:rFonts w:ascii="Times New Roman" w:eastAsia="Times New Roman"/>
        </w:rPr>
        <w:t>f.</w:t>
      </w:r>
      <w:r>
        <w:t>招标人与投标人为谋求特定投标人中标而采取的其他串通行为。</w:t>
      </w:r>
    </w:p>
    <w:p>
      <w:pPr>
        <w:pStyle w:val="11"/>
        <w:spacing w:before="94"/>
        <w:ind w:left="904"/>
      </w:pPr>
      <w:r>
        <w:t>（</w:t>
      </w:r>
      <w:r>
        <w:rPr>
          <w:rFonts w:ascii="Times New Roman" w:eastAsia="Times New Roman"/>
        </w:rPr>
        <w:t>4</w:t>
      </w:r>
      <w:r>
        <w:t>）投标人有下列情形之一的，属于弄虚作假的行为：</w:t>
      </w:r>
    </w:p>
    <w:p>
      <w:pPr>
        <w:pStyle w:val="11"/>
        <w:spacing w:before="91"/>
        <w:ind w:left="904"/>
      </w:pPr>
      <w:r>
        <w:rPr>
          <w:rFonts w:ascii="Times New Roman" w:eastAsia="Times New Roman"/>
        </w:rPr>
        <w:t>a.</w:t>
      </w:r>
      <w:r>
        <w:t>使用通过受让或租借等方式获取的资格、资质证书投标；</w:t>
      </w:r>
    </w:p>
    <w:p>
      <w:pPr>
        <w:pStyle w:val="11"/>
        <w:spacing w:before="93"/>
        <w:ind w:left="904"/>
      </w:pPr>
      <w:r>
        <w:rPr>
          <w:rFonts w:ascii="Times New Roman" w:eastAsia="Times New Roman"/>
        </w:rPr>
        <w:t>b.</w:t>
      </w:r>
      <w:r>
        <w:t>使用伪造、变造的许可证件；</w:t>
      </w:r>
    </w:p>
    <w:p>
      <w:pPr>
        <w:pStyle w:val="11"/>
        <w:spacing w:before="94"/>
        <w:ind w:left="904"/>
      </w:pPr>
      <w:r>
        <w:rPr>
          <w:rFonts w:ascii="Times New Roman" w:eastAsia="Times New Roman"/>
        </w:rPr>
        <w:t>c.</w:t>
      </w:r>
      <w:r>
        <w:t>提供虚假的财务状况或业绩；</w:t>
      </w:r>
    </w:p>
    <w:p>
      <w:pPr>
        <w:pStyle w:val="11"/>
        <w:spacing w:before="90"/>
        <w:ind w:left="904"/>
      </w:pPr>
      <w:r>
        <w:rPr>
          <w:rFonts w:ascii="Times New Roman" w:eastAsia="Times New Roman"/>
        </w:rPr>
        <w:t>d.</w:t>
      </w:r>
      <w:r>
        <w:t>提供虚假的项目负责人或主要技术人员简历、劳动关系证明；</w:t>
      </w:r>
    </w:p>
    <w:p>
      <w:pPr>
        <w:pStyle w:val="11"/>
        <w:spacing w:before="94"/>
        <w:ind w:left="904"/>
      </w:pPr>
      <w:r>
        <w:rPr>
          <w:rFonts w:ascii="Times New Roman" w:eastAsia="Times New Roman"/>
        </w:rPr>
        <w:t>e.</w:t>
      </w:r>
      <w:r>
        <w:t>提供虚假的信用状况；</w:t>
      </w:r>
    </w:p>
    <w:p>
      <w:pPr>
        <w:pStyle w:val="11"/>
        <w:spacing w:before="93"/>
        <w:ind w:left="904"/>
      </w:pPr>
      <w:r>
        <w:rPr>
          <w:rFonts w:ascii="Times New Roman" w:eastAsia="Times New Roman"/>
        </w:rPr>
        <w:t>f.</w:t>
      </w:r>
      <w:r>
        <w:t>其他弄虚作假的行为。</w:t>
      </w:r>
    </w:p>
    <w:p>
      <w:pPr>
        <w:pStyle w:val="11"/>
        <w:spacing w:before="11"/>
        <w:rPr>
          <w:sz w:val="25"/>
        </w:rPr>
      </w:pPr>
    </w:p>
    <w:p>
      <w:pPr>
        <w:pStyle w:val="20"/>
        <w:numPr>
          <w:ilvl w:val="1"/>
          <w:numId w:val="10"/>
        </w:numPr>
        <w:tabs>
          <w:tab w:val="left" w:pos="905"/>
        </w:tabs>
        <w:rPr>
          <w:rFonts w:ascii="黑体" w:eastAsia="黑体"/>
          <w:sz w:val="24"/>
        </w:rPr>
      </w:pPr>
      <w:bookmarkStart w:id="93" w:name="_bookmark105"/>
      <w:bookmarkEnd w:id="93"/>
      <w:r>
        <w:rPr>
          <w:rFonts w:hint="eastAsia" w:ascii="黑体" w:eastAsia="黑体"/>
          <w:sz w:val="24"/>
        </w:rPr>
        <w:t>投标文件的澄清和说明</w:t>
      </w:r>
    </w:p>
    <w:p>
      <w:pPr>
        <w:pStyle w:val="11"/>
        <w:rPr>
          <w:rFonts w:ascii="黑体"/>
          <w:sz w:val="26"/>
        </w:rPr>
      </w:pPr>
    </w:p>
    <w:p>
      <w:pPr>
        <w:pStyle w:val="20"/>
        <w:numPr>
          <w:ilvl w:val="2"/>
          <w:numId w:val="10"/>
        </w:numPr>
        <w:tabs>
          <w:tab w:val="left" w:pos="1505"/>
        </w:tabs>
        <w:spacing w:line="312" w:lineRule="auto"/>
        <w:ind w:left="424" w:right="382" w:firstLine="480"/>
        <w:jc w:val="both"/>
        <w:rPr>
          <w:sz w:val="24"/>
        </w:rPr>
      </w:pPr>
      <w:r>
        <w:rPr>
          <w:spacing w:val="-9"/>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20"/>
        <w:numPr>
          <w:ilvl w:val="2"/>
          <w:numId w:val="10"/>
        </w:numPr>
        <w:tabs>
          <w:tab w:val="left" w:pos="1505"/>
        </w:tabs>
        <w:spacing w:before="2" w:line="312" w:lineRule="auto"/>
        <w:ind w:left="424" w:right="382" w:firstLine="480"/>
        <w:rPr>
          <w:sz w:val="24"/>
        </w:rPr>
      </w:pPr>
      <w:r>
        <w:rPr>
          <w:spacing w:val="-3"/>
          <w:sz w:val="24"/>
        </w:rPr>
        <w:t>澄清和说明不得超出投标文件的范围或改变投标文件的实质性内容</w:t>
      </w:r>
      <w:r>
        <w:rPr>
          <w:sz w:val="24"/>
        </w:rPr>
        <w:t>（算术性错误的修正除外</w:t>
      </w:r>
      <w:r>
        <w:rPr>
          <w:spacing w:val="-120"/>
          <w:sz w:val="24"/>
        </w:rPr>
        <w:t>）</w:t>
      </w:r>
      <w:r>
        <w:rPr>
          <w:sz w:val="24"/>
        </w:rPr>
        <w:t>。投标人的书面澄清、说明属于投标文件的组成部分。</w:t>
      </w:r>
    </w:p>
    <w:p>
      <w:pPr>
        <w:pStyle w:val="20"/>
        <w:numPr>
          <w:ilvl w:val="2"/>
          <w:numId w:val="10"/>
        </w:numPr>
        <w:tabs>
          <w:tab w:val="left" w:pos="1505"/>
        </w:tabs>
        <w:spacing w:line="312" w:lineRule="auto"/>
        <w:ind w:left="424" w:right="263" w:firstLine="480"/>
        <w:rPr>
          <w:sz w:val="24"/>
        </w:rPr>
      </w:pPr>
      <w:r>
        <w:rPr>
          <w:spacing w:val="-11"/>
          <w:sz w:val="24"/>
        </w:rPr>
        <w:t>评标委员会不得暗示或诱导投标人作出澄清、说明，对投标人提交的澄清、说明有疑问的，可以要求投标人进一步澄清或说明，直至满足评标委员会的要求。</w:t>
      </w:r>
    </w:p>
    <w:p>
      <w:pPr>
        <w:pStyle w:val="20"/>
        <w:numPr>
          <w:ilvl w:val="2"/>
          <w:numId w:val="10"/>
        </w:numPr>
        <w:tabs>
          <w:tab w:val="left" w:pos="1505"/>
        </w:tabs>
        <w:spacing w:line="312" w:lineRule="auto"/>
        <w:ind w:left="424" w:right="385" w:firstLine="480"/>
        <w:rPr>
          <w:sz w:val="24"/>
        </w:rPr>
      </w:pPr>
      <w:r>
        <w:rPr>
          <w:spacing w:val="-3"/>
          <w:sz w:val="24"/>
        </w:rPr>
        <w:t>凡超出招标文件规定的或给发包人带来未曾要求的利益的变化、偏差或其他因素在评标时不予考虑。</w:t>
      </w:r>
    </w:p>
    <w:p>
      <w:pPr>
        <w:spacing w:line="312" w:lineRule="auto"/>
        <w:rPr>
          <w:sz w:val="24"/>
        </w:rPr>
        <w:sectPr>
          <w:pgSz w:w="11910" w:h="16850"/>
          <w:pgMar w:top="1480" w:right="1200" w:bottom="1040" w:left="1220" w:header="876" w:footer="853" w:gutter="0"/>
          <w:cols w:space="720" w:num="1"/>
        </w:sectPr>
      </w:pPr>
    </w:p>
    <w:p>
      <w:pPr>
        <w:pStyle w:val="11"/>
        <w:spacing w:before="2"/>
        <w:rPr>
          <w:sz w:val="10"/>
        </w:rPr>
      </w:pPr>
    </w:p>
    <w:p>
      <w:pPr>
        <w:pStyle w:val="20"/>
        <w:numPr>
          <w:ilvl w:val="1"/>
          <w:numId w:val="10"/>
        </w:numPr>
        <w:tabs>
          <w:tab w:val="left" w:pos="905"/>
        </w:tabs>
        <w:spacing w:before="67"/>
        <w:rPr>
          <w:rFonts w:ascii="黑体" w:eastAsia="黑体"/>
          <w:sz w:val="24"/>
        </w:rPr>
      </w:pPr>
      <w:bookmarkStart w:id="94" w:name="_bookmark106"/>
      <w:bookmarkEnd w:id="94"/>
      <w:r>
        <w:rPr>
          <w:rFonts w:hint="eastAsia" w:ascii="黑体" w:eastAsia="黑体"/>
          <w:sz w:val="24"/>
        </w:rPr>
        <w:t>不得否决投标的情形</w:t>
      </w:r>
    </w:p>
    <w:p>
      <w:pPr>
        <w:pStyle w:val="11"/>
        <w:spacing w:before="10"/>
        <w:rPr>
          <w:rFonts w:ascii="黑体"/>
          <w:sz w:val="25"/>
        </w:rPr>
      </w:pPr>
    </w:p>
    <w:p>
      <w:pPr>
        <w:pStyle w:val="11"/>
        <w:ind w:left="904"/>
      </w:pPr>
      <w:r>
        <w:t xml:space="preserve">投标文件存在第二章“投标人须知”第 </w:t>
      </w:r>
      <w:r>
        <w:rPr>
          <w:rFonts w:ascii="Times New Roman" w:hAnsi="Times New Roman" w:eastAsia="Times New Roman"/>
        </w:rPr>
        <w:t xml:space="preserve">1.12.3 </w:t>
      </w:r>
      <w:r>
        <w:t>项所列情形的，均视为细微偏差，</w:t>
      </w:r>
    </w:p>
    <w:p>
      <w:pPr>
        <w:pStyle w:val="11"/>
        <w:spacing w:before="94" w:line="312" w:lineRule="auto"/>
        <w:ind w:left="424" w:right="334"/>
      </w:pPr>
      <w:r>
        <w:t xml:space="preserve">评标委员会不得否决投标人的投标，应按照第二章“投标人须知”第 </w:t>
      </w:r>
      <w:r>
        <w:rPr>
          <w:rFonts w:ascii="Times New Roman" w:hAnsi="Times New Roman" w:eastAsia="Times New Roman"/>
        </w:rPr>
        <w:t xml:space="preserve">1.12.4 </w:t>
      </w:r>
      <w:r>
        <w:t>项规定的原则处理。</w:t>
      </w:r>
    </w:p>
    <w:p>
      <w:pPr>
        <w:pStyle w:val="20"/>
        <w:numPr>
          <w:ilvl w:val="1"/>
          <w:numId w:val="10"/>
        </w:numPr>
        <w:tabs>
          <w:tab w:val="left" w:pos="905"/>
        </w:tabs>
        <w:spacing w:before="150"/>
        <w:rPr>
          <w:rFonts w:ascii="黑体" w:eastAsia="黑体"/>
          <w:sz w:val="24"/>
        </w:rPr>
      </w:pPr>
      <w:bookmarkStart w:id="95" w:name="_bookmark107"/>
      <w:bookmarkEnd w:id="95"/>
      <w:r>
        <w:rPr>
          <w:rFonts w:hint="eastAsia" w:ascii="黑体" w:eastAsia="黑体"/>
          <w:sz w:val="24"/>
        </w:rPr>
        <w:t>评标结果</w:t>
      </w:r>
    </w:p>
    <w:p>
      <w:pPr>
        <w:pStyle w:val="11"/>
        <w:rPr>
          <w:rFonts w:ascii="黑体"/>
          <w:sz w:val="26"/>
        </w:rPr>
      </w:pPr>
    </w:p>
    <w:p>
      <w:pPr>
        <w:pStyle w:val="20"/>
        <w:numPr>
          <w:ilvl w:val="2"/>
          <w:numId w:val="10"/>
        </w:numPr>
        <w:tabs>
          <w:tab w:val="left" w:pos="1505"/>
        </w:tabs>
        <w:spacing w:before="1" w:line="314" w:lineRule="auto"/>
        <w:ind w:left="424" w:right="385" w:firstLine="480"/>
        <w:rPr>
          <w:sz w:val="24"/>
        </w:rPr>
      </w:pPr>
      <w:r>
        <w:rPr>
          <w:sz w:val="24"/>
        </w:rPr>
        <w:t>除第二章</w:t>
      </w:r>
      <w:r>
        <w:rPr>
          <w:rFonts w:ascii="Times New Roman" w:hAnsi="Times New Roman" w:eastAsia="Times New Roman"/>
          <w:sz w:val="24"/>
        </w:rPr>
        <w:t>“</w:t>
      </w:r>
      <w:r>
        <w:rPr>
          <w:sz w:val="24"/>
        </w:rPr>
        <w:t>投标人须知</w:t>
      </w:r>
      <w:r>
        <w:rPr>
          <w:rFonts w:ascii="Times New Roman" w:hAnsi="Times New Roman" w:eastAsia="Times New Roman"/>
          <w:sz w:val="24"/>
        </w:rPr>
        <w:t>”</w:t>
      </w:r>
      <w:r>
        <w:rPr>
          <w:spacing w:val="-5"/>
          <w:sz w:val="24"/>
        </w:rPr>
        <w:t>前附表授权直接确定中标人外，评标委员会按照得分由高到低的顺序推荐中标候选人，并标明排序。</w:t>
      </w:r>
    </w:p>
    <w:p>
      <w:pPr>
        <w:pStyle w:val="20"/>
        <w:numPr>
          <w:ilvl w:val="2"/>
          <w:numId w:val="10"/>
        </w:numPr>
        <w:tabs>
          <w:tab w:val="left" w:pos="1505"/>
        </w:tabs>
        <w:spacing w:line="302" w:lineRule="exact"/>
        <w:ind w:left="424" w:firstLine="480"/>
        <w:rPr>
          <w:sz w:val="24"/>
        </w:rPr>
      </w:pPr>
      <w:r>
        <w:rPr>
          <w:sz w:val="24"/>
        </w:rPr>
        <w:t>评标委员会完成评标后，应向招标人提交书面评标报告。</w:t>
      </w:r>
    </w:p>
    <w:p>
      <w:pPr>
        <w:spacing w:line="302" w:lineRule="exact"/>
        <w:rPr>
          <w:sz w:val="24"/>
        </w:rPr>
        <w:sectPr>
          <w:pgSz w:w="11910" w:h="16850"/>
          <w:pgMar w:top="1480" w:right="1200" w:bottom="1080" w:left="1220" w:header="883" w:footer="884" w:gutter="0"/>
          <w:cols w:space="720" w:num="1"/>
        </w:sectPr>
      </w:pPr>
    </w:p>
    <w:p>
      <w:pPr>
        <w:pStyle w:val="11"/>
        <w:rPr>
          <w:sz w:val="20"/>
        </w:rPr>
      </w:pPr>
    </w:p>
    <w:p>
      <w:pPr>
        <w:pStyle w:val="11"/>
        <w:spacing w:before="1"/>
        <w:rPr>
          <w:sz w:val="23"/>
        </w:rPr>
      </w:pPr>
    </w:p>
    <w:p>
      <w:pPr>
        <w:tabs>
          <w:tab w:val="left" w:pos="2341"/>
        </w:tabs>
        <w:spacing w:before="38"/>
        <w:ind w:left="580"/>
        <w:rPr>
          <w:rFonts w:ascii="黑体" w:eastAsia="黑体"/>
          <w:sz w:val="44"/>
        </w:rPr>
      </w:pPr>
      <w:bookmarkStart w:id="96" w:name="_bookmark108"/>
      <w:bookmarkEnd w:id="96"/>
      <w:r>
        <w:rPr>
          <w:rFonts w:hint="eastAsia" w:ascii="黑体" w:eastAsia="黑体"/>
          <w:sz w:val="44"/>
        </w:rPr>
        <w:t>第三章</w:t>
      </w:r>
      <w:r>
        <w:rPr>
          <w:rFonts w:hint="eastAsia" w:ascii="黑体" w:eastAsia="黑体"/>
          <w:sz w:val="44"/>
        </w:rPr>
        <w:tab/>
      </w:r>
      <w:r>
        <w:rPr>
          <w:rFonts w:hint="eastAsia" w:ascii="黑体" w:eastAsia="黑体"/>
          <w:sz w:val="44"/>
        </w:rPr>
        <w:t>评标办法（技术评分最低标价法）</w:t>
      </w:r>
    </w:p>
    <w:p>
      <w:pPr>
        <w:pStyle w:val="11"/>
        <w:spacing w:before="10"/>
        <w:rPr>
          <w:rFonts w:ascii="黑体"/>
          <w:sz w:val="40"/>
        </w:rPr>
      </w:pPr>
    </w:p>
    <w:p>
      <w:pPr>
        <w:pStyle w:val="11"/>
        <w:ind w:left="424"/>
        <w:rPr>
          <w:rFonts w:ascii="黑体" w:hAnsi="黑体" w:eastAsia="黑体"/>
          <w:b/>
          <w:sz w:val="14"/>
        </w:rPr>
      </w:pPr>
      <w:bookmarkStart w:id="97" w:name="_bookmark109"/>
      <w:bookmarkEnd w:id="97"/>
      <w:r>
        <w:rPr>
          <w:rFonts w:hint="eastAsia" w:ascii="黑体" w:hAnsi="黑体" w:eastAsia="黑体"/>
        </w:rPr>
        <w:t>评标办法前附表</w:t>
      </w:r>
      <w:r>
        <w:rPr>
          <w:rFonts w:hint="eastAsia" w:ascii="黑体" w:hAnsi="黑体" w:eastAsia="黑体"/>
          <w:b/>
          <w:position w:val="13"/>
          <w:sz w:val="14"/>
        </w:rPr>
        <w:t>①</w:t>
      </w:r>
    </w:p>
    <w:p>
      <w:pPr>
        <w:pStyle w:val="11"/>
        <w:spacing w:before="1"/>
        <w:rPr>
          <w:rFonts w:ascii="黑体"/>
          <w:b/>
          <w:sz w:val="19"/>
        </w:rPr>
      </w:pPr>
    </w:p>
    <w:tbl>
      <w:tblPr>
        <w:tblStyle w:val="19"/>
        <w:tblW w:w="889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pPr>
              <w:pStyle w:val="21"/>
              <w:spacing w:before="109" w:line="250" w:lineRule="exact"/>
              <w:ind w:left="796" w:right="788"/>
              <w:jc w:val="center"/>
              <w:rPr>
                <w:b/>
                <w:sz w:val="21"/>
              </w:rPr>
            </w:pPr>
            <w:r>
              <w:rPr>
                <w:b/>
                <w:sz w:val="21"/>
              </w:rPr>
              <w:t>条款号</w:t>
            </w:r>
          </w:p>
        </w:tc>
        <w:tc>
          <w:tcPr>
            <w:tcW w:w="6626" w:type="dxa"/>
            <w:tcBorders>
              <w:left w:val="single" w:color="000000" w:sz="6" w:space="0"/>
            </w:tcBorders>
          </w:tcPr>
          <w:p>
            <w:pPr>
              <w:pStyle w:val="21"/>
              <w:spacing w:before="109" w:line="250" w:lineRule="exact"/>
              <w:ind w:left="2335" w:right="234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989" w:type="dxa"/>
          </w:tcPr>
          <w:p>
            <w:pPr>
              <w:pStyle w:val="21"/>
              <w:rPr>
                <w:rFonts w:ascii="黑体"/>
                <w:b/>
              </w:rPr>
            </w:pPr>
          </w:p>
          <w:p>
            <w:pPr>
              <w:pStyle w:val="21"/>
              <w:rPr>
                <w:rFonts w:ascii="黑体"/>
                <w:b/>
              </w:rPr>
            </w:pPr>
          </w:p>
          <w:p>
            <w:pPr>
              <w:pStyle w:val="21"/>
              <w:rPr>
                <w:rFonts w:ascii="黑体"/>
                <w:b/>
              </w:rPr>
            </w:pPr>
          </w:p>
          <w:p>
            <w:pPr>
              <w:pStyle w:val="21"/>
              <w:spacing w:before="8"/>
              <w:rPr>
                <w:rFonts w:ascii="黑体"/>
                <w:b/>
                <w:sz w:val="28"/>
              </w:rPr>
            </w:pPr>
          </w:p>
          <w:p>
            <w:pPr>
              <w:pStyle w:val="21"/>
              <w:ind w:left="9"/>
              <w:jc w:val="center"/>
              <w:rPr>
                <w:rFonts w:ascii="Times New Roman"/>
                <w:sz w:val="21"/>
              </w:rPr>
            </w:pPr>
            <w:r>
              <w:rPr>
                <w:rFonts w:ascii="Times New Roman"/>
                <w:sz w:val="21"/>
              </w:rPr>
              <w:t>1</w:t>
            </w:r>
          </w:p>
        </w:tc>
        <w:tc>
          <w:tcPr>
            <w:tcW w:w="1280" w:type="dxa"/>
            <w:tcBorders>
              <w:right w:val="single" w:color="000000" w:sz="6" w:space="0"/>
            </w:tcBorders>
          </w:tcPr>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spacing w:before="164"/>
              <w:ind w:left="217"/>
              <w:rPr>
                <w:sz w:val="21"/>
              </w:rPr>
            </w:pPr>
            <w:r>
              <w:rPr>
                <w:sz w:val="21"/>
              </w:rPr>
              <w:t>评标方法</w:t>
            </w:r>
          </w:p>
        </w:tc>
        <w:tc>
          <w:tcPr>
            <w:tcW w:w="6626" w:type="dxa"/>
            <w:tcBorders>
              <w:left w:val="single" w:color="000000" w:sz="6" w:space="0"/>
            </w:tcBorders>
          </w:tcPr>
          <w:p>
            <w:pPr>
              <w:pStyle w:val="21"/>
              <w:spacing w:before="89" w:line="321" w:lineRule="auto"/>
              <w:ind w:left="104" w:right="95" w:firstLine="420"/>
              <w:rPr>
                <w:sz w:val="21"/>
              </w:rPr>
            </w:pPr>
            <w:r>
              <w:rPr>
                <w:spacing w:val="-13"/>
                <w:sz w:val="21"/>
              </w:rPr>
              <w:t>评标价相等时，评标委员会依次按照以下优先顺序推荐中标候选人</w:t>
            </w:r>
            <w:r>
              <w:rPr>
                <w:spacing w:val="-6"/>
                <w:sz w:val="21"/>
              </w:rPr>
              <w:t>或确定中标人：</w:t>
            </w:r>
          </w:p>
          <w:p>
            <w:pPr>
              <w:pStyle w:val="21"/>
              <w:spacing w:line="269" w:lineRule="exact"/>
              <w:ind w:left="524"/>
              <w:rPr>
                <w:sz w:val="21"/>
              </w:rPr>
            </w:pPr>
            <w:r>
              <w:rPr>
                <w:sz w:val="21"/>
              </w:rPr>
              <w:t>（</w:t>
            </w:r>
            <w:r>
              <w:rPr>
                <w:rFonts w:ascii="Times New Roman" w:eastAsia="Times New Roman"/>
                <w:sz w:val="21"/>
              </w:rPr>
              <w:t>1</w:t>
            </w:r>
            <w:r>
              <w:rPr>
                <w:sz w:val="21"/>
              </w:rPr>
              <w:t>）投标报价低的投标人优先；</w:t>
            </w:r>
          </w:p>
          <w:p>
            <w:pPr>
              <w:pStyle w:val="21"/>
              <w:spacing w:before="91" w:line="321" w:lineRule="auto"/>
              <w:ind w:left="104" w:right="95" w:firstLine="420"/>
              <w:rPr>
                <w:sz w:val="21"/>
              </w:rPr>
            </w:pPr>
            <w:r>
              <w:rPr>
                <w:sz w:val="21"/>
              </w:rPr>
              <w:t>（</w:t>
            </w:r>
            <w:r>
              <w:rPr>
                <w:rFonts w:ascii="Times New Roman" w:eastAsia="Times New Roman"/>
                <w:sz w:val="21"/>
              </w:rPr>
              <w:t>2</w:t>
            </w:r>
            <w:r>
              <w:rPr>
                <w:sz w:val="21"/>
              </w:rPr>
              <w:t>）被招标项目所在地省级交通运输主管部门评为较高信用等级的投标人优先；</w:t>
            </w:r>
          </w:p>
          <w:p>
            <w:pPr>
              <w:pStyle w:val="21"/>
              <w:spacing w:line="268" w:lineRule="exact"/>
              <w:ind w:left="524"/>
              <w:rPr>
                <w:sz w:val="21"/>
              </w:rPr>
            </w:pPr>
            <w:r>
              <w:rPr>
                <w:sz w:val="21"/>
              </w:rPr>
              <w:t>（</w:t>
            </w:r>
            <w:r>
              <w:rPr>
                <w:rFonts w:ascii="Times New Roman" w:eastAsia="Times New Roman"/>
                <w:sz w:val="21"/>
              </w:rPr>
              <w:t>3</w:t>
            </w:r>
            <w:r>
              <w:rPr>
                <w:sz w:val="21"/>
              </w:rPr>
              <w:t>）商务和技术得分较高的投标人优先；</w:t>
            </w:r>
          </w:p>
          <w:p>
            <w:pPr>
              <w:pStyle w:val="21"/>
              <w:spacing w:before="91" w:line="250" w:lineRule="exact"/>
              <w:ind w:left="524"/>
              <w:rPr>
                <w:rFonts w:ascii="Times New Roman" w:hAnsi="Times New Roman" w:eastAsia="Times New Roman"/>
                <w:sz w:val="21"/>
              </w:rPr>
            </w:pPr>
            <w:r>
              <w:rPr>
                <w:sz w:val="21"/>
              </w:rPr>
              <w:t>（</w:t>
            </w:r>
            <w:r>
              <w:rPr>
                <w:rFonts w:ascii="Times New Roman" w:hAnsi="Times New Roman" w:eastAsia="Times New Roman"/>
                <w:sz w:val="21"/>
              </w:rPr>
              <w:t>4</w:t>
            </w:r>
            <w:r>
              <w:rPr>
                <w:sz w:val="21"/>
              </w:rPr>
              <w:t>）</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3" w:hRule="atLeast"/>
        </w:trPr>
        <w:tc>
          <w:tcPr>
            <w:tcW w:w="989" w:type="dxa"/>
          </w:tcPr>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spacing w:before="151"/>
              <w:ind w:left="282"/>
              <w:rPr>
                <w:rFonts w:ascii="Times New Roman"/>
                <w:sz w:val="21"/>
              </w:rPr>
            </w:pPr>
            <w:r>
              <w:rPr>
                <w:rFonts w:ascii="Times New Roman"/>
                <w:sz w:val="21"/>
              </w:rPr>
              <w:t>2.1.1</w:t>
            </w:r>
          </w:p>
          <w:p>
            <w:pPr>
              <w:pStyle w:val="21"/>
              <w:spacing w:before="140"/>
              <w:ind w:left="282"/>
              <w:rPr>
                <w:rFonts w:ascii="Times New Roman"/>
                <w:sz w:val="21"/>
              </w:rPr>
            </w:pPr>
            <w:r>
              <w:rPr>
                <w:rFonts w:ascii="Times New Roman"/>
                <w:sz w:val="21"/>
              </w:rPr>
              <w:t>2.1.3</w:t>
            </w:r>
          </w:p>
        </w:tc>
        <w:tc>
          <w:tcPr>
            <w:tcW w:w="1280" w:type="dxa"/>
            <w:tcBorders>
              <w:right w:val="single" w:color="000000" w:sz="6" w:space="0"/>
            </w:tcBorders>
          </w:tcPr>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spacing w:before="2"/>
              <w:rPr>
                <w:rFonts w:ascii="黑体"/>
                <w:b/>
                <w:sz w:val="19"/>
              </w:rPr>
            </w:pPr>
          </w:p>
          <w:p>
            <w:pPr>
              <w:pStyle w:val="21"/>
              <w:spacing w:line="338" w:lineRule="auto"/>
              <w:ind w:left="112" w:right="99"/>
              <w:jc w:val="center"/>
              <w:rPr>
                <w:sz w:val="21"/>
              </w:rPr>
            </w:pPr>
            <w:r>
              <w:rPr>
                <w:sz w:val="21"/>
              </w:rPr>
              <w:t>形式评审与响应性评审标准</w:t>
            </w:r>
          </w:p>
        </w:tc>
        <w:tc>
          <w:tcPr>
            <w:tcW w:w="6626" w:type="dxa"/>
            <w:tcBorders>
              <w:left w:val="single" w:color="000000" w:sz="6" w:space="0"/>
            </w:tcBorders>
          </w:tcPr>
          <w:p>
            <w:pPr>
              <w:pStyle w:val="21"/>
              <w:spacing w:before="92"/>
              <w:ind w:left="527"/>
              <w:rPr>
                <w:b/>
                <w:sz w:val="21"/>
              </w:rPr>
            </w:pPr>
            <w:r>
              <w:rPr>
                <w:b/>
                <w:sz w:val="21"/>
              </w:rPr>
              <w:t>第一个信封（商务及技术文件）评审标准：</w:t>
            </w:r>
          </w:p>
          <w:p>
            <w:pPr>
              <w:pStyle w:val="21"/>
              <w:spacing w:before="91" w:line="321" w:lineRule="auto"/>
              <w:ind w:left="104" w:right="95" w:firstLine="420"/>
              <w:rPr>
                <w:sz w:val="21"/>
              </w:rPr>
            </w:pPr>
            <w:r>
              <w:rPr>
                <w:sz w:val="21"/>
              </w:rPr>
              <w:t>（</w:t>
            </w:r>
            <w:r>
              <w:rPr>
                <w:rFonts w:ascii="Times New Roman" w:eastAsia="Times New Roman"/>
                <w:sz w:val="21"/>
              </w:rPr>
              <w:t>1</w:t>
            </w:r>
            <w:r>
              <w:rPr>
                <w:sz w:val="21"/>
              </w:rPr>
              <w:t>）投标文件按照招标文件规定的格式、内容填写，字迹清晰可辨：</w:t>
            </w:r>
          </w:p>
          <w:p>
            <w:pPr>
              <w:pStyle w:val="21"/>
              <w:spacing w:line="321" w:lineRule="auto"/>
              <w:ind w:left="104" w:right="97" w:firstLine="420"/>
              <w:rPr>
                <w:sz w:val="21"/>
              </w:rPr>
            </w:pPr>
            <w:r>
              <w:rPr>
                <w:rFonts w:ascii="Times New Roman" w:eastAsia="Times New Roman"/>
                <w:sz w:val="21"/>
              </w:rPr>
              <w:t>a.</w:t>
            </w:r>
            <w:r>
              <w:rPr>
                <w:spacing w:val="-15"/>
                <w:sz w:val="21"/>
              </w:rPr>
              <w:t>投标函按招标文件规定填报了项目名称、标段号、补遗书编号</w:t>
            </w:r>
            <w:r>
              <w:rPr>
                <w:spacing w:val="-3"/>
                <w:sz w:val="21"/>
              </w:rPr>
              <w:t>（</w:t>
            </w:r>
            <w:r>
              <w:rPr>
                <w:sz w:val="21"/>
              </w:rPr>
              <w:t>如有</w:t>
            </w:r>
            <w:r>
              <w:rPr>
                <w:spacing w:val="-106"/>
                <w:sz w:val="21"/>
              </w:rPr>
              <w:t>）</w:t>
            </w:r>
            <w:r>
              <w:rPr>
                <w:spacing w:val="-3"/>
                <w:sz w:val="21"/>
              </w:rPr>
              <w:t>、工期、工程质量要求及安全目标；</w:t>
            </w:r>
          </w:p>
          <w:p>
            <w:pPr>
              <w:pStyle w:val="21"/>
              <w:spacing w:line="268" w:lineRule="exact"/>
              <w:ind w:left="524"/>
              <w:rPr>
                <w:sz w:val="21"/>
              </w:rPr>
            </w:pPr>
            <w:r>
              <w:rPr>
                <w:rFonts w:ascii="Times New Roman" w:eastAsia="Times New Roman"/>
                <w:sz w:val="21"/>
              </w:rPr>
              <w:t>b.</w:t>
            </w:r>
            <w:r>
              <w:rPr>
                <w:sz w:val="21"/>
              </w:rPr>
              <w:t>投标函附录的所有数据均符合招标文件规定；</w:t>
            </w:r>
          </w:p>
          <w:p>
            <w:pPr>
              <w:pStyle w:val="21"/>
              <w:spacing w:before="90"/>
              <w:ind w:left="524"/>
              <w:rPr>
                <w:sz w:val="21"/>
              </w:rPr>
            </w:pPr>
            <w:r>
              <w:rPr>
                <w:rFonts w:ascii="Times New Roman" w:eastAsia="Times New Roman"/>
                <w:sz w:val="21"/>
              </w:rPr>
              <w:t>c.</w:t>
            </w:r>
            <w:r>
              <w:rPr>
                <w:sz w:val="21"/>
              </w:rPr>
              <w:t>投标文件组成齐全完整，内容均按规定填写。</w:t>
            </w:r>
          </w:p>
          <w:p>
            <w:pPr>
              <w:pStyle w:val="21"/>
              <w:spacing w:before="91" w:line="321" w:lineRule="auto"/>
              <w:ind w:left="104" w:right="95" w:firstLine="420"/>
              <w:rPr>
                <w:sz w:val="21"/>
              </w:rPr>
            </w:pPr>
            <w:r>
              <w:rPr>
                <w:sz w:val="21"/>
              </w:rPr>
              <w:t>（</w:t>
            </w:r>
            <w:r>
              <w:rPr>
                <w:rFonts w:ascii="Times New Roman" w:eastAsia="Times New Roman"/>
                <w:sz w:val="21"/>
              </w:rPr>
              <w:t>2</w:t>
            </w:r>
            <w:r>
              <w:rPr>
                <w:sz w:val="21"/>
              </w:rPr>
              <w:t>）投标文件上法定代表人或其委托代理人的签字、投标人的单位章盖章齐全，符合招标文件规定。</w:t>
            </w:r>
          </w:p>
          <w:p>
            <w:pPr>
              <w:pStyle w:val="21"/>
              <w:spacing w:line="321" w:lineRule="auto"/>
              <w:ind w:left="104" w:right="95" w:firstLine="420"/>
              <w:jc w:val="both"/>
              <w:rPr>
                <w:sz w:val="21"/>
              </w:rPr>
            </w:pPr>
            <w:r>
              <w:rPr>
                <w:sz w:val="21"/>
              </w:rPr>
              <w:t>（</w:t>
            </w:r>
            <w:r>
              <w:rPr>
                <w:rFonts w:ascii="Times New Roman" w:eastAsia="Times New Roman"/>
                <w:sz w:val="21"/>
              </w:rPr>
              <w:t>3</w:t>
            </w:r>
            <w:r>
              <w:rPr>
                <w:sz w:val="21"/>
              </w:rPr>
              <w:t>）</w:t>
            </w:r>
            <w:r>
              <w:rPr>
                <w:spacing w:val="-3"/>
                <w:sz w:val="21"/>
              </w:rPr>
              <w:t>与申请资格预审时比较，投标人发生合并、分立、破产等重</w:t>
            </w:r>
            <w:r>
              <w:rPr>
                <w:spacing w:val="-13"/>
                <w:sz w:val="21"/>
              </w:rPr>
              <w:t>大变化的，仍具备资格预审文件规定的相应资格条件且其投标未影响招</w:t>
            </w:r>
            <w:r>
              <w:rPr>
                <w:spacing w:val="-7"/>
                <w:sz w:val="21"/>
              </w:rPr>
              <w:t>标公正性：</w:t>
            </w:r>
          </w:p>
          <w:p>
            <w:pPr>
              <w:pStyle w:val="21"/>
              <w:spacing w:line="321" w:lineRule="auto"/>
              <w:ind w:left="104" w:right="102" w:firstLine="420"/>
              <w:rPr>
                <w:sz w:val="21"/>
              </w:rPr>
            </w:pPr>
            <w:r>
              <w:rPr>
                <w:rFonts w:ascii="Times New Roman" w:eastAsia="Times New Roman"/>
                <w:sz w:val="21"/>
              </w:rPr>
              <w:t>a.</w:t>
            </w:r>
            <w:r>
              <w:rPr>
                <w:sz w:val="21"/>
              </w:rPr>
              <w:t>投标人应提供相关部门的合法批件及企业法人营业执照和资质证书等证件的副本变更记录复印件；</w:t>
            </w:r>
          </w:p>
          <w:p>
            <w:pPr>
              <w:pStyle w:val="21"/>
              <w:spacing w:line="268" w:lineRule="exact"/>
              <w:ind w:left="524"/>
              <w:rPr>
                <w:sz w:val="21"/>
              </w:rPr>
            </w:pPr>
            <w:r>
              <w:rPr>
                <w:rFonts w:ascii="Times New Roman" w:eastAsia="Times New Roman"/>
                <w:sz w:val="21"/>
              </w:rPr>
              <w:t>b.</w:t>
            </w:r>
            <w:r>
              <w:rPr>
                <w:sz w:val="21"/>
              </w:rPr>
              <w:t>投标人仍然满足资格预审文件中规定的资格预审条件最低要求</w:t>
            </w:r>
          </w:p>
          <w:p>
            <w:pPr>
              <w:pStyle w:val="21"/>
              <w:spacing w:before="89"/>
              <w:ind w:left="104"/>
              <w:rPr>
                <w:sz w:val="21"/>
              </w:rPr>
            </w:pPr>
            <w:r>
              <w:rPr>
                <w:sz w:val="21"/>
              </w:rPr>
              <w:t>（</w:t>
            </w:r>
            <w:r>
              <w:rPr>
                <w:spacing w:val="-3"/>
                <w:sz w:val="21"/>
              </w:rPr>
              <w:t>资质、业绩、人员、信誉、财务等</w:t>
            </w:r>
            <w:r>
              <w:rPr>
                <w:spacing w:val="-106"/>
                <w:sz w:val="21"/>
              </w:rPr>
              <w:t>）</w:t>
            </w:r>
            <w:r>
              <w:rPr>
                <w:sz w:val="21"/>
              </w:rPr>
              <w:t>；</w:t>
            </w:r>
          </w:p>
          <w:p>
            <w:pPr>
              <w:pStyle w:val="21"/>
              <w:spacing w:before="91" w:line="321" w:lineRule="auto"/>
              <w:ind w:left="104" w:right="44" w:firstLine="420"/>
              <w:rPr>
                <w:sz w:val="21"/>
              </w:rPr>
            </w:pPr>
            <w:r>
              <w:rPr>
                <w:rFonts w:ascii="Times New Roman" w:eastAsia="Times New Roman"/>
                <w:sz w:val="21"/>
              </w:rPr>
              <w:t>c.</w:t>
            </w:r>
            <w:r>
              <w:rPr>
                <w:sz w:val="21"/>
              </w:rPr>
              <w:t>与所投标段的其他投标人不存在控股、管理关系或单位负责人为同一人的情况；与招标人也不存在利害关系并可能影响招标公正性。</w:t>
            </w:r>
          </w:p>
          <w:p>
            <w:pPr>
              <w:pStyle w:val="21"/>
              <w:spacing w:line="268" w:lineRule="exact"/>
              <w:ind w:left="524"/>
              <w:rPr>
                <w:sz w:val="21"/>
              </w:rPr>
            </w:pPr>
            <w:r>
              <w:rPr>
                <w:sz w:val="21"/>
              </w:rPr>
              <w:t>（</w:t>
            </w:r>
            <w:r>
              <w:rPr>
                <w:rFonts w:ascii="Times New Roman" w:eastAsia="Times New Roman"/>
                <w:sz w:val="21"/>
              </w:rPr>
              <w:t>4</w:t>
            </w:r>
            <w:r>
              <w:rPr>
                <w:sz w:val="21"/>
              </w:rPr>
              <w:t>）投标人按照招标文件的规定提供了投标保证金：</w:t>
            </w:r>
          </w:p>
          <w:p>
            <w:pPr>
              <w:pStyle w:val="21"/>
              <w:spacing w:before="13" w:line="360" w:lineRule="exact"/>
              <w:ind w:left="104" w:right="44" w:firstLine="420"/>
              <w:rPr>
                <w:sz w:val="21"/>
              </w:rPr>
            </w:pPr>
            <w:r>
              <w:rPr>
                <w:rFonts w:ascii="Times New Roman" w:eastAsia="Times New Roman"/>
                <w:sz w:val="21"/>
              </w:rPr>
              <w:t>a.</w:t>
            </w:r>
            <w:r>
              <w:rPr>
                <w:sz w:val="21"/>
              </w:rPr>
              <w:t>投标保证金金额符合招标文件规定的金额，且投标保证金有效期不少于投标有效期；</w:t>
            </w:r>
          </w:p>
        </w:tc>
      </w:tr>
    </w:tbl>
    <w:p>
      <w:pPr>
        <w:pStyle w:val="11"/>
        <w:spacing w:before="1"/>
        <w:rPr>
          <w:rFonts w:ascii="黑体"/>
          <w:b/>
          <w:sz w:val="27"/>
        </w:rPr>
      </w:pPr>
      <w:r>
        <mc:AlternateContent>
          <mc:Choice Requires="wps">
            <w:drawing>
              <wp:anchor distT="0" distB="0" distL="114300" distR="114300" simplePos="0" relativeHeight="251646976" behindDoc="0" locked="0" layoutInCell="1" allowOverlap="1">
                <wp:simplePos x="0" y="0"/>
                <wp:positionH relativeFrom="page">
                  <wp:posOffset>1043940</wp:posOffset>
                </wp:positionH>
                <wp:positionV relativeFrom="paragraph">
                  <wp:posOffset>248285</wp:posOffset>
                </wp:positionV>
                <wp:extent cx="1829435" cy="0"/>
                <wp:effectExtent l="0" t="0" r="0" b="0"/>
                <wp:wrapTopAndBottom/>
                <wp:docPr id="21" name="直线 64"/>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64" o:spid="_x0000_s1026" o:spt="20" style="position:absolute;left:0pt;margin-left:82.2pt;margin-top:19.55pt;height:0pt;width:144.05pt;mso-position-horizontal-relative:page;mso-wrap-distance-bottom:0pt;mso-wrap-distance-top:0pt;z-index:251646976;mso-width-relative:page;mso-height-relative:page;" filled="f" stroked="t" coordsize="21600,21600" o:gfxdata="UEsFBgAAAAAAAAAAAAAAAAAAAAAAAFBLAwQKAAAAAACHTuJAAAAAAAAAAAAAAAAABAAAAGRycy9Q&#10;SwMEFAAAAAgAh07iQCYh8DfYAAAACQEAAA8AAABkcnMvZG93bnJldi54bWxNj8FOwkAQhu8mvsNm&#10;TLzJtliwlG45aDThYIhAPC/doa3tzjbdhcLbO8aDHv+ZL/98k68uthNnHHzjSEE8iUAglc40VCnY&#10;714fUhA+aDK6c4QKruhhVdze5DozbqQPPG9DJbiEfKYV1CH0mZS+rNFqP3E9Eu+ObrA6cBwqaQY9&#10;crnt5DSK5tLqhvhCrXt8rrFstyer4D2VL27TfpbXr3H3lqbrdvG03it1fxdHSxABL+EPhh99VoeC&#10;nQ7uRMaLjvM8SRhV8LiIQTCQzKYzEIffgSxy+f+D4htQSwMEFAAAAAgAh07iQLOAxBDRAQAAkgMA&#10;AA4AAABkcnMvZTJvRG9jLnhtbK1TO24bMRDtA+QOBPtoJcUR7IVWLqI4TZAYsHOAET+7BPgDh9JK&#10;Z8k1UqXJcXyNDClZzqcxjKighpzhm/ceZ5fXe2fZTiU0wXd8NplyprwI0vi+41/vb95ccoYZvAQb&#10;vOr4QSG/Xr1+tRxjq+ZhCFaqxAjEYzvGjg85x7ZpUAzKAU5CVJ6SOiQHmbapb2SCkdCdbebT6aIZ&#10;Q5IxBaEQ6XR9TPJVxddaifxFa1SZ2Y4Tt1zXVNdNWZvVEto+QRyMONGAF7BwYDw1PUOtIQPbJvMP&#10;lDMiBQw6T0RwTdDaCFU1kJrZ9C81dwNEVbWQORjPNuH/gxWfd7eJGdnx+YwzD47e6OHb94cfP9ni&#10;orgzRmyp6C7eptMOKSxS9zq58k8i2L46ejg7qvaZCTqcXc6vLt6+40w85pqnizFh/qiCYyXouDW+&#10;iIUWdp8wUzMqfSwpx9azseOL6dWC4IBmRVvIFLpI7NH39S4Ga+SNsbbcwNRv3tvEdlBev/6KJML9&#10;o6w0WQMOx7qaOs7FoEB+8JLlQyRbPA0wLxSckpxZRfNeIgKENoOxz6mk1tYTg+Lq0ccSbYI80Cts&#10;YzL9QE7ktFWVaEnSw1fKpyEtk/X7voI9fUq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CYh8DfY&#10;AAAACQEAAA8AAAAAAAAAAQAgAAAAOAAAAGRycy9kb3ducmV2LnhtbFBLAQIUABQAAAAIAIdO4kCz&#10;gMQQ0QEAAJIDAAAOAAAAAAAAAAEAIAAAAD0BAABkcnMvZTJvRG9jLnhtbFBLBQYAAAAABgAGAFkB&#10;AACABQAAAAA=&#10;">
                <v:fill on="f" focussize="0,0"/>
                <v:stroke weight="0.48pt" color="#000000" joinstyle="round"/>
                <v:imagedata o:title=""/>
                <o:lock v:ext="edit" aspectratio="f"/>
                <w10:wrap type="topAndBottom"/>
              </v:line>
            </w:pict>
          </mc:Fallback>
        </mc:AlternateContent>
      </w:r>
    </w:p>
    <w:p>
      <w:pPr>
        <w:spacing w:before="148" w:line="331" w:lineRule="auto"/>
        <w:ind w:left="604" w:right="439" w:hanging="180"/>
        <w:rPr>
          <w:sz w:val="18"/>
        </w:rPr>
      </w:pPr>
      <w:r>
        <w:rPr>
          <w:position w:val="8"/>
          <w:sz w:val="9"/>
        </w:rPr>
        <w:t xml:space="preserve">① </w:t>
      </w:r>
      <w:r>
        <w:rPr>
          <w:rFonts w:ascii="Times New Roman" w:hAnsi="Times New Roman" w:eastAsia="Times New Roman"/>
          <w:sz w:val="18"/>
        </w:rPr>
        <w:t>“</w:t>
      </w:r>
      <w:r>
        <w:rPr>
          <w:sz w:val="18"/>
        </w:rPr>
        <w:t>评标办法前附表</w:t>
      </w:r>
      <w:r>
        <w:rPr>
          <w:rFonts w:ascii="Times New Roman" w:hAnsi="Times New Roman" w:eastAsia="Times New Roman"/>
          <w:sz w:val="18"/>
        </w:rPr>
        <w:t>”</w:t>
      </w:r>
      <w:r>
        <w:rPr>
          <w:sz w:val="18"/>
        </w:rPr>
        <w:t>用于明确评标的方法、因素、标准和程序。招标人应根据招标项目具体特点和实际需要， 详细列明全部评审因素、标准，没有列明的因素和标准不得作为评标的依据。</w:t>
      </w:r>
    </w:p>
    <w:p>
      <w:pPr>
        <w:spacing w:line="331" w:lineRule="auto"/>
        <w:rPr>
          <w:sz w:val="18"/>
        </w:rPr>
        <w:sectPr>
          <w:pgSz w:w="11910" w:h="16850"/>
          <w:pgMar w:top="1480" w:right="1200" w:bottom="1040" w:left="1220" w:header="876" w:footer="853" w:gutter="0"/>
          <w:cols w:space="720" w:num="1"/>
        </w:sectPr>
      </w:pPr>
    </w:p>
    <w:p>
      <w:pPr>
        <w:pStyle w:val="11"/>
        <w:rPr>
          <w:sz w:val="20"/>
        </w:rPr>
      </w:pPr>
    </w:p>
    <w:p>
      <w:pPr>
        <w:pStyle w:val="11"/>
        <w:spacing w:before="12"/>
        <w:rPr>
          <w:sz w:val="20"/>
        </w:rPr>
      </w:pPr>
    </w:p>
    <w:p>
      <w:pPr>
        <w:spacing w:before="72"/>
        <w:ind w:right="384"/>
        <w:jc w:val="right"/>
        <w:rPr>
          <w:sz w:val="21"/>
        </w:rPr>
      </w:pPr>
      <w:r>
        <w:rPr>
          <w:sz w:val="21"/>
        </w:rPr>
        <w:t>续上表</w:t>
      </w:r>
    </w:p>
    <w:tbl>
      <w:tblPr>
        <w:tblStyle w:val="19"/>
        <w:tblW w:w="889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69" w:type="dxa"/>
            <w:gridSpan w:val="2"/>
            <w:tcBorders>
              <w:right w:val="single" w:color="000000" w:sz="6" w:space="0"/>
            </w:tcBorders>
          </w:tcPr>
          <w:p>
            <w:pPr>
              <w:pStyle w:val="21"/>
              <w:spacing w:before="109" w:line="252" w:lineRule="exact"/>
              <w:ind w:left="796" w:right="788"/>
              <w:jc w:val="center"/>
              <w:rPr>
                <w:b/>
                <w:sz w:val="21"/>
              </w:rPr>
            </w:pPr>
            <w:r>
              <w:rPr>
                <w:b/>
                <w:sz w:val="21"/>
              </w:rPr>
              <w:t>条款号</w:t>
            </w:r>
          </w:p>
        </w:tc>
        <w:tc>
          <w:tcPr>
            <w:tcW w:w="6626" w:type="dxa"/>
            <w:tcBorders>
              <w:left w:val="single" w:color="000000" w:sz="6" w:space="0"/>
            </w:tcBorders>
          </w:tcPr>
          <w:p>
            <w:pPr>
              <w:pStyle w:val="21"/>
              <w:spacing w:before="109" w:line="252" w:lineRule="exact"/>
              <w:ind w:left="2335" w:right="234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1" w:hRule="atLeast"/>
        </w:trPr>
        <w:tc>
          <w:tcPr>
            <w:tcW w:w="989" w:type="dxa"/>
          </w:tcPr>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spacing w:before="6"/>
              <w:rPr>
                <w:sz w:val="32"/>
              </w:rPr>
            </w:pPr>
          </w:p>
          <w:p>
            <w:pPr>
              <w:pStyle w:val="21"/>
              <w:spacing w:before="1"/>
              <w:ind w:left="282"/>
              <w:rPr>
                <w:rFonts w:ascii="Times New Roman"/>
                <w:sz w:val="21"/>
              </w:rPr>
            </w:pPr>
            <w:r>
              <w:rPr>
                <w:rFonts w:ascii="Times New Roman"/>
                <w:sz w:val="21"/>
              </w:rPr>
              <w:t>2.1.1</w:t>
            </w:r>
          </w:p>
          <w:p>
            <w:pPr>
              <w:pStyle w:val="21"/>
              <w:spacing w:before="137"/>
              <w:ind w:left="282"/>
              <w:rPr>
                <w:rFonts w:ascii="Times New Roman"/>
                <w:sz w:val="21"/>
              </w:rPr>
            </w:pPr>
            <w:r>
              <w:rPr>
                <w:rFonts w:ascii="Times New Roman"/>
                <w:sz w:val="21"/>
              </w:rPr>
              <w:t>2.1.3</w:t>
            </w:r>
          </w:p>
        </w:tc>
        <w:tc>
          <w:tcPr>
            <w:tcW w:w="1280" w:type="dxa"/>
            <w:tcBorders>
              <w:right w:val="single" w:color="000000" w:sz="6" w:space="0"/>
            </w:tcBorders>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9"/>
              <w:rPr>
                <w:sz w:val="15"/>
              </w:rPr>
            </w:pPr>
          </w:p>
          <w:p>
            <w:pPr>
              <w:pStyle w:val="21"/>
              <w:spacing w:line="338" w:lineRule="auto"/>
              <w:ind w:left="112" w:right="99"/>
              <w:jc w:val="center"/>
              <w:rPr>
                <w:sz w:val="21"/>
              </w:rPr>
            </w:pPr>
            <w:r>
              <w:rPr>
                <w:sz w:val="21"/>
              </w:rPr>
              <w:t>形式评审与响应性评审标准</w:t>
            </w:r>
          </w:p>
        </w:tc>
        <w:tc>
          <w:tcPr>
            <w:tcW w:w="6626" w:type="dxa"/>
            <w:tcBorders>
              <w:left w:val="single" w:color="000000" w:sz="6" w:space="0"/>
            </w:tcBorders>
          </w:tcPr>
          <w:p>
            <w:pPr>
              <w:pStyle w:val="21"/>
              <w:spacing w:before="90" w:line="321" w:lineRule="auto"/>
              <w:ind w:left="104" w:right="95" w:firstLine="420"/>
              <w:jc w:val="both"/>
              <w:rPr>
                <w:sz w:val="21"/>
              </w:rPr>
            </w:pPr>
            <w:r>
              <w:rPr>
                <w:rFonts w:ascii="Times New Roman" w:eastAsia="Times New Roman"/>
                <w:sz w:val="21"/>
              </w:rPr>
              <w:t>b.</w:t>
            </w:r>
            <w:r>
              <w:rPr>
                <w:spacing w:val="-6"/>
                <w:sz w:val="21"/>
              </w:rPr>
              <w:t>若投标保证金采用现金或支票形式提交，投标人应在递交投标文</w:t>
            </w:r>
            <w:r>
              <w:rPr>
                <w:spacing w:val="-13"/>
                <w:sz w:val="21"/>
              </w:rPr>
              <w:t>件截止时间之前，将投标保证金由投标人的基本账户转入招标人指定账户；</w:t>
            </w:r>
          </w:p>
          <w:p>
            <w:pPr>
              <w:pStyle w:val="21"/>
              <w:spacing w:line="321" w:lineRule="auto"/>
              <w:ind w:left="104" w:right="95" w:firstLine="420"/>
              <w:jc w:val="both"/>
              <w:rPr>
                <w:sz w:val="21"/>
              </w:rPr>
            </w:pPr>
            <w:r>
              <w:rPr>
                <w:rFonts w:ascii="Times New Roman" w:eastAsia="Times New Roman"/>
                <w:sz w:val="21"/>
              </w:rPr>
              <w:t>c.</w:t>
            </w:r>
            <w:r>
              <w:rPr>
                <w:spacing w:val="-6"/>
                <w:sz w:val="21"/>
              </w:rPr>
              <w:t>若投标保证金采用银行保函形式提交，银行保函的格式、开具保</w:t>
            </w:r>
            <w:r>
              <w:rPr>
                <w:spacing w:val="-12"/>
                <w:sz w:val="21"/>
              </w:rPr>
              <w:t>函的银行均满足招标文件要求，且在递交投标文件截止时间之前向招标</w:t>
            </w:r>
            <w:r>
              <w:rPr>
                <w:spacing w:val="-6"/>
                <w:sz w:val="21"/>
              </w:rPr>
              <w:t>人提交了银行保函原件。</w:t>
            </w:r>
          </w:p>
          <w:p>
            <w:pPr>
              <w:pStyle w:val="21"/>
              <w:spacing w:line="321" w:lineRule="auto"/>
              <w:ind w:left="104" w:right="-15" w:firstLine="420"/>
              <w:rPr>
                <w:sz w:val="21"/>
              </w:rPr>
            </w:pPr>
            <w:r>
              <w:rPr>
                <w:sz w:val="21"/>
              </w:rPr>
              <w:t>（</w:t>
            </w:r>
            <w:r>
              <w:rPr>
                <w:rFonts w:ascii="Times New Roman" w:eastAsia="Times New Roman"/>
                <w:sz w:val="21"/>
              </w:rPr>
              <w:t>5</w:t>
            </w:r>
            <w:r>
              <w:rPr>
                <w:sz w:val="21"/>
              </w:rPr>
              <w:t>）</w:t>
            </w:r>
            <w:r>
              <w:rPr>
                <w:spacing w:val="-3"/>
                <w:sz w:val="21"/>
              </w:rPr>
              <w:t>投标人法定代表人授权委托代理人签署投标文件的，须提交</w:t>
            </w:r>
            <w:r>
              <w:rPr>
                <w:spacing w:val="-17"/>
                <w:sz w:val="21"/>
              </w:rPr>
              <w:t>授权委托书，且授权人和被授权人均在授权委托书上签名，未使用印章、</w:t>
            </w:r>
            <w:r>
              <w:rPr>
                <w:spacing w:val="-7"/>
                <w:sz w:val="21"/>
              </w:rPr>
              <w:t>签名章或其他电子制版签名代替。</w:t>
            </w:r>
          </w:p>
          <w:p>
            <w:pPr>
              <w:pStyle w:val="21"/>
              <w:spacing w:line="321" w:lineRule="auto"/>
              <w:ind w:left="104" w:right="-15" w:firstLine="420"/>
              <w:rPr>
                <w:sz w:val="21"/>
              </w:rPr>
            </w:pPr>
            <w:r>
              <w:rPr>
                <w:sz w:val="21"/>
              </w:rPr>
              <w:t>（</w:t>
            </w:r>
            <w:r>
              <w:rPr>
                <w:rFonts w:ascii="Times New Roman" w:eastAsia="Times New Roman"/>
                <w:sz w:val="21"/>
              </w:rPr>
              <w:t>6</w:t>
            </w:r>
            <w:r>
              <w:rPr>
                <w:sz w:val="21"/>
              </w:rPr>
              <w:t>）</w:t>
            </w:r>
            <w:r>
              <w:rPr>
                <w:spacing w:val="-3"/>
                <w:sz w:val="21"/>
              </w:rPr>
              <w:t>投标人法定代表人亲自签署投标文件的，提供了法定代表人身份证明，且法定代表人在法定代表人身份证明上签名，未使用印章、签名章或其他电子制版签名代替。</w:t>
            </w:r>
          </w:p>
          <w:p>
            <w:pPr>
              <w:pStyle w:val="21"/>
              <w:spacing w:line="267" w:lineRule="exact"/>
              <w:ind w:left="524"/>
              <w:rPr>
                <w:sz w:val="21"/>
              </w:rPr>
            </w:pPr>
            <w:r>
              <w:rPr>
                <w:sz w:val="21"/>
              </w:rPr>
              <w:t>（</w:t>
            </w:r>
            <w:r>
              <w:rPr>
                <w:rFonts w:ascii="Times New Roman" w:eastAsia="Times New Roman"/>
                <w:sz w:val="21"/>
              </w:rPr>
              <w:t>7</w:t>
            </w:r>
            <w:r>
              <w:rPr>
                <w:sz w:val="21"/>
              </w:rPr>
              <w:t>）投标人以联合体形式投标时，联合体满足招标文件的要求：</w:t>
            </w:r>
          </w:p>
          <w:p>
            <w:pPr>
              <w:pStyle w:val="21"/>
              <w:spacing w:before="87" w:line="321" w:lineRule="auto"/>
              <w:ind w:left="104" w:right="95" w:firstLine="420"/>
              <w:rPr>
                <w:sz w:val="21"/>
              </w:rPr>
            </w:pPr>
            <w:r>
              <w:rPr>
                <w:rFonts w:ascii="Times New Roman" w:eastAsia="Times New Roman"/>
                <w:sz w:val="21"/>
              </w:rPr>
              <w:t>a.</w:t>
            </w:r>
            <w:r>
              <w:rPr>
                <w:spacing w:val="-8"/>
                <w:sz w:val="21"/>
              </w:rPr>
              <w:t>未进行资格预审的，投标人按照招标文件提供的格式签订了联合</w:t>
            </w:r>
            <w:r>
              <w:rPr>
                <w:spacing w:val="-5"/>
                <w:sz w:val="21"/>
              </w:rPr>
              <w:t>体协议书，明确各方承担连带责任，并明确了联合体牵头人；</w:t>
            </w:r>
          </w:p>
          <w:p>
            <w:pPr>
              <w:pStyle w:val="21"/>
              <w:spacing w:line="321" w:lineRule="auto"/>
              <w:ind w:left="104" w:right="95" w:firstLine="420"/>
              <w:jc w:val="both"/>
              <w:rPr>
                <w:sz w:val="21"/>
              </w:rPr>
            </w:pPr>
            <w:r>
              <w:rPr>
                <w:rFonts w:ascii="Times New Roman" w:eastAsia="Times New Roman"/>
                <w:sz w:val="21"/>
              </w:rPr>
              <w:t>b.</w:t>
            </w:r>
            <w:r>
              <w:rPr>
                <w:spacing w:val="-9"/>
                <w:sz w:val="21"/>
              </w:rPr>
              <w:t>已进行资格预审的，投标人提供了资格预审申请文件中所附的联</w:t>
            </w:r>
            <w:r>
              <w:rPr>
                <w:spacing w:val="-13"/>
                <w:sz w:val="21"/>
              </w:rPr>
              <w:t>合体协议书复印件，且通过资格预审后的联合体无成员增减或更换的情</w:t>
            </w:r>
            <w:r>
              <w:rPr>
                <w:sz w:val="21"/>
              </w:rPr>
              <w:t>况。</w:t>
            </w:r>
          </w:p>
          <w:p>
            <w:pPr>
              <w:pStyle w:val="21"/>
              <w:spacing w:line="321" w:lineRule="auto"/>
              <w:ind w:left="104" w:right="95" w:firstLine="420"/>
              <w:rPr>
                <w:sz w:val="21"/>
              </w:rPr>
            </w:pPr>
            <w:r>
              <w:rPr>
                <w:sz w:val="21"/>
              </w:rPr>
              <w:t>（</w:t>
            </w:r>
            <w:r>
              <w:rPr>
                <w:rFonts w:ascii="Times New Roman" w:hAnsi="Times New Roman" w:eastAsia="Times New Roman"/>
                <w:sz w:val="21"/>
              </w:rPr>
              <w:t>8</w:t>
            </w:r>
            <w:r>
              <w:rPr>
                <w:sz w:val="21"/>
              </w:rPr>
              <w:t xml:space="preserve">）投标人如有分包计划，符合招标文件第二章“投标人须知” 第 </w:t>
            </w:r>
            <w:r>
              <w:rPr>
                <w:rFonts w:ascii="Times New Roman" w:hAnsi="Times New Roman" w:eastAsia="Times New Roman"/>
                <w:sz w:val="21"/>
              </w:rPr>
              <w:t xml:space="preserve">1.11 </w:t>
            </w:r>
            <w:r>
              <w:rPr>
                <w:sz w:val="21"/>
              </w:rPr>
              <w:t>款规定，且按招标文件第九章“投标文件格式”的要求填写了</w:t>
            </w:r>
          </w:p>
          <w:p>
            <w:pPr>
              <w:pStyle w:val="21"/>
              <w:spacing w:line="268" w:lineRule="exact"/>
              <w:ind w:left="104"/>
              <w:rPr>
                <w:sz w:val="21"/>
              </w:rPr>
            </w:pPr>
            <w:r>
              <w:rPr>
                <w:sz w:val="21"/>
              </w:rPr>
              <w:t>“拟分包项目情况表”。</w:t>
            </w:r>
          </w:p>
          <w:p>
            <w:pPr>
              <w:pStyle w:val="21"/>
              <w:spacing w:before="88" w:line="321" w:lineRule="auto"/>
              <w:ind w:left="104" w:right="95" w:firstLine="420"/>
              <w:rPr>
                <w:sz w:val="21"/>
              </w:rPr>
            </w:pPr>
            <w:r>
              <w:rPr>
                <w:sz w:val="21"/>
              </w:rPr>
              <w:t>（</w:t>
            </w:r>
            <w:r>
              <w:rPr>
                <w:rFonts w:ascii="Times New Roman" w:eastAsia="Times New Roman"/>
                <w:sz w:val="21"/>
              </w:rPr>
              <w:t>9</w:t>
            </w:r>
            <w:r>
              <w:rPr>
                <w:sz w:val="21"/>
              </w:rPr>
              <w:t>）同一投标人未提交两个以上不同的投标文件，但招标文件要求提交备选投标的除外。</w:t>
            </w:r>
          </w:p>
          <w:p>
            <w:pPr>
              <w:pStyle w:val="21"/>
              <w:spacing w:line="269" w:lineRule="exact"/>
              <w:ind w:left="524"/>
              <w:rPr>
                <w:sz w:val="21"/>
              </w:rPr>
            </w:pPr>
            <w:r>
              <w:rPr>
                <w:sz w:val="21"/>
              </w:rPr>
              <w:t>（</w:t>
            </w:r>
            <w:r>
              <w:rPr>
                <w:rFonts w:ascii="Times New Roman" w:eastAsia="Times New Roman"/>
                <w:sz w:val="21"/>
              </w:rPr>
              <w:t>10</w:t>
            </w:r>
            <w:r>
              <w:rPr>
                <w:sz w:val="21"/>
              </w:rPr>
              <w:t>）投标文件中未出现有关投标报价的内容。</w:t>
            </w:r>
          </w:p>
          <w:p>
            <w:pPr>
              <w:pStyle w:val="21"/>
              <w:spacing w:before="91" w:line="321" w:lineRule="auto"/>
              <w:ind w:left="104" w:right="95" w:firstLine="420"/>
              <w:rPr>
                <w:sz w:val="21"/>
              </w:rPr>
            </w:pPr>
            <w:r>
              <w:rPr>
                <w:sz w:val="21"/>
              </w:rPr>
              <w:t>（</w:t>
            </w:r>
            <w:r>
              <w:rPr>
                <w:rFonts w:ascii="Times New Roman" w:eastAsia="Times New Roman"/>
                <w:spacing w:val="-8"/>
                <w:sz w:val="21"/>
              </w:rPr>
              <w:t>1</w:t>
            </w:r>
            <w:r>
              <w:rPr>
                <w:rFonts w:ascii="Times New Roman" w:eastAsia="Times New Roman"/>
                <w:spacing w:val="-3"/>
                <w:sz w:val="21"/>
              </w:rPr>
              <w:t>1</w:t>
            </w:r>
            <w:r>
              <w:rPr>
                <w:spacing w:val="-96"/>
                <w:sz w:val="21"/>
              </w:rPr>
              <w:t>）</w:t>
            </w:r>
            <w:r>
              <w:rPr>
                <w:spacing w:val="-3"/>
                <w:sz w:val="21"/>
              </w:rPr>
              <w:t>投标文件载明的招标项目完成期限未超过招标文件规定的时限。</w:t>
            </w:r>
          </w:p>
          <w:p>
            <w:pPr>
              <w:pStyle w:val="21"/>
              <w:spacing w:line="268" w:lineRule="exact"/>
              <w:ind w:left="524"/>
              <w:rPr>
                <w:sz w:val="21"/>
              </w:rPr>
            </w:pPr>
            <w:r>
              <w:rPr>
                <w:sz w:val="21"/>
              </w:rPr>
              <w:t>（</w:t>
            </w:r>
            <w:r>
              <w:rPr>
                <w:rFonts w:ascii="Times New Roman" w:eastAsia="Times New Roman"/>
                <w:sz w:val="21"/>
              </w:rPr>
              <w:t>12</w:t>
            </w:r>
            <w:r>
              <w:rPr>
                <w:sz w:val="21"/>
              </w:rPr>
              <w:t>）投标文件对招标文件的实质性要求和条件作出响应。</w:t>
            </w:r>
          </w:p>
          <w:p>
            <w:pPr>
              <w:pStyle w:val="21"/>
              <w:spacing w:before="91"/>
              <w:ind w:left="524"/>
              <w:rPr>
                <w:sz w:val="21"/>
              </w:rPr>
            </w:pPr>
            <w:r>
              <w:rPr>
                <w:sz w:val="21"/>
              </w:rPr>
              <w:t>（</w:t>
            </w:r>
            <w:r>
              <w:rPr>
                <w:rFonts w:ascii="Times New Roman" w:eastAsia="Times New Roman"/>
                <w:sz w:val="21"/>
              </w:rPr>
              <w:t>13</w:t>
            </w:r>
            <w:r>
              <w:rPr>
                <w:sz w:val="21"/>
              </w:rPr>
              <w:t>）权利义务符合招标文件规定：</w:t>
            </w:r>
          </w:p>
          <w:p>
            <w:pPr>
              <w:pStyle w:val="21"/>
              <w:spacing w:before="91" w:line="321" w:lineRule="auto"/>
              <w:ind w:left="104" w:right="40" w:firstLine="420"/>
              <w:rPr>
                <w:sz w:val="21"/>
              </w:rPr>
            </w:pPr>
            <w:r>
              <w:rPr>
                <w:rFonts w:ascii="Times New Roman" w:eastAsia="Times New Roman"/>
                <w:sz w:val="21"/>
              </w:rPr>
              <w:t>a.</w:t>
            </w:r>
            <w:r>
              <w:rPr>
                <w:sz w:val="21"/>
              </w:rPr>
              <w:t>投标人应接受招标文件规定的风险划分原则，未提出新的风险划分办法；</w:t>
            </w:r>
          </w:p>
          <w:p>
            <w:pPr>
              <w:pStyle w:val="21"/>
              <w:spacing w:line="268" w:lineRule="exact"/>
              <w:ind w:left="524"/>
              <w:rPr>
                <w:sz w:val="21"/>
              </w:rPr>
            </w:pPr>
            <w:r>
              <w:rPr>
                <w:rFonts w:ascii="Times New Roman" w:eastAsia="Times New Roman"/>
                <w:sz w:val="21"/>
              </w:rPr>
              <w:t>b.</w:t>
            </w:r>
            <w:r>
              <w:rPr>
                <w:sz w:val="21"/>
              </w:rPr>
              <w:t>投标人未增加发包人的责任范围，或减少投标人义务；</w:t>
            </w:r>
          </w:p>
          <w:p>
            <w:pPr>
              <w:pStyle w:val="21"/>
              <w:spacing w:before="91"/>
              <w:ind w:left="524"/>
              <w:rPr>
                <w:sz w:val="21"/>
              </w:rPr>
            </w:pPr>
            <w:r>
              <w:rPr>
                <w:rFonts w:ascii="Times New Roman" w:eastAsia="Times New Roman"/>
                <w:sz w:val="21"/>
              </w:rPr>
              <w:t>c.</w:t>
            </w:r>
            <w:r>
              <w:rPr>
                <w:sz w:val="21"/>
              </w:rPr>
              <w:t>投标人未提出不同的工程验收、计量、支付办法；</w:t>
            </w:r>
          </w:p>
          <w:p>
            <w:pPr>
              <w:pStyle w:val="21"/>
              <w:spacing w:before="91"/>
              <w:ind w:left="524"/>
              <w:rPr>
                <w:sz w:val="21"/>
              </w:rPr>
            </w:pPr>
            <w:r>
              <w:rPr>
                <w:rFonts w:ascii="Times New Roman" w:eastAsia="Times New Roman"/>
                <w:sz w:val="21"/>
              </w:rPr>
              <w:t>d.</w:t>
            </w:r>
            <w:r>
              <w:rPr>
                <w:sz w:val="21"/>
              </w:rPr>
              <w:t>投标人对合同纠纷、事故处理办法未提出异议；</w:t>
            </w:r>
          </w:p>
          <w:p>
            <w:pPr>
              <w:pStyle w:val="21"/>
              <w:spacing w:before="91"/>
              <w:ind w:left="524"/>
              <w:rPr>
                <w:sz w:val="21"/>
              </w:rPr>
            </w:pPr>
            <w:r>
              <w:rPr>
                <w:rFonts w:ascii="Times New Roman" w:eastAsia="Times New Roman"/>
                <w:sz w:val="21"/>
              </w:rPr>
              <w:t>e.</w:t>
            </w:r>
            <w:r>
              <w:rPr>
                <w:sz w:val="21"/>
              </w:rPr>
              <w:t>投标人在投标活动中无欺诈行为；</w:t>
            </w:r>
          </w:p>
          <w:p>
            <w:pPr>
              <w:pStyle w:val="21"/>
              <w:spacing w:before="91" w:line="250" w:lineRule="exact"/>
              <w:ind w:left="524"/>
              <w:rPr>
                <w:sz w:val="21"/>
              </w:rPr>
            </w:pPr>
            <w:r>
              <w:rPr>
                <w:rFonts w:ascii="Times New Roman" w:eastAsia="Times New Roman"/>
                <w:sz w:val="21"/>
              </w:rPr>
              <w:t>f.</w:t>
            </w:r>
            <w:r>
              <w:rPr>
                <w:sz w:val="21"/>
              </w:rPr>
              <w:t>投标人未对合同条款有重要保留。</w:t>
            </w:r>
          </w:p>
        </w:tc>
      </w:tr>
    </w:tbl>
    <w:p>
      <w:pPr>
        <w:spacing w:line="250" w:lineRule="exact"/>
        <w:rPr>
          <w:sz w:val="21"/>
        </w:rPr>
        <w:sectPr>
          <w:headerReference r:id="rId25" w:type="default"/>
          <w:headerReference r:id="rId26" w:type="even"/>
          <w:pgSz w:w="11910" w:h="16850"/>
          <w:pgMar w:top="1480" w:right="1200" w:bottom="1080" w:left="1220" w:header="883" w:footer="884" w:gutter="0"/>
          <w:cols w:space="720" w:num="1"/>
        </w:sectPr>
      </w:pPr>
    </w:p>
    <w:p>
      <w:pPr>
        <w:pStyle w:val="11"/>
        <w:rPr>
          <w:sz w:val="20"/>
        </w:rPr>
      </w:pPr>
    </w:p>
    <w:p>
      <w:pPr>
        <w:pStyle w:val="11"/>
        <w:spacing w:before="12"/>
        <w:rPr>
          <w:sz w:val="20"/>
        </w:rPr>
      </w:pPr>
    </w:p>
    <w:p>
      <w:pPr>
        <w:spacing w:before="72"/>
        <w:ind w:right="384"/>
        <w:jc w:val="right"/>
        <w:rPr>
          <w:sz w:val="21"/>
        </w:rPr>
      </w:pPr>
      <w:r>
        <w:rPr>
          <w:sz w:val="21"/>
        </w:rPr>
        <w:t>续上表</w:t>
      </w:r>
    </w:p>
    <w:tbl>
      <w:tblPr>
        <w:tblStyle w:val="19"/>
        <w:tblW w:w="889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69" w:type="dxa"/>
            <w:gridSpan w:val="2"/>
            <w:tcBorders>
              <w:right w:val="single" w:color="000000" w:sz="6" w:space="0"/>
            </w:tcBorders>
          </w:tcPr>
          <w:p>
            <w:pPr>
              <w:pStyle w:val="21"/>
              <w:spacing w:before="109" w:line="252" w:lineRule="exact"/>
              <w:ind w:left="796" w:right="788"/>
              <w:jc w:val="center"/>
              <w:rPr>
                <w:b/>
                <w:sz w:val="21"/>
              </w:rPr>
            </w:pPr>
            <w:r>
              <w:rPr>
                <w:b/>
                <w:sz w:val="21"/>
              </w:rPr>
              <w:t>条款号</w:t>
            </w:r>
          </w:p>
        </w:tc>
        <w:tc>
          <w:tcPr>
            <w:tcW w:w="6626" w:type="dxa"/>
            <w:tcBorders>
              <w:left w:val="single" w:color="000000" w:sz="6" w:space="0"/>
            </w:tcBorders>
          </w:tcPr>
          <w:p>
            <w:pPr>
              <w:pStyle w:val="21"/>
              <w:spacing w:before="109" w:line="252" w:lineRule="exact"/>
              <w:ind w:left="2335" w:right="234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1" w:hRule="atLeast"/>
        </w:trPr>
        <w:tc>
          <w:tcPr>
            <w:tcW w:w="989" w:type="dxa"/>
          </w:tcPr>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spacing w:before="1"/>
              <w:rPr>
                <w:sz w:val="30"/>
              </w:rPr>
            </w:pPr>
          </w:p>
          <w:p>
            <w:pPr>
              <w:pStyle w:val="21"/>
              <w:ind w:left="282"/>
              <w:rPr>
                <w:rFonts w:ascii="Times New Roman"/>
                <w:sz w:val="21"/>
              </w:rPr>
            </w:pPr>
            <w:r>
              <w:rPr>
                <w:rFonts w:ascii="Times New Roman"/>
                <w:sz w:val="21"/>
              </w:rPr>
              <w:t>2.1.1</w:t>
            </w:r>
          </w:p>
          <w:p>
            <w:pPr>
              <w:pStyle w:val="21"/>
              <w:spacing w:before="138"/>
              <w:ind w:left="282"/>
              <w:rPr>
                <w:rFonts w:ascii="Times New Roman"/>
                <w:sz w:val="21"/>
              </w:rPr>
            </w:pPr>
            <w:r>
              <w:rPr>
                <w:rFonts w:ascii="Times New Roman"/>
                <w:sz w:val="21"/>
              </w:rPr>
              <w:t>2.1.3</w:t>
            </w:r>
          </w:p>
        </w:tc>
        <w:tc>
          <w:tcPr>
            <w:tcW w:w="1280" w:type="dxa"/>
            <w:tcBorders>
              <w:right w:val="single" w:color="000000" w:sz="6" w:space="0"/>
            </w:tcBorders>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3"/>
              <w:rPr>
                <w:sz w:val="23"/>
              </w:rPr>
            </w:pPr>
          </w:p>
          <w:p>
            <w:pPr>
              <w:pStyle w:val="21"/>
              <w:spacing w:line="338" w:lineRule="auto"/>
              <w:ind w:left="112" w:right="99"/>
              <w:jc w:val="center"/>
              <w:rPr>
                <w:sz w:val="21"/>
              </w:rPr>
            </w:pPr>
            <w:r>
              <w:rPr>
                <w:sz w:val="21"/>
              </w:rPr>
              <w:t>形式评审与响应性评审标准</w:t>
            </w:r>
          </w:p>
        </w:tc>
        <w:tc>
          <w:tcPr>
            <w:tcW w:w="6626" w:type="dxa"/>
            <w:tcBorders>
              <w:left w:val="single" w:color="000000" w:sz="6" w:space="0"/>
            </w:tcBorders>
          </w:tcPr>
          <w:p>
            <w:pPr>
              <w:pStyle w:val="21"/>
              <w:spacing w:before="90" w:line="321" w:lineRule="auto"/>
              <w:ind w:left="104" w:right="95" w:firstLine="420"/>
              <w:rPr>
                <w:sz w:val="21"/>
              </w:rPr>
            </w:pPr>
            <w:r>
              <w:rPr>
                <w:sz w:val="21"/>
              </w:rPr>
              <w:t>（</w:t>
            </w:r>
            <w:r>
              <w:rPr>
                <w:rFonts w:ascii="Times New Roman" w:hAnsi="Times New Roman" w:eastAsia="Times New Roman"/>
                <w:sz w:val="21"/>
              </w:rPr>
              <w:t>14</w:t>
            </w:r>
            <w:r>
              <w:rPr>
                <w:sz w:val="21"/>
              </w:rPr>
              <w:t>）投标文件正、副本份数符合招标文件第二章</w:t>
            </w:r>
            <w:r>
              <w:rPr>
                <w:rFonts w:ascii="Times New Roman" w:hAnsi="Times New Roman" w:eastAsia="Times New Roman"/>
                <w:sz w:val="21"/>
              </w:rPr>
              <w:t>“</w:t>
            </w:r>
            <w:r>
              <w:rPr>
                <w:sz w:val="21"/>
              </w:rPr>
              <w:t>投标人须知</w:t>
            </w:r>
            <w:r>
              <w:rPr>
                <w:rFonts w:ascii="Times New Roman" w:hAnsi="Times New Roman" w:eastAsia="Times New Roman"/>
                <w:sz w:val="21"/>
              </w:rPr>
              <w:t xml:space="preserve">” </w:t>
            </w:r>
            <w:r>
              <w:rPr>
                <w:sz w:val="21"/>
              </w:rPr>
              <w:t xml:space="preserve">第 </w:t>
            </w:r>
            <w:r>
              <w:rPr>
                <w:rFonts w:ascii="Times New Roman" w:hAnsi="Times New Roman" w:eastAsia="Times New Roman"/>
                <w:sz w:val="21"/>
              </w:rPr>
              <w:t xml:space="preserve">3.7.4 </w:t>
            </w:r>
            <w:r>
              <w:rPr>
                <w:sz w:val="21"/>
              </w:rPr>
              <w:t>项规定。</w:t>
            </w:r>
          </w:p>
          <w:p>
            <w:pPr>
              <w:pStyle w:val="21"/>
              <w:spacing w:before="22"/>
              <w:ind w:left="524"/>
              <w:rPr>
                <w:rFonts w:ascii="Times New Roman" w:hAnsi="Times New Roman"/>
                <w:sz w:val="21"/>
              </w:rPr>
            </w:pPr>
            <w:r>
              <w:rPr>
                <w:rFonts w:ascii="Times New Roman" w:hAnsi="Times New Roman"/>
                <w:sz w:val="21"/>
              </w:rPr>
              <w:t>……</w:t>
            </w:r>
          </w:p>
          <w:p>
            <w:pPr>
              <w:pStyle w:val="21"/>
            </w:pPr>
          </w:p>
          <w:p>
            <w:pPr>
              <w:pStyle w:val="21"/>
              <w:spacing w:before="173"/>
              <w:ind w:left="527"/>
              <w:rPr>
                <w:b/>
                <w:sz w:val="21"/>
              </w:rPr>
            </w:pPr>
            <w:r>
              <w:rPr>
                <w:b/>
                <w:sz w:val="21"/>
              </w:rPr>
              <w:t>第二个信封（报价文件）评审标准：</w:t>
            </w:r>
          </w:p>
          <w:p>
            <w:pPr>
              <w:pStyle w:val="21"/>
              <w:spacing w:before="92" w:line="321" w:lineRule="auto"/>
              <w:ind w:left="104" w:right="95" w:firstLine="420"/>
              <w:rPr>
                <w:sz w:val="21"/>
              </w:rPr>
            </w:pPr>
            <w:r>
              <w:rPr>
                <w:sz w:val="21"/>
              </w:rPr>
              <w:t>（</w:t>
            </w:r>
            <w:r>
              <w:rPr>
                <w:rFonts w:ascii="Times New Roman" w:eastAsia="Times New Roman"/>
                <w:sz w:val="21"/>
              </w:rPr>
              <w:t>1</w:t>
            </w:r>
            <w:r>
              <w:rPr>
                <w:sz w:val="21"/>
              </w:rPr>
              <w:t>）投标文件按照招标文件规定的格式、内容填写，字迹清晰可辨：</w:t>
            </w:r>
          </w:p>
          <w:p>
            <w:pPr>
              <w:pStyle w:val="21"/>
              <w:spacing w:line="321" w:lineRule="auto"/>
              <w:ind w:left="104" w:right="97" w:firstLine="420"/>
              <w:rPr>
                <w:sz w:val="21"/>
              </w:rPr>
            </w:pPr>
            <w:r>
              <w:rPr>
                <w:rFonts w:ascii="Times New Roman" w:eastAsia="Times New Roman"/>
                <w:sz w:val="21"/>
              </w:rPr>
              <w:t>a.</w:t>
            </w:r>
            <w:r>
              <w:rPr>
                <w:spacing w:val="-15"/>
                <w:sz w:val="21"/>
              </w:rPr>
              <w:t>投标函按招标文件规定填报了项目名称、标段号、补遗书编号</w:t>
            </w:r>
            <w:r>
              <w:rPr>
                <w:spacing w:val="-3"/>
                <w:sz w:val="21"/>
              </w:rPr>
              <w:t>（</w:t>
            </w:r>
            <w:r>
              <w:rPr>
                <w:sz w:val="21"/>
              </w:rPr>
              <w:t>如有</w:t>
            </w:r>
            <w:r>
              <w:rPr>
                <w:spacing w:val="-106"/>
                <w:sz w:val="21"/>
              </w:rPr>
              <w:t>）</w:t>
            </w:r>
            <w:r>
              <w:rPr>
                <w:spacing w:val="-3"/>
                <w:sz w:val="21"/>
              </w:rPr>
              <w:t>、投标价（包括大写金额和小写金额</w:t>
            </w:r>
            <w:r>
              <w:rPr>
                <w:spacing w:val="-109"/>
                <w:sz w:val="21"/>
              </w:rPr>
              <w:t>）</w:t>
            </w:r>
            <w:r>
              <w:rPr>
                <w:sz w:val="21"/>
              </w:rPr>
              <w:t>；</w:t>
            </w:r>
          </w:p>
          <w:p>
            <w:pPr>
              <w:pStyle w:val="21"/>
              <w:spacing w:line="321" w:lineRule="auto"/>
              <w:ind w:left="104" w:right="33" w:firstLine="420"/>
              <w:rPr>
                <w:sz w:val="21"/>
              </w:rPr>
            </w:pPr>
            <w:r>
              <w:rPr>
                <w:rFonts w:ascii="Times New Roman" w:eastAsia="Times New Roman"/>
                <w:sz w:val="21"/>
              </w:rPr>
              <w:t>b.</w:t>
            </w:r>
            <w:r>
              <w:rPr>
                <w:sz w:val="21"/>
              </w:rPr>
              <w:t>已标价工程量清单说明文字与招标文件规定一致，未进行实质性修改和删减；</w:t>
            </w:r>
          </w:p>
          <w:p>
            <w:pPr>
              <w:pStyle w:val="21"/>
              <w:spacing w:line="268" w:lineRule="exact"/>
              <w:ind w:left="524"/>
              <w:rPr>
                <w:sz w:val="21"/>
              </w:rPr>
            </w:pPr>
            <w:r>
              <w:rPr>
                <w:rFonts w:ascii="Times New Roman" w:eastAsia="Times New Roman"/>
                <w:sz w:val="21"/>
              </w:rPr>
              <w:t>c.</w:t>
            </w:r>
            <w:r>
              <w:rPr>
                <w:sz w:val="21"/>
              </w:rPr>
              <w:t>投标文件组成齐全完整，内容均按规定填写。</w:t>
            </w:r>
          </w:p>
          <w:p>
            <w:pPr>
              <w:pStyle w:val="21"/>
              <w:spacing w:before="88" w:line="321" w:lineRule="auto"/>
              <w:ind w:left="104" w:right="95" w:firstLine="420"/>
              <w:rPr>
                <w:sz w:val="21"/>
              </w:rPr>
            </w:pPr>
            <w:r>
              <w:rPr>
                <w:sz w:val="21"/>
              </w:rPr>
              <w:t>（</w:t>
            </w:r>
            <w:r>
              <w:rPr>
                <w:rFonts w:ascii="Times New Roman" w:eastAsia="Times New Roman"/>
                <w:sz w:val="21"/>
              </w:rPr>
              <w:t>2</w:t>
            </w:r>
            <w:r>
              <w:rPr>
                <w:sz w:val="21"/>
              </w:rPr>
              <w:t>）投标文件上法定代表人或其委托代理人的签字、投标人的单位章盖章齐全，符合招标文件规定。</w:t>
            </w:r>
          </w:p>
          <w:p>
            <w:pPr>
              <w:pStyle w:val="21"/>
              <w:spacing w:line="321" w:lineRule="auto"/>
              <w:ind w:left="104" w:right="95" w:firstLine="420"/>
              <w:rPr>
                <w:sz w:val="21"/>
              </w:rPr>
            </w:pPr>
            <w:r>
              <w:rPr>
                <w:sz w:val="21"/>
              </w:rPr>
              <w:t>（</w:t>
            </w:r>
            <w:r>
              <w:rPr>
                <w:rFonts w:ascii="Times New Roman" w:eastAsia="Times New Roman"/>
                <w:sz w:val="21"/>
              </w:rPr>
              <w:t>3</w:t>
            </w:r>
            <w:r>
              <w:rPr>
                <w:sz w:val="21"/>
              </w:rPr>
              <w:t>）</w:t>
            </w:r>
            <w:r>
              <w:rPr>
                <w:spacing w:val="-3"/>
                <w:sz w:val="21"/>
              </w:rPr>
              <w:t>投标报价或调价函中的报价未超过招标文件设定的最高投标限价（</w:t>
            </w:r>
            <w:r>
              <w:rPr>
                <w:spacing w:val="-2"/>
                <w:sz w:val="21"/>
              </w:rPr>
              <w:t>如有</w:t>
            </w:r>
            <w:r>
              <w:rPr>
                <w:spacing w:val="-106"/>
                <w:sz w:val="21"/>
              </w:rPr>
              <w:t>）</w:t>
            </w:r>
            <w:r>
              <w:rPr>
                <w:sz w:val="21"/>
              </w:rPr>
              <w:t>。</w:t>
            </w:r>
          </w:p>
          <w:p>
            <w:pPr>
              <w:pStyle w:val="21"/>
              <w:spacing w:line="268" w:lineRule="exact"/>
              <w:ind w:left="524"/>
              <w:rPr>
                <w:sz w:val="21"/>
              </w:rPr>
            </w:pPr>
            <w:r>
              <w:rPr>
                <w:sz w:val="21"/>
              </w:rPr>
              <w:t>（</w:t>
            </w:r>
            <w:r>
              <w:rPr>
                <w:rFonts w:ascii="Times New Roman" w:eastAsia="Times New Roman"/>
                <w:sz w:val="21"/>
              </w:rPr>
              <w:t>4</w:t>
            </w:r>
            <w:r>
              <w:rPr>
                <w:sz w:val="21"/>
              </w:rPr>
              <w:t>）投标报价或调价函中报价的大写金额能够确定具体数值。</w:t>
            </w:r>
          </w:p>
          <w:p>
            <w:pPr>
              <w:pStyle w:val="21"/>
              <w:spacing w:before="91" w:line="321" w:lineRule="auto"/>
              <w:ind w:left="104" w:right="95" w:firstLine="420"/>
              <w:rPr>
                <w:sz w:val="21"/>
              </w:rPr>
            </w:pPr>
            <w:r>
              <w:rPr>
                <w:sz w:val="21"/>
              </w:rPr>
              <w:t>（</w:t>
            </w:r>
            <w:r>
              <w:rPr>
                <w:rFonts w:ascii="Times New Roman" w:eastAsia="Times New Roman"/>
                <w:sz w:val="21"/>
              </w:rPr>
              <w:t>5</w:t>
            </w:r>
            <w:r>
              <w:rPr>
                <w:sz w:val="21"/>
              </w:rPr>
              <w:t>）同一投标人未提交两个以上不同的投标报价，但招标文件要求提交备选投标的除外。</w:t>
            </w:r>
          </w:p>
          <w:p>
            <w:pPr>
              <w:pStyle w:val="21"/>
              <w:spacing w:line="321" w:lineRule="auto"/>
              <w:ind w:left="104" w:right="95" w:firstLine="420"/>
              <w:rPr>
                <w:sz w:val="21"/>
              </w:rPr>
            </w:pPr>
            <w:r>
              <w:rPr>
                <w:sz w:val="21"/>
              </w:rPr>
              <w:t>（</w:t>
            </w:r>
            <w:r>
              <w:rPr>
                <w:rFonts w:ascii="Times New Roman" w:hAnsi="Times New Roman" w:eastAsia="Times New Roman"/>
                <w:sz w:val="21"/>
              </w:rPr>
              <w:t>6</w:t>
            </w:r>
            <w:r>
              <w:rPr>
                <w:sz w:val="21"/>
              </w:rPr>
              <w:t xml:space="preserve">）投标人若提交调价函，调价函符合招标文件第二章“投标人须知”第 </w:t>
            </w:r>
            <w:r>
              <w:rPr>
                <w:rFonts w:ascii="Times New Roman" w:hAnsi="Times New Roman" w:eastAsia="Times New Roman"/>
                <w:sz w:val="21"/>
              </w:rPr>
              <w:t xml:space="preserve">3.2.6 </w:t>
            </w:r>
            <w:r>
              <w:rPr>
                <w:sz w:val="21"/>
              </w:rPr>
              <w:t>项要求。</w:t>
            </w:r>
          </w:p>
          <w:p>
            <w:pPr>
              <w:pStyle w:val="21"/>
              <w:spacing w:line="321" w:lineRule="auto"/>
              <w:ind w:left="104" w:right="95" w:firstLine="420"/>
              <w:jc w:val="both"/>
              <w:rPr>
                <w:sz w:val="21"/>
              </w:rPr>
            </w:pPr>
            <w:r>
              <w:rPr>
                <w:sz w:val="21"/>
              </w:rPr>
              <w:t>（</w:t>
            </w:r>
            <w:r>
              <w:rPr>
                <w:rFonts w:ascii="Times New Roman" w:eastAsia="Times New Roman"/>
                <w:sz w:val="21"/>
              </w:rPr>
              <w:t>7</w:t>
            </w:r>
            <w:r>
              <w:rPr>
                <w:sz w:val="21"/>
              </w:rPr>
              <w:t>）</w:t>
            </w:r>
            <w:r>
              <w:rPr>
                <w:spacing w:val="-3"/>
                <w:sz w:val="21"/>
              </w:rPr>
              <w:t>投标人若填写工程量固化清单，填写完毕的工程量固化清单</w:t>
            </w:r>
            <w:r>
              <w:rPr>
                <w:spacing w:val="-10"/>
                <w:sz w:val="21"/>
              </w:rPr>
              <w:t>未对工程量固化清单电子文件中的数据、格式和运算定义进行修改；工</w:t>
            </w:r>
            <w:r>
              <w:rPr>
                <w:spacing w:val="-3"/>
                <w:sz w:val="21"/>
              </w:rPr>
              <w:t>程量固化清单中的投标报价和投标函大写金额报价一致。</w:t>
            </w:r>
          </w:p>
          <w:p>
            <w:pPr>
              <w:pStyle w:val="21"/>
              <w:spacing w:line="268" w:lineRule="exact"/>
              <w:ind w:left="488"/>
              <w:rPr>
                <w:sz w:val="21"/>
              </w:rPr>
            </w:pPr>
            <w:r>
              <w:rPr>
                <w:sz w:val="21"/>
              </w:rPr>
              <w:t>（</w:t>
            </w:r>
            <w:r>
              <w:rPr>
                <w:rFonts w:ascii="Times New Roman" w:hAnsi="Times New Roman" w:eastAsia="Times New Roman"/>
                <w:sz w:val="21"/>
              </w:rPr>
              <w:t>8</w:t>
            </w:r>
            <w:r>
              <w:rPr>
                <w:sz w:val="21"/>
              </w:rPr>
              <w:t>）投标文件正、副本份数符合招标文件第二章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p>
          <w:p>
            <w:pPr>
              <w:pStyle w:val="21"/>
              <w:spacing w:before="88"/>
              <w:ind w:left="104"/>
              <w:rPr>
                <w:sz w:val="21"/>
              </w:rPr>
            </w:pPr>
            <w:r>
              <w:rPr>
                <w:rFonts w:ascii="Times New Roman" w:eastAsia="Times New Roman"/>
                <w:sz w:val="21"/>
              </w:rPr>
              <w:t xml:space="preserve">3.7.4 </w:t>
            </w:r>
            <w:r>
              <w:rPr>
                <w:sz w:val="21"/>
              </w:rPr>
              <w:t>项规定。</w:t>
            </w:r>
          </w:p>
          <w:p>
            <w:pPr>
              <w:pStyle w:val="21"/>
              <w:spacing w:before="115" w:line="226" w:lineRule="exact"/>
              <w:ind w:left="48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989" w:type="dxa"/>
          </w:tcPr>
          <w:p>
            <w:pPr>
              <w:pStyle w:val="21"/>
            </w:pPr>
          </w:p>
          <w:p>
            <w:pPr>
              <w:pStyle w:val="21"/>
            </w:pPr>
          </w:p>
          <w:p>
            <w:pPr>
              <w:pStyle w:val="21"/>
            </w:pPr>
          </w:p>
          <w:p>
            <w:pPr>
              <w:pStyle w:val="21"/>
              <w:spacing w:before="177"/>
              <w:ind w:left="282"/>
              <w:rPr>
                <w:rFonts w:ascii="Times New Roman"/>
                <w:sz w:val="21"/>
              </w:rPr>
            </w:pPr>
            <w:r>
              <w:rPr>
                <w:rFonts w:ascii="Times New Roman"/>
                <w:sz w:val="21"/>
              </w:rPr>
              <w:t>2.1.2</w:t>
            </w:r>
          </w:p>
        </w:tc>
        <w:tc>
          <w:tcPr>
            <w:tcW w:w="1280" w:type="dxa"/>
            <w:tcBorders>
              <w:right w:val="single" w:color="000000" w:sz="6" w:space="0"/>
            </w:tcBorders>
          </w:tcPr>
          <w:p>
            <w:pPr>
              <w:pStyle w:val="21"/>
            </w:pPr>
          </w:p>
          <w:p>
            <w:pPr>
              <w:pStyle w:val="21"/>
            </w:pPr>
          </w:p>
          <w:p>
            <w:pPr>
              <w:pStyle w:val="21"/>
              <w:spacing w:before="2"/>
              <w:rPr>
                <w:sz w:val="19"/>
              </w:rPr>
            </w:pPr>
          </w:p>
          <w:p>
            <w:pPr>
              <w:pStyle w:val="21"/>
              <w:spacing w:line="338" w:lineRule="auto"/>
              <w:ind w:left="373" w:right="205" w:hanging="156"/>
              <w:rPr>
                <w:sz w:val="11"/>
              </w:rPr>
            </w:pPr>
            <w:r>
              <w:rPr>
                <w:sz w:val="21"/>
              </w:rPr>
              <w:t>资格评审标准</w:t>
            </w:r>
          </w:p>
        </w:tc>
        <w:tc>
          <w:tcPr>
            <w:tcW w:w="6626" w:type="dxa"/>
            <w:tcBorders>
              <w:left w:val="single" w:color="000000" w:sz="6" w:space="0"/>
            </w:tcBorders>
          </w:tcPr>
          <w:p>
            <w:pPr>
              <w:pStyle w:val="21"/>
              <w:spacing w:before="89" w:line="321" w:lineRule="auto"/>
              <w:ind w:left="104" w:right="95" w:firstLine="420"/>
              <w:rPr>
                <w:sz w:val="21"/>
              </w:rPr>
            </w:pPr>
            <w:r>
              <w:rPr>
                <w:sz w:val="21"/>
              </w:rPr>
              <w:t>（</w:t>
            </w:r>
            <w:r>
              <w:rPr>
                <w:rFonts w:ascii="Times New Roman" w:eastAsia="Times New Roman"/>
                <w:sz w:val="21"/>
              </w:rPr>
              <w:t>1</w:t>
            </w:r>
            <w:r>
              <w:rPr>
                <w:sz w:val="21"/>
              </w:rPr>
              <w:t>）投标人具备有效的营业执照、组织机构代码证、资质证书、安全生产许可证和基本账户开户许可证。</w:t>
            </w:r>
          </w:p>
          <w:p>
            <w:pPr>
              <w:pStyle w:val="21"/>
              <w:spacing w:line="268" w:lineRule="exact"/>
              <w:ind w:left="524"/>
              <w:rPr>
                <w:sz w:val="21"/>
              </w:rPr>
            </w:pPr>
            <w:r>
              <w:rPr>
                <w:sz w:val="21"/>
              </w:rPr>
              <w:t>（</w:t>
            </w:r>
            <w:r>
              <w:rPr>
                <w:rFonts w:ascii="Times New Roman" w:eastAsia="Times New Roman"/>
                <w:sz w:val="21"/>
              </w:rPr>
              <w:t>2</w:t>
            </w:r>
            <w:r>
              <w:rPr>
                <w:sz w:val="21"/>
              </w:rPr>
              <w:t>）投标人的资质等级符合招标文件规定。</w:t>
            </w:r>
          </w:p>
          <w:p>
            <w:pPr>
              <w:pStyle w:val="21"/>
              <w:spacing w:before="91"/>
              <w:ind w:left="524"/>
              <w:rPr>
                <w:sz w:val="21"/>
              </w:rPr>
            </w:pPr>
            <w:r>
              <w:rPr>
                <w:sz w:val="21"/>
              </w:rPr>
              <w:t>（</w:t>
            </w:r>
            <w:r>
              <w:rPr>
                <w:rFonts w:ascii="Times New Roman" w:eastAsia="Times New Roman"/>
                <w:sz w:val="21"/>
              </w:rPr>
              <w:t>3</w:t>
            </w:r>
            <w:r>
              <w:rPr>
                <w:sz w:val="21"/>
              </w:rPr>
              <w:t>）投标人的财务状况符合招标文件规定。</w:t>
            </w:r>
          </w:p>
          <w:p>
            <w:pPr>
              <w:pStyle w:val="21"/>
              <w:spacing w:before="92"/>
              <w:ind w:left="524"/>
              <w:rPr>
                <w:sz w:val="21"/>
              </w:rPr>
            </w:pPr>
            <w:r>
              <w:rPr>
                <w:sz w:val="21"/>
              </w:rPr>
              <w:t>（</w:t>
            </w:r>
            <w:r>
              <w:rPr>
                <w:rFonts w:ascii="Times New Roman" w:eastAsia="Times New Roman"/>
                <w:sz w:val="21"/>
              </w:rPr>
              <w:t>4</w:t>
            </w:r>
            <w:r>
              <w:rPr>
                <w:sz w:val="21"/>
              </w:rPr>
              <w:t>）投标人的类似项目业绩符合招标文件规定。</w:t>
            </w:r>
          </w:p>
          <w:p>
            <w:pPr>
              <w:pStyle w:val="21"/>
              <w:spacing w:before="91" w:line="250" w:lineRule="exact"/>
              <w:ind w:left="524"/>
              <w:rPr>
                <w:sz w:val="21"/>
              </w:rPr>
            </w:pPr>
            <w:r>
              <w:rPr>
                <w:sz w:val="21"/>
              </w:rPr>
              <w:t>（</w:t>
            </w:r>
            <w:r>
              <w:rPr>
                <w:rFonts w:ascii="Times New Roman" w:eastAsia="Times New Roman"/>
                <w:sz w:val="21"/>
              </w:rPr>
              <w:t>5</w:t>
            </w:r>
            <w:r>
              <w:rPr>
                <w:sz w:val="21"/>
              </w:rPr>
              <w:t>）投标人的信誉符合招标文件规定。</w:t>
            </w:r>
          </w:p>
        </w:tc>
      </w:tr>
    </w:tbl>
    <w:p>
      <w:pPr>
        <w:pStyle w:val="11"/>
        <w:spacing w:before="2"/>
        <w:rPr>
          <w:sz w:val="20"/>
        </w:rPr>
      </w:pPr>
    </w:p>
    <w:p>
      <w:pPr>
        <w:rPr>
          <w:sz w:val="18"/>
        </w:rPr>
        <w:sectPr>
          <w:pgSz w:w="11910" w:h="16850"/>
          <w:pgMar w:top="1480" w:right="1200" w:bottom="1040" w:left="1220" w:header="876" w:footer="853" w:gutter="0"/>
          <w:cols w:space="720" w:num="1"/>
        </w:sectPr>
      </w:pPr>
    </w:p>
    <w:p>
      <w:pPr>
        <w:pStyle w:val="11"/>
        <w:rPr>
          <w:sz w:val="20"/>
        </w:rPr>
      </w:pPr>
    </w:p>
    <w:p>
      <w:pPr>
        <w:pStyle w:val="11"/>
        <w:spacing w:before="9"/>
        <w:rPr>
          <w:sz w:val="15"/>
        </w:rPr>
      </w:pPr>
    </w:p>
    <w:p>
      <w:pPr>
        <w:spacing w:after="3"/>
        <w:ind w:left="8444"/>
        <w:rPr>
          <w:sz w:val="21"/>
        </w:rPr>
      </w:pPr>
      <w:r>
        <w:rPr>
          <w:sz w:val="21"/>
        </w:rPr>
        <w:t>续上表</w:t>
      </w:r>
    </w:p>
    <w:tbl>
      <w:tblPr>
        <w:tblStyle w:val="19"/>
        <w:tblW w:w="889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pPr>
              <w:pStyle w:val="21"/>
              <w:spacing w:before="109" w:line="250" w:lineRule="exact"/>
              <w:ind w:left="796" w:right="788"/>
              <w:jc w:val="center"/>
              <w:rPr>
                <w:b/>
                <w:sz w:val="21"/>
              </w:rPr>
            </w:pPr>
            <w:r>
              <w:rPr>
                <w:b/>
                <w:sz w:val="21"/>
              </w:rPr>
              <w:t>条款号</w:t>
            </w:r>
          </w:p>
        </w:tc>
        <w:tc>
          <w:tcPr>
            <w:tcW w:w="6626" w:type="dxa"/>
            <w:tcBorders>
              <w:left w:val="single" w:color="000000" w:sz="6" w:space="0"/>
            </w:tcBorders>
          </w:tcPr>
          <w:p>
            <w:pPr>
              <w:pStyle w:val="21"/>
              <w:spacing w:before="109" w:line="250" w:lineRule="exact"/>
              <w:ind w:left="2335" w:right="234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989" w:type="dxa"/>
          </w:tcPr>
          <w:p>
            <w:pPr>
              <w:pStyle w:val="21"/>
            </w:pPr>
          </w:p>
          <w:p>
            <w:pPr>
              <w:pStyle w:val="21"/>
            </w:pPr>
          </w:p>
          <w:p>
            <w:pPr>
              <w:pStyle w:val="21"/>
            </w:pPr>
          </w:p>
          <w:p>
            <w:pPr>
              <w:pStyle w:val="21"/>
            </w:pPr>
          </w:p>
          <w:p>
            <w:pPr>
              <w:pStyle w:val="21"/>
            </w:pPr>
          </w:p>
          <w:p>
            <w:pPr>
              <w:pStyle w:val="21"/>
              <w:rPr>
                <w:sz w:val="26"/>
              </w:rPr>
            </w:pPr>
          </w:p>
          <w:p>
            <w:pPr>
              <w:pStyle w:val="21"/>
              <w:ind w:left="157" w:right="148"/>
              <w:jc w:val="center"/>
              <w:rPr>
                <w:rFonts w:ascii="Times New Roman"/>
                <w:sz w:val="21"/>
              </w:rPr>
            </w:pPr>
            <w:r>
              <w:rPr>
                <w:rFonts w:ascii="Times New Roman"/>
                <w:sz w:val="21"/>
              </w:rPr>
              <w:t>2.1.2</w:t>
            </w:r>
          </w:p>
        </w:tc>
        <w:tc>
          <w:tcPr>
            <w:tcW w:w="1280" w:type="dxa"/>
            <w:tcBorders>
              <w:right w:val="single" w:color="000000" w:sz="6" w:space="0"/>
            </w:tcBorders>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5"/>
              <w:rPr>
                <w:sz w:val="19"/>
              </w:rPr>
            </w:pPr>
          </w:p>
          <w:p>
            <w:pPr>
              <w:pStyle w:val="21"/>
              <w:spacing w:line="338" w:lineRule="auto"/>
              <w:ind w:left="429" w:right="205" w:hanging="212"/>
              <w:rPr>
                <w:sz w:val="21"/>
              </w:rPr>
            </w:pPr>
            <w:r>
              <w:rPr>
                <w:sz w:val="21"/>
              </w:rPr>
              <w:t>资格评审标准</w:t>
            </w:r>
          </w:p>
        </w:tc>
        <w:tc>
          <w:tcPr>
            <w:tcW w:w="6626" w:type="dxa"/>
            <w:tcBorders>
              <w:left w:val="single" w:color="000000" w:sz="6" w:space="0"/>
            </w:tcBorders>
          </w:tcPr>
          <w:p>
            <w:pPr>
              <w:pStyle w:val="21"/>
              <w:spacing w:before="89" w:line="321" w:lineRule="auto"/>
              <w:ind w:left="104" w:right="95" w:firstLine="420"/>
              <w:rPr>
                <w:sz w:val="21"/>
              </w:rPr>
            </w:pPr>
            <w:r>
              <w:rPr>
                <w:sz w:val="21"/>
              </w:rPr>
              <w:t>（</w:t>
            </w:r>
            <w:r>
              <w:rPr>
                <w:rFonts w:ascii="Times New Roman" w:eastAsia="Times New Roman"/>
                <w:sz w:val="21"/>
              </w:rPr>
              <w:t>6</w:t>
            </w:r>
            <w:r>
              <w:rPr>
                <w:sz w:val="21"/>
              </w:rPr>
              <w:t>）投标人的项目经理和项目总工资格、在岗情况符合招标文件规定。</w:t>
            </w:r>
          </w:p>
          <w:p>
            <w:pPr>
              <w:pStyle w:val="21"/>
              <w:spacing w:line="268" w:lineRule="exact"/>
              <w:ind w:left="524"/>
              <w:rPr>
                <w:sz w:val="11"/>
              </w:rPr>
            </w:pPr>
            <w:r>
              <w:rPr>
                <w:sz w:val="21"/>
              </w:rPr>
              <w:t>（</w:t>
            </w:r>
            <w:r>
              <w:rPr>
                <w:rFonts w:ascii="Times New Roman" w:hAnsi="Times New Roman" w:eastAsia="Times New Roman"/>
                <w:sz w:val="21"/>
              </w:rPr>
              <w:t>7</w:t>
            </w:r>
            <w:r>
              <w:rPr>
                <w:sz w:val="21"/>
              </w:rPr>
              <w:t>）投标人的其他要求符合招标文件规定。</w:t>
            </w:r>
            <w:r>
              <w:rPr>
                <w:position w:val="10"/>
                <w:sz w:val="11"/>
              </w:rPr>
              <w:t>①</w:t>
            </w:r>
          </w:p>
          <w:p>
            <w:pPr>
              <w:pStyle w:val="21"/>
              <w:spacing w:before="91" w:line="321" w:lineRule="auto"/>
              <w:ind w:left="104" w:right="21" w:firstLine="420"/>
              <w:rPr>
                <w:sz w:val="21"/>
              </w:rPr>
            </w:pPr>
            <w:r>
              <w:rPr>
                <w:sz w:val="21"/>
              </w:rPr>
              <w:t>（</w:t>
            </w:r>
            <w:r>
              <w:rPr>
                <w:rFonts w:ascii="Times New Roman" w:hAnsi="Times New Roman" w:eastAsia="Times New Roman"/>
                <w:sz w:val="21"/>
              </w:rPr>
              <w:t>8</w:t>
            </w:r>
            <w:r>
              <w:rPr>
                <w:sz w:val="21"/>
              </w:rPr>
              <w:t>）投标人不存在第二章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1.4.3 </w:t>
            </w:r>
            <w:r>
              <w:rPr>
                <w:sz w:val="21"/>
              </w:rPr>
              <w:t xml:space="preserve">项或第 </w:t>
            </w:r>
            <w:r>
              <w:rPr>
                <w:rFonts w:ascii="Times New Roman" w:hAnsi="Times New Roman" w:eastAsia="Times New Roman"/>
                <w:sz w:val="21"/>
              </w:rPr>
              <w:t xml:space="preserve">1.4.4 </w:t>
            </w:r>
            <w:r>
              <w:rPr>
                <w:sz w:val="21"/>
              </w:rPr>
              <w:t>项规定的任何一种情形。</w:t>
            </w:r>
          </w:p>
          <w:p>
            <w:pPr>
              <w:pStyle w:val="21"/>
              <w:spacing w:line="269" w:lineRule="exact"/>
              <w:ind w:left="524"/>
              <w:rPr>
                <w:sz w:val="11"/>
              </w:rPr>
            </w:pPr>
            <w:r>
              <w:rPr>
                <w:sz w:val="21"/>
              </w:rPr>
              <w:t>（</w:t>
            </w:r>
            <w:r>
              <w:rPr>
                <w:rFonts w:ascii="Times New Roman" w:hAnsi="Times New Roman" w:eastAsia="Times New Roman"/>
                <w:sz w:val="21"/>
              </w:rPr>
              <w:t>9</w:t>
            </w:r>
            <w:r>
              <w:rPr>
                <w:sz w:val="21"/>
              </w:rPr>
              <w:t>）投标人符合第二章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1.4.5 </w:t>
            </w:r>
            <w:r>
              <w:rPr>
                <w:sz w:val="21"/>
              </w:rPr>
              <w:t>项规定。</w:t>
            </w:r>
            <w:r>
              <w:rPr>
                <w:position w:val="10"/>
                <w:sz w:val="11"/>
              </w:rPr>
              <w:t>②</w:t>
            </w:r>
          </w:p>
          <w:p>
            <w:pPr>
              <w:pStyle w:val="21"/>
              <w:spacing w:before="91" w:line="321" w:lineRule="auto"/>
              <w:ind w:left="104" w:right="95" w:firstLine="420"/>
              <w:jc w:val="both"/>
              <w:rPr>
                <w:sz w:val="21"/>
              </w:rPr>
            </w:pPr>
            <w:r>
              <w:rPr>
                <w:spacing w:val="-14"/>
                <w:sz w:val="21"/>
              </w:rPr>
              <w:t>（</w:t>
            </w:r>
            <w:r>
              <w:rPr>
                <w:rFonts w:ascii="Times New Roman" w:eastAsia="Times New Roman"/>
                <w:spacing w:val="-14"/>
                <w:sz w:val="21"/>
              </w:rPr>
              <w:t>10</w:t>
            </w:r>
            <w:r>
              <w:rPr>
                <w:spacing w:val="-14"/>
                <w:sz w:val="21"/>
              </w:rPr>
              <w:t>）</w:t>
            </w:r>
            <w:r>
              <w:rPr>
                <w:spacing w:val="-8"/>
                <w:sz w:val="21"/>
              </w:rPr>
              <w:t>以联合体形式参与投标的，联合体各方均未再以自己名义单</w:t>
            </w:r>
            <w:r>
              <w:rPr>
                <w:spacing w:val="-10"/>
                <w:sz w:val="21"/>
              </w:rPr>
              <w:t>独或参加其他联合体在同一标段中投标；独立参与投标的，投标人未同</w:t>
            </w:r>
            <w:r>
              <w:rPr>
                <w:spacing w:val="-5"/>
                <w:sz w:val="21"/>
              </w:rPr>
              <w:t>时参加联合体在同一标段中投标。</w:t>
            </w:r>
          </w:p>
          <w:p>
            <w:pPr>
              <w:pStyle w:val="21"/>
              <w:spacing w:before="22" w:line="226" w:lineRule="exact"/>
              <w:ind w:left="48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89" w:type="dxa"/>
          </w:tcPr>
          <w:p>
            <w:pPr>
              <w:pStyle w:val="21"/>
              <w:spacing w:before="109" w:line="252" w:lineRule="exact"/>
              <w:ind w:left="157" w:right="148"/>
              <w:jc w:val="center"/>
              <w:rPr>
                <w:b/>
                <w:sz w:val="21"/>
              </w:rPr>
            </w:pPr>
            <w:r>
              <w:rPr>
                <w:b/>
                <w:sz w:val="21"/>
              </w:rPr>
              <w:t>条款号</w:t>
            </w:r>
          </w:p>
        </w:tc>
        <w:tc>
          <w:tcPr>
            <w:tcW w:w="1280" w:type="dxa"/>
            <w:tcBorders>
              <w:right w:val="single" w:color="000000" w:sz="6" w:space="0"/>
            </w:tcBorders>
          </w:tcPr>
          <w:p>
            <w:pPr>
              <w:pStyle w:val="21"/>
              <w:spacing w:before="109" w:line="252" w:lineRule="exact"/>
              <w:ind w:left="112" w:right="99"/>
              <w:jc w:val="center"/>
              <w:rPr>
                <w:b/>
                <w:sz w:val="21"/>
              </w:rPr>
            </w:pPr>
            <w:r>
              <w:rPr>
                <w:b/>
                <w:sz w:val="21"/>
              </w:rPr>
              <w:t>条款内容</w:t>
            </w:r>
          </w:p>
        </w:tc>
        <w:tc>
          <w:tcPr>
            <w:tcW w:w="6626" w:type="dxa"/>
            <w:tcBorders>
              <w:left w:val="single" w:color="000000" w:sz="6" w:space="0"/>
            </w:tcBorders>
          </w:tcPr>
          <w:p>
            <w:pPr>
              <w:pStyle w:val="21"/>
              <w:spacing w:before="109" w:line="252" w:lineRule="exact"/>
              <w:ind w:left="2335" w:right="2331"/>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89" w:type="dxa"/>
            <w:tcBorders>
              <w:bottom w:val="nil"/>
            </w:tcBorders>
          </w:tcPr>
          <w:p>
            <w:pPr>
              <w:pStyle w:val="21"/>
              <w:rPr>
                <w:rFonts w:ascii="Times New Roman"/>
                <w:sz w:val="18"/>
              </w:rPr>
            </w:pPr>
          </w:p>
        </w:tc>
        <w:tc>
          <w:tcPr>
            <w:tcW w:w="1280" w:type="dxa"/>
            <w:tcBorders>
              <w:bottom w:val="nil"/>
              <w:right w:val="single" w:color="000000" w:sz="6" w:space="0"/>
            </w:tcBorders>
          </w:tcPr>
          <w:p>
            <w:pPr>
              <w:pStyle w:val="21"/>
              <w:spacing w:before="109"/>
              <w:ind w:left="93" w:right="83"/>
              <w:jc w:val="center"/>
              <w:rPr>
                <w:sz w:val="21"/>
              </w:rPr>
            </w:pPr>
            <w:r>
              <w:rPr>
                <w:sz w:val="21"/>
              </w:rPr>
              <w:t>第一个信封</w:t>
            </w:r>
          </w:p>
        </w:tc>
        <w:tc>
          <w:tcPr>
            <w:tcW w:w="6626" w:type="dxa"/>
            <w:vMerge w:val="restart"/>
            <w:tcBorders>
              <w:left w:val="single" w:color="000000" w:sz="6" w:space="0"/>
            </w:tcBorders>
          </w:tcPr>
          <w:p>
            <w:pPr>
              <w:pStyle w:val="21"/>
              <w:tabs>
                <w:tab w:val="left" w:pos="2207"/>
                <w:tab w:val="left" w:pos="2627"/>
              </w:tabs>
              <w:spacing w:before="140" w:line="321" w:lineRule="auto"/>
              <w:ind w:left="524" w:right="3772"/>
              <w:rPr>
                <w:sz w:val="21"/>
              </w:rPr>
            </w:pPr>
            <w:r>
              <w:rPr>
                <w:sz w:val="21"/>
              </w:rPr>
              <w:t>施工</w:t>
            </w:r>
            <w:r>
              <w:rPr>
                <w:spacing w:val="-3"/>
                <w:sz w:val="21"/>
              </w:rPr>
              <w:t>组</w:t>
            </w:r>
            <w:r>
              <w:rPr>
                <w:sz w:val="21"/>
              </w:rPr>
              <w:t>织</w:t>
            </w:r>
            <w:r>
              <w:rPr>
                <w:spacing w:val="-3"/>
                <w:sz w:val="21"/>
              </w:rPr>
              <w:t>设</w:t>
            </w:r>
            <w:r>
              <w:rPr>
                <w:sz w:val="21"/>
              </w:rPr>
              <w:t>计</w:t>
            </w:r>
            <w:r>
              <w:rPr>
                <w:spacing w:val="-3"/>
                <w:sz w:val="21"/>
              </w:rPr>
              <w:t>：</w:t>
            </w:r>
            <w:r>
              <w:rPr>
                <w:spacing w:val="-3"/>
                <w:sz w:val="21"/>
                <w:u w:val="single"/>
              </w:rPr>
              <w:t xml:space="preserve"> </w:t>
            </w:r>
            <w:r>
              <w:rPr>
                <w:spacing w:val="-3"/>
                <w:sz w:val="21"/>
                <w:u w:val="single"/>
              </w:rPr>
              <w:tab/>
            </w:r>
            <w:r>
              <w:rPr>
                <w:spacing w:val="-3"/>
                <w:sz w:val="21"/>
                <w:u w:val="single"/>
              </w:rPr>
              <w:tab/>
            </w:r>
            <w:r>
              <w:rPr>
                <w:sz w:val="21"/>
              </w:rPr>
              <w:t>分主要</w:t>
            </w:r>
            <w:r>
              <w:rPr>
                <w:spacing w:val="-3"/>
                <w:sz w:val="21"/>
              </w:rPr>
              <w:t>人</w:t>
            </w:r>
            <w:r>
              <w:rPr>
                <w:sz w:val="21"/>
              </w:rPr>
              <w:t>员</w:t>
            </w:r>
            <w:r>
              <w:rPr>
                <w:spacing w:val="-3"/>
                <w:sz w:val="21"/>
              </w:rPr>
              <w:t>：</w:t>
            </w:r>
            <w:r>
              <w:rPr>
                <w:spacing w:val="-3"/>
                <w:sz w:val="21"/>
                <w:u w:val="single"/>
              </w:rPr>
              <w:t xml:space="preserve"> </w:t>
            </w:r>
            <w:r>
              <w:rPr>
                <w:spacing w:val="-3"/>
                <w:sz w:val="21"/>
                <w:u w:val="single"/>
              </w:rPr>
              <w:tab/>
            </w:r>
            <w:r>
              <w:rPr>
                <w:sz w:val="21"/>
              </w:rPr>
              <w:t>分</w:t>
            </w:r>
          </w:p>
          <w:p>
            <w:pPr>
              <w:pStyle w:val="21"/>
              <w:tabs>
                <w:tab w:val="left" w:pos="2207"/>
                <w:tab w:val="left" w:pos="2317"/>
              </w:tabs>
              <w:spacing w:line="321" w:lineRule="auto"/>
              <w:ind w:left="524" w:right="4082"/>
              <w:rPr>
                <w:sz w:val="21"/>
              </w:rPr>
            </w:pPr>
            <w:r>
              <w:rPr>
                <w:sz w:val="21"/>
              </w:rPr>
              <w:t>技术</w:t>
            </w:r>
            <w:r>
              <w:rPr>
                <w:spacing w:val="-3"/>
                <w:sz w:val="21"/>
              </w:rPr>
              <w:t>能力</w:t>
            </w:r>
            <w:r>
              <w:rPr>
                <w:position w:val="10"/>
                <w:sz w:val="11"/>
              </w:rPr>
              <w:t>④</w:t>
            </w:r>
            <w:r>
              <w:rPr>
                <w:sz w:val="21"/>
              </w:rPr>
              <w:t>：</w:t>
            </w:r>
            <w:r>
              <w:rPr>
                <w:sz w:val="21"/>
                <w:u w:val="single"/>
              </w:rPr>
              <w:t xml:space="preserve"> </w:t>
            </w:r>
            <w:r>
              <w:rPr>
                <w:sz w:val="21"/>
                <w:u w:val="single"/>
              </w:rPr>
              <w:tab/>
            </w:r>
            <w:r>
              <w:rPr>
                <w:sz w:val="21"/>
                <w:u w:val="single"/>
              </w:rPr>
              <w:tab/>
            </w:r>
            <w:r>
              <w:rPr>
                <w:sz w:val="21"/>
              </w:rPr>
              <w:t>分履约</w:t>
            </w:r>
            <w:r>
              <w:rPr>
                <w:spacing w:val="-3"/>
                <w:sz w:val="21"/>
              </w:rPr>
              <w:t>信</w:t>
            </w:r>
            <w:r>
              <w:rPr>
                <w:sz w:val="21"/>
              </w:rPr>
              <w:t>誉</w:t>
            </w:r>
            <w:r>
              <w:rPr>
                <w:spacing w:val="-3"/>
                <w:sz w:val="21"/>
              </w:rPr>
              <w:t>：</w:t>
            </w:r>
            <w:r>
              <w:rPr>
                <w:spacing w:val="-3"/>
                <w:sz w:val="21"/>
                <w:u w:val="single"/>
              </w:rPr>
              <w:t xml:space="preserve"> </w:t>
            </w:r>
            <w:r>
              <w:rPr>
                <w:spacing w:val="-3"/>
                <w:sz w:val="21"/>
                <w:u w:val="single"/>
              </w:rPr>
              <w:tab/>
            </w:r>
            <w:r>
              <w:rPr>
                <w:sz w:val="21"/>
              </w:rPr>
              <w:t>分</w:t>
            </w:r>
          </w:p>
          <w:p>
            <w:pPr>
              <w:pStyle w:val="21"/>
              <w:spacing w:before="22"/>
              <w:ind w:left="524"/>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89" w:type="dxa"/>
            <w:tcBorders>
              <w:top w:val="nil"/>
              <w:bottom w:val="nil"/>
            </w:tcBorders>
          </w:tcPr>
          <w:p>
            <w:pPr>
              <w:pStyle w:val="21"/>
              <w:rPr>
                <w:rFonts w:ascii="Times New Roman"/>
                <w:sz w:val="18"/>
              </w:rPr>
            </w:pPr>
          </w:p>
        </w:tc>
        <w:tc>
          <w:tcPr>
            <w:tcW w:w="1280" w:type="dxa"/>
            <w:tcBorders>
              <w:top w:val="nil"/>
              <w:bottom w:val="nil"/>
              <w:right w:val="single" w:color="000000" w:sz="6" w:space="0"/>
            </w:tcBorders>
          </w:tcPr>
          <w:p>
            <w:pPr>
              <w:pStyle w:val="21"/>
              <w:spacing w:before="50"/>
              <w:ind w:left="93" w:right="83"/>
              <w:jc w:val="center"/>
              <w:rPr>
                <w:sz w:val="21"/>
              </w:rPr>
            </w:pPr>
            <w:r>
              <w:rPr>
                <w:sz w:val="21"/>
              </w:rPr>
              <w:t>评分分值构</w:t>
            </w:r>
          </w:p>
        </w:tc>
        <w:tc>
          <w:tcPr>
            <w:tcW w:w="6626"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989" w:type="dxa"/>
            <w:tcBorders>
              <w:top w:val="nil"/>
              <w:bottom w:val="nil"/>
            </w:tcBorders>
          </w:tcPr>
          <w:p>
            <w:pPr>
              <w:pStyle w:val="21"/>
              <w:spacing w:before="82"/>
              <w:ind w:left="157" w:right="148"/>
              <w:jc w:val="center"/>
              <w:rPr>
                <w:rFonts w:ascii="Times New Roman"/>
                <w:sz w:val="21"/>
              </w:rPr>
            </w:pPr>
            <w:r>
              <w:rPr>
                <w:rFonts w:ascii="Times New Roman"/>
                <w:sz w:val="21"/>
              </w:rPr>
              <w:t>2.2.1</w:t>
            </w:r>
          </w:p>
        </w:tc>
        <w:tc>
          <w:tcPr>
            <w:tcW w:w="1280" w:type="dxa"/>
            <w:tcBorders>
              <w:top w:val="nil"/>
              <w:bottom w:val="nil"/>
              <w:right w:val="single" w:color="000000" w:sz="6" w:space="0"/>
            </w:tcBorders>
          </w:tcPr>
          <w:p>
            <w:pPr>
              <w:pStyle w:val="21"/>
              <w:spacing w:before="58"/>
              <w:ind w:left="107" w:right="99"/>
              <w:jc w:val="center"/>
              <w:rPr>
                <w:sz w:val="11"/>
              </w:rPr>
            </w:pPr>
            <w:r>
              <w:rPr>
                <w:position w:val="-9"/>
                <w:sz w:val="21"/>
              </w:rPr>
              <w:t>成</w:t>
            </w:r>
            <w:r>
              <w:rPr>
                <w:sz w:val="11"/>
              </w:rPr>
              <w:t>③</w:t>
            </w:r>
          </w:p>
        </w:tc>
        <w:tc>
          <w:tcPr>
            <w:tcW w:w="6626"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989" w:type="dxa"/>
            <w:tcBorders>
              <w:top w:val="nil"/>
              <w:bottom w:val="nil"/>
            </w:tcBorders>
          </w:tcPr>
          <w:p>
            <w:pPr>
              <w:pStyle w:val="21"/>
              <w:rPr>
                <w:rFonts w:ascii="Times New Roman"/>
                <w:sz w:val="18"/>
              </w:rPr>
            </w:pPr>
          </w:p>
        </w:tc>
        <w:tc>
          <w:tcPr>
            <w:tcW w:w="1280" w:type="dxa"/>
            <w:tcBorders>
              <w:top w:val="nil"/>
              <w:bottom w:val="nil"/>
              <w:right w:val="single" w:color="000000" w:sz="6" w:space="0"/>
            </w:tcBorders>
          </w:tcPr>
          <w:p>
            <w:pPr>
              <w:pStyle w:val="21"/>
              <w:spacing w:before="41"/>
              <w:ind w:left="93" w:right="83"/>
              <w:jc w:val="center"/>
              <w:rPr>
                <w:rFonts w:ascii="Times New Roman" w:eastAsia="Times New Roman"/>
                <w:sz w:val="21"/>
              </w:rPr>
            </w:pPr>
            <w:r>
              <w:rPr>
                <w:sz w:val="21"/>
              </w:rPr>
              <w:t xml:space="preserve">（总分 </w:t>
            </w:r>
            <w:r>
              <w:rPr>
                <w:rFonts w:ascii="Times New Roman" w:eastAsia="Times New Roman"/>
                <w:sz w:val="21"/>
              </w:rPr>
              <w:t>100</w:t>
            </w:r>
          </w:p>
        </w:tc>
        <w:tc>
          <w:tcPr>
            <w:tcW w:w="6626"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89" w:type="dxa"/>
            <w:tcBorders>
              <w:top w:val="nil"/>
            </w:tcBorders>
          </w:tcPr>
          <w:p>
            <w:pPr>
              <w:pStyle w:val="21"/>
              <w:rPr>
                <w:rFonts w:ascii="Times New Roman"/>
                <w:sz w:val="18"/>
              </w:rPr>
            </w:pPr>
          </w:p>
        </w:tc>
        <w:tc>
          <w:tcPr>
            <w:tcW w:w="1280" w:type="dxa"/>
            <w:tcBorders>
              <w:top w:val="nil"/>
              <w:right w:val="single" w:color="000000" w:sz="6" w:space="0"/>
            </w:tcBorders>
          </w:tcPr>
          <w:p>
            <w:pPr>
              <w:pStyle w:val="21"/>
              <w:spacing w:before="42" w:line="252" w:lineRule="exact"/>
              <w:ind w:left="112" w:right="99"/>
              <w:jc w:val="center"/>
              <w:rPr>
                <w:sz w:val="21"/>
              </w:rPr>
            </w:pPr>
            <w:r>
              <w:rPr>
                <w:sz w:val="21"/>
              </w:rPr>
              <w:t>分）</w:t>
            </w:r>
          </w:p>
        </w:tc>
        <w:tc>
          <w:tcPr>
            <w:tcW w:w="6626"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89" w:type="dxa"/>
          </w:tcPr>
          <w:p>
            <w:pPr>
              <w:pStyle w:val="21"/>
            </w:pPr>
          </w:p>
          <w:p>
            <w:pPr>
              <w:pStyle w:val="21"/>
              <w:spacing w:before="9"/>
              <w:rPr>
                <w:sz w:val="29"/>
              </w:rPr>
            </w:pPr>
          </w:p>
          <w:p>
            <w:pPr>
              <w:pStyle w:val="21"/>
              <w:ind w:left="157" w:right="148"/>
              <w:jc w:val="center"/>
              <w:rPr>
                <w:rFonts w:ascii="Times New Roman"/>
                <w:sz w:val="21"/>
              </w:rPr>
            </w:pPr>
            <w:r>
              <w:rPr>
                <w:rFonts w:ascii="Times New Roman"/>
                <w:sz w:val="21"/>
              </w:rPr>
              <w:t>2.2.3</w:t>
            </w:r>
          </w:p>
        </w:tc>
        <w:tc>
          <w:tcPr>
            <w:tcW w:w="1280" w:type="dxa"/>
            <w:tcBorders>
              <w:right w:val="single" w:color="000000" w:sz="6" w:space="0"/>
            </w:tcBorders>
          </w:tcPr>
          <w:p>
            <w:pPr>
              <w:pStyle w:val="21"/>
              <w:spacing w:before="1"/>
              <w:rPr>
                <w:sz w:val="20"/>
              </w:rPr>
            </w:pPr>
          </w:p>
          <w:p>
            <w:pPr>
              <w:pStyle w:val="21"/>
              <w:spacing w:line="338" w:lineRule="auto"/>
              <w:ind w:left="112" w:right="99"/>
              <w:jc w:val="center"/>
              <w:rPr>
                <w:sz w:val="21"/>
              </w:rPr>
            </w:pPr>
            <w:r>
              <w:rPr>
                <w:sz w:val="21"/>
              </w:rPr>
              <w:t>第二个信封详细评审标准</w:t>
            </w:r>
          </w:p>
        </w:tc>
        <w:tc>
          <w:tcPr>
            <w:tcW w:w="6626" w:type="dxa"/>
            <w:tcBorders>
              <w:left w:val="single" w:color="000000" w:sz="6" w:space="0"/>
            </w:tcBorders>
          </w:tcPr>
          <w:p>
            <w:pPr>
              <w:pStyle w:val="21"/>
              <w:spacing w:before="89"/>
              <w:ind w:left="104"/>
              <w:rPr>
                <w:sz w:val="21"/>
              </w:rPr>
            </w:pPr>
            <w:r>
              <w:rPr>
                <w:sz w:val="21"/>
              </w:rPr>
              <w:t>评标价计算公式：</w:t>
            </w:r>
          </w:p>
          <w:p>
            <w:pPr>
              <w:pStyle w:val="21"/>
              <w:spacing w:before="91" w:line="321" w:lineRule="auto"/>
              <w:ind w:left="104" w:right="96" w:firstLine="420"/>
              <w:rPr>
                <w:sz w:val="11"/>
              </w:rPr>
            </w:pPr>
            <w:r>
              <w:rPr>
                <w:sz w:val="21"/>
              </w:rPr>
              <w:t>评标价＝修正后的投标报价－暂估价－暂列金额（不含计日工总额）</w:t>
            </w:r>
            <w:r>
              <w:rPr>
                <w:position w:val="10"/>
                <w:sz w:val="11"/>
              </w:rPr>
              <w:t>⑤</w:t>
            </w:r>
          </w:p>
          <w:p>
            <w:pPr>
              <w:pStyle w:val="21"/>
              <w:spacing w:before="23" w:line="226" w:lineRule="exact"/>
              <w:ind w:left="524"/>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89" w:type="dxa"/>
          </w:tcPr>
          <w:p>
            <w:pPr>
              <w:pStyle w:val="21"/>
              <w:spacing w:before="1"/>
              <w:rPr>
                <w:sz w:val="25"/>
              </w:rPr>
            </w:pPr>
          </w:p>
          <w:p>
            <w:pPr>
              <w:pStyle w:val="21"/>
              <w:spacing w:before="1"/>
              <w:ind w:left="157" w:right="148"/>
              <w:jc w:val="center"/>
              <w:rPr>
                <w:rFonts w:ascii="Times New Roman"/>
                <w:sz w:val="21"/>
              </w:rPr>
            </w:pPr>
            <w:r>
              <w:rPr>
                <w:rFonts w:ascii="Times New Roman"/>
                <w:sz w:val="21"/>
              </w:rPr>
              <w:t>3.2.4</w:t>
            </w:r>
          </w:p>
        </w:tc>
        <w:tc>
          <w:tcPr>
            <w:tcW w:w="1280" w:type="dxa"/>
            <w:tcBorders>
              <w:right w:val="single" w:color="000000" w:sz="6" w:space="0"/>
            </w:tcBorders>
          </w:tcPr>
          <w:p>
            <w:pPr>
              <w:pStyle w:val="21"/>
              <w:spacing w:before="15" w:line="380" w:lineRule="exact"/>
              <w:ind w:left="112" w:right="99"/>
              <w:rPr>
                <w:sz w:val="21"/>
              </w:rPr>
            </w:pPr>
            <w:r>
              <w:rPr>
                <w:sz w:val="21"/>
              </w:rPr>
              <w:t>通过第一个信封详细评</w:t>
            </w:r>
          </w:p>
        </w:tc>
        <w:tc>
          <w:tcPr>
            <w:tcW w:w="6626" w:type="dxa"/>
            <w:tcBorders>
              <w:left w:val="single" w:color="000000" w:sz="6" w:space="0"/>
            </w:tcBorders>
          </w:tcPr>
          <w:p>
            <w:pPr>
              <w:pStyle w:val="21"/>
              <w:tabs>
                <w:tab w:val="left" w:pos="5973"/>
              </w:tabs>
              <w:spacing w:before="18" w:line="360" w:lineRule="atLeast"/>
              <w:ind w:left="104" w:right="95" w:firstLine="420"/>
              <w:rPr>
                <w:sz w:val="21"/>
              </w:rPr>
            </w:pPr>
            <w:r>
              <w:rPr>
                <w:sz w:val="21"/>
              </w:rPr>
              <w:t>按照投标人的商务和技术得分由高到低排序，选择</w:t>
            </w:r>
            <w:r>
              <w:rPr>
                <w:spacing w:val="2"/>
                <w:sz w:val="21"/>
              </w:rPr>
              <w:t>前</w:t>
            </w:r>
            <w:r>
              <w:rPr>
                <w:spacing w:val="2"/>
                <w:sz w:val="21"/>
                <w:u w:val="single"/>
              </w:rPr>
              <w:t xml:space="preserve"> </w:t>
            </w:r>
            <w:r>
              <w:rPr>
                <w:spacing w:val="2"/>
                <w:sz w:val="21"/>
                <w:u w:val="single"/>
              </w:rPr>
              <w:tab/>
            </w:r>
            <w:r>
              <w:rPr>
                <w:spacing w:val="2"/>
                <w:sz w:val="21"/>
              </w:rPr>
              <w:t>名</w:t>
            </w:r>
            <w:r>
              <w:rPr>
                <w:b/>
                <w:spacing w:val="2"/>
                <w:position w:val="10"/>
                <w:sz w:val="11"/>
              </w:rPr>
              <w:t>⑥</w:t>
            </w:r>
            <w:r>
              <w:rPr>
                <w:sz w:val="21"/>
              </w:rPr>
              <w:t>通过详</w:t>
            </w:r>
            <w:r>
              <w:rPr>
                <w:spacing w:val="-3"/>
                <w:sz w:val="21"/>
              </w:rPr>
              <w:t>细</w:t>
            </w:r>
            <w:r>
              <w:rPr>
                <w:sz w:val="21"/>
              </w:rPr>
              <w:t>评审</w:t>
            </w:r>
          </w:p>
        </w:tc>
      </w:tr>
    </w:tbl>
    <w:p>
      <w:pPr>
        <w:pStyle w:val="11"/>
        <w:spacing w:before="5"/>
        <w:rPr>
          <w:sz w:val="22"/>
        </w:rPr>
      </w:pPr>
      <w:r>
        <mc:AlternateContent>
          <mc:Choice Requires="wps">
            <w:drawing>
              <wp:anchor distT="0" distB="0" distL="114300" distR="114300" simplePos="0" relativeHeight="251649024" behindDoc="0" locked="0" layoutInCell="1" allowOverlap="1">
                <wp:simplePos x="0" y="0"/>
                <wp:positionH relativeFrom="page">
                  <wp:posOffset>1043940</wp:posOffset>
                </wp:positionH>
                <wp:positionV relativeFrom="paragraph">
                  <wp:posOffset>210820</wp:posOffset>
                </wp:positionV>
                <wp:extent cx="1829435" cy="0"/>
                <wp:effectExtent l="0" t="0" r="0" b="0"/>
                <wp:wrapTopAndBottom/>
                <wp:docPr id="22" name="直线 62"/>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62" o:spid="_x0000_s1026" o:spt="20" style="position:absolute;left:0pt;margin-left:82.2pt;margin-top:16.6pt;height:0pt;width:144.05pt;mso-position-horizontal-relative:page;mso-wrap-distance-bottom:0pt;mso-wrap-distance-top:0pt;z-index:251649024;mso-width-relative:page;mso-height-relative:page;" filled="f" stroked="t" coordsize="21600,21600" o:gfxdata="UEsFBgAAAAAAAAAAAAAAAAAAAAAAAFBLAwQKAAAAAACHTuJAAAAAAAAAAAAAAAAABAAAAGRycy9Q&#10;SwMEFAAAAAgAh07iQE75ZKHYAAAACQEAAA8AAABkcnMvZG93bnJldi54bWxNj8FOwkAQhu8mvsNm&#10;TLzJllKw1G45aDThYIhAPC/doa3tzjbdhcLbO8aDHv+ZL/98k68uthNnHHzjSMF0EoFAKp1pqFKw&#10;370+pCB80GR05wgVXNHDqri9yXVm3EgfeN6GSnAJ+UwrqEPoMyl9WaPVfuJ6JN4d3WB14DhU0gx6&#10;5HLbyTiKFtLqhvhCrXt8rrFstyer4D2VL27TfpbXr3H3lqbrdvm43it1fzeNnkAEvIQ/GH70WR0K&#10;djq4ExkvOs6LJGFUwWwWg2AgmcdzEIffgSxy+f+D4htQSwMEFAAAAAgAh07iQITpf5HQAQAAkgMA&#10;AA4AAABkcnMvZTJvRG9jLnhtbK1TS44TMRDdI3EHy3vSSQPRTCudWRCGDYKRBg5Q8afbkn9yOenk&#10;LFyDFRuOM9eg7GQyfDYIkYVTdpVfvfdcvbo5OMv2KqEJvueL2Zwz5UWQxg89//zp9sUVZ5jBS7DB&#10;q54fFfKb9fNnqyl2qg1jsFIlRiAeuyn2fMw5dk2DYlQOcBai8pTUITnItE1DIxNMhO5s087ny2YK&#10;ScYUhEKk080pydcVX2sl8ketUWVme07ccl1TXbdlbdYr6IYEcTTiTAP+gYUD46npBWoDGdgumT+g&#10;nBEpYNB5JoJrgtZGqKqB1Czmv6m5HyGqqoXMwXixCf8frPiwv0vMyJ63LWceHL3Rw5evD9++s2Vb&#10;3JkidlR0H+/SeYcUFqkHnVz5JxHsUB09XhxVh8wEHS6u2utXL19zJh5zzdPFmDC/U8GxEvTcGl/E&#10;Qgf795ipGZU+lpRj69nU8+X8eklwQLOiLWQKXST26Id6F4M18tZYW25gGrZvbGJ7KK9ff0US4f5S&#10;VppsAMdTXU2d5mJUIN96yfIxki2eBpgXCk5JzqyieS8RAUKXwdi/qaTW1hOD4urJxxJtgzzSK+xi&#10;MsNITuS0U5VoSdLDV8rnIS2T9fO+gj19Su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TvlkodgA&#10;AAAJAQAADwAAAAAAAAABACAAAAA4AAAAZHJzL2Rvd25yZXYueG1sUEsBAhQAFAAAAAgAh07iQITp&#10;f5HQAQAAkgMAAA4AAAAAAAAAAQAgAAAAPQEAAGRycy9lMm9Eb2MueG1sUEsFBgAAAAAGAAYAWQEA&#10;AH8FAAAAAA==&#10;">
                <v:fill on="f" focussize="0,0"/>
                <v:stroke weight="0.48pt" color="#000000" joinstyle="round"/>
                <v:imagedata o:title=""/>
                <o:lock v:ext="edit" aspectratio="f"/>
                <w10:wrap type="topAndBottom"/>
              </v:line>
            </w:pict>
          </mc:Fallback>
        </mc:AlternateContent>
      </w:r>
    </w:p>
    <w:p>
      <w:pPr>
        <w:spacing w:before="129"/>
        <w:ind w:left="424"/>
        <w:rPr>
          <w:sz w:val="18"/>
        </w:rPr>
      </w:pPr>
      <w:r>
        <w:rPr>
          <w:position w:val="8"/>
          <w:sz w:val="9"/>
        </w:rPr>
        <w:t>①</w:t>
      </w:r>
      <w:r>
        <w:rPr>
          <w:sz w:val="9"/>
        </w:rPr>
        <w:t xml:space="preserve">  </w:t>
      </w:r>
      <w:r>
        <w:rPr>
          <w:sz w:val="18"/>
        </w:rPr>
        <w:t>对于特别复杂的特大桥梁和特长隧道项目主体工程以及其他有特殊要求的工程，还可对其他管理和技术人员</w:t>
      </w:r>
    </w:p>
    <w:p>
      <w:pPr>
        <w:spacing w:before="69"/>
        <w:ind w:left="604"/>
        <w:rPr>
          <w:sz w:val="18"/>
        </w:rPr>
      </w:pPr>
      <w:r>
        <w:rPr>
          <w:sz w:val="18"/>
        </w:rPr>
        <w:t>（例如项目副经理、专业工程师等）以及主要机械设备和试验检测设备进行资格评审。</w:t>
      </w:r>
    </w:p>
    <w:p>
      <w:pPr>
        <w:spacing w:before="70" w:line="312" w:lineRule="auto"/>
        <w:ind w:left="604" w:right="382" w:hanging="180"/>
        <w:rPr>
          <w:sz w:val="18"/>
        </w:rPr>
      </w:pPr>
      <w:r>
        <w:rPr>
          <w:position w:val="8"/>
          <w:sz w:val="9"/>
        </w:rPr>
        <w:t xml:space="preserve">② </w:t>
      </w:r>
      <w:r>
        <w:rPr>
          <w:sz w:val="18"/>
        </w:rPr>
        <w:t>本款规定仅适用于根据《关于发布公路工程从业企业资质名录的通知》（厅公路字〔</w:t>
      </w:r>
      <w:r>
        <w:rPr>
          <w:rFonts w:ascii="Times New Roman" w:hAnsi="Times New Roman" w:eastAsia="Times New Roman"/>
          <w:sz w:val="18"/>
        </w:rPr>
        <w:t>2011</w:t>
      </w:r>
      <w:r>
        <w:rPr>
          <w:sz w:val="18"/>
        </w:rPr>
        <w:t>〕</w:t>
      </w:r>
      <w:r>
        <w:rPr>
          <w:rFonts w:ascii="Times New Roman" w:hAnsi="Times New Roman" w:eastAsia="Times New Roman"/>
          <w:sz w:val="18"/>
        </w:rPr>
        <w:t xml:space="preserve">114 </w:t>
      </w:r>
      <w:r>
        <w:rPr>
          <w:sz w:val="18"/>
        </w:rPr>
        <w:t>号）要求， 招标人应通过名录对投标人资质条件进行审核的公路施工企业。</w:t>
      </w:r>
    </w:p>
    <w:p>
      <w:pPr>
        <w:ind w:left="424"/>
        <w:rPr>
          <w:sz w:val="18"/>
        </w:rPr>
      </w:pPr>
      <w:r>
        <w:rPr>
          <w:position w:val="8"/>
          <w:sz w:val="9"/>
        </w:rPr>
        <w:t xml:space="preserve">③ </w:t>
      </w:r>
      <w:r>
        <w:rPr>
          <w:sz w:val="18"/>
        </w:rPr>
        <w:t xml:space="preserve">各评分因素权重分值范围如下：施工组织设计 </w:t>
      </w:r>
      <w:r>
        <w:rPr>
          <w:rFonts w:ascii="Times New Roman" w:hAnsi="Times New Roman" w:eastAsia="Times New Roman"/>
          <w:sz w:val="18"/>
        </w:rPr>
        <w:t xml:space="preserve">25~40 </w:t>
      </w:r>
      <w:r>
        <w:rPr>
          <w:sz w:val="18"/>
        </w:rPr>
        <w:t xml:space="preserve">分；主要人员 </w:t>
      </w:r>
      <w:r>
        <w:rPr>
          <w:rFonts w:ascii="Times New Roman" w:hAnsi="Times New Roman" w:eastAsia="Times New Roman"/>
          <w:sz w:val="18"/>
        </w:rPr>
        <w:t xml:space="preserve">25~40 </w:t>
      </w:r>
      <w:r>
        <w:rPr>
          <w:sz w:val="18"/>
        </w:rPr>
        <w:t xml:space="preserve">分；技术能力 </w:t>
      </w:r>
      <w:r>
        <w:rPr>
          <w:rFonts w:ascii="Times New Roman" w:hAnsi="Times New Roman" w:eastAsia="Times New Roman"/>
          <w:sz w:val="18"/>
        </w:rPr>
        <w:t xml:space="preserve">10~20 </w:t>
      </w:r>
      <w:r>
        <w:rPr>
          <w:sz w:val="18"/>
        </w:rPr>
        <w:t>分；履约信誉</w:t>
      </w:r>
    </w:p>
    <w:p>
      <w:pPr>
        <w:spacing w:before="69"/>
        <w:ind w:left="604"/>
        <w:rPr>
          <w:sz w:val="18"/>
        </w:rPr>
      </w:pPr>
      <w:r>
        <w:rPr>
          <w:rFonts w:ascii="Times New Roman" w:eastAsia="Times New Roman"/>
          <w:sz w:val="18"/>
        </w:rPr>
        <w:t xml:space="preserve">15~25 </w:t>
      </w:r>
      <w:r>
        <w:rPr>
          <w:sz w:val="18"/>
        </w:rPr>
        <w:t>分。</w:t>
      </w:r>
    </w:p>
    <w:p>
      <w:pPr>
        <w:spacing w:before="70" w:line="312" w:lineRule="auto"/>
        <w:ind w:left="604" w:right="387" w:hanging="180"/>
        <w:jc w:val="both"/>
        <w:rPr>
          <w:sz w:val="18"/>
        </w:rPr>
      </w:pPr>
      <w:r>
        <w:rPr>
          <w:position w:val="8"/>
          <w:sz w:val="9"/>
        </w:rPr>
        <w:t xml:space="preserve">④ </w:t>
      </w:r>
      <w:r>
        <w:rPr>
          <w:sz w:val="18"/>
        </w:rPr>
        <w:t>“技术能力”指投标人的科研开发和技术创新能力，招标人可结合招标项目的具体情况提出相关要求，包括投标人获得的与项目施工有关的国家级工法、专利（发明专利或实用新型专利）、国家或</w:t>
      </w:r>
      <w:r>
        <w:rPr>
          <w:color w:val="2A2A2A"/>
          <w:sz w:val="18"/>
        </w:rPr>
        <w:t>省级科学技术进步奖</w:t>
      </w:r>
      <w:r>
        <w:rPr>
          <w:sz w:val="18"/>
        </w:rPr>
        <w:t>，主编或参编过的国家、行业或地方标准等。</w:t>
      </w:r>
    </w:p>
    <w:p>
      <w:pPr>
        <w:spacing w:before="1"/>
        <w:ind w:left="424"/>
        <w:rPr>
          <w:rFonts w:ascii="Times New Roman" w:hAnsi="Times New Roman" w:eastAsia="Times New Roman"/>
          <w:sz w:val="18"/>
        </w:rPr>
      </w:pPr>
      <w:r>
        <w:rPr>
          <w:position w:val="8"/>
          <w:sz w:val="9"/>
        </w:rPr>
        <w:t xml:space="preserve">⑤ </w:t>
      </w:r>
      <w:r>
        <w:rPr>
          <w:sz w:val="18"/>
        </w:rPr>
        <w:t xml:space="preserve">如本项目招标由投标人按照招标人提供的工程量固化清单电子文件填写工程量清单，无须按照本章第 </w:t>
      </w:r>
      <w:r>
        <w:rPr>
          <w:rFonts w:ascii="Times New Roman" w:hAnsi="Times New Roman" w:eastAsia="Times New Roman"/>
          <w:sz w:val="18"/>
        </w:rPr>
        <w:t>3.4.2</w:t>
      </w:r>
    </w:p>
    <w:p>
      <w:pPr>
        <w:spacing w:before="69" w:line="312" w:lineRule="auto"/>
        <w:ind w:left="604" w:right="387"/>
        <w:rPr>
          <w:sz w:val="18"/>
        </w:rPr>
      </w:pPr>
      <w:r>
        <w:rPr>
          <w:sz w:val="18"/>
        </w:rPr>
        <w:t xml:space="preserve">项和第 </w:t>
      </w:r>
      <w:r>
        <w:rPr>
          <w:rFonts w:ascii="Times New Roman" w:eastAsia="Times New Roman"/>
          <w:sz w:val="18"/>
        </w:rPr>
        <w:t xml:space="preserve">3.4.3 </w:t>
      </w:r>
      <w:r>
        <w:rPr>
          <w:sz w:val="18"/>
        </w:rPr>
        <w:t>项的规定对投标报价进行修正，评标价＝投标函文字报价－暂估价－暂列金额（不含计日工总额）。</w:t>
      </w:r>
    </w:p>
    <w:p>
      <w:pPr>
        <w:spacing w:line="312" w:lineRule="auto"/>
        <w:ind w:left="604" w:right="377" w:hanging="180"/>
        <w:rPr>
          <w:sz w:val="18"/>
        </w:rPr>
      </w:pPr>
      <w:r>
        <w:rPr>
          <w:position w:val="8"/>
          <w:sz w:val="9"/>
        </w:rPr>
        <w:t xml:space="preserve">⑥ </w:t>
      </w:r>
      <w:r>
        <w:rPr>
          <w:sz w:val="18"/>
        </w:rPr>
        <w:t xml:space="preserve">该数量的设置应避免本办法演变为经评审的最低投标价法，该数量应不少于 </w:t>
      </w:r>
      <w:r>
        <w:rPr>
          <w:rFonts w:ascii="Times New Roman" w:hAnsi="Times New Roman" w:eastAsia="Times New Roman"/>
          <w:sz w:val="18"/>
        </w:rPr>
        <w:t xml:space="preserve">3 </w:t>
      </w:r>
      <w:r>
        <w:rPr>
          <w:sz w:val="18"/>
        </w:rPr>
        <w:t xml:space="preserve">名，最高不宜超过 </w:t>
      </w:r>
      <w:r>
        <w:rPr>
          <w:rFonts w:ascii="Times New Roman" w:hAnsi="Times New Roman" w:eastAsia="Times New Roman"/>
          <w:sz w:val="18"/>
        </w:rPr>
        <w:t xml:space="preserve">10 </w:t>
      </w:r>
      <w:r>
        <w:rPr>
          <w:sz w:val="18"/>
        </w:rPr>
        <w:t>名。此外，招标人可规定技术文件采用暗标形式编制。</w:t>
      </w:r>
    </w:p>
    <w:p>
      <w:pPr>
        <w:spacing w:line="312" w:lineRule="auto"/>
        <w:rPr>
          <w:sz w:val="18"/>
        </w:rPr>
        <w:sectPr>
          <w:pgSz w:w="11910" w:h="16850"/>
          <w:pgMar w:top="1480" w:right="1200" w:bottom="1080" w:left="1220" w:header="883" w:footer="884" w:gutter="0"/>
          <w:cols w:space="720" w:num="1"/>
        </w:sectPr>
      </w:pPr>
    </w:p>
    <w:p>
      <w:pPr>
        <w:pStyle w:val="11"/>
        <w:spacing w:before="5"/>
        <w:rPr>
          <w:sz w:val="8"/>
        </w:rPr>
      </w:pPr>
    </w:p>
    <w:tbl>
      <w:tblPr>
        <w:tblStyle w:val="19"/>
        <w:tblW w:w="8900"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423"/>
        <w:gridCol w:w="454"/>
        <w:gridCol w:w="404"/>
        <w:gridCol w:w="517"/>
        <w:gridCol w:w="992"/>
        <w:gridCol w:w="3167"/>
        <w:gridCol w:w="772"/>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989" w:type="dxa"/>
          </w:tcPr>
          <w:p>
            <w:pPr>
              <w:pStyle w:val="21"/>
              <w:rPr>
                <w:rFonts w:ascii="Times New Roman"/>
                <w:sz w:val="18"/>
              </w:rPr>
            </w:pPr>
          </w:p>
        </w:tc>
        <w:tc>
          <w:tcPr>
            <w:tcW w:w="1281" w:type="dxa"/>
            <w:gridSpan w:val="3"/>
            <w:tcBorders>
              <w:right w:val="single" w:color="000000" w:sz="6" w:space="0"/>
            </w:tcBorders>
          </w:tcPr>
          <w:p>
            <w:pPr>
              <w:pStyle w:val="21"/>
              <w:spacing w:before="15" w:line="380" w:lineRule="exact"/>
              <w:ind w:left="429" w:right="100" w:hanging="317"/>
              <w:rPr>
                <w:sz w:val="21"/>
              </w:rPr>
            </w:pPr>
            <w:r>
              <w:rPr>
                <w:sz w:val="21"/>
              </w:rPr>
              <w:t>审的投标人数量</w:t>
            </w:r>
          </w:p>
        </w:tc>
        <w:tc>
          <w:tcPr>
            <w:tcW w:w="6630" w:type="dxa"/>
            <w:gridSpan w:val="5"/>
            <w:tcBorders>
              <w:left w:val="single" w:color="000000" w:sz="6" w:space="0"/>
            </w:tcBorders>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18" w:type="dxa"/>
            <w:gridSpan w:val="8"/>
          </w:tcPr>
          <w:p>
            <w:pPr>
              <w:pStyle w:val="21"/>
              <w:spacing w:before="94" w:line="250" w:lineRule="exact"/>
              <w:ind w:left="2830" w:right="2830"/>
              <w:jc w:val="center"/>
              <w:rPr>
                <w:b/>
                <w:sz w:val="11"/>
              </w:rPr>
            </w:pPr>
            <w:r>
              <w:rPr>
                <w:b/>
                <w:sz w:val="21"/>
              </w:rPr>
              <w:t>评分因素与权重分值</w:t>
            </w:r>
            <w:r>
              <w:rPr>
                <w:b/>
                <w:position w:val="10"/>
                <w:sz w:val="11"/>
              </w:rPr>
              <w:t>①</w:t>
            </w:r>
          </w:p>
        </w:tc>
        <w:tc>
          <w:tcPr>
            <w:tcW w:w="1182" w:type="dxa"/>
            <w:vMerge w:val="restart"/>
          </w:tcPr>
          <w:p>
            <w:pPr>
              <w:pStyle w:val="21"/>
            </w:pPr>
          </w:p>
          <w:p>
            <w:pPr>
              <w:pStyle w:val="21"/>
              <w:spacing w:before="196"/>
              <w:ind w:left="104"/>
              <w:rPr>
                <w:b/>
                <w:sz w:val="11"/>
              </w:rPr>
            </w:pPr>
            <w:r>
              <w:rPr>
                <w:b/>
                <w:sz w:val="21"/>
              </w:rPr>
              <w:t>评分标准</w:t>
            </w:r>
            <w:r>
              <w:rPr>
                <w:b/>
                <w:position w:val="10"/>
                <w:sz w:val="11"/>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412" w:type="dxa"/>
            <w:gridSpan w:val="2"/>
          </w:tcPr>
          <w:p>
            <w:pPr>
              <w:pStyle w:val="21"/>
              <w:spacing w:before="3"/>
              <w:rPr>
                <w:sz w:val="23"/>
              </w:rPr>
            </w:pPr>
          </w:p>
          <w:p>
            <w:pPr>
              <w:pStyle w:val="21"/>
              <w:spacing w:before="1"/>
              <w:ind w:left="388"/>
              <w:rPr>
                <w:b/>
                <w:sz w:val="21"/>
              </w:rPr>
            </w:pPr>
            <w:r>
              <w:rPr>
                <w:b/>
                <w:sz w:val="21"/>
              </w:rPr>
              <w:t>条款号</w:t>
            </w:r>
            <w:r>
              <w:rPr>
                <w:b/>
                <w:w w:val="99"/>
                <w:sz w:val="21"/>
              </w:rPr>
              <w:t xml:space="preserve"> </w:t>
            </w:r>
          </w:p>
        </w:tc>
        <w:tc>
          <w:tcPr>
            <w:tcW w:w="1375" w:type="dxa"/>
            <w:gridSpan w:val="3"/>
          </w:tcPr>
          <w:p>
            <w:pPr>
              <w:pStyle w:val="21"/>
              <w:spacing w:before="3"/>
              <w:rPr>
                <w:sz w:val="23"/>
              </w:rPr>
            </w:pPr>
          </w:p>
          <w:p>
            <w:pPr>
              <w:pStyle w:val="21"/>
              <w:spacing w:before="1"/>
              <w:ind w:left="262"/>
              <w:rPr>
                <w:b/>
                <w:sz w:val="21"/>
              </w:rPr>
            </w:pPr>
            <w:r>
              <w:rPr>
                <w:b/>
                <w:sz w:val="21"/>
              </w:rPr>
              <w:t>评分因素</w:t>
            </w:r>
            <w:r>
              <w:rPr>
                <w:b/>
                <w:w w:val="99"/>
                <w:sz w:val="21"/>
              </w:rPr>
              <w:t xml:space="preserve"> </w:t>
            </w:r>
          </w:p>
        </w:tc>
        <w:tc>
          <w:tcPr>
            <w:tcW w:w="992" w:type="dxa"/>
          </w:tcPr>
          <w:p>
            <w:pPr>
              <w:pStyle w:val="21"/>
              <w:spacing w:before="15" w:line="380" w:lineRule="exact"/>
              <w:ind w:left="71" w:right="-44"/>
              <w:rPr>
                <w:b/>
                <w:sz w:val="21"/>
              </w:rPr>
            </w:pPr>
            <w:r>
              <w:rPr>
                <w:b/>
                <w:sz w:val="21"/>
              </w:rPr>
              <w:t>评分因素</w:t>
            </w:r>
            <w:r>
              <w:rPr>
                <w:b/>
                <w:spacing w:val="-1"/>
                <w:sz w:val="21"/>
              </w:rPr>
              <w:t>权重分值</w:t>
            </w:r>
            <w:r>
              <w:rPr>
                <w:b/>
                <w:w w:val="99"/>
                <w:sz w:val="21"/>
              </w:rPr>
              <w:t xml:space="preserve"> </w:t>
            </w:r>
          </w:p>
        </w:tc>
        <w:tc>
          <w:tcPr>
            <w:tcW w:w="3167" w:type="dxa"/>
          </w:tcPr>
          <w:p>
            <w:pPr>
              <w:pStyle w:val="21"/>
              <w:spacing w:before="3"/>
              <w:rPr>
                <w:sz w:val="23"/>
              </w:rPr>
            </w:pPr>
          </w:p>
          <w:p>
            <w:pPr>
              <w:pStyle w:val="21"/>
              <w:spacing w:before="1"/>
              <w:ind w:left="735"/>
              <w:rPr>
                <w:b/>
                <w:sz w:val="21"/>
              </w:rPr>
            </w:pPr>
            <w:r>
              <w:rPr>
                <w:b/>
                <w:sz w:val="21"/>
              </w:rPr>
              <w:t>各评分因素细分项</w:t>
            </w:r>
            <w:r>
              <w:rPr>
                <w:b/>
                <w:w w:val="99"/>
                <w:sz w:val="21"/>
              </w:rPr>
              <w:t xml:space="preserve"> </w:t>
            </w:r>
          </w:p>
        </w:tc>
        <w:tc>
          <w:tcPr>
            <w:tcW w:w="772" w:type="dxa"/>
          </w:tcPr>
          <w:p>
            <w:pPr>
              <w:pStyle w:val="21"/>
              <w:spacing w:before="3"/>
              <w:rPr>
                <w:sz w:val="23"/>
              </w:rPr>
            </w:pPr>
          </w:p>
          <w:p>
            <w:pPr>
              <w:pStyle w:val="21"/>
              <w:spacing w:before="1"/>
              <w:ind w:right="-15"/>
              <w:jc w:val="right"/>
              <w:rPr>
                <w:b/>
                <w:sz w:val="21"/>
              </w:rPr>
            </w:pPr>
            <w:r>
              <w:rPr>
                <w:b/>
                <w:sz w:val="21"/>
              </w:rPr>
              <w:t>分值</w:t>
            </w:r>
            <w:r>
              <w:rPr>
                <w:b/>
                <w:w w:val="99"/>
                <w:sz w:val="21"/>
              </w:rPr>
              <w:t xml:space="preserve"> </w:t>
            </w:r>
          </w:p>
        </w:tc>
        <w:tc>
          <w:tcPr>
            <w:tcW w:w="118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412" w:type="dxa"/>
            <w:gridSpan w:val="2"/>
            <w:vMerge w:val="restart"/>
          </w:tcPr>
          <w:p>
            <w:pPr>
              <w:pStyle w:val="21"/>
            </w:pPr>
          </w:p>
          <w:p>
            <w:pPr>
              <w:pStyle w:val="21"/>
              <w:spacing w:before="196"/>
              <w:ind w:left="232"/>
              <w:rPr>
                <w:sz w:val="21"/>
              </w:rPr>
            </w:pPr>
            <w:r>
              <w:rPr>
                <w:rFonts w:ascii="Times New Roman" w:eastAsia="Times New Roman"/>
                <w:sz w:val="21"/>
              </w:rPr>
              <w:t>2.2.2</w:t>
            </w:r>
            <w:r>
              <w:rPr>
                <w:sz w:val="21"/>
              </w:rPr>
              <w:t>（</w:t>
            </w:r>
            <w:r>
              <w:rPr>
                <w:rFonts w:ascii="Times New Roman" w:eastAsia="Times New Roman"/>
                <w:sz w:val="21"/>
              </w:rPr>
              <w:t>1</w:t>
            </w:r>
            <w:r>
              <w:rPr>
                <w:sz w:val="21"/>
              </w:rPr>
              <w:t>）</w:t>
            </w:r>
          </w:p>
        </w:tc>
        <w:tc>
          <w:tcPr>
            <w:tcW w:w="1375" w:type="dxa"/>
            <w:gridSpan w:val="3"/>
            <w:vMerge w:val="restart"/>
          </w:tcPr>
          <w:p>
            <w:pPr>
              <w:pStyle w:val="21"/>
              <w:spacing w:before="6"/>
            </w:pPr>
          </w:p>
          <w:p>
            <w:pPr>
              <w:pStyle w:val="21"/>
              <w:spacing w:before="1" w:line="340" w:lineRule="auto"/>
              <w:ind w:left="577" w:right="152" w:hanging="420"/>
              <w:rPr>
                <w:sz w:val="21"/>
              </w:rPr>
            </w:pPr>
            <w:r>
              <w:rPr>
                <w:sz w:val="21"/>
              </w:rPr>
              <w:t>施工组织设计</w:t>
            </w:r>
          </w:p>
        </w:tc>
        <w:tc>
          <w:tcPr>
            <w:tcW w:w="992" w:type="dxa"/>
            <w:vMerge w:val="restart"/>
          </w:tcPr>
          <w:p>
            <w:pPr>
              <w:pStyle w:val="21"/>
            </w:pPr>
          </w:p>
          <w:p>
            <w:pPr>
              <w:pStyle w:val="21"/>
              <w:tabs>
                <w:tab w:val="left" w:pos="671"/>
              </w:tabs>
              <w:spacing w:before="196"/>
              <w:ind w:left="354"/>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67" w:type="dxa"/>
          </w:tcPr>
          <w:p>
            <w:pPr>
              <w:pStyle w:val="21"/>
              <w:spacing w:line="380" w:lineRule="exact"/>
              <w:ind w:left="104" w:right="100" w:firstLine="184"/>
              <w:rPr>
                <w:sz w:val="21"/>
              </w:rPr>
            </w:pPr>
            <w:r>
              <w:rPr>
                <w:sz w:val="21"/>
              </w:rPr>
              <w:t>关键工程的施工方案、方法与技术措施</w:t>
            </w:r>
          </w:p>
        </w:tc>
        <w:tc>
          <w:tcPr>
            <w:tcW w:w="772" w:type="dxa"/>
          </w:tcPr>
          <w:p>
            <w:pPr>
              <w:pStyle w:val="21"/>
              <w:spacing w:before="2"/>
            </w:pPr>
          </w:p>
          <w:p>
            <w:pPr>
              <w:pStyle w:val="21"/>
              <w:tabs>
                <w:tab w:val="left" w:pos="452"/>
              </w:tabs>
              <w:ind w:left="134"/>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82"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12" w:type="dxa"/>
            <w:gridSpan w:val="2"/>
            <w:vMerge w:val="continue"/>
            <w:tcBorders>
              <w:top w:val="nil"/>
            </w:tcBorders>
          </w:tcPr>
          <w:p>
            <w:pPr>
              <w:rPr>
                <w:sz w:val="2"/>
                <w:szCs w:val="2"/>
              </w:rPr>
            </w:pPr>
          </w:p>
        </w:tc>
        <w:tc>
          <w:tcPr>
            <w:tcW w:w="1375" w:type="dxa"/>
            <w:gridSpan w:val="3"/>
            <w:vMerge w:val="continue"/>
            <w:tcBorders>
              <w:top w:val="nil"/>
            </w:tcBorders>
          </w:tcPr>
          <w:p>
            <w:pPr>
              <w:rPr>
                <w:sz w:val="2"/>
                <w:szCs w:val="2"/>
              </w:rPr>
            </w:pPr>
          </w:p>
        </w:tc>
        <w:tc>
          <w:tcPr>
            <w:tcW w:w="992" w:type="dxa"/>
            <w:vMerge w:val="continue"/>
            <w:tcBorders>
              <w:top w:val="nil"/>
            </w:tcBorders>
          </w:tcPr>
          <w:p>
            <w:pPr>
              <w:rPr>
                <w:sz w:val="2"/>
                <w:szCs w:val="2"/>
              </w:rPr>
            </w:pPr>
          </w:p>
        </w:tc>
        <w:tc>
          <w:tcPr>
            <w:tcW w:w="3167" w:type="dxa"/>
          </w:tcPr>
          <w:p>
            <w:pPr>
              <w:pStyle w:val="21"/>
              <w:spacing w:before="118" w:line="227" w:lineRule="exact"/>
              <w:ind w:left="291"/>
              <w:rPr>
                <w:rFonts w:ascii="Times New Roman" w:hAnsi="Times New Roman"/>
                <w:sz w:val="21"/>
              </w:rPr>
            </w:pPr>
            <w:r>
              <w:rPr>
                <w:rFonts w:ascii="Times New Roman" w:hAnsi="Times New Roman"/>
                <w:sz w:val="21"/>
              </w:rPr>
              <w:t>……</w:t>
            </w:r>
          </w:p>
        </w:tc>
        <w:tc>
          <w:tcPr>
            <w:tcW w:w="772" w:type="dxa"/>
          </w:tcPr>
          <w:p>
            <w:pPr>
              <w:pStyle w:val="21"/>
              <w:tabs>
                <w:tab w:val="left" w:pos="452"/>
              </w:tabs>
              <w:spacing w:before="94" w:line="251" w:lineRule="exact"/>
              <w:ind w:left="134"/>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2" w:type="dxa"/>
          </w:tcPr>
          <w:p>
            <w:pPr>
              <w:pStyle w:val="21"/>
              <w:spacing w:before="118" w:line="227" w:lineRule="exact"/>
              <w:ind w:left="102"/>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2" w:type="dxa"/>
            <w:gridSpan w:val="2"/>
            <w:vMerge w:val="restart"/>
          </w:tcPr>
          <w:p>
            <w:pPr>
              <w:pStyle w:val="21"/>
            </w:pPr>
          </w:p>
          <w:p>
            <w:pPr>
              <w:pStyle w:val="21"/>
            </w:pPr>
          </w:p>
          <w:p>
            <w:pPr>
              <w:pStyle w:val="21"/>
              <w:spacing w:before="9"/>
              <w:rPr>
                <w:sz w:val="19"/>
              </w:rPr>
            </w:pPr>
          </w:p>
          <w:p>
            <w:pPr>
              <w:pStyle w:val="21"/>
              <w:spacing w:before="1"/>
              <w:ind w:left="230"/>
              <w:rPr>
                <w:sz w:val="21"/>
              </w:rPr>
            </w:pPr>
            <w:r>
              <w:rPr>
                <w:rFonts w:ascii="Times New Roman" w:eastAsia="Times New Roman"/>
                <w:sz w:val="21"/>
              </w:rPr>
              <w:t>2.2.2</w:t>
            </w:r>
            <w:r>
              <w:rPr>
                <w:sz w:val="21"/>
              </w:rPr>
              <w:t>（</w:t>
            </w:r>
            <w:r>
              <w:rPr>
                <w:rFonts w:ascii="Times New Roman" w:eastAsia="Times New Roman"/>
                <w:sz w:val="21"/>
              </w:rPr>
              <w:t>2</w:t>
            </w:r>
            <w:r>
              <w:rPr>
                <w:sz w:val="21"/>
              </w:rPr>
              <w:t>）</w:t>
            </w:r>
          </w:p>
        </w:tc>
        <w:tc>
          <w:tcPr>
            <w:tcW w:w="1375" w:type="dxa"/>
            <w:gridSpan w:val="3"/>
            <w:vMerge w:val="restart"/>
          </w:tcPr>
          <w:p>
            <w:pPr>
              <w:pStyle w:val="21"/>
              <w:rPr>
                <w:sz w:val="20"/>
              </w:rPr>
            </w:pPr>
          </w:p>
          <w:p>
            <w:pPr>
              <w:pStyle w:val="21"/>
              <w:rPr>
                <w:sz w:val="20"/>
              </w:rPr>
            </w:pPr>
          </w:p>
          <w:p>
            <w:pPr>
              <w:pStyle w:val="21"/>
              <w:spacing w:before="9"/>
              <w:rPr>
                <w:sz w:val="23"/>
              </w:rPr>
            </w:pPr>
          </w:p>
          <w:p>
            <w:pPr>
              <w:pStyle w:val="21"/>
              <w:spacing w:before="1"/>
              <w:ind w:left="262"/>
              <w:rPr>
                <w:sz w:val="21"/>
              </w:rPr>
            </w:pPr>
            <w:r>
              <w:rPr>
                <w:sz w:val="21"/>
              </w:rPr>
              <w:t>主要人员</w:t>
            </w:r>
          </w:p>
        </w:tc>
        <w:tc>
          <w:tcPr>
            <w:tcW w:w="992" w:type="dxa"/>
            <w:vMerge w:val="restart"/>
          </w:tcPr>
          <w:p>
            <w:pPr>
              <w:pStyle w:val="21"/>
            </w:pPr>
          </w:p>
          <w:p>
            <w:pPr>
              <w:pStyle w:val="21"/>
            </w:pPr>
          </w:p>
          <w:p>
            <w:pPr>
              <w:pStyle w:val="21"/>
              <w:spacing w:before="6"/>
              <w:rPr>
                <w:sz w:val="20"/>
              </w:rPr>
            </w:pPr>
          </w:p>
          <w:p>
            <w:pPr>
              <w:pStyle w:val="21"/>
              <w:tabs>
                <w:tab w:val="left" w:pos="671"/>
              </w:tabs>
              <w:ind w:left="354"/>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67" w:type="dxa"/>
          </w:tcPr>
          <w:p>
            <w:pPr>
              <w:pStyle w:val="21"/>
              <w:spacing w:before="109" w:line="252" w:lineRule="exact"/>
              <w:ind w:left="291"/>
              <w:rPr>
                <w:sz w:val="21"/>
              </w:rPr>
            </w:pPr>
            <w:r>
              <w:rPr>
                <w:sz w:val="21"/>
              </w:rPr>
              <w:t xml:space="preserve">项目经理任职资格与业绩 </w:t>
            </w:r>
          </w:p>
        </w:tc>
        <w:tc>
          <w:tcPr>
            <w:tcW w:w="772" w:type="dxa"/>
          </w:tcPr>
          <w:p>
            <w:pPr>
              <w:pStyle w:val="21"/>
              <w:spacing w:before="109" w:line="252" w:lineRule="exact"/>
              <w:ind w:right="-15"/>
              <w:jc w:val="right"/>
              <w:rPr>
                <w:sz w:val="21"/>
              </w:rPr>
            </w:pPr>
            <w:r>
              <w:rPr>
                <w:sz w:val="21"/>
                <w:u w:val="single"/>
              </w:rPr>
              <w:t xml:space="preserve">   </w:t>
            </w:r>
            <w:r>
              <w:rPr>
                <w:sz w:val="21"/>
              </w:rPr>
              <w:t xml:space="preserve">分 </w:t>
            </w:r>
          </w:p>
        </w:tc>
        <w:tc>
          <w:tcPr>
            <w:tcW w:w="1182" w:type="dxa"/>
          </w:tcPr>
          <w:p>
            <w:pPr>
              <w:pStyle w:val="21"/>
              <w:spacing w:before="109" w:line="252" w:lineRule="exact"/>
              <w:ind w:left="102"/>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412" w:type="dxa"/>
            <w:gridSpan w:val="2"/>
            <w:vMerge w:val="continue"/>
            <w:tcBorders>
              <w:top w:val="nil"/>
            </w:tcBorders>
          </w:tcPr>
          <w:p>
            <w:pPr>
              <w:rPr>
                <w:sz w:val="2"/>
                <w:szCs w:val="2"/>
              </w:rPr>
            </w:pPr>
          </w:p>
        </w:tc>
        <w:tc>
          <w:tcPr>
            <w:tcW w:w="1375" w:type="dxa"/>
            <w:gridSpan w:val="3"/>
            <w:vMerge w:val="continue"/>
            <w:tcBorders>
              <w:top w:val="nil"/>
            </w:tcBorders>
          </w:tcPr>
          <w:p>
            <w:pPr>
              <w:rPr>
                <w:sz w:val="2"/>
                <w:szCs w:val="2"/>
              </w:rPr>
            </w:pPr>
          </w:p>
        </w:tc>
        <w:tc>
          <w:tcPr>
            <w:tcW w:w="992" w:type="dxa"/>
            <w:vMerge w:val="continue"/>
            <w:tcBorders>
              <w:top w:val="nil"/>
            </w:tcBorders>
          </w:tcPr>
          <w:p>
            <w:pPr>
              <w:rPr>
                <w:sz w:val="2"/>
                <w:szCs w:val="2"/>
              </w:rPr>
            </w:pPr>
          </w:p>
        </w:tc>
        <w:tc>
          <w:tcPr>
            <w:tcW w:w="3167" w:type="dxa"/>
          </w:tcPr>
          <w:p>
            <w:pPr>
              <w:pStyle w:val="21"/>
              <w:rPr>
                <w:sz w:val="24"/>
              </w:rPr>
            </w:pPr>
          </w:p>
          <w:p>
            <w:pPr>
              <w:pStyle w:val="21"/>
              <w:ind w:left="291"/>
              <w:rPr>
                <w:sz w:val="21"/>
              </w:rPr>
            </w:pPr>
            <w:r>
              <w:rPr>
                <w:sz w:val="21"/>
              </w:rPr>
              <w:t xml:space="preserve">项目总工任职资格与业绩 </w:t>
            </w:r>
          </w:p>
        </w:tc>
        <w:tc>
          <w:tcPr>
            <w:tcW w:w="772" w:type="dxa"/>
          </w:tcPr>
          <w:p>
            <w:pPr>
              <w:pStyle w:val="21"/>
              <w:rPr>
                <w:sz w:val="24"/>
              </w:rPr>
            </w:pPr>
          </w:p>
          <w:p>
            <w:pPr>
              <w:pStyle w:val="21"/>
              <w:ind w:right="-15"/>
              <w:jc w:val="right"/>
              <w:rPr>
                <w:sz w:val="21"/>
              </w:rPr>
            </w:pPr>
            <w:r>
              <w:rPr>
                <w:sz w:val="21"/>
                <w:u w:val="single"/>
              </w:rPr>
              <w:t xml:space="preserve">   </w:t>
            </w:r>
            <w:r>
              <w:rPr>
                <w:sz w:val="21"/>
              </w:rPr>
              <w:t xml:space="preserve">分 </w:t>
            </w:r>
          </w:p>
        </w:tc>
        <w:tc>
          <w:tcPr>
            <w:tcW w:w="1182" w:type="dxa"/>
          </w:tcPr>
          <w:p>
            <w:pPr>
              <w:pStyle w:val="21"/>
              <w:rPr>
                <w:sz w:val="24"/>
              </w:rPr>
            </w:pPr>
          </w:p>
          <w:p>
            <w:pPr>
              <w:pStyle w:val="21"/>
              <w:ind w:left="102"/>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412" w:type="dxa"/>
            <w:gridSpan w:val="2"/>
            <w:vMerge w:val="continue"/>
            <w:tcBorders>
              <w:top w:val="nil"/>
            </w:tcBorders>
          </w:tcPr>
          <w:p>
            <w:pPr>
              <w:rPr>
                <w:sz w:val="2"/>
                <w:szCs w:val="2"/>
              </w:rPr>
            </w:pPr>
          </w:p>
        </w:tc>
        <w:tc>
          <w:tcPr>
            <w:tcW w:w="1375" w:type="dxa"/>
            <w:gridSpan w:val="3"/>
            <w:vMerge w:val="continue"/>
            <w:tcBorders>
              <w:top w:val="nil"/>
            </w:tcBorders>
          </w:tcPr>
          <w:p>
            <w:pPr>
              <w:rPr>
                <w:sz w:val="2"/>
                <w:szCs w:val="2"/>
              </w:rPr>
            </w:pPr>
          </w:p>
        </w:tc>
        <w:tc>
          <w:tcPr>
            <w:tcW w:w="992" w:type="dxa"/>
            <w:vMerge w:val="continue"/>
            <w:tcBorders>
              <w:top w:val="nil"/>
            </w:tcBorders>
          </w:tcPr>
          <w:p>
            <w:pPr>
              <w:rPr>
                <w:sz w:val="2"/>
                <w:szCs w:val="2"/>
              </w:rPr>
            </w:pPr>
          </w:p>
        </w:tc>
        <w:tc>
          <w:tcPr>
            <w:tcW w:w="3167" w:type="dxa"/>
          </w:tcPr>
          <w:p>
            <w:pPr>
              <w:pStyle w:val="21"/>
              <w:spacing w:before="5"/>
              <w:rPr>
                <w:sz w:val="18"/>
              </w:rPr>
            </w:pPr>
          </w:p>
          <w:p>
            <w:pPr>
              <w:pStyle w:val="21"/>
              <w:ind w:left="291"/>
              <w:rPr>
                <w:sz w:val="21"/>
              </w:rPr>
            </w:pPr>
            <w:r>
              <w:rPr>
                <w:sz w:val="21"/>
              </w:rPr>
              <w:t xml:space="preserve">…… </w:t>
            </w:r>
          </w:p>
        </w:tc>
        <w:tc>
          <w:tcPr>
            <w:tcW w:w="772" w:type="dxa"/>
          </w:tcPr>
          <w:p>
            <w:pPr>
              <w:pStyle w:val="21"/>
              <w:spacing w:before="5"/>
              <w:rPr>
                <w:sz w:val="18"/>
              </w:rPr>
            </w:pPr>
          </w:p>
          <w:p>
            <w:pPr>
              <w:pStyle w:val="21"/>
              <w:ind w:right="-15"/>
              <w:jc w:val="right"/>
              <w:rPr>
                <w:sz w:val="21"/>
              </w:rPr>
            </w:pPr>
            <w:r>
              <w:rPr>
                <w:sz w:val="21"/>
                <w:u w:val="single"/>
              </w:rPr>
              <w:t xml:space="preserve">   </w:t>
            </w:r>
            <w:r>
              <w:rPr>
                <w:sz w:val="21"/>
              </w:rPr>
              <w:t xml:space="preserve">分 </w:t>
            </w:r>
          </w:p>
        </w:tc>
        <w:tc>
          <w:tcPr>
            <w:tcW w:w="1182" w:type="dxa"/>
          </w:tcPr>
          <w:p>
            <w:pPr>
              <w:pStyle w:val="21"/>
              <w:spacing w:before="5"/>
              <w:rPr>
                <w:sz w:val="18"/>
              </w:rPr>
            </w:pPr>
          </w:p>
          <w:p>
            <w:pPr>
              <w:pStyle w:val="21"/>
              <w:ind w:left="102"/>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2" w:type="dxa"/>
            <w:gridSpan w:val="2"/>
            <w:vMerge w:val="restart"/>
          </w:tcPr>
          <w:p>
            <w:pPr>
              <w:pStyle w:val="21"/>
            </w:pPr>
          </w:p>
          <w:p>
            <w:pPr>
              <w:pStyle w:val="21"/>
            </w:pPr>
          </w:p>
          <w:p>
            <w:pPr>
              <w:pStyle w:val="21"/>
            </w:pPr>
          </w:p>
          <w:p>
            <w:pPr>
              <w:pStyle w:val="21"/>
              <w:spacing w:before="9"/>
              <w:rPr>
                <w:sz w:val="18"/>
              </w:rPr>
            </w:pPr>
          </w:p>
          <w:p>
            <w:pPr>
              <w:pStyle w:val="21"/>
              <w:spacing w:before="1"/>
              <w:ind w:left="232"/>
              <w:rPr>
                <w:sz w:val="21"/>
              </w:rPr>
            </w:pPr>
            <w:r>
              <w:rPr>
                <w:rFonts w:ascii="Times New Roman" w:eastAsia="Times New Roman"/>
                <w:sz w:val="21"/>
              </w:rPr>
              <w:t>2.2.2</w:t>
            </w:r>
            <w:r>
              <w:rPr>
                <w:sz w:val="21"/>
              </w:rPr>
              <w:t>（</w:t>
            </w:r>
            <w:r>
              <w:rPr>
                <w:rFonts w:ascii="Times New Roman" w:eastAsia="Times New Roman"/>
                <w:sz w:val="21"/>
              </w:rPr>
              <w:t>3</w:t>
            </w:r>
            <w:r>
              <w:rPr>
                <w:sz w:val="21"/>
              </w:rPr>
              <w:t>）</w:t>
            </w:r>
          </w:p>
        </w:tc>
        <w:tc>
          <w:tcPr>
            <w:tcW w:w="454" w:type="dxa"/>
            <w:vMerge w:val="restart"/>
          </w:tcPr>
          <w:p>
            <w:pPr>
              <w:pStyle w:val="21"/>
              <w:rPr>
                <w:sz w:val="20"/>
              </w:rPr>
            </w:pPr>
          </w:p>
          <w:p>
            <w:pPr>
              <w:pStyle w:val="21"/>
              <w:spacing w:before="2"/>
              <w:rPr>
                <w:sz w:val="20"/>
              </w:rPr>
            </w:pPr>
          </w:p>
          <w:p>
            <w:pPr>
              <w:pStyle w:val="21"/>
              <w:spacing w:line="338" w:lineRule="auto"/>
              <w:ind w:left="118" w:right="111"/>
              <w:jc w:val="both"/>
              <w:rPr>
                <w:sz w:val="21"/>
              </w:rPr>
            </w:pPr>
            <w:r>
              <w:rPr>
                <w:sz w:val="21"/>
              </w:rPr>
              <w:t>其他因素</w:t>
            </w:r>
          </w:p>
        </w:tc>
        <w:tc>
          <w:tcPr>
            <w:tcW w:w="921" w:type="dxa"/>
            <w:gridSpan w:val="2"/>
            <w:vMerge w:val="restart"/>
          </w:tcPr>
          <w:p>
            <w:pPr>
              <w:pStyle w:val="21"/>
              <w:spacing w:before="3" w:line="380" w:lineRule="atLeast"/>
              <w:ind w:left="248" w:right="238"/>
              <w:rPr>
                <w:sz w:val="21"/>
              </w:rPr>
            </w:pPr>
            <w:r>
              <w:rPr>
                <w:sz w:val="21"/>
              </w:rPr>
              <w:t>技术能力</w:t>
            </w:r>
          </w:p>
        </w:tc>
        <w:tc>
          <w:tcPr>
            <w:tcW w:w="992" w:type="dxa"/>
            <w:vMerge w:val="restart"/>
          </w:tcPr>
          <w:p>
            <w:pPr>
              <w:pStyle w:val="21"/>
              <w:spacing w:before="11"/>
              <w:rPr>
                <w:sz w:val="23"/>
              </w:rPr>
            </w:pPr>
          </w:p>
          <w:p>
            <w:pPr>
              <w:pStyle w:val="21"/>
              <w:tabs>
                <w:tab w:val="left" w:pos="671"/>
              </w:tabs>
              <w:ind w:left="354"/>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67" w:type="dxa"/>
          </w:tcPr>
          <w:p>
            <w:pPr>
              <w:pStyle w:val="21"/>
              <w:spacing w:before="132" w:line="229" w:lineRule="exact"/>
              <w:ind w:left="1350" w:right="1346"/>
              <w:jc w:val="center"/>
              <w:rPr>
                <w:rFonts w:ascii="Times New Roman" w:hAnsi="Times New Roman"/>
                <w:sz w:val="21"/>
              </w:rPr>
            </w:pPr>
            <w:r>
              <w:rPr>
                <w:rFonts w:ascii="Times New Roman" w:hAnsi="Times New Roman"/>
                <w:sz w:val="21"/>
              </w:rPr>
              <w:t>……</w:t>
            </w:r>
          </w:p>
        </w:tc>
        <w:tc>
          <w:tcPr>
            <w:tcW w:w="772" w:type="dxa"/>
          </w:tcPr>
          <w:p>
            <w:pPr>
              <w:pStyle w:val="21"/>
              <w:tabs>
                <w:tab w:val="left" w:pos="452"/>
              </w:tabs>
              <w:spacing w:before="108" w:line="253" w:lineRule="exact"/>
              <w:ind w:left="134"/>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2" w:type="dxa"/>
          </w:tcPr>
          <w:p>
            <w:pPr>
              <w:pStyle w:val="21"/>
              <w:spacing w:before="132" w:line="229" w:lineRule="exact"/>
              <w:ind w:right="373"/>
              <w:jc w:val="right"/>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2" w:type="dxa"/>
            <w:gridSpan w:val="2"/>
            <w:vMerge w:val="continue"/>
            <w:tcBorders>
              <w:top w:val="nil"/>
            </w:tcBorders>
          </w:tcPr>
          <w:p>
            <w:pPr>
              <w:rPr>
                <w:sz w:val="2"/>
                <w:szCs w:val="2"/>
              </w:rPr>
            </w:pPr>
          </w:p>
        </w:tc>
        <w:tc>
          <w:tcPr>
            <w:tcW w:w="454" w:type="dxa"/>
            <w:vMerge w:val="continue"/>
            <w:tcBorders>
              <w:top w:val="nil"/>
            </w:tcBorders>
          </w:tcPr>
          <w:p>
            <w:pPr>
              <w:rPr>
                <w:sz w:val="2"/>
                <w:szCs w:val="2"/>
              </w:rPr>
            </w:pPr>
          </w:p>
        </w:tc>
        <w:tc>
          <w:tcPr>
            <w:tcW w:w="921" w:type="dxa"/>
            <w:gridSpan w:val="2"/>
            <w:vMerge w:val="continue"/>
            <w:tcBorders>
              <w:top w:val="nil"/>
            </w:tcBorders>
          </w:tcPr>
          <w:p>
            <w:pPr>
              <w:rPr>
                <w:sz w:val="2"/>
                <w:szCs w:val="2"/>
              </w:rPr>
            </w:pPr>
          </w:p>
        </w:tc>
        <w:tc>
          <w:tcPr>
            <w:tcW w:w="992" w:type="dxa"/>
            <w:vMerge w:val="continue"/>
            <w:tcBorders>
              <w:top w:val="nil"/>
            </w:tcBorders>
          </w:tcPr>
          <w:p>
            <w:pPr>
              <w:rPr>
                <w:sz w:val="2"/>
                <w:szCs w:val="2"/>
              </w:rPr>
            </w:pPr>
          </w:p>
        </w:tc>
        <w:tc>
          <w:tcPr>
            <w:tcW w:w="3167" w:type="dxa"/>
          </w:tcPr>
          <w:p>
            <w:pPr>
              <w:pStyle w:val="21"/>
              <w:spacing w:before="132" w:line="226" w:lineRule="exact"/>
              <w:ind w:left="1350" w:right="1346"/>
              <w:jc w:val="center"/>
              <w:rPr>
                <w:rFonts w:ascii="Times New Roman" w:hAnsi="Times New Roman"/>
                <w:sz w:val="21"/>
              </w:rPr>
            </w:pPr>
            <w:r>
              <w:rPr>
                <w:rFonts w:ascii="Times New Roman" w:hAnsi="Times New Roman"/>
                <w:sz w:val="21"/>
              </w:rPr>
              <w:t>……</w:t>
            </w:r>
          </w:p>
        </w:tc>
        <w:tc>
          <w:tcPr>
            <w:tcW w:w="772" w:type="dxa"/>
          </w:tcPr>
          <w:p>
            <w:pPr>
              <w:pStyle w:val="21"/>
              <w:tabs>
                <w:tab w:val="left" w:pos="420"/>
              </w:tabs>
              <w:spacing w:before="108" w:line="250" w:lineRule="exact"/>
              <w:ind w:left="103"/>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2" w:type="dxa"/>
          </w:tcPr>
          <w:p>
            <w:pPr>
              <w:pStyle w:val="21"/>
              <w:spacing w:before="132" w:line="226" w:lineRule="exact"/>
              <w:ind w:right="373"/>
              <w:jc w:val="right"/>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2" w:type="dxa"/>
            <w:gridSpan w:val="2"/>
            <w:vMerge w:val="continue"/>
            <w:tcBorders>
              <w:top w:val="nil"/>
            </w:tcBorders>
          </w:tcPr>
          <w:p>
            <w:pPr>
              <w:rPr>
                <w:sz w:val="2"/>
                <w:szCs w:val="2"/>
              </w:rPr>
            </w:pPr>
          </w:p>
        </w:tc>
        <w:tc>
          <w:tcPr>
            <w:tcW w:w="454" w:type="dxa"/>
            <w:vMerge w:val="continue"/>
            <w:tcBorders>
              <w:top w:val="nil"/>
            </w:tcBorders>
          </w:tcPr>
          <w:p>
            <w:pPr>
              <w:rPr>
                <w:sz w:val="2"/>
                <w:szCs w:val="2"/>
              </w:rPr>
            </w:pPr>
          </w:p>
        </w:tc>
        <w:tc>
          <w:tcPr>
            <w:tcW w:w="921" w:type="dxa"/>
            <w:gridSpan w:val="2"/>
            <w:vMerge w:val="restart"/>
          </w:tcPr>
          <w:p>
            <w:pPr>
              <w:pStyle w:val="21"/>
              <w:spacing w:before="113"/>
              <w:ind w:left="18" w:right="13"/>
              <w:jc w:val="center"/>
              <w:rPr>
                <w:sz w:val="21"/>
              </w:rPr>
            </w:pPr>
            <w:r>
              <w:rPr>
                <w:sz w:val="21"/>
              </w:rPr>
              <w:t>履约信誉</w:t>
            </w:r>
          </w:p>
          <w:p>
            <w:pPr>
              <w:pStyle w:val="21"/>
              <w:spacing w:before="122"/>
              <w:ind w:left="4"/>
              <w:jc w:val="center"/>
              <w:rPr>
                <w:sz w:val="11"/>
              </w:rPr>
            </w:pPr>
            <w:r>
              <w:rPr>
                <w:sz w:val="11"/>
              </w:rPr>
              <w:t>③</w:t>
            </w:r>
          </w:p>
        </w:tc>
        <w:tc>
          <w:tcPr>
            <w:tcW w:w="992" w:type="dxa"/>
            <w:vMerge w:val="restart"/>
          </w:tcPr>
          <w:p>
            <w:pPr>
              <w:pStyle w:val="21"/>
              <w:spacing w:before="11"/>
              <w:rPr>
                <w:sz w:val="23"/>
              </w:rPr>
            </w:pPr>
          </w:p>
          <w:p>
            <w:pPr>
              <w:pStyle w:val="21"/>
              <w:tabs>
                <w:tab w:val="left" w:pos="671"/>
              </w:tabs>
              <w:ind w:left="354"/>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67" w:type="dxa"/>
          </w:tcPr>
          <w:p>
            <w:pPr>
              <w:pStyle w:val="21"/>
              <w:spacing w:before="132" w:line="229" w:lineRule="exact"/>
              <w:ind w:left="1350" w:right="1346"/>
              <w:jc w:val="center"/>
              <w:rPr>
                <w:rFonts w:ascii="Times New Roman" w:hAnsi="Times New Roman"/>
                <w:sz w:val="21"/>
              </w:rPr>
            </w:pPr>
            <w:r>
              <w:rPr>
                <w:rFonts w:ascii="Times New Roman" w:hAnsi="Times New Roman"/>
                <w:sz w:val="21"/>
              </w:rPr>
              <w:t>……</w:t>
            </w:r>
          </w:p>
        </w:tc>
        <w:tc>
          <w:tcPr>
            <w:tcW w:w="772" w:type="dxa"/>
          </w:tcPr>
          <w:p>
            <w:pPr>
              <w:pStyle w:val="21"/>
              <w:tabs>
                <w:tab w:val="left" w:pos="420"/>
              </w:tabs>
              <w:spacing w:before="108" w:line="253" w:lineRule="exact"/>
              <w:ind w:left="103"/>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2" w:type="dxa"/>
          </w:tcPr>
          <w:p>
            <w:pPr>
              <w:pStyle w:val="21"/>
              <w:spacing w:before="132" w:line="229" w:lineRule="exact"/>
              <w:ind w:right="373"/>
              <w:jc w:val="right"/>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412" w:type="dxa"/>
            <w:gridSpan w:val="2"/>
            <w:vMerge w:val="continue"/>
            <w:tcBorders>
              <w:top w:val="nil"/>
            </w:tcBorders>
          </w:tcPr>
          <w:p>
            <w:pPr>
              <w:rPr>
                <w:sz w:val="2"/>
                <w:szCs w:val="2"/>
              </w:rPr>
            </w:pPr>
          </w:p>
        </w:tc>
        <w:tc>
          <w:tcPr>
            <w:tcW w:w="454" w:type="dxa"/>
            <w:vMerge w:val="continue"/>
            <w:tcBorders>
              <w:top w:val="nil"/>
            </w:tcBorders>
          </w:tcPr>
          <w:p>
            <w:pPr>
              <w:rPr>
                <w:sz w:val="2"/>
                <w:szCs w:val="2"/>
              </w:rPr>
            </w:pPr>
          </w:p>
        </w:tc>
        <w:tc>
          <w:tcPr>
            <w:tcW w:w="921" w:type="dxa"/>
            <w:gridSpan w:val="2"/>
            <w:vMerge w:val="continue"/>
            <w:tcBorders>
              <w:top w:val="nil"/>
            </w:tcBorders>
          </w:tcPr>
          <w:p>
            <w:pPr>
              <w:rPr>
                <w:sz w:val="2"/>
                <w:szCs w:val="2"/>
              </w:rPr>
            </w:pPr>
          </w:p>
        </w:tc>
        <w:tc>
          <w:tcPr>
            <w:tcW w:w="992" w:type="dxa"/>
            <w:vMerge w:val="continue"/>
            <w:tcBorders>
              <w:top w:val="nil"/>
            </w:tcBorders>
          </w:tcPr>
          <w:p>
            <w:pPr>
              <w:rPr>
                <w:sz w:val="2"/>
                <w:szCs w:val="2"/>
              </w:rPr>
            </w:pPr>
          </w:p>
        </w:tc>
        <w:tc>
          <w:tcPr>
            <w:tcW w:w="3167" w:type="dxa"/>
          </w:tcPr>
          <w:p>
            <w:pPr>
              <w:pStyle w:val="21"/>
              <w:spacing w:before="133" w:line="226" w:lineRule="exact"/>
              <w:ind w:left="1350" w:right="1346"/>
              <w:jc w:val="center"/>
              <w:rPr>
                <w:rFonts w:ascii="Times New Roman" w:hAnsi="Times New Roman"/>
                <w:sz w:val="21"/>
              </w:rPr>
            </w:pPr>
            <w:r>
              <w:rPr>
                <w:rFonts w:ascii="Times New Roman" w:hAnsi="Times New Roman"/>
                <w:sz w:val="21"/>
              </w:rPr>
              <w:t>……</w:t>
            </w:r>
          </w:p>
        </w:tc>
        <w:tc>
          <w:tcPr>
            <w:tcW w:w="772" w:type="dxa"/>
          </w:tcPr>
          <w:p>
            <w:pPr>
              <w:pStyle w:val="21"/>
              <w:tabs>
                <w:tab w:val="left" w:pos="420"/>
              </w:tabs>
              <w:spacing w:before="109" w:line="250" w:lineRule="exact"/>
              <w:ind w:left="103"/>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2" w:type="dxa"/>
          </w:tcPr>
          <w:p>
            <w:pPr>
              <w:pStyle w:val="21"/>
              <w:spacing w:before="133" w:line="226" w:lineRule="exact"/>
              <w:ind w:right="373"/>
              <w:jc w:val="right"/>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2" w:type="dxa"/>
            <w:gridSpan w:val="2"/>
            <w:vMerge w:val="continue"/>
            <w:tcBorders>
              <w:top w:val="nil"/>
            </w:tcBorders>
          </w:tcPr>
          <w:p>
            <w:pPr>
              <w:rPr>
                <w:sz w:val="2"/>
                <w:szCs w:val="2"/>
              </w:rPr>
            </w:pPr>
          </w:p>
        </w:tc>
        <w:tc>
          <w:tcPr>
            <w:tcW w:w="454" w:type="dxa"/>
            <w:vMerge w:val="continue"/>
            <w:tcBorders>
              <w:top w:val="nil"/>
            </w:tcBorders>
          </w:tcPr>
          <w:p>
            <w:pPr>
              <w:rPr>
                <w:sz w:val="2"/>
                <w:szCs w:val="2"/>
              </w:rPr>
            </w:pPr>
          </w:p>
        </w:tc>
        <w:tc>
          <w:tcPr>
            <w:tcW w:w="921" w:type="dxa"/>
            <w:gridSpan w:val="2"/>
            <w:vMerge w:val="restart"/>
          </w:tcPr>
          <w:p>
            <w:pPr>
              <w:pStyle w:val="21"/>
              <w:spacing w:before="132"/>
              <w:ind w:left="248"/>
              <w:rPr>
                <w:rFonts w:ascii="Times New Roman" w:hAnsi="Times New Roman"/>
                <w:sz w:val="21"/>
              </w:rPr>
            </w:pPr>
            <w:r>
              <w:rPr>
                <w:rFonts w:ascii="Times New Roman" w:hAnsi="Times New Roman"/>
                <w:sz w:val="21"/>
              </w:rPr>
              <w:t>……</w:t>
            </w:r>
          </w:p>
        </w:tc>
        <w:tc>
          <w:tcPr>
            <w:tcW w:w="992" w:type="dxa"/>
            <w:vMerge w:val="restart"/>
          </w:tcPr>
          <w:p>
            <w:pPr>
              <w:pStyle w:val="21"/>
              <w:spacing w:before="11"/>
              <w:rPr>
                <w:sz w:val="23"/>
              </w:rPr>
            </w:pPr>
          </w:p>
          <w:p>
            <w:pPr>
              <w:pStyle w:val="21"/>
              <w:tabs>
                <w:tab w:val="left" w:pos="671"/>
              </w:tabs>
              <w:ind w:left="354"/>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67" w:type="dxa"/>
          </w:tcPr>
          <w:p>
            <w:pPr>
              <w:pStyle w:val="21"/>
              <w:spacing w:before="132" w:line="229" w:lineRule="exact"/>
              <w:ind w:left="1350" w:right="1346"/>
              <w:jc w:val="center"/>
              <w:rPr>
                <w:rFonts w:ascii="Times New Roman" w:hAnsi="Times New Roman"/>
                <w:sz w:val="21"/>
              </w:rPr>
            </w:pPr>
            <w:r>
              <w:rPr>
                <w:rFonts w:ascii="Times New Roman" w:hAnsi="Times New Roman"/>
                <w:sz w:val="21"/>
              </w:rPr>
              <w:t>……</w:t>
            </w:r>
          </w:p>
        </w:tc>
        <w:tc>
          <w:tcPr>
            <w:tcW w:w="772" w:type="dxa"/>
          </w:tcPr>
          <w:p>
            <w:pPr>
              <w:pStyle w:val="21"/>
              <w:tabs>
                <w:tab w:val="left" w:pos="420"/>
              </w:tabs>
              <w:spacing w:before="108" w:line="253" w:lineRule="exact"/>
              <w:ind w:left="103"/>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2" w:type="dxa"/>
          </w:tcPr>
          <w:p>
            <w:pPr>
              <w:pStyle w:val="21"/>
              <w:spacing w:before="132" w:line="229" w:lineRule="exact"/>
              <w:ind w:right="373"/>
              <w:jc w:val="right"/>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2" w:type="dxa"/>
            <w:gridSpan w:val="2"/>
            <w:vMerge w:val="continue"/>
            <w:tcBorders>
              <w:top w:val="nil"/>
            </w:tcBorders>
          </w:tcPr>
          <w:p>
            <w:pPr>
              <w:rPr>
                <w:sz w:val="2"/>
                <w:szCs w:val="2"/>
              </w:rPr>
            </w:pPr>
          </w:p>
        </w:tc>
        <w:tc>
          <w:tcPr>
            <w:tcW w:w="454" w:type="dxa"/>
            <w:vMerge w:val="continue"/>
            <w:tcBorders>
              <w:top w:val="nil"/>
            </w:tcBorders>
          </w:tcPr>
          <w:p>
            <w:pPr>
              <w:rPr>
                <w:sz w:val="2"/>
                <w:szCs w:val="2"/>
              </w:rPr>
            </w:pPr>
          </w:p>
        </w:tc>
        <w:tc>
          <w:tcPr>
            <w:tcW w:w="921" w:type="dxa"/>
            <w:gridSpan w:val="2"/>
            <w:vMerge w:val="continue"/>
            <w:tcBorders>
              <w:top w:val="nil"/>
            </w:tcBorders>
          </w:tcPr>
          <w:p>
            <w:pPr>
              <w:rPr>
                <w:sz w:val="2"/>
                <w:szCs w:val="2"/>
              </w:rPr>
            </w:pPr>
          </w:p>
        </w:tc>
        <w:tc>
          <w:tcPr>
            <w:tcW w:w="992" w:type="dxa"/>
            <w:vMerge w:val="continue"/>
            <w:tcBorders>
              <w:top w:val="nil"/>
            </w:tcBorders>
          </w:tcPr>
          <w:p>
            <w:pPr>
              <w:rPr>
                <w:sz w:val="2"/>
                <w:szCs w:val="2"/>
              </w:rPr>
            </w:pPr>
          </w:p>
        </w:tc>
        <w:tc>
          <w:tcPr>
            <w:tcW w:w="3167" w:type="dxa"/>
          </w:tcPr>
          <w:p>
            <w:pPr>
              <w:pStyle w:val="21"/>
              <w:spacing w:before="132" w:line="226" w:lineRule="exact"/>
              <w:ind w:left="1350" w:right="1346"/>
              <w:jc w:val="center"/>
              <w:rPr>
                <w:rFonts w:ascii="Times New Roman" w:hAnsi="Times New Roman"/>
                <w:sz w:val="21"/>
              </w:rPr>
            </w:pPr>
            <w:r>
              <w:rPr>
                <w:rFonts w:ascii="Times New Roman" w:hAnsi="Times New Roman"/>
                <w:sz w:val="21"/>
              </w:rPr>
              <w:t>……</w:t>
            </w:r>
          </w:p>
        </w:tc>
        <w:tc>
          <w:tcPr>
            <w:tcW w:w="772" w:type="dxa"/>
          </w:tcPr>
          <w:p>
            <w:pPr>
              <w:pStyle w:val="21"/>
              <w:tabs>
                <w:tab w:val="left" w:pos="420"/>
              </w:tabs>
              <w:spacing w:before="108" w:line="250" w:lineRule="exact"/>
              <w:ind w:left="103"/>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2" w:type="dxa"/>
          </w:tcPr>
          <w:p>
            <w:pPr>
              <w:pStyle w:val="21"/>
              <w:spacing w:before="132" w:line="226" w:lineRule="exact"/>
              <w:ind w:right="373"/>
              <w:jc w:val="right"/>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900" w:type="dxa"/>
            <w:gridSpan w:val="9"/>
          </w:tcPr>
          <w:p>
            <w:pPr>
              <w:pStyle w:val="21"/>
              <w:spacing w:before="109"/>
              <w:ind w:left="107"/>
              <w:rPr>
                <w:sz w:val="21"/>
              </w:rPr>
            </w:pPr>
            <w:r>
              <w:rPr>
                <w:sz w:val="21"/>
              </w:rPr>
              <w:t>需要补充的其他内容：</w:t>
            </w:r>
          </w:p>
          <w:p>
            <w:pPr>
              <w:pStyle w:val="21"/>
              <w:spacing w:before="136" w:line="226" w:lineRule="exact"/>
              <w:ind w:left="107"/>
              <w:rPr>
                <w:rFonts w:ascii="Times New Roman" w:hAnsi="Times New Roman"/>
                <w:sz w:val="21"/>
              </w:rPr>
            </w:pPr>
            <w:r>
              <w:rPr>
                <w:rFonts w:ascii="Times New Roman" w:hAnsi="Times New Roman"/>
                <w:sz w:val="21"/>
              </w:rPr>
              <w:t>……</w:t>
            </w:r>
          </w:p>
        </w:tc>
      </w:tr>
    </w:tbl>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
        <w:rPr>
          <w:sz w:val="28"/>
        </w:rPr>
      </w:pPr>
      <w:r>
        <mc:AlternateContent>
          <mc:Choice Requires="wps">
            <w:drawing>
              <wp:anchor distT="0" distB="0" distL="114300" distR="114300" simplePos="0" relativeHeight="251650048" behindDoc="0" locked="0" layoutInCell="1" allowOverlap="1">
                <wp:simplePos x="0" y="0"/>
                <wp:positionH relativeFrom="page">
                  <wp:posOffset>1043940</wp:posOffset>
                </wp:positionH>
                <wp:positionV relativeFrom="paragraph">
                  <wp:posOffset>256540</wp:posOffset>
                </wp:positionV>
                <wp:extent cx="1829435" cy="0"/>
                <wp:effectExtent l="0" t="0" r="0" b="0"/>
                <wp:wrapTopAndBottom/>
                <wp:docPr id="23" name="直线 61"/>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61" o:spid="_x0000_s1026" o:spt="20" style="position:absolute;left:0pt;margin-left:82.2pt;margin-top:20.2pt;height:0pt;width:144.05pt;mso-position-horizontal-relative:page;mso-wrap-distance-bottom:0pt;mso-wrap-distance-top:0pt;z-index:251650048;mso-width-relative:page;mso-height-relative:page;" filled="f" stroked="t" coordsize="21600,21600" o:gfxdata="UEsFBgAAAAAAAAAAAAAAAAAAAAAAAFBLAwQKAAAAAACHTuJAAAAAAAAAAAAAAAAABAAAAGRycy9Q&#10;SwMEFAAAAAgAh07iQH8MD3/YAAAACQEAAA8AAABkcnMvZG93bnJldi54bWxNj81OwzAQhO9IvIO1&#10;SNyo3SotIY3TAwikHhDqjzi78TYJiddR7Dbt27OIA5xWszua/SZfXVwnzjiExpOG6USBQCq9bajS&#10;sN+9PqQgQjRkTecJNVwxwKq4vclNZv1IGzxvYyU4hEJmNNQx9pmUoazRmTDxPRLfjn5wJrIcKmkH&#10;M3K46+RMqYV0piH+UJsen2ss2+3JaXhP5Yv/aD/L69e4e0vTdfv0uN5rfX83VUsQES/xzww/+IwO&#10;BTMd/IlsEB3rRZKwVUOieLIhmc/mIA6/C1nk8n+D4htQSwMEFAAAAAgAh07iQF2AzrDRAQAAkgMA&#10;AA4AAABkcnMvZTJvRG9jLnhtbK1TO24bMRDtA+QOBPtoJTkR7IVWLqI4TZAYsHOAET+7BPgDh9JK&#10;Z8k1UqXJcXyNDClZzqcxjKighpzhm/ceZ5fXe2fZTiU0wXd8NplyprwI0vi+41/vb95ccoYZvAQb&#10;vOr4QSG/Xr1+tRxjq+ZhCFaqxAjEYzvGjg85x7ZpUAzKAU5CVJ6SOiQHmbapb2SCkdCdbebT6aIZ&#10;Q5IxBaEQ6XR9TPJVxddaifxFa1SZ2Y4Tt1zXVNdNWZvVEto+QRyMONGAF7BwYDw1PUOtIQPbJvMP&#10;lDMiBQw6T0RwTdDaCFU1kJrZ9C81dwNEVbWQORjPNuH/gxWfd7eJGdnx+QVnHhy90cO37w8/frLF&#10;rLgzRmyp6C7eptMOKSxS9zq58k8i2L46ejg7qvaZCTqcXc6v3l6840w85pqnizFh/qiCYyXouDW+&#10;iIUWdp8wUzMqfSwpx9azseOL6dWC4IBmRVvIFLpI7NH39S4Ga+SNsbbcwNRv3tvEdlBev/6KJML9&#10;o6w0WQMOx7qaOs7FoEB+8JLlQyRbPA0wLxSckpxZRfNeIgKENoOxz6mk1tYTg+Lq0ccSbYI80Cts&#10;YzL9QE7ktFWVaEnSw1fKpyEtk/X7voI9fUq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8MD3/Y&#10;AAAACQEAAA8AAAAAAAAAAQAgAAAAOAAAAGRycy9kb3ducmV2LnhtbFBLAQIUABQAAAAIAIdO4kBd&#10;gM6w0QEAAJIDAAAOAAAAAAAAAAEAIAAAAD0BAABkcnMvZTJvRG9jLnhtbFBLBQYAAAAABgAGAFkB&#10;AACABQAAAAA=&#10;">
                <v:fill on="f" focussize="0,0"/>
                <v:stroke weight="0.48pt" color="#000000" joinstyle="round"/>
                <v:imagedata o:title=""/>
                <o:lock v:ext="edit" aspectratio="f"/>
                <w10:wrap type="topAndBottom"/>
              </v:line>
            </w:pict>
          </mc:Fallback>
        </mc:AlternateContent>
      </w:r>
    </w:p>
    <w:p>
      <w:pPr>
        <w:pStyle w:val="11"/>
        <w:spacing w:before="6"/>
        <w:rPr>
          <w:sz w:val="5"/>
        </w:rPr>
      </w:pPr>
    </w:p>
    <w:p>
      <w:pPr>
        <w:spacing w:before="78" w:line="333" w:lineRule="auto"/>
        <w:ind w:left="604" w:right="382" w:hanging="180"/>
        <w:jc w:val="both"/>
        <w:rPr>
          <w:sz w:val="18"/>
        </w:rPr>
      </w:pPr>
      <w:r>
        <w:rPr>
          <w:spacing w:val="11"/>
          <w:position w:val="8"/>
          <w:sz w:val="9"/>
        </w:rPr>
        <w:t xml:space="preserve">① </w:t>
      </w:r>
      <w:r>
        <w:rPr>
          <w:sz w:val="18"/>
        </w:rPr>
        <w:t>招标人应根据项目具体情况确定各评分因素及评分因素权重分值，并对各评分因素进行细分（如有）、确定</w:t>
      </w:r>
      <w:r>
        <w:rPr>
          <w:spacing w:val="-2"/>
          <w:sz w:val="18"/>
        </w:rPr>
        <w:t xml:space="preserve">各评分因素细分项的分值，各评分因素权重分值合计应为 </w:t>
      </w:r>
      <w:r>
        <w:rPr>
          <w:rFonts w:ascii="Times New Roman" w:hAnsi="Times New Roman" w:eastAsia="Times New Roman"/>
          <w:sz w:val="18"/>
        </w:rPr>
        <w:t xml:space="preserve">100 </w:t>
      </w:r>
      <w:r>
        <w:rPr>
          <w:sz w:val="18"/>
        </w:rPr>
        <w:t>分。各评分因素（评标价和履约信誉评分项除外）</w:t>
      </w:r>
      <w:r>
        <w:rPr>
          <w:spacing w:val="-2"/>
          <w:sz w:val="18"/>
        </w:rPr>
        <w:t xml:space="preserve">得分一般不得低于其权重分值的 </w:t>
      </w:r>
      <w:r>
        <w:rPr>
          <w:rFonts w:ascii="Times New Roman" w:hAnsi="Times New Roman" w:eastAsia="Times New Roman"/>
          <w:sz w:val="18"/>
        </w:rPr>
        <w:t>60%</w:t>
      </w:r>
      <w:r>
        <w:rPr>
          <w:sz w:val="18"/>
        </w:rPr>
        <w:t>，且各评分因素得分应以评标委员会各成员的打分平均值确定，评</w:t>
      </w:r>
      <w:r>
        <w:rPr>
          <w:spacing w:val="-3"/>
          <w:sz w:val="18"/>
        </w:rPr>
        <w:t xml:space="preserve">标委员会成员总数为 </w:t>
      </w:r>
      <w:r>
        <w:rPr>
          <w:rFonts w:ascii="Times New Roman" w:hAnsi="Times New Roman" w:eastAsia="Times New Roman"/>
          <w:sz w:val="18"/>
        </w:rPr>
        <w:t xml:space="preserve">7 </w:t>
      </w:r>
      <w:r>
        <w:rPr>
          <w:sz w:val="18"/>
        </w:rPr>
        <w:t>人以上时，该平均值以去掉一个最高分和一个最低分后计算。评标委员会成员对某一</w:t>
      </w:r>
      <w:r>
        <w:rPr>
          <w:spacing w:val="-4"/>
          <w:sz w:val="18"/>
        </w:rPr>
        <w:t xml:space="preserve">项评分因素的评分低于权重分值 </w:t>
      </w:r>
      <w:r>
        <w:rPr>
          <w:rFonts w:ascii="Times New Roman" w:hAnsi="Times New Roman" w:eastAsia="Times New Roman"/>
          <w:sz w:val="18"/>
        </w:rPr>
        <w:t>60%</w:t>
      </w:r>
      <w:r>
        <w:rPr>
          <w:spacing w:val="-1"/>
          <w:sz w:val="18"/>
        </w:rPr>
        <w:t>的，应在评标报告中作出说明。</w:t>
      </w:r>
    </w:p>
    <w:p>
      <w:pPr>
        <w:spacing w:line="227" w:lineRule="exact"/>
        <w:ind w:left="424"/>
        <w:rPr>
          <w:sz w:val="18"/>
        </w:rPr>
      </w:pPr>
      <w:r>
        <w:rPr>
          <w:position w:val="8"/>
          <w:sz w:val="9"/>
        </w:rPr>
        <w:t xml:space="preserve">② </w:t>
      </w:r>
      <w:r>
        <w:rPr>
          <w:sz w:val="18"/>
        </w:rPr>
        <w:t>招标人应列明各评分因素或各评分因素细分项（如有）的评分标准并作为评标委员会进行评分的依据。</w:t>
      </w:r>
    </w:p>
    <w:p>
      <w:pPr>
        <w:spacing w:before="72" w:line="312" w:lineRule="auto"/>
        <w:ind w:left="604" w:right="418" w:hanging="180"/>
        <w:jc w:val="both"/>
        <w:rPr>
          <w:sz w:val="18"/>
        </w:rPr>
      </w:pPr>
      <w:r>
        <w:rPr>
          <w:position w:val="8"/>
          <w:sz w:val="9"/>
        </w:rPr>
        <w:t xml:space="preserve">③ </w:t>
      </w:r>
      <w:r>
        <w:rPr>
          <w:sz w:val="18"/>
        </w:rPr>
        <w:t>招标人可结合招标项目所在地省级交通运输主管部门对投标人的信用评级对其履约信用进行评分，但不得任意设置歧视性条款并不得任意设立行政许可。</w:t>
      </w:r>
    </w:p>
    <w:p>
      <w:pPr>
        <w:spacing w:line="312" w:lineRule="auto"/>
        <w:jc w:val="both"/>
        <w:rPr>
          <w:sz w:val="18"/>
        </w:rPr>
        <w:sectPr>
          <w:pgSz w:w="11910" w:h="16850"/>
          <w:pgMar w:top="1480" w:right="1200" w:bottom="1040" w:left="1220" w:header="876" w:footer="853" w:gutter="0"/>
          <w:cols w:space="720" w:num="1"/>
        </w:sectPr>
      </w:pPr>
    </w:p>
    <w:p>
      <w:pPr>
        <w:pStyle w:val="11"/>
        <w:spacing w:before="5"/>
        <w:rPr>
          <w:sz w:val="22"/>
        </w:rPr>
      </w:pPr>
    </w:p>
    <w:p>
      <w:pPr>
        <w:numPr>
          <w:ilvl w:val="0"/>
          <w:numId w:val="11"/>
        </w:numPr>
        <w:tabs>
          <w:tab w:val="left" w:pos="845"/>
        </w:tabs>
        <w:spacing w:before="62"/>
        <w:rPr>
          <w:rFonts w:ascii="黑体" w:eastAsia="黑体"/>
          <w:sz w:val="28"/>
        </w:rPr>
      </w:pPr>
      <w:bookmarkStart w:id="98" w:name="_bookmark110"/>
      <w:bookmarkEnd w:id="98"/>
      <w:r>
        <w:rPr>
          <w:rFonts w:hint="eastAsia" w:ascii="黑体" w:eastAsia="黑体"/>
          <w:sz w:val="28"/>
        </w:rPr>
        <w:t>评标方法</w:t>
      </w:r>
    </w:p>
    <w:p>
      <w:pPr>
        <w:pStyle w:val="11"/>
        <w:spacing w:before="11"/>
        <w:rPr>
          <w:rFonts w:ascii="黑体"/>
          <w:sz w:val="25"/>
        </w:rPr>
      </w:pPr>
    </w:p>
    <w:p>
      <w:pPr>
        <w:pStyle w:val="11"/>
        <w:spacing w:line="312" w:lineRule="auto"/>
        <w:ind w:left="424" w:right="387" w:firstLine="479"/>
        <w:jc w:val="both"/>
      </w:pPr>
      <w: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pStyle w:val="11"/>
        <w:spacing w:before="5"/>
        <w:rPr>
          <w:sz w:val="21"/>
        </w:rPr>
      </w:pPr>
    </w:p>
    <w:p>
      <w:pPr>
        <w:numPr>
          <w:ilvl w:val="0"/>
          <w:numId w:val="11"/>
        </w:numPr>
        <w:tabs>
          <w:tab w:val="left" w:pos="845"/>
        </w:tabs>
        <w:rPr>
          <w:rFonts w:ascii="黑体" w:eastAsia="黑体"/>
          <w:sz w:val="28"/>
        </w:rPr>
      </w:pPr>
      <w:bookmarkStart w:id="99" w:name="_bookmark111"/>
      <w:bookmarkEnd w:id="99"/>
      <w:r>
        <w:rPr>
          <w:rFonts w:hint="eastAsia" w:ascii="黑体" w:eastAsia="黑体"/>
          <w:sz w:val="28"/>
        </w:rPr>
        <w:t>评审标准</w:t>
      </w:r>
    </w:p>
    <w:p>
      <w:pPr>
        <w:pStyle w:val="20"/>
        <w:numPr>
          <w:ilvl w:val="1"/>
          <w:numId w:val="11"/>
        </w:numPr>
        <w:tabs>
          <w:tab w:val="left" w:pos="905"/>
        </w:tabs>
        <w:spacing w:before="243"/>
        <w:rPr>
          <w:rFonts w:ascii="黑体" w:eastAsia="黑体"/>
          <w:sz w:val="24"/>
        </w:rPr>
      </w:pPr>
      <w:bookmarkStart w:id="100" w:name="_bookmark112"/>
      <w:bookmarkEnd w:id="100"/>
      <w:r>
        <w:rPr>
          <w:rFonts w:hint="eastAsia" w:ascii="黑体" w:eastAsia="黑体"/>
          <w:sz w:val="24"/>
        </w:rPr>
        <w:t>初步评审标准</w:t>
      </w:r>
    </w:p>
    <w:p>
      <w:pPr>
        <w:pStyle w:val="11"/>
        <w:spacing w:before="2"/>
        <w:rPr>
          <w:rFonts w:ascii="黑体"/>
          <w:sz w:val="28"/>
        </w:rPr>
      </w:pPr>
    </w:p>
    <w:p>
      <w:pPr>
        <w:pStyle w:val="11"/>
        <w:spacing w:before="1"/>
        <w:ind w:left="904"/>
        <w:rPr>
          <w:rFonts w:ascii="Times New Roman"/>
        </w:rPr>
      </w:pPr>
      <w:r>
        <w:rPr>
          <w:rFonts w:ascii="Times New Roman"/>
        </w:rPr>
        <w:t>2.1.1</w:t>
      </w:r>
    </w:p>
    <w:p>
      <w:pPr>
        <w:pStyle w:val="11"/>
        <w:spacing w:before="124"/>
        <w:ind w:left="904"/>
        <w:rPr>
          <w:rFonts w:ascii="Times New Roman"/>
        </w:rPr>
      </w:pPr>
      <w:r>
        <w:rPr>
          <w:rFonts w:ascii="Times New Roman"/>
        </w:rPr>
        <w:t>2.1.2</w:t>
      </w:r>
    </w:p>
    <w:p>
      <w:pPr>
        <w:pStyle w:val="11"/>
        <w:spacing w:before="95" w:line="312" w:lineRule="auto"/>
        <w:ind w:left="424" w:right="382" w:firstLine="479"/>
      </w:pPr>
      <w:r>
        <w:rPr>
          <w:rFonts w:ascii="Times New Roman" w:hAnsi="Times New Roman" w:eastAsia="Times New Roman"/>
        </w:rPr>
        <w:t xml:space="preserve">2.1.2 </w:t>
      </w:r>
      <w:r>
        <w:rPr>
          <w:spacing w:val="-5"/>
        </w:rPr>
        <w:t>资格评审标准：见资格预审文件第三章</w:t>
      </w:r>
      <w:r>
        <w:rPr>
          <w:rFonts w:ascii="Times New Roman" w:hAnsi="Times New Roman" w:eastAsia="Times New Roman"/>
        </w:rPr>
        <w:t>“</w:t>
      </w:r>
      <w:r>
        <w:t>资格审查办法</w:t>
      </w:r>
      <w:r>
        <w:rPr>
          <w:rFonts w:ascii="Times New Roman" w:hAnsi="Times New Roman" w:eastAsia="Times New Roman"/>
        </w:rPr>
        <w:t>”</w:t>
      </w:r>
      <w:r>
        <w:rPr>
          <w:spacing w:val="-5"/>
        </w:rPr>
        <w:t>详细审查标准</w:t>
      </w:r>
      <w:r>
        <w:t>（适用于已进行资格预审的</w:t>
      </w:r>
      <w:r>
        <w:rPr>
          <w:spacing w:val="-120"/>
        </w:rPr>
        <w:t>）</w:t>
      </w:r>
      <w:r>
        <w:t>。</w:t>
      </w:r>
    </w:p>
    <w:p>
      <w:pPr>
        <w:pStyle w:val="11"/>
        <w:spacing w:before="30"/>
        <w:ind w:left="904"/>
        <w:rPr>
          <w:rFonts w:ascii="Times New Roman"/>
        </w:rPr>
      </w:pPr>
      <w:r>
        <w:rPr>
          <w:rFonts w:ascii="Times New Roman"/>
        </w:rPr>
        <w:t>2.1.3</w:t>
      </w:r>
    </w:p>
    <w:p>
      <w:pPr>
        <w:pStyle w:val="11"/>
        <w:spacing w:before="4"/>
        <w:rPr>
          <w:rFonts w:ascii="Times New Roman"/>
          <w:sz w:val="21"/>
        </w:rPr>
      </w:pPr>
    </w:p>
    <w:p>
      <w:pPr>
        <w:pStyle w:val="20"/>
        <w:numPr>
          <w:ilvl w:val="1"/>
          <w:numId w:val="11"/>
        </w:numPr>
        <w:tabs>
          <w:tab w:val="left" w:pos="905"/>
        </w:tabs>
        <w:spacing w:before="1"/>
        <w:rPr>
          <w:rFonts w:ascii="黑体" w:eastAsia="黑体"/>
          <w:sz w:val="24"/>
        </w:rPr>
      </w:pPr>
      <w:bookmarkStart w:id="101" w:name="_bookmark113"/>
      <w:bookmarkEnd w:id="101"/>
      <w:r>
        <w:rPr>
          <w:rFonts w:hint="eastAsia" w:ascii="黑体" w:eastAsia="黑体"/>
          <w:sz w:val="24"/>
        </w:rPr>
        <w:t>分值构成与评分标准</w:t>
      </w:r>
    </w:p>
    <w:p>
      <w:pPr>
        <w:pStyle w:val="11"/>
        <w:rPr>
          <w:rFonts w:ascii="黑体"/>
          <w:sz w:val="26"/>
        </w:rPr>
      </w:pPr>
    </w:p>
    <w:p>
      <w:pPr>
        <w:pStyle w:val="20"/>
        <w:numPr>
          <w:ilvl w:val="2"/>
          <w:numId w:val="11"/>
        </w:numPr>
        <w:tabs>
          <w:tab w:val="left" w:pos="1505"/>
        </w:tabs>
        <w:rPr>
          <w:rFonts w:ascii="黑体" w:eastAsia="黑体"/>
          <w:sz w:val="24"/>
        </w:rPr>
      </w:pPr>
      <w:r>
        <w:rPr>
          <w:rFonts w:hint="eastAsia" w:ascii="黑体" w:eastAsia="黑体"/>
          <w:sz w:val="24"/>
        </w:rPr>
        <w:t>第一个信封评分分值构成</w:t>
      </w:r>
    </w:p>
    <w:p>
      <w:pPr>
        <w:pStyle w:val="11"/>
        <w:spacing w:before="93"/>
        <w:ind w:left="904"/>
      </w:pPr>
      <w:r>
        <w:t>（</w:t>
      </w:r>
      <w:r>
        <w:rPr>
          <w:rFonts w:ascii="Times New Roman" w:eastAsia="Times New Roman"/>
        </w:rPr>
        <w:t>1</w:t>
      </w:r>
      <w:r>
        <w:t>）施工组织设计：见评标办法前附表；</w:t>
      </w:r>
    </w:p>
    <w:p>
      <w:pPr>
        <w:pStyle w:val="11"/>
        <w:spacing w:before="91"/>
        <w:ind w:left="904"/>
      </w:pPr>
      <w:r>
        <w:t>（</w:t>
      </w:r>
      <w:r>
        <w:rPr>
          <w:rFonts w:ascii="Times New Roman" w:eastAsia="Times New Roman"/>
        </w:rPr>
        <w:t>2</w:t>
      </w:r>
      <w:r>
        <w:t>）主要人员：见评标办法前附表；</w:t>
      </w:r>
    </w:p>
    <w:p>
      <w:pPr>
        <w:pStyle w:val="11"/>
        <w:spacing w:before="93"/>
        <w:ind w:left="904"/>
      </w:pPr>
      <w:r>
        <w:t>（</w:t>
      </w:r>
      <w:r>
        <w:rPr>
          <w:rFonts w:ascii="Times New Roman" w:eastAsia="Times New Roman"/>
        </w:rPr>
        <w:t>3</w:t>
      </w:r>
      <w:r>
        <w:t>）其他评分因素：见评标办法前附表。</w:t>
      </w:r>
    </w:p>
    <w:p>
      <w:pPr>
        <w:pStyle w:val="20"/>
        <w:numPr>
          <w:ilvl w:val="2"/>
          <w:numId w:val="11"/>
        </w:numPr>
        <w:tabs>
          <w:tab w:val="left" w:pos="1505"/>
        </w:tabs>
        <w:spacing w:before="94"/>
        <w:rPr>
          <w:rFonts w:ascii="黑体" w:eastAsia="黑体"/>
          <w:sz w:val="24"/>
        </w:rPr>
      </w:pPr>
      <w:r>
        <w:rPr>
          <w:rFonts w:hint="eastAsia" w:ascii="黑体" w:eastAsia="黑体"/>
          <w:sz w:val="24"/>
        </w:rPr>
        <w:t>第一个信封评分评分标准</w:t>
      </w:r>
    </w:p>
    <w:p>
      <w:pPr>
        <w:pStyle w:val="11"/>
        <w:spacing w:before="91"/>
        <w:ind w:left="904"/>
      </w:pPr>
      <w:r>
        <w:t>（</w:t>
      </w:r>
      <w:r>
        <w:rPr>
          <w:rFonts w:ascii="Times New Roman" w:eastAsia="Times New Roman"/>
        </w:rPr>
        <w:t>1</w:t>
      </w:r>
      <w:r>
        <w:t>）施工组织设计评分标准：见评标办法前附表；</w:t>
      </w:r>
    </w:p>
    <w:p>
      <w:pPr>
        <w:pStyle w:val="11"/>
        <w:spacing w:before="93"/>
        <w:ind w:left="904"/>
      </w:pPr>
      <w:r>
        <w:t>（</w:t>
      </w:r>
      <w:r>
        <w:rPr>
          <w:rFonts w:ascii="Times New Roman" w:eastAsia="Times New Roman"/>
        </w:rPr>
        <w:t>2</w:t>
      </w:r>
      <w:r>
        <w:t>）主要人员评分标准：见评标办法前附表；</w:t>
      </w:r>
    </w:p>
    <w:p>
      <w:pPr>
        <w:pStyle w:val="11"/>
        <w:spacing w:before="94"/>
        <w:ind w:left="904"/>
      </w:pPr>
      <w:r>
        <w:t>（</w:t>
      </w:r>
      <w:r>
        <w:rPr>
          <w:rFonts w:ascii="Times New Roman" w:eastAsia="Times New Roman"/>
        </w:rPr>
        <w:t>3</w:t>
      </w:r>
      <w:r>
        <w:t>）其他因素评分标准：见评标办法前附表。</w:t>
      </w:r>
    </w:p>
    <w:p>
      <w:pPr>
        <w:pStyle w:val="20"/>
        <w:numPr>
          <w:ilvl w:val="2"/>
          <w:numId w:val="11"/>
        </w:numPr>
        <w:tabs>
          <w:tab w:val="left" w:pos="1505"/>
        </w:tabs>
        <w:spacing w:before="91"/>
        <w:rPr>
          <w:sz w:val="24"/>
        </w:rPr>
      </w:pPr>
      <w:r>
        <w:rPr>
          <w:sz w:val="24"/>
        </w:rPr>
        <w:t>第二个信封详细评审标准：见评标办法前附表。</w:t>
      </w:r>
    </w:p>
    <w:p>
      <w:pPr>
        <w:pStyle w:val="11"/>
        <w:spacing w:before="6"/>
        <w:rPr>
          <w:sz w:val="28"/>
        </w:rPr>
      </w:pPr>
    </w:p>
    <w:p>
      <w:pPr>
        <w:numPr>
          <w:ilvl w:val="0"/>
          <w:numId w:val="11"/>
        </w:numPr>
        <w:tabs>
          <w:tab w:val="left" w:pos="845"/>
        </w:tabs>
        <w:rPr>
          <w:rFonts w:ascii="黑体" w:eastAsia="黑体"/>
          <w:sz w:val="28"/>
        </w:rPr>
      </w:pPr>
      <w:bookmarkStart w:id="102" w:name="_bookmark114"/>
      <w:bookmarkEnd w:id="102"/>
      <w:r>
        <w:rPr>
          <w:rFonts w:hint="eastAsia" w:ascii="黑体" w:eastAsia="黑体"/>
          <w:sz w:val="28"/>
        </w:rPr>
        <w:t>评标程序</w:t>
      </w:r>
    </w:p>
    <w:p>
      <w:pPr>
        <w:pStyle w:val="20"/>
        <w:numPr>
          <w:ilvl w:val="1"/>
          <w:numId w:val="11"/>
        </w:numPr>
        <w:tabs>
          <w:tab w:val="left" w:pos="845"/>
        </w:tabs>
        <w:spacing w:before="243"/>
        <w:ind w:left="844" w:hanging="420"/>
        <w:rPr>
          <w:rFonts w:ascii="黑体" w:eastAsia="黑体"/>
          <w:sz w:val="24"/>
        </w:rPr>
      </w:pPr>
      <w:bookmarkStart w:id="103" w:name="_bookmark115"/>
      <w:bookmarkEnd w:id="103"/>
      <w:r>
        <w:rPr>
          <w:rFonts w:hint="eastAsia" w:ascii="黑体" w:eastAsia="黑体"/>
          <w:sz w:val="24"/>
        </w:rPr>
        <w:t>第一个信封初步评审</w:t>
      </w:r>
    </w:p>
    <w:p>
      <w:pPr>
        <w:pStyle w:val="11"/>
        <w:rPr>
          <w:rFonts w:ascii="黑体"/>
          <w:sz w:val="26"/>
        </w:rPr>
      </w:pPr>
    </w:p>
    <w:p>
      <w:pPr>
        <w:pStyle w:val="20"/>
        <w:numPr>
          <w:ilvl w:val="2"/>
          <w:numId w:val="11"/>
        </w:numPr>
        <w:tabs>
          <w:tab w:val="left" w:pos="1505"/>
        </w:tabs>
        <w:spacing w:before="1"/>
        <w:rPr>
          <w:rFonts w:ascii="Times New Roman" w:hAnsi="Times New Roman" w:eastAsia="Times New Roman"/>
          <w:sz w:val="24"/>
        </w:rPr>
      </w:pPr>
      <w:r>
        <w:rPr>
          <w:sz w:val="24"/>
        </w:rPr>
        <w:t>评标委员会可以要求投标人提交第二章</w:t>
      </w:r>
      <w:r>
        <w:rPr>
          <w:rFonts w:ascii="Times New Roman" w:hAnsi="Times New Roman" w:eastAsia="Times New Roman"/>
          <w:sz w:val="24"/>
        </w:rPr>
        <w:t>“</w:t>
      </w:r>
      <w:r>
        <w:rPr>
          <w:sz w:val="24"/>
        </w:rPr>
        <w:t>投标人须知</w:t>
      </w:r>
      <w:r>
        <w:rPr>
          <w:rFonts w:ascii="Times New Roman" w:hAnsi="Times New Roman" w:eastAsia="Times New Roman"/>
          <w:sz w:val="24"/>
        </w:rPr>
        <w:t>”</w:t>
      </w:r>
      <w:r>
        <w:rPr>
          <w:spacing w:val="-31"/>
          <w:sz w:val="24"/>
        </w:rPr>
        <w:t xml:space="preserve">第 </w:t>
      </w:r>
      <w:r>
        <w:rPr>
          <w:rFonts w:ascii="Times New Roman" w:hAnsi="Times New Roman" w:eastAsia="Times New Roman"/>
          <w:sz w:val="24"/>
        </w:rPr>
        <w:t>3.5.1</w:t>
      </w:r>
      <w:r>
        <w:rPr>
          <w:rFonts w:ascii="Times New Roman" w:hAnsi="Times New Roman" w:eastAsia="Times New Roman"/>
          <w:spacing w:val="1"/>
          <w:sz w:val="24"/>
        </w:rPr>
        <w:t xml:space="preserve"> </w:t>
      </w:r>
      <w:r>
        <w:rPr>
          <w:spacing w:val="-16"/>
          <w:sz w:val="24"/>
        </w:rPr>
        <w:t xml:space="preserve">项至第 </w:t>
      </w:r>
      <w:r>
        <w:rPr>
          <w:rFonts w:ascii="Times New Roman" w:hAnsi="Times New Roman" w:eastAsia="Times New Roman"/>
          <w:sz w:val="24"/>
        </w:rPr>
        <w:t>3.5.6</w:t>
      </w:r>
    </w:p>
    <w:p>
      <w:pPr>
        <w:pStyle w:val="11"/>
        <w:spacing w:before="93"/>
        <w:ind w:left="424"/>
      </w:pPr>
      <w:r>
        <w:t xml:space="preserve">项规定的有关证明和证件的原件，以便核验。评标委员会依据本章第 </w:t>
      </w:r>
      <w:r>
        <w:rPr>
          <w:rFonts w:ascii="Times New Roman" w:eastAsia="Times New Roman"/>
        </w:rPr>
        <w:t xml:space="preserve">2.1 </w:t>
      </w:r>
      <w:r>
        <w:t>款规定的</w:t>
      </w:r>
    </w:p>
    <w:p>
      <w:pPr>
        <w:sectPr>
          <w:pgSz w:w="11910" w:h="16850"/>
          <w:pgMar w:top="1480" w:right="1200" w:bottom="1080" w:left="1220" w:header="883" w:footer="884" w:gutter="0"/>
          <w:cols w:space="720" w:num="1"/>
        </w:sectPr>
      </w:pPr>
    </w:p>
    <w:p>
      <w:pPr>
        <w:pStyle w:val="11"/>
        <w:spacing w:before="2"/>
        <w:rPr>
          <w:sz w:val="10"/>
        </w:rPr>
      </w:pPr>
    </w:p>
    <w:p>
      <w:pPr>
        <w:pStyle w:val="11"/>
        <w:spacing w:before="67" w:line="312" w:lineRule="auto"/>
        <w:ind w:left="424" w:right="390"/>
      </w:pPr>
      <w:r>
        <w:t>标准对投标文件第一个信封（商务及技术文件）进行初步评审。有一项不符合评审标准的，评标委员会应否决其投标。（适用于未进行资格预审的）</w:t>
      </w:r>
    </w:p>
    <w:p>
      <w:pPr>
        <w:pStyle w:val="11"/>
        <w:spacing w:line="312" w:lineRule="auto"/>
        <w:ind w:left="424" w:right="262" w:firstLine="479"/>
        <w:jc w:val="both"/>
      </w:pPr>
      <w:r>
        <w:rPr>
          <w:rFonts w:ascii="Times New Roman" w:eastAsia="Times New Roman"/>
        </w:rPr>
        <w:t xml:space="preserve">3.1.1 </w:t>
      </w:r>
      <w:r>
        <w:rPr>
          <w:spacing w:val="-6"/>
        </w:rPr>
        <w:t xml:space="preserve">评标委员会依据本章第 </w:t>
      </w:r>
      <w:r>
        <w:rPr>
          <w:rFonts w:ascii="Times New Roman" w:eastAsia="Times New Roman"/>
        </w:rPr>
        <w:t xml:space="preserve">2.1.1 </w:t>
      </w:r>
      <w:r>
        <w:rPr>
          <w:spacing w:val="-36"/>
        </w:rPr>
        <w:t xml:space="preserve">项、第 </w:t>
      </w:r>
      <w:r>
        <w:rPr>
          <w:rFonts w:ascii="Times New Roman" w:eastAsia="Times New Roman"/>
        </w:rPr>
        <w:t xml:space="preserve">2.1.3 </w:t>
      </w:r>
      <w:r>
        <w:t>项规定的评审标准对投标文件第一个信封（商务及技术文件）进行初步评审。有一项不符合评审标准的，评标委员会应否决其投标。当投标人资格预审申请文件的内容发生重大变化时，评标委员会</w:t>
      </w:r>
      <w:r>
        <w:rPr>
          <w:spacing w:val="-11"/>
        </w:rPr>
        <w:t xml:space="preserve">依据本章第 </w:t>
      </w:r>
      <w:r>
        <w:rPr>
          <w:rFonts w:ascii="Times New Roman" w:eastAsia="Times New Roman"/>
        </w:rPr>
        <w:t xml:space="preserve">2.1.2 </w:t>
      </w:r>
      <w:r>
        <w:t>项规定的标准对其更新资料进行评审</w:t>
      </w:r>
      <w:r>
        <w:rPr>
          <w:spacing w:val="-203"/>
        </w:rPr>
        <w:t>。</w:t>
      </w:r>
      <w:r>
        <w:t>（适用于已进行资格预审的）</w:t>
      </w:r>
    </w:p>
    <w:p>
      <w:pPr>
        <w:pStyle w:val="20"/>
        <w:numPr>
          <w:ilvl w:val="1"/>
          <w:numId w:val="11"/>
        </w:numPr>
        <w:tabs>
          <w:tab w:val="left" w:pos="905"/>
        </w:tabs>
        <w:spacing w:before="152"/>
        <w:rPr>
          <w:rFonts w:ascii="黑体" w:eastAsia="黑体"/>
          <w:sz w:val="24"/>
        </w:rPr>
      </w:pPr>
      <w:bookmarkStart w:id="104" w:name="_bookmark116"/>
      <w:bookmarkEnd w:id="104"/>
      <w:r>
        <w:rPr>
          <w:rFonts w:hint="eastAsia" w:ascii="黑体" w:eastAsia="黑体"/>
          <w:sz w:val="24"/>
        </w:rPr>
        <w:t>第一个信封详细评审</w:t>
      </w:r>
    </w:p>
    <w:p>
      <w:pPr>
        <w:pStyle w:val="11"/>
        <w:spacing w:before="11"/>
        <w:rPr>
          <w:rFonts w:ascii="黑体"/>
          <w:sz w:val="25"/>
        </w:rPr>
      </w:pPr>
    </w:p>
    <w:p>
      <w:pPr>
        <w:pStyle w:val="20"/>
        <w:numPr>
          <w:ilvl w:val="2"/>
          <w:numId w:val="11"/>
        </w:numPr>
        <w:tabs>
          <w:tab w:val="left" w:pos="1505"/>
        </w:tabs>
        <w:spacing w:before="1" w:line="312" w:lineRule="auto"/>
        <w:ind w:left="424" w:right="382" w:firstLine="480"/>
        <w:jc w:val="both"/>
        <w:rPr>
          <w:sz w:val="24"/>
        </w:rPr>
      </w:pPr>
      <w:r>
        <w:rPr>
          <w:spacing w:val="-6"/>
          <w:sz w:val="24"/>
        </w:rPr>
        <w:t xml:space="preserve">评标委员会按本章第 </w:t>
      </w:r>
      <w:r>
        <w:rPr>
          <w:rFonts w:ascii="Times New Roman" w:eastAsia="Times New Roman"/>
          <w:sz w:val="24"/>
        </w:rPr>
        <w:t xml:space="preserve">2.2 </w:t>
      </w:r>
      <w:r>
        <w:rPr>
          <w:spacing w:val="-2"/>
          <w:sz w:val="24"/>
        </w:rPr>
        <w:t>款规定的量化因素和分值进行打分，并计算出各投标人的商务和技术得分。</w:t>
      </w:r>
    </w:p>
    <w:p>
      <w:pPr>
        <w:pStyle w:val="11"/>
        <w:spacing w:before="2" w:line="312" w:lineRule="auto"/>
        <w:ind w:left="424" w:right="384" w:firstLine="479"/>
        <w:jc w:val="both"/>
      </w:pPr>
      <w:r>
        <w:rPr>
          <w:spacing w:val="-10"/>
        </w:rPr>
        <w:t>（</w:t>
      </w:r>
      <w:r>
        <w:rPr>
          <w:rFonts w:ascii="Times New Roman" w:eastAsia="Times New Roman"/>
          <w:spacing w:val="-10"/>
        </w:rPr>
        <w:t>1</w:t>
      </w:r>
      <w:r>
        <w:rPr>
          <w:spacing w:val="-10"/>
        </w:rPr>
        <w:t>）</w:t>
      </w:r>
      <w:r>
        <w:rPr>
          <w:spacing w:val="-12"/>
        </w:rPr>
        <w:t xml:space="preserve">按本章第 </w:t>
      </w:r>
      <w:r>
        <w:rPr>
          <w:rFonts w:ascii="Times New Roman" w:eastAsia="Times New Roman"/>
        </w:rPr>
        <w:t xml:space="preserve">2.2.2 </w:t>
      </w:r>
      <w:r>
        <w:rPr>
          <w:spacing w:val="-29"/>
        </w:rPr>
        <w:t>项</w:t>
      </w:r>
      <w:r>
        <w:rPr>
          <w:spacing w:val="-10"/>
        </w:rPr>
        <w:t>（</w:t>
      </w:r>
      <w:r>
        <w:rPr>
          <w:rFonts w:ascii="Times New Roman" w:eastAsia="Times New Roman"/>
          <w:spacing w:val="-10"/>
        </w:rPr>
        <w:t>1</w:t>
      </w:r>
      <w:r>
        <w:rPr>
          <w:spacing w:val="-10"/>
        </w:rPr>
        <w:t>）</w:t>
      </w:r>
      <w:r>
        <w:t>目规定的评审因素和分值对施工组织设计部分计算</w:t>
      </w:r>
      <w:r>
        <w:rPr>
          <w:spacing w:val="-16"/>
        </w:rPr>
        <w:t xml:space="preserve">出得分 </w:t>
      </w:r>
      <w:r>
        <w:rPr>
          <w:rFonts w:ascii="Times New Roman" w:eastAsia="Times New Roman"/>
        </w:rPr>
        <w:t>A</w:t>
      </w:r>
      <w:r>
        <w:t>；</w:t>
      </w:r>
    </w:p>
    <w:p>
      <w:pPr>
        <w:pStyle w:val="11"/>
        <w:spacing w:line="312" w:lineRule="auto"/>
        <w:ind w:left="424" w:right="384" w:firstLine="479"/>
        <w:jc w:val="both"/>
      </w:pPr>
      <w:r>
        <w:rPr>
          <w:spacing w:val="-10"/>
        </w:rPr>
        <w:t>（</w:t>
      </w:r>
      <w:r>
        <w:rPr>
          <w:rFonts w:ascii="Times New Roman" w:eastAsia="Times New Roman"/>
          <w:spacing w:val="-10"/>
        </w:rPr>
        <w:t>2</w:t>
      </w:r>
      <w:r>
        <w:rPr>
          <w:spacing w:val="-10"/>
        </w:rPr>
        <w:t>）</w:t>
      </w:r>
      <w:r>
        <w:rPr>
          <w:spacing w:val="-12"/>
        </w:rPr>
        <w:t xml:space="preserve">按本章第 </w:t>
      </w:r>
      <w:r>
        <w:rPr>
          <w:rFonts w:ascii="Times New Roman" w:eastAsia="Times New Roman"/>
        </w:rPr>
        <w:t xml:space="preserve">2.2.2 </w:t>
      </w:r>
      <w:r>
        <w:rPr>
          <w:spacing w:val="-29"/>
        </w:rPr>
        <w:t>项</w:t>
      </w:r>
      <w:r>
        <w:rPr>
          <w:spacing w:val="-10"/>
        </w:rPr>
        <w:t>（</w:t>
      </w:r>
      <w:r>
        <w:rPr>
          <w:rFonts w:ascii="Times New Roman" w:eastAsia="Times New Roman"/>
          <w:spacing w:val="-10"/>
        </w:rPr>
        <w:t>2</w:t>
      </w:r>
      <w:r>
        <w:rPr>
          <w:spacing w:val="-10"/>
        </w:rPr>
        <w:t>）</w:t>
      </w:r>
      <w:r>
        <w:t>目规定的评审因素和分值对主要人员部分计算出得</w:t>
      </w:r>
      <w:r>
        <w:rPr>
          <w:spacing w:val="-31"/>
        </w:rPr>
        <w:t xml:space="preserve">分 </w:t>
      </w:r>
      <w:r>
        <w:rPr>
          <w:rFonts w:ascii="Times New Roman" w:eastAsia="Times New Roman"/>
        </w:rPr>
        <w:t>B</w:t>
      </w:r>
      <w:r>
        <w:t>；</w:t>
      </w:r>
    </w:p>
    <w:p>
      <w:pPr>
        <w:pStyle w:val="11"/>
        <w:spacing w:line="307" w:lineRule="exact"/>
        <w:ind w:left="904"/>
      </w:pPr>
      <w:r>
        <w:rPr>
          <w:spacing w:val="-21"/>
        </w:rPr>
        <w:t>（</w:t>
      </w:r>
      <w:r>
        <w:rPr>
          <w:rFonts w:ascii="Times New Roman" w:eastAsia="Times New Roman"/>
          <w:spacing w:val="-21"/>
        </w:rPr>
        <w:t>3</w:t>
      </w:r>
      <w:r>
        <w:rPr>
          <w:spacing w:val="-21"/>
        </w:rPr>
        <w:t>）</w:t>
      </w:r>
      <w:r>
        <w:rPr>
          <w:spacing w:val="-12"/>
        </w:rPr>
        <w:t xml:space="preserve">按本章第 </w:t>
      </w:r>
      <w:r>
        <w:rPr>
          <w:rFonts w:ascii="Times New Roman" w:eastAsia="Times New Roman"/>
        </w:rPr>
        <w:t xml:space="preserve">2.2.2 </w:t>
      </w:r>
      <w:r>
        <w:rPr>
          <w:spacing w:val="-63"/>
        </w:rPr>
        <w:t>项</w:t>
      </w:r>
      <w:r>
        <w:rPr>
          <w:spacing w:val="-21"/>
        </w:rPr>
        <w:t>（</w:t>
      </w:r>
      <w:r>
        <w:rPr>
          <w:rFonts w:ascii="Times New Roman" w:eastAsia="Times New Roman"/>
          <w:spacing w:val="-21"/>
        </w:rPr>
        <w:t>3</w:t>
      </w:r>
      <w:r>
        <w:rPr>
          <w:spacing w:val="-21"/>
        </w:rPr>
        <w:t>）</w:t>
      </w:r>
      <w:r>
        <w:rPr>
          <w:spacing w:val="-3"/>
        </w:rPr>
        <w:t xml:space="preserve">目规定的评审因素和分值对其他部分计算出得分 </w:t>
      </w:r>
      <w:r>
        <w:rPr>
          <w:rFonts w:ascii="Times New Roman" w:eastAsia="Times New Roman"/>
        </w:rPr>
        <w:t>C</w:t>
      </w:r>
      <w:r>
        <w:t>。</w:t>
      </w:r>
    </w:p>
    <w:p>
      <w:pPr>
        <w:pStyle w:val="20"/>
        <w:numPr>
          <w:ilvl w:val="2"/>
          <w:numId w:val="11"/>
        </w:numPr>
        <w:tabs>
          <w:tab w:val="left" w:pos="1510"/>
        </w:tabs>
        <w:spacing w:before="93"/>
        <w:ind w:left="1509" w:hanging="605"/>
        <w:rPr>
          <w:sz w:val="24"/>
        </w:rPr>
      </w:pPr>
      <w:r>
        <w:rPr>
          <w:spacing w:val="1"/>
          <w:sz w:val="24"/>
        </w:rPr>
        <w:t>投标人的商务和技术得分分值计算保留小数点后两位，小数点后第三位</w:t>
      </w:r>
    </w:p>
    <w:p>
      <w:pPr>
        <w:pStyle w:val="11"/>
        <w:spacing w:before="93"/>
        <w:ind w:left="424"/>
      </w:pPr>
      <w:r>
        <w:rPr>
          <w:rFonts w:ascii="Times New Roman" w:hAnsi="Times New Roman" w:eastAsia="Times New Roman"/>
        </w:rPr>
        <w:t>“</w:t>
      </w:r>
      <w:r>
        <w:t>四舍五入</w:t>
      </w:r>
      <w:r>
        <w:rPr>
          <w:rFonts w:ascii="Times New Roman" w:hAnsi="Times New Roman" w:eastAsia="Times New Roman"/>
        </w:rPr>
        <w:t>”</w:t>
      </w:r>
      <w:r>
        <w:t>。</w:t>
      </w:r>
    </w:p>
    <w:p>
      <w:pPr>
        <w:pStyle w:val="20"/>
        <w:numPr>
          <w:ilvl w:val="2"/>
          <w:numId w:val="11"/>
        </w:numPr>
        <w:tabs>
          <w:tab w:val="left" w:pos="1505"/>
        </w:tabs>
        <w:spacing w:before="91"/>
        <w:ind w:left="424" w:firstLine="480"/>
        <w:rPr>
          <w:sz w:val="24"/>
        </w:rPr>
      </w:pPr>
      <w:r>
        <w:rPr>
          <w:sz w:val="24"/>
        </w:rPr>
        <w:t>投标人的商务和技术得分</w:t>
      </w:r>
      <w:r>
        <w:rPr>
          <w:rFonts w:ascii="Times New Roman" w:eastAsia="Times New Roman"/>
          <w:sz w:val="24"/>
        </w:rPr>
        <w:t>=A+B+C</w:t>
      </w:r>
      <w:r>
        <w:rPr>
          <w:sz w:val="24"/>
        </w:rPr>
        <w:t>。</w:t>
      </w:r>
    </w:p>
    <w:p>
      <w:pPr>
        <w:pStyle w:val="20"/>
        <w:numPr>
          <w:ilvl w:val="2"/>
          <w:numId w:val="11"/>
        </w:numPr>
        <w:tabs>
          <w:tab w:val="left" w:pos="1505"/>
        </w:tabs>
        <w:spacing w:before="94" w:line="312" w:lineRule="auto"/>
        <w:ind w:left="424" w:right="383" w:firstLine="480"/>
        <w:jc w:val="both"/>
        <w:rPr>
          <w:sz w:val="24"/>
        </w:rPr>
      </w:pPr>
      <w:r>
        <w:rPr>
          <w:spacing w:val="-4"/>
          <w:sz w:val="24"/>
        </w:rPr>
        <w:t>评标委员会按照投标人的商务和技术得分由高到低排序，排名在评标办法前附表规定数量以内的投标人，其投标文件第一个信封（商务及技术文件）通过详细评审。</w:t>
      </w:r>
    </w:p>
    <w:p>
      <w:pPr>
        <w:pStyle w:val="20"/>
        <w:numPr>
          <w:ilvl w:val="2"/>
          <w:numId w:val="11"/>
        </w:numPr>
        <w:tabs>
          <w:tab w:val="left" w:pos="1505"/>
        </w:tabs>
        <w:spacing w:line="312" w:lineRule="auto"/>
        <w:ind w:left="424" w:right="382" w:firstLine="480"/>
        <w:jc w:val="both"/>
        <w:rPr>
          <w:sz w:val="24"/>
        </w:rPr>
      </w:pPr>
      <w:r>
        <w:rPr>
          <w:spacing w:val="-2"/>
          <w:sz w:val="24"/>
        </w:rPr>
        <w:t>通过投标文件第一个信封</w:t>
      </w:r>
      <w:r>
        <w:rPr>
          <w:sz w:val="24"/>
        </w:rPr>
        <w:t>（商务及技术文件</w:t>
      </w:r>
      <w:r>
        <w:rPr>
          <w:spacing w:val="-12"/>
          <w:sz w:val="24"/>
        </w:rPr>
        <w:t>）</w:t>
      </w:r>
      <w:r>
        <w:rPr>
          <w:spacing w:val="-5"/>
          <w:sz w:val="24"/>
        </w:rPr>
        <w:t xml:space="preserve">初步评审的投标人不少于 </w:t>
      </w:r>
      <w:r>
        <w:rPr>
          <w:rFonts w:ascii="Times New Roman" w:eastAsia="Times New Roman"/>
          <w:sz w:val="24"/>
        </w:rPr>
        <w:t xml:space="preserve">3 </w:t>
      </w:r>
      <w:r>
        <w:rPr>
          <w:spacing w:val="-5"/>
          <w:sz w:val="24"/>
        </w:rPr>
        <w:t xml:space="preserve">个且未超过评标办法前附表第 </w:t>
      </w:r>
      <w:r>
        <w:rPr>
          <w:rFonts w:ascii="Times New Roman" w:eastAsia="Times New Roman"/>
          <w:sz w:val="24"/>
        </w:rPr>
        <w:t>3.2.4</w:t>
      </w:r>
      <w:r>
        <w:rPr>
          <w:rFonts w:ascii="Times New Roman" w:eastAsia="Times New Roman"/>
          <w:spacing w:val="-1"/>
          <w:sz w:val="24"/>
        </w:rPr>
        <w:t xml:space="preserve"> </w:t>
      </w:r>
      <w:r>
        <w:rPr>
          <w:spacing w:val="-9"/>
          <w:sz w:val="24"/>
        </w:rPr>
        <w:t>项规定数量的，均通过投标文件第一个信封</w:t>
      </w:r>
      <w:r>
        <w:rPr>
          <w:sz w:val="24"/>
        </w:rPr>
        <w:t>（商务及技术文件）详细评审，不再对投标人的商务和技术文件进行评分。</w:t>
      </w:r>
    </w:p>
    <w:p>
      <w:pPr>
        <w:pStyle w:val="20"/>
        <w:numPr>
          <w:ilvl w:val="1"/>
          <w:numId w:val="11"/>
        </w:numPr>
        <w:tabs>
          <w:tab w:val="left" w:pos="905"/>
        </w:tabs>
        <w:spacing w:before="153"/>
        <w:rPr>
          <w:rFonts w:ascii="黑体" w:eastAsia="黑体"/>
          <w:sz w:val="24"/>
        </w:rPr>
      </w:pPr>
      <w:bookmarkStart w:id="105" w:name="_bookmark117"/>
      <w:bookmarkEnd w:id="105"/>
      <w:r>
        <w:rPr>
          <w:rFonts w:hint="eastAsia" w:ascii="黑体" w:eastAsia="黑体"/>
          <w:sz w:val="24"/>
        </w:rPr>
        <w:t>第二个信封开标</w:t>
      </w:r>
    </w:p>
    <w:p>
      <w:pPr>
        <w:pStyle w:val="11"/>
        <w:rPr>
          <w:rFonts w:ascii="黑体"/>
          <w:sz w:val="26"/>
        </w:rPr>
      </w:pPr>
    </w:p>
    <w:p>
      <w:pPr>
        <w:pStyle w:val="11"/>
        <w:spacing w:line="312" w:lineRule="auto"/>
        <w:ind w:left="424" w:right="384" w:firstLine="479"/>
        <w:jc w:val="both"/>
      </w:pPr>
      <w:r>
        <w:rPr>
          <w:spacing w:val="-12"/>
        </w:rPr>
        <w:t>第一个信封</w:t>
      </w:r>
      <w:r>
        <w:t>（商务及技术文件</w:t>
      </w:r>
      <w:r>
        <w:rPr>
          <w:spacing w:val="-60"/>
        </w:rPr>
        <w:t>）</w:t>
      </w:r>
      <w:r>
        <w:rPr>
          <w:spacing w:val="-8"/>
        </w:rPr>
        <w:t>评审结束后，招标人将按照第二章</w:t>
      </w:r>
      <w:r>
        <w:rPr>
          <w:rFonts w:ascii="Times New Roman" w:hAnsi="Times New Roman" w:eastAsia="Times New Roman"/>
        </w:rPr>
        <w:t>“</w:t>
      </w:r>
      <w:r>
        <w:t>投标人须知</w:t>
      </w:r>
      <w:r>
        <w:rPr>
          <w:rFonts w:ascii="Times New Roman" w:hAnsi="Times New Roman" w:eastAsia="Times New Roman"/>
        </w:rPr>
        <w:t xml:space="preserve">” </w:t>
      </w:r>
      <w:r>
        <w:rPr>
          <w:spacing w:val="-6"/>
        </w:rPr>
        <w:t xml:space="preserve">第 </w:t>
      </w:r>
      <w:r>
        <w:rPr>
          <w:rFonts w:ascii="Times New Roman" w:hAnsi="Times New Roman" w:eastAsia="Times New Roman"/>
        </w:rPr>
        <w:t xml:space="preserve">5.1 </w:t>
      </w:r>
      <w:r>
        <w:t>款规定的时间和地点对通过投标文件第一个信封（商务及技术文件）评审的投标文件第二个信封（报价文件）进行开标。</w:t>
      </w:r>
    </w:p>
    <w:p>
      <w:pPr>
        <w:pStyle w:val="20"/>
        <w:numPr>
          <w:ilvl w:val="1"/>
          <w:numId w:val="11"/>
        </w:numPr>
        <w:tabs>
          <w:tab w:val="left" w:pos="905"/>
        </w:tabs>
        <w:spacing w:before="152"/>
        <w:rPr>
          <w:rFonts w:ascii="黑体" w:eastAsia="黑体"/>
          <w:sz w:val="24"/>
        </w:rPr>
      </w:pPr>
      <w:bookmarkStart w:id="106" w:name="_bookmark118"/>
      <w:bookmarkEnd w:id="106"/>
      <w:r>
        <w:rPr>
          <w:rFonts w:hint="eastAsia" w:ascii="黑体" w:eastAsia="黑体"/>
          <w:sz w:val="24"/>
        </w:rPr>
        <w:t>第二个信封初步评审</w:t>
      </w:r>
    </w:p>
    <w:p>
      <w:pPr>
        <w:pStyle w:val="11"/>
        <w:spacing w:before="11"/>
        <w:rPr>
          <w:rFonts w:ascii="黑体"/>
          <w:sz w:val="25"/>
        </w:rPr>
      </w:pPr>
    </w:p>
    <w:p>
      <w:pPr>
        <w:pStyle w:val="20"/>
        <w:numPr>
          <w:ilvl w:val="2"/>
          <w:numId w:val="11"/>
        </w:numPr>
        <w:tabs>
          <w:tab w:val="left" w:pos="1505"/>
        </w:tabs>
        <w:spacing w:line="312" w:lineRule="auto"/>
        <w:ind w:left="424" w:right="382" w:firstLine="480"/>
        <w:jc w:val="both"/>
        <w:rPr>
          <w:sz w:val="24"/>
        </w:rPr>
      </w:pPr>
      <w:r>
        <w:rPr>
          <w:spacing w:val="-6"/>
          <w:sz w:val="24"/>
        </w:rPr>
        <w:t xml:space="preserve">评标委员会依据本章第 </w:t>
      </w:r>
      <w:r>
        <w:rPr>
          <w:rFonts w:ascii="Times New Roman" w:eastAsia="Times New Roman"/>
          <w:sz w:val="24"/>
        </w:rPr>
        <w:t xml:space="preserve">2.1.1 </w:t>
      </w:r>
      <w:r>
        <w:rPr>
          <w:spacing w:val="-36"/>
          <w:sz w:val="24"/>
        </w:rPr>
        <w:t xml:space="preserve">项、第 </w:t>
      </w:r>
      <w:r>
        <w:rPr>
          <w:rFonts w:ascii="Times New Roman" w:eastAsia="Times New Roman"/>
          <w:sz w:val="24"/>
        </w:rPr>
        <w:t xml:space="preserve">2.1.3 </w:t>
      </w:r>
      <w:r>
        <w:rPr>
          <w:sz w:val="24"/>
        </w:rPr>
        <w:t>项规定的评审标准对投标文件第二个信封（报价文件）进行初步评审。有一项不符合评审标准的，评标委员会应否决其投标。</w:t>
      </w:r>
    </w:p>
    <w:p>
      <w:pPr>
        <w:spacing w:line="312" w:lineRule="auto"/>
        <w:jc w:val="both"/>
        <w:rPr>
          <w:sz w:val="24"/>
        </w:rPr>
        <w:sectPr>
          <w:pgSz w:w="11910" w:h="16850"/>
          <w:pgMar w:top="1480" w:right="1200" w:bottom="1040" w:left="1220" w:header="876" w:footer="853" w:gutter="0"/>
          <w:cols w:space="720" w:num="1"/>
        </w:sectPr>
      </w:pPr>
    </w:p>
    <w:p>
      <w:pPr>
        <w:pStyle w:val="11"/>
        <w:spacing w:before="7"/>
        <w:rPr>
          <w:sz w:val="9"/>
        </w:rPr>
      </w:pPr>
    </w:p>
    <w:p>
      <w:pPr>
        <w:pStyle w:val="20"/>
        <w:numPr>
          <w:ilvl w:val="2"/>
          <w:numId w:val="11"/>
        </w:numPr>
        <w:tabs>
          <w:tab w:val="left" w:pos="1387"/>
        </w:tabs>
        <w:spacing w:before="74" w:line="312" w:lineRule="auto"/>
        <w:ind w:left="424" w:right="387" w:firstLine="480"/>
        <w:jc w:val="both"/>
        <w:rPr>
          <w:sz w:val="24"/>
        </w:rPr>
      </w:pPr>
      <w:r>
        <w:rPr>
          <w:rFonts w:hint="eastAsia"/>
          <w:sz w:val="24"/>
          <w:lang w:val="en-US"/>
        </w:rPr>
        <w:t xml:space="preserve"> </w:t>
      </w:r>
      <w:r>
        <w:rPr>
          <w:sz w:val="24"/>
        </w:rPr>
        <w:t>投标报价有算术错误的，评标委员会按以下原则对投标报价进行修正， 修正的价格经投标人书面确认后具有约束力。投标人不接受修正价格的，评标委员会应否决其投标。</w:t>
      </w:r>
    </w:p>
    <w:p>
      <w:pPr>
        <w:pStyle w:val="11"/>
        <w:spacing w:before="1"/>
        <w:ind w:left="904"/>
      </w:pPr>
      <w:r>
        <w:t>（</w:t>
      </w:r>
      <w:r>
        <w:rPr>
          <w:rFonts w:ascii="Times New Roman" w:eastAsia="Times New Roman"/>
        </w:rPr>
        <w:t>1</w:t>
      </w:r>
      <w:r>
        <w:t>）投标文件中的大写金额与小写金额不一致的，以大写金额为准；</w:t>
      </w:r>
    </w:p>
    <w:p>
      <w:pPr>
        <w:pStyle w:val="11"/>
        <w:spacing w:before="91" w:line="312" w:lineRule="auto"/>
        <w:ind w:left="424" w:right="301" w:firstLine="479"/>
        <w:rPr>
          <w:rFonts w:ascii="Times New Roman" w:eastAsia="Times New Roman"/>
        </w:rPr>
      </w:pPr>
      <w:r>
        <w:t>（</w:t>
      </w:r>
      <w:r>
        <w:rPr>
          <w:rFonts w:ascii="Times New Roman" w:eastAsia="Times New Roman"/>
        </w:rPr>
        <w:t>2</w:t>
      </w:r>
      <w:r>
        <w:t>）总价金额与依据单价计算出的结果不一致的，以单价金额为准修正总价， 但单价金额小数点有明显错误的除外</w:t>
      </w:r>
      <w:r>
        <w:rPr>
          <w:rFonts w:ascii="Times New Roman" w:eastAsia="Times New Roman"/>
        </w:rPr>
        <w:t>;</w:t>
      </w:r>
    </w:p>
    <w:p>
      <w:pPr>
        <w:pStyle w:val="11"/>
        <w:spacing w:before="2" w:line="312" w:lineRule="auto"/>
        <w:ind w:left="424" w:right="306" w:firstLine="479"/>
      </w:pPr>
      <w:r>
        <w:t>（</w:t>
      </w:r>
      <w:r>
        <w:rPr>
          <w:rFonts w:ascii="Times New Roman" w:eastAsia="Times New Roman"/>
        </w:rPr>
        <w:t>3</w:t>
      </w:r>
      <w:r>
        <w:t>）当单价与数量相乘不等于合价时，以单价计算为准，如果单价有明显的小数点位置差错，应以标出的合价为准，同时对单价予以修正；</w:t>
      </w:r>
    </w:p>
    <w:p>
      <w:pPr>
        <w:pStyle w:val="11"/>
        <w:spacing w:before="1" w:line="312" w:lineRule="auto"/>
        <w:ind w:left="424" w:right="306" w:firstLine="479"/>
      </w:pPr>
      <w:r>
        <w:t>（</w:t>
      </w:r>
      <w:r>
        <w:rPr>
          <w:rFonts w:ascii="Times New Roman" w:eastAsia="Times New Roman"/>
        </w:rPr>
        <w:t>4</w:t>
      </w:r>
      <w:r>
        <w:t>）当各子目的合价累计不等于总价时，应以各子目合价累计数为准，修正总价。</w:t>
      </w:r>
    </w:p>
    <w:p>
      <w:pPr>
        <w:pStyle w:val="20"/>
        <w:numPr>
          <w:ilvl w:val="2"/>
          <w:numId w:val="11"/>
        </w:numPr>
        <w:tabs>
          <w:tab w:val="left" w:pos="1505"/>
        </w:tabs>
        <w:spacing w:line="312" w:lineRule="auto"/>
        <w:ind w:left="424" w:right="385" w:firstLine="480"/>
        <w:jc w:val="both"/>
        <w:rPr>
          <w:sz w:val="24"/>
        </w:rPr>
      </w:pPr>
      <w:r>
        <w:rPr>
          <w:spacing w:val="-5"/>
          <w:sz w:val="24"/>
        </w:rPr>
        <w:t>工程量清单中的投标报价有其他错误的，评标委员会按以下原则对投标报价进行修正，修正的价格经投标人书面确认后具有约束力。投标人不接受修正价格的，评标委员会应否决其投标。</w:t>
      </w:r>
    </w:p>
    <w:p>
      <w:pPr>
        <w:pStyle w:val="11"/>
        <w:spacing w:line="312" w:lineRule="auto"/>
        <w:ind w:left="424" w:right="266" w:firstLine="479"/>
      </w:pPr>
      <w:r>
        <w:t>（</w:t>
      </w:r>
      <w:r>
        <w:rPr>
          <w:rFonts w:ascii="Times New Roman" w:eastAsia="Times New Roman"/>
        </w:rPr>
        <w:t>1</w:t>
      </w:r>
      <w:r>
        <w:rPr>
          <w:spacing w:val="-104"/>
        </w:rPr>
        <w:t>）</w:t>
      </w:r>
      <w:r>
        <w:rPr>
          <w:spacing w:val="-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11"/>
        <w:spacing w:before="2" w:line="312" w:lineRule="auto"/>
        <w:ind w:left="424" w:right="266" w:firstLine="479"/>
      </w:pPr>
      <w:r>
        <w:t>（</w:t>
      </w:r>
      <w:r>
        <w:rPr>
          <w:rFonts w:ascii="Times New Roman" w:eastAsia="Times New Roman"/>
        </w:rPr>
        <w:t>2</w:t>
      </w:r>
      <w:r>
        <w:rPr>
          <w:spacing w:val="-104"/>
        </w:rPr>
        <w:t>）</w:t>
      </w:r>
      <w:r>
        <w:rPr>
          <w:spacing w:val="-4"/>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11"/>
        <w:spacing w:before="1" w:line="312" w:lineRule="auto"/>
        <w:ind w:left="424" w:right="305" w:firstLine="479"/>
      </w:pPr>
      <w:r>
        <w:t>（</w:t>
      </w:r>
      <w:r>
        <w:rPr>
          <w:rFonts w:ascii="Times New Roman" w:eastAsia="Times New Roman"/>
        </w:rPr>
        <w:t>3</w:t>
      </w:r>
      <w:r>
        <w:t>）当单价与数量的乘积与合价（金额）虽然一致，但投标人修改了该子目的工程数量，则其合价按招标人给定的工程数量乘以投标人所报单价予以修正。</w:t>
      </w:r>
    </w:p>
    <w:p>
      <w:pPr>
        <w:pStyle w:val="20"/>
        <w:numPr>
          <w:ilvl w:val="2"/>
          <w:numId w:val="11"/>
        </w:numPr>
        <w:tabs>
          <w:tab w:val="left" w:pos="1505"/>
        </w:tabs>
        <w:spacing w:line="314" w:lineRule="auto"/>
        <w:ind w:left="424" w:right="387" w:firstLine="480"/>
        <w:rPr>
          <w:sz w:val="24"/>
        </w:rPr>
      </w:pPr>
      <w:r>
        <w:rPr>
          <w:sz w:val="24"/>
        </w:rPr>
        <w:t>修正后的最终投标报价若超过最高投标限价</w:t>
      </w:r>
      <w:r>
        <w:rPr>
          <w:spacing w:val="1"/>
          <w:sz w:val="24"/>
        </w:rPr>
        <w:t>（</w:t>
      </w:r>
      <w:r>
        <w:rPr>
          <w:sz w:val="24"/>
        </w:rPr>
        <w:t>如有</w:t>
      </w:r>
      <w:r>
        <w:rPr>
          <w:spacing w:val="-120"/>
          <w:sz w:val="24"/>
        </w:rPr>
        <w:t>）</w:t>
      </w:r>
      <w:r>
        <w:rPr>
          <w:sz w:val="24"/>
        </w:rPr>
        <w:t>，评标委员会应否决其投标。</w:t>
      </w:r>
    </w:p>
    <w:p>
      <w:pPr>
        <w:pStyle w:val="20"/>
        <w:numPr>
          <w:ilvl w:val="1"/>
          <w:numId w:val="11"/>
        </w:numPr>
        <w:tabs>
          <w:tab w:val="left" w:pos="905"/>
        </w:tabs>
        <w:spacing w:before="147"/>
        <w:rPr>
          <w:rFonts w:ascii="黑体" w:eastAsia="黑体"/>
          <w:sz w:val="24"/>
        </w:rPr>
      </w:pPr>
      <w:bookmarkStart w:id="107" w:name="_bookmark119"/>
      <w:bookmarkEnd w:id="107"/>
      <w:r>
        <w:rPr>
          <w:rFonts w:hint="eastAsia" w:ascii="黑体" w:eastAsia="黑体"/>
          <w:sz w:val="24"/>
        </w:rPr>
        <w:t>第二个信封详细评审</w:t>
      </w:r>
    </w:p>
    <w:p>
      <w:pPr>
        <w:pStyle w:val="11"/>
        <w:spacing w:before="11"/>
        <w:rPr>
          <w:rFonts w:ascii="黑体"/>
          <w:sz w:val="25"/>
        </w:rPr>
      </w:pPr>
    </w:p>
    <w:p>
      <w:pPr>
        <w:pStyle w:val="20"/>
        <w:numPr>
          <w:ilvl w:val="2"/>
          <w:numId w:val="11"/>
        </w:numPr>
        <w:tabs>
          <w:tab w:val="left" w:pos="1505"/>
        </w:tabs>
        <w:spacing w:line="312" w:lineRule="auto"/>
        <w:ind w:left="424" w:right="383" w:firstLine="480"/>
        <w:rPr>
          <w:sz w:val="24"/>
        </w:rPr>
      </w:pPr>
      <w:r>
        <w:rPr>
          <w:spacing w:val="-6"/>
          <w:sz w:val="24"/>
        </w:rPr>
        <w:t xml:space="preserve">评标委员会按本章第 </w:t>
      </w:r>
      <w:r>
        <w:rPr>
          <w:rFonts w:ascii="Times New Roman" w:eastAsia="Times New Roman"/>
          <w:sz w:val="24"/>
        </w:rPr>
        <w:t xml:space="preserve">2.2 </w:t>
      </w:r>
      <w:r>
        <w:rPr>
          <w:spacing w:val="-2"/>
          <w:sz w:val="24"/>
        </w:rPr>
        <w:t>款规定的量化因素和标准进行价格折算，计算出评标价，并编制价格比较一览表。</w:t>
      </w:r>
    </w:p>
    <w:p>
      <w:pPr>
        <w:pStyle w:val="20"/>
        <w:numPr>
          <w:ilvl w:val="2"/>
          <w:numId w:val="11"/>
        </w:numPr>
        <w:tabs>
          <w:tab w:val="left" w:pos="1505"/>
        </w:tabs>
        <w:spacing w:before="2" w:line="312" w:lineRule="auto"/>
        <w:ind w:left="425" w:firstLine="482"/>
        <w:rPr>
          <w:spacing w:val="-4"/>
          <w:sz w:val="24"/>
        </w:rPr>
      </w:pPr>
      <w:r>
        <w:rPr>
          <w:spacing w:val="-4"/>
          <w:sz w:val="24"/>
        </w:rPr>
        <w:t>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20"/>
        <w:numPr>
          <w:ilvl w:val="1"/>
          <w:numId w:val="11"/>
        </w:numPr>
        <w:tabs>
          <w:tab w:val="left" w:pos="905"/>
        </w:tabs>
        <w:spacing w:before="152"/>
        <w:rPr>
          <w:rFonts w:ascii="黑体" w:eastAsia="黑体"/>
          <w:sz w:val="24"/>
        </w:rPr>
      </w:pPr>
      <w:bookmarkStart w:id="108" w:name="_bookmark120"/>
      <w:bookmarkEnd w:id="108"/>
      <w:r>
        <w:rPr>
          <w:rFonts w:hint="eastAsia" w:ascii="黑体" w:eastAsia="黑体"/>
          <w:sz w:val="24"/>
        </w:rPr>
        <w:t>投标文件相关信息的核查</w:t>
      </w:r>
    </w:p>
    <w:p>
      <w:pPr>
        <w:pStyle w:val="11"/>
        <w:spacing w:before="10"/>
        <w:rPr>
          <w:rFonts w:ascii="黑体"/>
          <w:sz w:val="25"/>
        </w:rPr>
      </w:pPr>
    </w:p>
    <w:p>
      <w:pPr>
        <w:pStyle w:val="20"/>
        <w:numPr>
          <w:ilvl w:val="2"/>
          <w:numId w:val="11"/>
        </w:numPr>
        <w:tabs>
          <w:tab w:val="left" w:pos="1505"/>
        </w:tabs>
        <w:spacing w:line="312" w:lineRule="auto"/>
        <w:ind w:left="424" w:right="385" w:firstLine="480"/>
        <w:jc w:val="both"/>
        <w:rPr>
          <w:sz w:val="24"/>
        </w:rPr>
      </w:pPr>
      <w:r>
        <w:rPr>
          <w:spacing w:val="-9"/>
          <w:sz w:val="24"/>
        </w:rPr>
        <w:t>在评标过程中，评标委员会应查询交通运输主管部门“公路建设市场信用</w:t>
      </w:r>
      <w:r>
        <w:rPr>
          <w:spacing w:val="-18"/>
          <w:sz w:val="24"/>
        </w:rPr>
        <w:t>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20"/>
        <w:numPr>
          <w:ilvl w:val="2"/>
          <w:numId w:val="11"/>
        </w:numPr>
        <w:tabs>
          <w:tab w:val="left" w:pos="1505"/>
        </w:tabs>
        <w:spacing w:before="4" w:line="312" w:lineRule="auto"/>
        <w:ind w:left="424" w:right="385" w:firstLine="480"/>
        <w:jc w:val="both"/>
        <w:rPr>
          <w:sz w:val="24"/>
        </w:rPr>
      </w:pPr>
      <w:r>
        <w:rPr>
          <w:spacing w:val="-4"/>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1"/>
        <w:ind w:left="904"/>
      </w:pPr>
      <w:r>
        <w:t>（</w:t>
      </w:r>
      <w:r>
        <w:rPr>
          <w:rFonts w:ascii="Times New Roman" w:eastAsia="Times New Roman"/>
        </w:rPr>
        <w:t>1</w:t>
      </w:r>
      <w:r>
        <w:t>）有下列情形之一的，属于投标人相互串通投标：</w:t>
      </w:r>
    </w:p>
    <w:p>
      <w:pPr>
        <w:pStyle w:val="11"/>
        <w:spacing w:before="91"/>
        <w:ind w:left="904"/>
      </w:pPr>
      <w:r>
        <w:rPr>
          <w:rFonts w:ascii="Times New Roman" w:eastAsia="Times New Roman"/>
        </w:rPr>
        <w:t>a.</w:t>
      </w:r>
      <w:r>
        <w:t>投标人之间协商投标报价等投标文件的实质性内容；</w:t>
      </w:r>
    </w:p>
    <w:p>
      <w:pPr>
        <w:pStyle w:val="11"/>
        <w:spacing w:before="94"/>
        <w:ind w:left="904"/>
      </w:pPr>
      <w:r>
        <w:rPr>
          <w:rFonts w:ascii="Times New Roman" w:eastAsia="Times New Roman"/>
        </w:rPr>
        <w:t>b.</w:t>
      </w:r>
      <w:r>
        <w:t>投标人之间约定中标人；</w:t>
      </w:r>
    </w:p>
    <w:p>
      <w:pPr>
        <w:pStyle w:val="11"/>
        <w:spacing w:before="93"/>
        <w:ind w:left="904"/>
      </w:pPr>
      <w:r>
        <w:rPr>
          <w:rFonts w:ascii="Times New Roman" w:eastAsia="Times New Roman"/>
        </w:rPr>
        <w:t>c.</w:t>
      </w:r>
      <w:r>
        <w:t>投标人之间约定部分投标人放弃投标或中标；</w:t>
      </w:r>
    </w:p>
    <w:p>
      <w:pPr>
        <w:pStyle w:val="11"/>
        <w:spacing w:before="91"/>
        <w:ind w:left="904"/>
      </w:pPr>
      <w:r>
        <w:rPr>
          <w:rFonts w:ascii="Times New Roman" w:eastAsia="Times New Roman"/>
        </w:rPr>
        <w:t>d.</w:t>
      </w:r>
      <w:r>
        <w:t>属于同一集团、协会、商会等组织成员的投标人按照该组织要求协同投标；</w:t>
      </w:r>
    </w:p>
    <w:p>
      <w:pPr>
        <w:pStyle w:val="11"/>
        <w:spacing w:before="94"/>
        <w:ind w:left="904"/>
      </w:pPr>
      <w:r>
        <w:rPr>
          <w:rFonts w:ascii="Times New Roman" w:eastAsia="Times New Roman"/>
        </w:rPr>
        <w:t>e.</w:t>
      </w:r>
      <w:r>
        <w:t>投标人之间为谋取中标或排斥特定投标人而采取的其他联合行动。</w:t>
      </w:r>
    </w:p>
    <w:p>
      <w:pPr>
        <w:pStyle w:val="11"/>
        <w:spacing w:before="93"/>
        <w:ind w:left="904"/>
      </w:pPr>
      <w:r>
        <w:t>（</w:t>
      </w:r>
      <w:r>
        <w:rPr>
          <w:rFonts w:ascii="Times New Roman" w:eastAsia="Times New Roman"/>
        </w:rPr>
        <w:t>2</w:t>
      </w:r>
      <w:r>
        <w:t>）有下列情形之一的，视为投标人相互串通投标：</w:t>
      </w:r>
    </w:p>
    <w:p>
      <w:pPr>
        <w:pStyle w:val="11"/>
        <w:spacing w:before="91"/>
        <w:ind w:left="904"/>
      </w:pPr>
      <w:r>
        <w:rPr>
          <w:rFonts w:ascii="Times New Roman" w:eastAsia="Times New Roman"/>
        </w:rPr>
        <w:t>a.</w:t>
      </w:r>
      <w:r>
        <w:t>不同投标人的投标文件由同一单位或个人编制；</w:t>
      </w:r>
    </w:p>
    <w:p>
      <w:pPr>
        <w:pStyle w:val="11"/>
        <w:spacing w:before="93"/>
        <w:ind w:left="904"/>
      </w:pPr>
      <w:r>
        <w:rPr>
          <w:rFonts w:ascii="Times New Roman" w:eastAsia="Times New Roman"/>
        </w:rPr>
        <w:t>b.</w:t>
      </w:r>
      <w:r>
        <w:t>不同投标人委托同一单位或个人办理投标事宜；</w:t>
      </w:r>
    </w:p>
    <w:p>
      <w:pPr>
        <w:pStyle w:val="11"/>
        <w:spacing w:before="93"/>
        <w:ind w:left="904"/>
      </w:pPr>
      <w:r>
        <w:rPr>
          <w:rFonts w:ascii="Times New Roman" w:eastAsia="Times New Roman"/>
        </w:rPr>
        <w:t>c.</w:t>
      </w:r>
      <w:r>
        <w:t>不同投标人的投标文件载明的项目管理成员为同一人；</w:t>
      </w:r>
    </w:p>
    <w:p>
      <w:pPr>
        <w:pStyle w:val="11"/>
        <w:spacing w:before="92"/>
        <w:ind w:left="904"/>
      </w:pPr>
      <w:r>
        <w:rPr>
          <w:rFonts w:ascii="Times New Roman" w:eastAsia="Times New Roman"/>
        </w:rPr>
        <w:t>d.</w:t>
      </w:r>
      <w:r>
        <w:t>不同投标人的投标文件异常一致或投标报价呈规律性差异；</w:t>
      </w:r>
    </w:p>
    <w:p>
      <w:pPr>
        <w:pStyle w:val="11"/>
        <w:spacing w:before="93"/>
        <w:ind w:left="904"/>
      </w:pPr>
      <w:r>
        <w:rPr>
          <w:rFonts w:ascii="Times New Roman" w:eastAsia="Times New Roman"/>
        </w:rPr>
        <w:t>e.</w:t>
      </w:r>
      <w:r>
        <w:t>不同投标人的投标文件相互混装；</w:t>
      </w:r>
    </w:p>
    <w:p>
      <w:pPr>
        <w:pStyle w:val="11"/>
        <w:spacing w:before="93"/>
        <w:ind w:left="904"/>
      </w:pPr>
      <w:r>
        <w:rPr>
          <w:rFonts w:ascii="Times New Roman" w:eastAsia="Times New Roman"/>
        </w:rPr>
        <w:t>f.</w:t>
      </w:r>
      <w:r>
        <w:t>不同投标人的投标保证金从同一单位或个人的账户转出。</w:t>
      </w:r>
    </w:p>
    <w:p>
      <w:pPr>
        <w:pStyle w:val="11"/>
        <w:spacing w:before="91"/>
        <w:ind w:left="904"/>
      </w:pPr>
      <w:r>
        <w:t>（</w:t>
      </w:r>
      <w:r>
        <w:rPr>
          <w:rFonts w:ascii="Times New Roman" w:eastAsia="Times New Roman"/>
        </w:rPr>
        <w:t>3</w:t>
      </w:r>
      <w:r>
        <w:t>）有下列情形之一的，属于招标人与投标人串通投标：</w:t>
      </w:r>
    </w:p>
    <w:p>
      <w:pPr>
        <w:pStyle w:val="11"/>
        <w:spacing w:before="94" w:line="312" w:lineRule="auto"/>
        <w:ind w:left="904" w:right="1681"/>
        <w:rPr>
          <w:rFonts w:ascii="Times New Roman" w:eastAsia="Times New Roman"/>
        </w:rPr>
      </w:pPr>
      <w:r>
        <w:rPr>
          <w:rFonts w:ascii="Times New Roman" w:eastAsia="Times New Roman"/>
        </w:rPr>
        <w:t>a.</w:t>
      </w:r>
      <w:r>
        <w:t>招标人在开标前开启投标文件并将有关信息泄露给其他投标人</w:t>
      </w:r>
      <w:r>
        <w:rPr>
          <w:rFonts w:ascii="Times New Roman" w:eastAsia="Times New Roman"/>
        </w:rPr>
        <w:t xml:space="preserve">; </w:t>
      </w:r>
    </w:p>
    <w:p>
      <w:pPr>
        <w:pStyle w:val="11"/>
        <w:spacing w:before="94" w:line="312" w:lineRule="auto"/>
        <w:ind w:left="904" w:right="1681"/>
      </w:pPr>
      <w:r>
        <w:rPr>
          <w:rFonts w:ascii="Times New Roman" w:eastAsia="Times New Roman"/>
        </w:rPr>
        <w:t>b.</w:t>
      </w:r>
      <w:r>
        <w:t>招标人直接或间接向投标人泄露标底、评标委员会成员等信息；</w:t>
      </w:r>
    </w:p>
    <w:p>
      <w:pPr>
        <w:pStyle w:val="11"/>
        <w:spacing w:line="307" w:lineRule="exact"/>
        <w:ind w:left="904"/>
      </w:pPr>
      <w:r>
        <w:rPr>
          <w:rFonts w:ascii="Times New Roman" w:eastAsia="Times New Roman"/>
        </w:rPr>
        <w:t>c.</w:t>
      </w:r>
      <w:r>
        <w:t>招标人明示或暗示投标人压低或抬高投标报价；</w:t>
      </w:r>
    </w:p>
    <w:p>
      <w:pPr>
        <w:pStyle w:val="11"/>
        <w:spacing w:before="93"/>
        <w:ind w:left="904"/>
      </w:pPr>
      <w:r>
        <w:rPr>
          <w:rFonts w:ascii="Times New Roman" w:eastAsia="Times New Roman"/>
        </w:rPr>
        <w:t>d.</w:t>
      </w:r>
      <w:r>
        <w:t>招标人授意投标人撤换、修改投标文件；</w:t>
      </w:r>
    </w:p>
    <w:p>
      <w:pPr>
        <w:pStyle w:val="11"/>
        <w:spacing w:before="94"/>
        <w:ind w:left="904"/>
      </w:pPr>
      <w:r>
        <w:rPr>
          <w:rFonts w:ascii="Times New Roman" w:eastAsia="Times New Roman"/>
        </w:rPr>
        <w:t>e.</w:t>
      </w:r>
      <w:r>
        <w:t>招标人明示或暗示投标人为特定投标人中标提供方便；</w:t>
      </w:r>
    </w:p>
    <w:p>
      <w:pPr>
        <w:pStyle w:val="11"/>
        <w:spacing w:before="91"/>
        <w:ind w:left="904"/>
      </w:pPr>
      <w:r>
        <w:rPr>
          <w:rFonts w:ascii="Times New Roman" w:eastAsia="Times New Roman"/>
        </w:rPr>
        <w:t>f.</w:t>
      </w:r>
      <w:r>
        <w:t>招标人与投标人为谋求特定投标人中标而采取的其他串通行为。</w:t>
      </w:r>
    </w:p>
    <w:p>
      <w:pPr>
        <w:pStyle w:val="11"/>
        <w:spacing w:before="93"/>
        <w:ind w:left="904"/>
      </w:pPr>
      <w:r>
        <w:t>（</w:t>
      </w:r>
      <w:r>
        <w:rPr>
          <w:rFonts w:ascii="Times New Roman" w:eastAsia="Times New Roman"/>
        </w:rPr>
        <w:t>4</w:t>
      </w:r>
      <w:r>
        <w:t>）投标人有下列情形之一的，属于弄虚作假的行为：</w:t>
      </w:r>
    </w:p>
    <w:p>
      <w:pPr>
        <w:pStyle w:val="11"/>
        <w:spacing w:before="74"/>
        <w:ind w:left="904"/>
      </w:pPr>
      <w:r>
        <w:rPr>
          <w:rFonts w:ascii="Times New Roman" w:eastAsia="Times New Roman"/>
        </w:rPr>
        <w:t>a.</w:t>
      </w:r>
      <w:r>
        <w:t>使用通过受让或租借等方式获取的资格、资质证书投标；</w:t>
      </w:r>
    </w:p>
    <w:p>
      <w:pPr>
        <w:pStyle w:val="11"/>
        <w:spacing w:before="91"/>
        <w:ind w:left="904"/>
      </w:pPr>
      <w:r>
        <w:rPr>
          <w:rFonts w:ascii="Times New Roman" w:eastAsia="Times New Roman"/>
        </w:rPr>
        <w:t>b.</w:t>
      </w:r>
      <w:r>
        <w:t>使用伪造、变造的许可证件；</w:t>
      </w:r>
    </w:p>
    <w:p>
      <w:pPr>
        <w:pStyle w:val="11"/>
        <w:spacing w:before="94"/>
        <w:ind w:left="904"/>
      </w:pPr>
      <w:r>
        <w:rPr>
          <w:rFonts w:ascii="Times New Roman" w:eastAsia="Times New Roman"/>
        </w:rPr>
        <w:t>c.</w:t>
      </w:r>
      <w:r>
        <w:t>提供虚假的财务状况或业绩；</w:t>
      </w:r>
    </w:p>
    <w:p>
      <w:pPr>
        <w:pStyle w:val="11"/>
        <w:spacing w:before="93"/>
        <w:ind w:left="904"/>
      </w:pPr>
      <w:r>
        <w:rPr>
          <w:rFonts w:ascii="Times New Roman" w:eastAsia="Times New Roman"/>
        </w:rPr>
        <w:t>d.</w:t>
      </w:r>
      <w:r>
        <w:t>提供虚假的项目负责人或主要技术人员简历、劳动关系证明；</w:t>
      </w:r>
    </w:p>
    <w:p>
      <w:pPr>
        <w:pStyle w:val="11"/>
        <w:spacing w:before="91"/>
        <w:ind w:left="904"/>
      </w:pPr>
      <w:r>
        <w:rPr>
          <w:rFonts w:ascii="Times New Roman" w:eastAsia="Times New Roman"/>
        </w:rPr>
        <w:t>e.</w:t>
      </w:r>
      <w:r>
        <w:t>提供虚假的信用状况；</w:t>
      </w:r>
    </w:p>
    <w:p>
      <w:pPr>
        <w:pStyle w:val="11"/>
        <w:spacing w:before="93"/>
        <w:ind w:left="904"/>
      </w:pPr>
      <w:r>
        <w:rPr>
          <w:rFonts w:ascii="Times New Roman" w:eastAsia="Times New Roman"/>
        </w:rPr>
        <w:t>f.</w:t>
      </w:r>
      <w:r>
        <w:t>其他弄虚作假的行为。</w:t>
      </w:r>
    </w:p>
    <w:p>
      <w:pPr>
        <w:pStyle w:val="11"/>
        <w:rPr>
          <w:sz w:val="26"/>
        </w:rPr>
      </w:pPr>
    </w:p>
    <w:p>
      <w:pPr>
        <w:pStyle w:val="20"/>
        <w:numPr>
          <w:ilvl w:val="1"/>
          <w:numId w:val="11"/>
        </w:numPr>
        <w:tabs>
          <w:tab w:val="left" w:pos="905"/>
        </w:tabs>
        <w:rPr>
          <w:rFonts w:ascii="黑体" w:eastAsia="黑体"/>
          <w:sz w:val="24"/>
        </w:rPr>
      </w:pPr>
      <w:bookmarkStart w:id="109" w:name="_bookmark121"/>
      <w:bookmarkEnd w:id="109"/>
      <w:r>
        <w:rPr>
          <w:rFonts w:hint="eastAsia" w:ascii="黑体" w:eastAsia="黑体"/>
          <w:sz w:val="24"/>
        </w:rPr>
        <w:t>投标文件的澄清和说明</w:t>
      </w:r>
    </w:p>
    <w:p>
      <w:pPr>
        <w:pStyle w:val="11"/>
        <w:spacing w:before="11"/>
        <w:rPr>
          <w:rFonts w:ascii="黑体"/>
          <w:sz w:val="25"/>
        </w:rPr>
      </w:pPr>
    </w:p>
    <w:p>
      <w:pPr>
        <w:pStyle w:val="20"/>
        <w:numPr>
          <w:ilvl w:val="2"/>
          <w:numId w:val="11"/>
        </w:numPr>
        <w:tabs>
          <w:tab w:val="left" w:pos="1505"/>
        </w:tabs>
        <w:spacing w:before="1" w:line="312" w:lineRule="auto"/>
        <w:ind w:left="424" w:right="382" w:firstLine="480"/>
        <w:jc w:val="both"/>
        <w:rPr>
          <w:sz w:val="24"/>
        </w:rPr>
      </w:pPr>
      <w:r>
        <w:rPr>
          <w:spacing w:val="-9"/>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20"/>
        <w:numPr>
          <w:ilvl w:val="2"/>
          <w:numId w:val="11"/>
        </w:numPr>
        <w:tabs>
          <w:tab w:val="left" w:pos="1505"/>
        </w:tabs>
        <w:spacing w:before="1" w:line="312" w:lineRule="auto"/>
        <w:ind w:left="424" w:right="382" w:firstLine="480"/>
        <w:rPr>
          <w:sz w:val="24"/>
        </w:rPr>
      </w:pPr>
      <w:r>
        <w:rPr>
          <w:spacing w:val="-3"/>
          <w:sz w:val="24"/>
        </w:rPr>
        <w:t>澄清和说明不得超出投标文件的范围或改变投标文件的实质性内容</w:t>
      </w:r>
      <w:r>
        <w:rPr>
          <w:sz w:val="24"/>
        </w:rPr>
        <w:t>（算术性错误的修正除外</w:t>
      </w:r>
      <w:r>
        <w:rPr>
          <w:spacing w:val="-120"/>
          <w:sz w:val="24"/>
        </w:rPr>
        <w:t>）</w:t>
      </w:r>
      <w:r>
        <w:rPr>
          <w:sz w:val="24"/>
        </w:rPr>
        <w:t>。投标人的书面澄清、说明属于投标文件的组成部分。</w:t>
      </w:r>
    </w:p>
    <w:p>
      <w:pPr>
        <w:pStyle w:val="20"/>
        <w:numPr>
          <w:ilvl w:val="2"/>
          <w:numId w:val="11"/>
        </w:numPr>
        <w:tabs>
          <w:tab w:val="left" w:pos="1505"/>
        </w:tabs>
        <w:spacing w:line="312" w:lineRule="auto"/>
        <w:ind w:left="424" w:right="263" w:firstLine="480"/>
        <w:rPr>
          <w:sz w:val="24"/>
        </w:rPr>
      </w:pPr>
      <w:r>
        <w:rPr>
          <w:spacing w:val="-11"/>
          <w:sz w:val="24"/>
        </w:rPr>
        <w:t>评标委员会不得暗示或诱导投标人作出澄清、说明，对投标人提交的澄清、说明有疑问的，可以要求投标人进一步澄清或说明，直至满足评标委员会的要求。</w:t>
      </w:r>
    </w:p>
    <w:p>
      <w:pPr>
        <w:pStyle w:val="20"/>
        <w:numPr>
          <w:ilvl w:val="2"/>
          <w:numId w:val="11"/>
        </w:numPr>
        <w:tabs>
          <w:tab w:val="left" w:pos="1505"/>
        </w:tabs>
        <w:spacing w:before="3" w:line="312" w:lineRule="auto"/>
        <w:ind w:left="424" w:right="385" w:firstLine="480"/>
        <w:rPr>
          <w:sz w:val="24"/>
        </w:rPr>
      </w:pPr>
      <w:r>
        <w:rPr>
          <w:spacing w:val="-3"/>
          <w:sz w:val="24"/>
        </w:rPr>
        <w:t>凡超出招标文件规定的或给发包人带来未曾要求的利益的变化、偏差或其他因素在评标时不予考虑。</w:t>
      </w:r>
    </w:p>
    <w:p>
      <w:pPr>
        <w:pStyle w:val="11"/>
        <w:spacing w:before="8"/>
        <w:rPr>
          <w:sz w:val="18"/>
        </w:rPr>
      </w:pPr>
    </w:p>
    <w:p>
      <w:pPr>
        <w:pStyle w:val="20"/>
        <w:numPr>
          <w:ilvl w:val="1"/>
          <w:numId w:val="11"/>
        </w:numPr>
        <w:tabs>
          <w:tab w:val="left" w:pos="905"/>
        </w:tabs>
        <w:spacing w:before="1"/>
        <w:rPr>
          <w:rFonts w:ascii="黑体" w:eastAsia="黑体"/>
          <w:sz w:val="24"/>
        </w:rPr>
      </w:pPr>
      <w:bookmarkStart w:id="110" w:name="_bookmark122"/>
      <w:bookmarkEnd w:id="110"/>
      <w:r>
        <w:rPr>
          <w:rFonts w:hint="eastAsia" w:ascii="黑体" w:eastAsia="黑体"/>
          <w:sz w:val="24"/>
        </w:rPr>
        <w:t>不得否决投标的情形</w:t>
      </w:r>
    </w:p>
    <w:p>
      <w:pPr>
        <w:pStyle w:val="11"/>
        <w:rPr>
          <w:rFonts w:ascii="黑体"/>
          <w:sz w:val="26"/>
        </w:rPr>
      </w:pPr>
    </w:p>
    <w:p>
      <w:pPr>
        <w:pStyle w:val="11"/>
        <w:ind w:left="904"/>
      </w:pPr>
      <w:r>
        <w:t xml:space="preserve">投标文件存在第二章“投标人须知”第 </w:t>
      </w:r>
      <w:r>
        <w:rPr>
          <w:rFonts w:ascii="Times New Roman" w:hAnsi="Times New Roman" w:eastAsia="Times New Roman"/>
        </w:rPr>
        <w:t xml:space="preserve">1.12.3 </w:t>
      </w:r>
      <w:r>
        <w:t>项所列情形的，均视为细微偏差，</w:t>
      </w:r>
    </w:p>
    <w:p>
      <w:pPr>
        <w:pStyle w:val="11"/>
        <w:spacing w:before="91" w:line="314" w:lineRule="auto"/>
        <w:ind w:left="424" w:right="334"/>
      </w:pPr>
      <w:r>
        <w:t xml:space="preserve">评标委员会不得否决投标人的投标，应按照第二章“投标人须知”第 </w:t>
      </w:r>
      <w:r>
        <w:rPr>
          <w:rFonts w:ascii="Times New Roman" w:hAnsi="Times New Roman" w:eastAsia="Times New Roman"/>
        </w:rPr>
        <w:t xml:space="preserve">1.12.4 </w:t>
      </w:r>
      <w:r>
        <w:t>项规定的原则处理。</w:t>
      </w:r>
    </w:p>
    <w:p>
      <w:pPr>
        <w:pStyle w:val="20"/>
        <w:numPr>
          <w:ilvl w:val="1"/>
          <w:numId w:val="11"/>
        </w:numPr>
        <w:tabs>
          <w:tab w:val="left" w:pos="905"/>
        </w:tabs>
        <w:spacing w:before="147"/>
        <w:rPr>
          <w:rFonts w:ascii="黑体" w:eastAsia="黑体"/>
          <w:sz w:val="24"/>
        </w:rPr>
      </w:pPr>
      <w:bookmarkStart w:id="111" w:name="_bookmark123"/>
      <w:bookmarkEnd w:id="111"/>
      <w:r>
        <w:rPr>
          <w:rFonts w:hint="eastAsia" w:ascii="黑体" w:eastAsia="黑体"/>
          <w:sz w:val="24"/>
        </w:rPr>
        <w:t>评标结果</w:t>
      </w:r>
    </w:p>
    <w:p>
      <w:pPr>
        <w:pStyle w:val="11"/>
        <w:spacing w:before="11"/>
        <w:rPr>
          <w:rFonts w:ascii="黑体"/>
          <w:sz w:val="25"/>
        </w:rPr>
      </w:pPr>
    </w:p>
    <w:p>
      <w:pPr>
        <w:pStyle w:val="20"/>
        <w:numPr>
          <w:ilvl w:val="2"/>
          <w:numId w:val="11"/>
        </w:numPr>
        <w:tabs>
          <w:tab w:val="left" w:pos="1447"/>
        </w:tabs>
        <w:spacing w:line="312" w:lineRule="auto"/>
        <w:ind w:left="424" w:right="384" w:firstLine="480"/>
        <w:rPr>
          <w:sz w:val="24"/>
        </w:rPr>
      </w:pPr>
      <w:r>
        <w:rPr>
          <w:sz w:val="24"/>
        </w:rPr>
        <w:t>除第二章</w:t>
      </w:r>
      <w:r>
        <w:rPr>
          <w:rFonts w:ascii="Times New Roman" w:hAnsi="Times New Roman" w:eastAsia="Times New Roman"/>
          <w:sz w:val="24"/>
        </w:rPr>
        <w:t>“</w:t>
      </w:r>
      <w:r>
        <w:rPr>
          <w:sz w:val="24"/>
        </w:rPr>
        <w:t>投标人须知</w:t>
      </w:r>
      <w:r>
        <w:rPr>
          <w:rFonts w:ascii="Times New Roman" w:hAnsi="Times New Roman" w:eastAsia="Times New Roman"/>
          <w:sz w:val="24"/>
        </w:rPr>
        <w:t>”</w:t>
      </w:r>
      <w:r>
        <w:rPr>
          <w:sz w:val="24"/>
        </w:rPr>
        <w:t>前附表授权直接确定中标人外，评标委员会按照评标价由低到高的顺序推荐中标候选人，并标明排序。</w:t>
      </w:r>
    </w:p>
    <w:p>
      <w:pPr>
        <w:pStyle w:val="20"/>
        <w:numPr>
          <w:ilvl w:val="2"/>
          <w:numId w:val="11"/>
        </w:numPr>
        <w:tabs>
          <w:tab w:val="left" w:pos="1505"/>
        </w:tabs>
        <w:spacing w:before="2"/>
        <w:rPr>
          <w:sz w:val="24"/>
        </w:rPr>
      </w:pPr>
      <w:r>
        <w:rPr>
          <w:sz w:val="24"/>
        </w:rPr>
        <w:t>评标委员会完成评标后，应向招标人提交书面评标报告。</w:t>
      </w:r>
    </w:p>
    <w:p>
      <w:pPr>
        <w:rPr>
          <w:sz w:val="24"/>
        </w:rPr>
        <w:sectPr>
          <w:pgSz w:w="11910" w:h="16850"/>
          <w:pgMar w:top="1480" w:right="1200" w:bottom="1080" w:left="1220" w:header="883" w:footer="884" w:gutter="0"/>
          <w:cols w:space="720" w:num="1"/>
        </w:sectPr>
      </w:pPr>
    </w:p>
    <w:p>
      <w:pPr>
        <w:pStyle w:val="11"/>
        <w:rPr>
          <w:sz w:val="20"/>
        </w:rPr>
      </w:pPr>
    </w:p>
    <w:p>
      <w:pPr>
        <w:pStyle w:val="11"/>
        <w:spacing w:before="2"/>
        <w:rPr>
          <w:sz w:val="22"/>
        </w:rPr>
      </w:pPr>
    </w:p>
    <w:p>
      <w:pPr>
        <w:tabs>
          <w:tab w:val="left" w:pos="3110"/>
        </w:tabs>
        <w:spacing w:before="49"/>
        <w:ind w:left="1348"/>
        <w:rPr>
          <w:rFonts w:ascii="黑体" w:hAnsi="黑体" w:eastAsia="黑体"/>
          <w:b/>
        </w:rPr>
      </w:pPr>
      <w:bookmarkStart w:id="112" w:name="_bookmark124"/>
      <w:bookmarkEnd w:id="112"/>
      <w:r>
        <w:rPr>
          <w:rFonts w:hint="eastAsia" w:ascii="黑体" w:hAnsi="黑体" w:eastAsia="黑体"/>
          <w:sz w:val="44"/>
        </w:rPr>
        <w:t>第三章</w:t>
      </w:r>
      <w:r>
        <w:rPr>
          <w:rFonts w:hint="eastAsia" w:ascii="黑体" w:hAnsi="黑体" w:eastAsia="黑体"/>
          <w:sz w:val="44"/>
        </w:rPr>
        <w:tab/>
      </w:r>
      <w:r>
        <w:rPr>
          <w:rFonts w:hint="eastAsia" w:ascii="黑体" w:hAnsi="黑体" w:eastAsia="黑体"/>
          <w:sz w:val="44"/>
        </w:rPr>
        <w:t>评标办法（综合评分法）</w:t>
      </w:r>
      <w:r>
        <w:rPr>
          <w:rFonts w:hint="eastAsia" w:ascii="黑体" w:hAnsi="黑体" w:eastAsia="黑体"/>
          <w:b/>
          <w:position w:val="20"/>
        </w:rPr>
        <w:t>①</w:t>
      </w:r>
    </w:p>
    <w:p>
      <w:pPr>
        <w:pStyle w:val="11"/>
        <w:spacing w:before="11"/>
        <w:rPr>
          <w:rFonts w:ascii="黑体"/>
          <w:b/>
          <w:sz w:val="40"/>
        </w:rPr>
      </w:pPr>
    </w:p>
    <w:p>
      <w:pPr>
        <w:pStyle w:val="11"/>
        <w:ind w:left="424"/>
        <w:rPr>
          <w:rFonts w:ascii="黑体" w:hAnsi="黑体" w:eastAsia="黑体"/>
          <w:b/>
          <w:sz w:val="14"/>
        </w:rPr>
      </w:pPr>
      <w:bookmarkStart w:id="113" w:name="_bookmark125"/>
      <w:bookmarkEnd w:id="113"/>
      <w:r>
        <w:rPr>
          <w:rFonts w:hint="eastAsia" w:ascii="黑体" w:hAnsi="黑体" w:eastAsia="黑体"/>
        </w:rPr>
        <w:t>评标办法前附表</w:t>
      </w:r>
      <w:r>
        <w:rPr>
          <w:rFonts w:hint="eastAsia" w:ascii="黑体" w:hAnsi="黑体" w:eastAsia="黑体"/>
          <w:b/>
          <w:position w:val="13"/>
          <w:sz w:val="14"/>
        </w:rPr>
        <w:t>②</w:t>
      </w:r>
    </w:p>
    <w:p>
      <w:pPr>
        <w:pStyle w:val="11"/>
        <w:spacing w:before="1"/>
        <w:rPr>
          <w:rFonts w:ascii="黑体"/>
          <w:b/>
          <w:sz w:val="19"/>
        </w:rPr>
      </w:pPr>
    </w:p>
    <w:tbl>
      <w:tblPr>
        <w:tblStyle w:val="19"/>
        <w:tblW w:w="889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pPr>
              <w:pStyle w:val="21"/>
              <w:spacing w:before="109" w:line="250" w:lineRule="exact"/>
              <w:ind w:left="796" w:right="788"/>
              <w:jc w:val="center"/>
              <w:rPr>
                <w:b/>
                <w:sz w:val="21"/>
              </w:rPr>
            </w:pPr>
            <w:r>
              <w:rPr>
                <w:b/>
                <w:sz w:val="21"/>
              </w:rPr>
              <w:t>条款号</w:t>
            </w:r>
          </w:p>
        </w:tc>
        <w:tc>
          <w:tcPr>
            <w:tcW w:w="6626" w:type="dxa"/>
            <w:tcBorders>
              <w:left w:val="single" w:color="000000" w:sz="6" w:space="0"/>
            </w:tcBorders>
          </w:tcPr>
          <w:p>
            <w:pPr>
              <w:pStyle w:val="21"/>
              <w:spacing w:before="109" w:line="250" w:lineRule="exact"/>
              <w:ind w:left="2335" w:right="234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989" w:type="dxa"/>
          </w:tcPr>
          <w:p>
            <w:pPr>
              <w:pStyle w:val="21"/>
              <w:rPr>
                <w:rFonts w:ascii="黑体"/>
                <w:b/>
              </w:rPr>
            </w:pPr>
          </w:p>
          <w:p>
            <w:pPr>
              <w:pStyle w:val="21"/>
              <w:rPr>
                <w:rFonts w:ascii="黑体"/>
                <w:b/>
              </w:rPr>
            </w:pPr>
          </w:p>
          <w:p>
            <w:pPr>
              <w:pStyle w:val="21"/>
              <w:rPr>
                <w:rFonts w:ascii="黑体"/>
                <w:b/>
              </w:rPr>
            </w:pPr>
          </w:p>
          <w:p>
            <w:pPr>
              <w:pStyle w:val="21"/>
              <w:spacing w:before="8"/>
              <w:rPr>
                <w:rFonts w:ascii="黑体"/>
                <w:b/>
                <w:sz w:val="28"/>
              </w:rPr>
            </w:pPr>
          </w:p>
          <w:p>
            <w:pPr>
              <w:pStyle w:val="21"/>
              <w:ind w:left="9"/>
              <w:jc w:val="center"/>
              <w:rPr>
                <w:rFonts w:ascii="Times New Roman"/>
                <w:sz w:val="21"/>
              </w:rPr>
            </w:pPr>
            <w:r>
              <w:rPr>
                <w:rFonts w:ascii="Times New Roman"/>
                <w:sz w:val="21"/>
              </w:rPr>
              <w:t>1</w:t>
            </w:r>
          </w:p>
        </w:tc>
        <w:tc>
          <w:tcPr>
            <w:tcW w:w="1280" w:type="dxa"/>
            <w:tcBorders>
              <w:right w:val="single" w:color="000000" w:sz="6" w:space="0"/>
            </w:tcBorders>
          </w:tcPr>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spacing w:before="164"/>
              <w:ind w:left="217"/>
              <w:rPr>
                <w:sz w:val="21"/>
              </w:rPr>
            </w:pPr>
            <w:r>
              <w:rPr>
                <w:sz w:val="21"/>
              </w:rPr>
              <w:t>评标方法</w:t>
            </w:r>
          </w:p>
        </w:tc>
        <w:tc>
          <w:tcPr>
            <w:tcW w:w="6626" w:type="dxa"/>
            <w:tcBorders>
              <w:left w:val="single" w:color="000000" w:sz="6" w:space="0"/>
            </w:tcBorders>
          </w:tcPr>
          <w:p>
            <w:pPr>
              <w:pStyle w:val="21"/>
              <w:spacing w:before="89" w:line="321" w:lineRule="auto"/>
              <w:ind w:left="104" w:right="95" w:firstLine="420"/>
              <w:rPr>
                <w:sz w:val="21"/>
              </w:rPr>
            </w:pPr>
            <w:r>
              <w:rPr>
                <w:spacing w:val="-12"/>
                <w:sz w:val="21"/>
              </w:rPr>
              <w:t>综合评分相等时，评标委员会依次按照以下优先顺序推荐中标候选</w:t>
            </w:r>
            <w:r>
              <w:rPr>
                <w:spacing w:val="-6"/>
                <w:sz w:val="21"/>
              </w:rPr>
              <w:t>人或确定中标人：</w:t>
            </w:r>
          </w:p>
          <w:p>
            <w:pPr>
              <w:pStyle w:val="21"/>
              <w:spacing w:line="269" w:lineRule="exact"/>
              <w:ind w:left="524"/>
              <w:rPr>
                <w:sz w:val="21"/>
              </w:rPr>
            </w:pPr>
            <w:r>
              <w:rPr>
                <w:sz w:val="21"/>
              </w:rPr>
              <w:t>（</w:t>
            </w:r>
            <w:r>
              <w:rPr>
                <w:rFonts w:ascii="Times New Roman" w:eastAsia="Times New Roman"/>
                <w:sz w:val="21"/>
              </w:rPr>
              <w:t>1</w:t>
            </w:r>
            <w:r>
              <w:rPr>
                <w:sz w:val="21"/>
              </w:rPr>
              <w:t>）评标价低的投标人优先；</w:t>
            </w:r>
          </w:p>
          <w:p>
            <w:pPr>
              <w:pStyle w:val="21"/>
              <w:spacing w:before="91" w:line="321" w:lineRule="auto"/>
              <w:ind w:left="104" w:right="95" w:firstLine="420"/>
              <w:rPr>
                <w:sz w:val="21"/>
              </w:rPr>
            </w:pPr>
            <w:r>
              <w:rPr>
                <w:sz w:val="21"/>
              </w:rPr>
              <w:t>（</w:t>
            </w:r>
            <w:r>
              <w:rPr>
                <w:rFonts w:ascii="Times New Roman" w:eastAsia="Times New Roman"/>
                <w:sz w:val="21"/>
              </w:rPr>
              <w:t>2</w:t>
            </w:r>
            <w:r>
              <w:rPr>
                <w:sz w:val="21"/>
              </w:rPr>
              <w:t>）被招标项目所在地省级交通运输主管部门评为较高信用等级的投标人优先；</w:t>
            </w:r>
          </w:p>
          <w:p>
            <w:pPr>
              <w:pStyle w:val="21"/>
              <w:spacing w:line="268" w:lineRule="exact"/>
              <w:ind w:left="524"/>
              <w:rPr>
                <w:sz w:val="21"/>
              </w:rPr>
            </w:pPr>
            <w:r>
              <w:rPr>
                <w:sz w:val="21"/>
              </w:rPr>
              <w:t>（</w:t>
            </w:r>
            <w:r>
              <w:rPr>
                <w:rFonts w:ascii="Times New Roman" w:eastAsia="Times New Roman"/>
                <w:sz w:val="21"/>
              </w:rPr>
              <w:t>3</w:t>
            </w:r>
            <w:r>
              <w:rPr>
                <w:sz w:val="21"/>
              </w:rPr>
              <w:t>）商务和技术得分较高的投标人优先；</w:t>
            </w:r>
          </w:p>
          <w:p>
            <w:pPr>
              <w:pStyle w:val="21"/>
              <w:spacing w:before="91" w:line="250" w:lineRule="exact"/>
              <w:ind w:left="524"/>
              <w:rPr>
                <w:rFonts w:ascii="Times New Roman" w:hAnsi="Times New Roman" w:eastAsia="Times New Roman"/>
                <w:sz w:val="21"/>
              </w:rPr>
            </w:pPr>
            <w:r>
              <w:rPr>
                <w:sz w:val="21"/>
              </w:rPr>
              <w:t>（</w:t>
            </w:r>
            <w:r>
              <w:rPr>
                <w:rFonts w:ascii="Times New Roman" w:hAnsi="Times New Roman" w:eastAsia="Times New Roman"/>
                <w:sz w:val="21"/>
              </w:rPr>
              <w:t>4</w:t>
            </w:r>
            <w:r>
              <w:rPr>
                <w:sz w:val="21"/>
              </w:rPr>
              <w:t>）</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9" w:hRule="atLeast"/>
        </w:trPr>
        <w:tc>
          <w:tcPr>
            <w:tcW w:w="989" w:type="dxa"/>
          </w:tcPr>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rPr>
                <w:rFonts w:ascii="黑体"/>
                <w:b/>
              </w:rPr>
            </w:pPr>
          </w:p>
          <w:p>
            <w:pPr>
              <w:pStyle w:val="21"/>
              <w:spacing w:before="7"/>
              <w:rPr>
                <w:rFonts w:ascii="黑体"/>
                <w:b/>
                <w:sz w:val="30"/>
              </w:rPr>
            </w:pPr>
          </w:p>
          <w:p>
            <w:pPr>
              <w:pStyle w:val="21"/>
              <w:spacing w:before="1"/>
              <w:ind w:left="282"/>
              <w:rPr>
                <w:rFonts w:ascii="Times New Roman"/>
                <w:sz w:val="21"/>
              </w:rPr>
            </w:pPr>
            <w:r>
              <w:rPr>
                <w:rFonts w:ascii="Times New Roman"/>
                <w:sz w:val="21"/>
              </w:rPr>
              <w:t>2.1.1</w:t>
            </w:r>
          </w:p>
          <w:p>
            <w:pPr>
              <w:pStyle w:val="21"/>
              <w:spacing w:before="137"/>
              <w:ind w:left="282"/>
              <w:rPr>
                <w:rFonts w:ascii="Times New Roman"/>
                <w:sz w:val="21"/>
              </w:rPr>
            </w:pPr>
            <w:r>
              <w:rPr>
                <w:rFonts w:ascii="Times New Roman"/>
                <w:sz w:val="21"/>
              </w:rPr>
              <w:t>2.1.3</w:t>
            </w:r>
          </w:p>
        </w:tc>
        <w:tc>
          <w:tcPr>
            <w:tcW w:w="1280" w:type="dxa"/>
            <w:tcBorders>
              <w:right w:val="single" w:color="000000" w:sz="6" w:space="0"/>
            </w:tcBorders>
          </w:tcPr>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rPr>
                <w:rFonts w:ascii="黑体"/>
                <w:b/>
                <w:sz w:val="20"/>
              </w:rPr>
            </w:pPr>
          </w:p>
          <w:p>
            <w:pPr>
              <w:pStyle w:val="21"/>
              <w:spacing w:before="12"/>
              <w:rPr>
                <w:rFonts w:ascii="黑体"/>
                <w:b/>
                <w:sz w:val="15"/>
              </w:rPr>
            </w:pPr>
          </w:p>
          <w:p>
            <w:pPr>
              <w:pStyle w:val="21"/>
              <w:spacing w:line="338" w:lineRule="auto"/>
              <w:ind w:left="112" w:right="99"/>
              <w:jc w:val="center"/>
              <w:rPr>
                <w:sz w:val="21"/>
              </w:rPr>
            </w:pPr>
            <w:r>
              <w:rPr>
                <w:sz w:val="21"/>
              </w:rPr>
              <w:t>形式评审与响应性评审标准</w:t>
            </w:r>
          </w:p>
        </w:tc>
        <w:tc>
          <w:tcPr>
            <w:tcW w:w="6626" w:type="dxa"/>
            <w:tcBorders>
              <w:left w:val="single" w:color="000000" w:sz="6" w:space="0"/>
            </w:tcBorders>
          </w:tcPr>
          <w:p>
            <w:pPr>
              <w:pStyle w:val="21"/>
              <w:spacing w:before="87"/>
              <w:ind w:left="527"/>
              <w:rPr>
                <w:b/>
                <w:sz w:val="21"/>
              </w:rPr>
            </w:pPr>
            <w:r>
              <w:rPr>
                <w:b/>
                <w:sz w:val="21"/>
              </w:rPr>
              <w:t>第一个信封（商务及技术文件）评审标准：</w:t>
            </w:r>
          </w:p>
          <w:p>
            <w:pPr>
              <w:pStyle w:val="21"/>
              <w:spacing w:before="86" w:line="316" w:lineRule="auto"/>
              <w:ind w:left="104" w:right="95" w:firstLine="420"/>
              <w:rPr>
                <w:sz w:val="21"/>
              </w:rPr>
            </w:pPr>
            <w:r>
              <w:rPr>
                <w:sz w:val="21"/>
              </w:rPr>
              <w:t>（</w:t>
            </w:r>
            <w:r>
              <w:rPr>
                <w:rFonts w:ascii="Times New Roman" w:eastAsia="Times New Roman"/>
                <w:sz w:val="21"/>
              </w:rPr>
              <w:t>1</w:t>
            </w:r>
            <w:r>
              <w:rPr>
                <w:sz w:val="21"/>
              </w:rPr>
              <w:t>）投标文件按照招标文件规定的格式、内容填写，字迹清晰可辨：</w:t>
            </w:r>
          </w:p>
          <w:p>
            <w:pPr>
              <w:pStyle w:val="21"/>
              <w:spacing w:before="3" w:line="316" w:lineRule="auto"/>
              <w:ind w:left="104" w:right="97" w:firstLine="420"/>
              <w:rPr>
                <w:sz w:val="21"/>
              </w:rPr>
            </w:pPr>
            <w:r>
              <w:rPr>
                <w:rFonts w:ascii="Times New Roman" w:eastAsia="Times New Roman"/>
                <w:sz w:val="21"/>
              </w:rPr>
              <w:t>a.</w:t>
            </w:r>
            <w:r>
              <w:rPr>
                <w:spacing w:val="-15"/>
                <w:sz w:val="21"/>
              </w:rPr>
              <w:t>投标函按招标文件规定填报了项目名称、标段号、补遗书编号</w:t>
            </w:r>
            <w:r>
              <w:rPr>
                <w:spacing w:val="-3"/>
                <w:sz w:val="21"/>
              </w:rPr>
              <w:t>（</w:t>
            </w:r>
            <w:r>
              <w:rPr>
                <w:sz w:val="21"/>
              </w:rPr>
              <w:t>如有</w:t>
            </w:r>
            <w:r>
              <w:rPr>
                <w:spacing w:val="-106"/>
                <w:sz w:val="21"/>
              </w:rPr>
              <w:t>）</w:t>
            </w:r>
            <w:r>
              <w:rPr>
                <w:spacing w:val="-3"/>
                <w:sz w:val="21"/>
              </w:rPr>
              <w:t>、工期、工程质量要求及安全目标；</w:t>
            </w:r>
          </w:p>
          <w:p>
            <w:pPr>
              <w:pStyle w:val="21"/>
              <w:ind w:left="524"/>
              <w:rPr>
                <w:sz w:val="21"/>
              </w:rPr>
            </w:pPr>
            <w:r>
              <w:rPr>
                <w:rFonts w:ascii="Times New Roman" w:eastAsia="Times New Roman"/>
                <w:sz w:val="21"/>
              </w:rPr>
              <w:t>b.</w:t>
            </w:r>
            <w:r>
              <w:rPr>
                <w:sz w:val="21"/>
              </w:rPr>
              <w:t>投标函附录的所有数据均符合招标文件规定；</w:t>
            </w:r>
          </w:p>
          <w:p>
            <w:pPr>
              <w:pStyle w:val="21"/>
              <w:spacing w:before="89"/>
              <w:ind w:left="524"/>
              <w:rPr>
                <w:sz w:val="21"/>
              </w:rPr>
            </w:pPr>
            <w:r>
              <w:rPr>
                <w:rFonts w:ascii="Times New Roman" w:eastAsia="Times New Roman"/>
                <w:sz w:val="21"/>
              </w:rPr>
              <w:t>c.</w:t>
            </w:r>
            <w:r>
              <w:rPr>
                <w:sz w:val="21"/>
              </w:rPr>
              <w:t>投标文件组成齐全完整，内容均按规定填写。</w:t>
            </w:r>
          </w:p>
          <w:p>
            <w:pPr>
              <w:pStyle w:val="21"/>
              <w:spacing w:before="86" w:line="316" w:lineRule="auto"/>
              <w:ind w:left="104" w:right="95" w:firstLine="420"/>
              <w:rPr>
                <w:sz w:val="21"/>
              </w:rPr>
            </w:pPr>
            <w:r>
              <w:rPr>
                <w:sz w:val="21"/>
              </w:rPr>
              <w:t>（</w:t>
            </w:r>
            <w:r>
              <w:rPr>
                <w:rFonts w:ascii="Times New Roman" w:eastAsia="Times New Roman"/>
                <w:sz w:val="21"/>
              </w:rPr>
              <w:t>2</w:t>
            </w:r>
            <w:r>
              <w:rPr>
                <w:sz w:val="21"/>
              </w:rPr>
              <w:t>）投标文件上法定代表人或其委托代理人的签字、投标人的单位章盖章齐全，符合招标文件规定。</w:t>
            </w:r>
          </w:p>
          <w:p>
            <w:pPr>
              <w:pStyle w:val="21"/>
              <w:spacing w:before="2" w:line="316" w:lineRule="auto"/>
              <w:ind w:left="104" w:right="95" w:firstLine="420"/>
              <w:jc w:val="both"/>
              <w:rPr>
                <w:sz w:val="21"/>
              </w:rPr>
            </w:pPr>
            <w:r>
              <w:rPr>
                <w:sz w:val="21"/>
              </w:rPr>
              <w:t>（</w:t>
            </w:r>
            <w:r>
              <w:rPr>
                <w:rFonts w:ascii="Times New Roman" w:eastAsia="Times New Roman"/>
                <w:sz w:val="21"/>
              </w:rPr>
              <w:t>3</w:t>
            </w:r>
            <w:r>
              <w:rPr>
                <w:sz w:val="21"/>
              </w:rPr>
              <w:t>）</w:t>
            </w:r>
            <w:r>
              <w:rPr>
                <w:spacing w:val="-3"/>
                <w:sz w:val="21"/>
              </w:rPr>
              <w:t>与申请资格预审时比较，投标人发生合并、分立、破产等重</w:t>
            </w:r>
            <w:r>
              <w:rPr>
                <w:spacing w:val="-13"/>
                <w:sz w:val="21"/>
              </w:rPr>
              <w:t>大变化的，仍具备资格预审文件规定的相应资格条件且其投标未影响招</w:t>
            </w:r>
            <w:r>
              <w:rPr>
                <w:spacing w:val="-7"/>
                <w:sz w:val="21"/>
              </w:rPr>
              <w:t>标公正性：</w:t>
            </w:r>
          </w:p>
          <w:p>
            <w:pPr>
              <w:pStyle w:val="21"/>
              <w:spacing w:before="3" w:line="316" w:lineRule="auto"/>
              <w:ind w:left="104" w:right="102" w:firstLine="420"/>
              <w:rPr>
                <w:sz w:val="21"/>
              </w:rPr>
            </w:pPr>
            <w:r>
              <w:rPr>
                <w:rFonts w:ascii="Times New Roman" w:eastAsia="Times New Roman"/>
                <w:sz w:val="21"/>
              </w:rPr>
              <w:t>a.</w:t>
            </w:r>
            <w:r>
              <w:rPr>
                <w:sz w:val="21"/>
              </w:rPr>
              <w:t>投标人应提供相关部门的合法批件及企业法人营业执照和资质证书等证件的副本变更记录复印件；</w:t>
            </w:r>
          </w:p>
          <w:p>
            <w:pPr>
              <w:pStyle w:val="21"/>
              <w:spacing w:before="1"/>
              <w:ind w:left="524"/>
              <w:rPr>
                <w:sz w:val="21"/>
              </w:rPr>
            </w:pPr>
            <w:r>
              <w:rPr>
                <w:rFonts w:ascii="Times New Roman" w:eastAsia="Times New Roman"/>
                <w:sz w:val="21"/>
              </w:rPr>
              <w:t>b.</w:t>
            </w:r>
            <w:r>
              <w:rPr>
                <w:sz w:val="21"/>
              </w:rPr>
              <w:t>投标人仍然满足资格预审文件中规定的资格预审条件最低要求</w:t>
            </w:r>
          </w:p>
          <w:p>
            <w:pPr>
              <w:pStyle w:val="21"/>
              <w:spacing w:before="88"/>
              <w:ind w:left="104"/>
              <w:rPr>
                <w:sz w:val="21"/>
              </w:rPr>
            </w:pPr>
            <w:r>
              <w:rPr>
                <w:sz w:val="21"/>
              </w:rPr>
              <w:t>（</w:t>
            </w:r>
            <w:r>
              <w:rPr>
                <w:spacing w:val="-3"/>
                <w:sz w:val="21"/>
              </w:rPr>
              <w:t>资质、业绩、人员、信誉、财务等</w:t>
            </w:r>
            <w:r>
              <w:rPr>
                <w:spacing w:val="-106"/>
                <w:sz w:val="21"/>
              </w:rPr>
              <w:t>）</w:t>
            </w:r>
            <w:r>
              <w:rPr>
                <w:sz w:val="21"/>
              </w:rPr>
              <w:t>；</w:t>
            </w:r>
          </w:p>
          <w:p>
            <w:pPr>
              <w:pStyle w:val="21"/>
              <w:spacing w:before="86" w:line="316" w:lineRule="auto"/>
              <w:ind w:left="104" w:right="44" w:firstLine="420"/>
              <w:rPr>
                <w:sz w:val="21"/>
              </w:rPr>
            </w:pPr>
            <w:r>
              <w:rPr>
                <w:rFonts w:ascii="Times New Roman" w:eastAsia="Times New Roman"/>
                <w:sz w:val="21"/>
              </w:rPr>
              <w:t>c.</w:t>
            </w:r>
            <w:r>
              <w:rPr>
                <w:sz w:val="21"/>
              </w:rPr>
              <w:t>与所投标段的其他投标人不存在控股、管理关系或单位负责人为同一人的情况；与招标人也不存在利害关系并可能影响招标公正性。</w:t>
            </w:r>
          </w:p>
          <w:p>
            <w:pPr>
              <w:pStyle w:val="21"/>
              <w:spacing w:before="3"/>
              <w:ind w:left="524"/>
              <w:rPr>
                <w:sz w:val="21"/>
              </w:rPr>
            </w:pPr>
            <w:r>
              <w:rPr>
                <w:sz w:val="21"/>
              </w:rPr>
              <w:t>（</w:t>
            </w:r>
            <w:r>
              <w:rPr>
                <w:rFonts w:ascii="Times New Roman" w:eastAsia="Times New Roman"/>
                <w:sz w:val="21"/>
              </w:rPr>
              <w:t>4</w:t>
            </w:r>
            <w:r>
              <w:rPr>
                <w:sz w:val="21"/>
              </w:rPr>
              <w:t>）投标人按照招标文件的规定提供了投标保证金：</w:t>
            </w:r>
          </w:p>
          <w:p>
            <w:pPr>
              <w:pStyle w:val="21"/>
              <w:spacing w:before="11" w:line="356" w:lineRule="exact"/>
              <w:ind w:left="104" w:right="44" w:firstLine="420"/>
              <w:rPr>
                <w:sz w:val="21"/>
              </w:rPr>
            </w:pPr>
            <w:r>
              <w:rPr>
                <w:rFonts w:ascii="Times New Roman" w:eastAsia="Times New Roman"/>
                <w:sz w:val="21"/>
              </w:rPr>
              <w:t>a.</w:t>
            </w:r>
            <w:r>
              <w:rPr>
                <w:sz w:val="21"/>
              </w:rPr>
              <w:t>投标保证金金额符合招标文件规定的金额，且投标保证金有效期不少于投标有效期；</w:t>
            </w:r>
          </w:p>
        </w:tc>
      </w:tr>
    </w:tbl>
    <w:p>
      <w:pPr>
        <w:pStyle w:val="11"/>
        <w:spacing w:before="5"/>
        <w:rPr>
          <w:rFonts w:ascii="黑体"/>
          <w:b/>
          <w:sz w:val="13"/>
        </w:rPr>
      </w:pPr>
      <w:r>
        <mc:AlternateContent>
          <mc:Choice Requires="wps">
            <w:drawing>
              <wp:anchor distT="0" distB="0" distL="114300" distR="114300" simplePos="0" relativeHeight="251652096" behindDoc="0" locked="0" layoutInCell="1" allowOverlap="1">
                <wp:simplePos x="0" y="0"/>
                <wp:positionH relativeFrom="page">
                  <wp:posOffset>1043940</wp:posOffset>
                </wp:positionH>
                <wp:positionV relativeFrom="paragraph">
                  <wp:posOffset>137160</wp:posOffset>
                </wp:positionV>
                <wp:extent cx="1829435" cy="0"/>
                <wp:effectExtent l="0" t="0" r="0" b="0"/>
                <wp:wrapTopAndBottom/>
                <wp:docPr id="24" name="直线 59"/>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9" o:spid="_x0000_s1026" o:spt="20" style="position:absolute;left:0pt;margin-left:82.2pt;margin-top:10.8pt;height:0pt;width:144.05pt;mso-position-horizontal-relative:page;mso-wrap-distance-bottom:0pt;mso-wrap-distance-top:0pt;z-index:251652096;mso-width-relative:page;mso-height-relative:page;" filled="f" stroked="t" coordsize="21600,21600" o:gfxdata="UEsFBgAAAAAAAAAAAAAAAAAAAAAAAFBLAwQKAAAAAACHTuJAAAAAAAAAAAAAAAAABAAAAGRycy9Q&#10;SwMEFAAAAAgAh07iQLSMUXLXAAAACQEAAA8AAABkcnMvZG93bnJldi54bWxNj01Pg0AQhu8m/ofN&#10;mHizC4QiIksPGk16MKYf8bxlR0DYWcJuS/vvHeNBj+/Mk3eeKVdnO4gTTr5zpCBeRCCQamc6ahTs&#10;dy93OQgfNBk9OEIFF/Swqq6vSl0YN9MGT9vQCC4hX2gFbQhjIaWvW7TaL9yIxLtPN1kdOE6NNJOe&#10;udwOMomiTFrdEV9o9YhPLdb99mgVvOXy2b33H/Xla9695vm6f7hf75W6vYmjRxABz+EPhh99VoeK&#10;nQ7uSMaLgXOWpowqSOIMBAPpMlmCOPwOZFXK/x9U31BLAwQUAAAACACHTuJAVVvu3tEBAACSAwAA&#10;DgAAAGRycy9lMm9Eb2MueG1srVNLjhMxEN0jcQfLe9JJmIkmrXRmQRg2CEYaOEDFn25L/snlpJOz&#10;cA1WbDjOXIOyk8nw2SBEFk7ZVX713nP16vbgLNurhCb4js8mU86UF0Ea33f886e7VzecYQYvwQav&#10;On5UyG/XL1+sxtiqeRiClSoxAvHYjrHjQ86xbRoUg3KAkxCVp6QOyUGmbeobmWAkdGeb+XS6aMaQ&#10;ZExBKEQ63ZySfF3xtVYif9QaVWa248Qt1zXVdVvWZr2Ctk8QByPONOAfWDgwnppeoDaQge2S+QPK&#10;GZECBp0nIrgmaG2EqhpIzWz6m5qHAaKqWsgcjBeb8P/Big/7+8SM7Pj8ijMPjt7o8cvXx2/f2fWy&#10;uDNGbKnoId6n8w4pLFIPOrnyTyLYoTp6vDiqDpkJOpzdzJdXr685E0+55vliTJjfqeBYCTpujS9i&#10;oYX9e8zUjEqfSsqx9Wzs+GK6XBAc0KxoC5lCF4k9+r7exWCNvDPWlhuY+u0bm9geyuvXX5FEuL+U&#10;lSYbwOFUV1OnuRgUyLdesnyMZIunAeaFglOSM6to3ktEgNBmMPZvKqm19cSguHrysUTbII/0CruY&#10;TD+QEzntVCVakvTwlfJ5SMtk/byvYM+f0v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tIxRctcA&#10;AAAJAQAADwAAAAAAAAABACAAAAA4AAAAZHJzL2Rvd25yZXYueG1sUEsBAhQAFAAAAAgAh07iQFVb&#10;7t7RAQAAkgMAAA4AAAAAAAAAAQAgAAAAPAEAAGRycy9lMm9Eb2MueG1sUEsFBgAAAAAGAAYAWQEA&#10;AH8FAAAAAA==&#10;">
                <v:fill on="f" focussize="0,0"/>
                <v:stroke weight="0.48pt" color="#000000" joinstyle="round"/>
                <v:imagedata o:title=""/>
                <o:lock v:ext="edit" aspectratio="f"/>
                <w10:wrap type="topAndBottom"/>
              </v:line>
            </w:pict>
          </mc:Fallback>
        </mc:AlternateContent>
      </w:r>
    </w:p>
    <w:p>
      <w:pPr>
        <w:spacing w:before="129"/>
        <w:ind w:left="424"/>
        <w:rPr>
          <w:sz w:val="18"/>
        </w:rPr>
      </w:pPr>
      <w:r>
        <w:rPr>
          <w:position w:val="8"/>
          <w:sz w:val="9"/>
        </w:rPr>
        <w:t xml:space="preserve">① </w:t>
      </w:r>
      <w:r>
        <w:rPr>
          <w:sz w:val="18"/>
        </w:rPr>
        <w:t>本办法仅适用于技术特别复杂的特大桥梁和特长隧道项目主体工程。</w:t>
      </w:r>
    </w:p>
    <w:p>
      <w:pPr>
        <w:spacing w:before="69" w:line="312" w:lineRule="auto"/>
        <w:ind w:left="604" w:right="439" w:hanging="180"/>
        <w:rPr>
          <w:sz w:val="18"/>
        </w:rPr>
      </w:pPr>
      <w:r>
        <w:rPr>
          <w:position w:val="8"/>
          <w:sz w:val="9"/>
        </w:rPr>
        <w:t xml:space="preserve">② </w:t>
      </w:r>
      <w:r>
        <w:rPr>
          <w:rFonts w:ascii="Times New Roman" w:hAnsi="Times New Roman" w:eastAsia="Times New Roman"/>
          <w:sz w:val="18"/>
        </w:rPr>
        <w:t>“</w:t>
      </w:r>
      <w:r>
        <w:rPr>
          <w:sz w:val="18"/>
        </w:rPr>
        <w:t>评标办法前附表</w:t>
      </w:r>
      <w:r>
        <w:rPr>
          <w:rFonts w:ascii="Times New Roman" w:hAnsi="Times New Roman" w:eastAsia="Times New Roman"/>
          <w:sz w:val="18"/>
        </w:rPr>
        <w:t>”</w:t>
      </w:r>
      <w:r>
        <w:rPr>
          <w:sz w:val="18"/>
        </w:rPr>
        <w:t>用于明确评标的方法、因素、标准和程序。招标人应根据招标项目具体特点和实际需要， 详细列明全部评审因素、标准，没有列明的因素和标准不得作为评标的依据。</w:t>
      </w:r>
    </w:p>
    <w:p>
      <w:pPr>
        <w:spacing w:line="312" w:lineRule="auto"/>
        <w:rPr>
          <w:sz w:val="18"/>
        </w:rPr>
        <w:sectPr>
          <w:pgSz w:w="11910" w:h="16850"/>
          <w:pgMar w:top="1480" w:right="1200" w:bottom="1040" w:left="1220" w:header="876" w:footer="853" w:gutter="0"/>
          <w:cols w:space="720" w:num="1"/>
        </w:sectPr>
      </w:pPr>
    </w:p>
    <w:p>
      <w:pPr>
        <w:pStyle w:val="11"/>
        <w:rPr>
          <w:sz w:val="20"/>
        </w:rPr>
      </w:pPr>
    </w:p>
    <w:p>
      <w:pPr>
        <w:pStyle w:val="11"/>
        <w:spacing w:before="12"/>
        <w:rPr>
          <w:sz w:val="20"/>
        </w:rPr>
      </w:pPr>
    </w:p>
    <w:p>
      <w:pPr>
        <w:spacing w:before="72"/>
        <w:ind w:right="384"/>
        <w:jc w:val="right"/>
        <w:rPr>
          <w:sz w:val="21"/>
        </w:rPr>
      </w:pPr>
      <w:r>
        <w:rPr>
          <w:sz w:val="21"/>
        </w:rPr>
        <w:t>续上表</w:t>
      </w:r>
    </w:p>
    <w:tbl>
      <w:tblPr>
        <w:tblStyle w:val="19"/>
        <w:tblW w:w="889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69" w:type="dxa"/>
            <w:gridSpan w:val="2"/>
            <w:tcBorders>
              <w:right w:val="single" w:color="000000" w:sz="6" w:space="0"/>
            </w:tcBorders>
          </w:tcPr>
          <w:p>
            <w:pPr>
              <w:pStyle w:val="21"/>
              <w:spacing w:before="109" w:line="252" w:lineRule="exact"/>
              <w:ind w:left="796" w:right="788"/>
              <w:jc w:val="center"/>
              <w:rPr>
                <w:b/>
                <w:sz w:val="21"/>
              </w:rPr>
            </w:pPr>
            <w:r>
              <w:rPr>
                <w:b/>
                <w:sz w:val="21"/>
              </w:rPr>
              <w:t>条款号</w:t>
            </w:r>
          </w:p>
        </w:tc>
        <w:tc>
          <w:tcPr>
            <w:tcW w:w="6626" w:type="dxa"/>
            <w:tcBorders>
              <w:left w:val="single" w:color="000000" w:sz="6" w:space="0"/>
            </w:tcBorders>
          </w:tcPr>
          <w:p>
            <w:pPr>
              <w:pStyle w:val="21"/>
              <w:spacing w:before="109" w:line="252" w:lineRule="exact"/>
              <w:ind w:left="2335" w:right="234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1" w:hRule="atLeast"/>
        </w:trPr>
        <w:tc>
          <w:tcPr>
            <w:tcW w:w="989" w:type="dxa"/>
          </w:tcPr>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spacing w:before="6"/>
              <w:rPr>
                <w:sz w:val="32"/>
              </w:rPr>
            </w:pPr>
          </w:p>
          <w:p>
            <w:pPr>
              <w:pStyle w:val="21"/>
              <w:spacing w:before="1"/>
              <w:ind w:left="282"/>
              <w:rPr>
                <w:rFonts w:ascii="Times New Roman"/>
                <w:sz w:val="21"/>
              </w:rPr>
            </w:pPr>
            <w:r>
              <w:rPr>
                <w:rFonts w:ascii="Times New Roman"/>
                <w:sz w:val="21"/>
              </w:rPr>
              <w:t>2.1.1</w:t>
            </w:r>
          </w:p>
          <w:p>
            <w:pPr>
              <w:pStyle w:val="21"/>
              <w:spacing w:before="137"/>
              <w:ind w:left="282"/>
              <w:rPr>
                <w:rFonts w:ascii="Times New Roman"/>
                <w:sz w:val="21"/>
              </w:rPr>
            </w:pPr>
            <w:r>
              <w:rPr>
                <w:rFonts w:ascii="Times New Roman"/>
                <w:sz w:val="21"/>
              </w:rPr>
              <w:t>2.1.3</w:t>
            </w:r>
          </w:p>
        </w:tc>
        <w:tc>
          <w:tcPr>
            <w:tcW w:w="1280" w:type="dxa"/>
            <w:tcBorders>
              <w:right w:val="single" w:color="000000" w:sz="6" w:space="0"/>
            </w:tcBorders>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9"/>
              <w:rPr>
                <w:sz w:val="15"/>
              </w:rPr>
            </w:pPr>
          </w:p>
          <w:p>
            <w:pPr>
              <w:pStyle w:val="21"/>
              <w:spacing w:line="338" w:lineRule="auto"/>
              <w:ind w:left="112" w:right="99"/>
              <w:jc w:val="center"/>
              <w:rPr>
                <w:sz w:val="21"/>
              </w:rPr>
            </w:pPr>
            <w:r>
              <w:rPr>
                <w:sz w:val="21"/>
              </w:rPr>
              <w:t>形式评审与响应性评审标准</w:t>
            </w:r>
          </w:p>
        </w:tc>
        <w:tc>
          <w:tcPr>
            <w:tcW w:w="6626" w:type="dxa"/>
            <w:tcBorders>
              <w:left w:val="single" w:color="000000" w:sz="6" w:space="0"/>
            </w:tcBorders>
          </w:tcPr>
          <w:p>
            <w:pPr>
              <w:pStyle w:val="21"/>
              <w:spacing w:before="90" w:line="321" w:lineRule="auto"/>
              <w:ind w:left="104" w:right="95" w:firstLine="420"/>
              <w:jc w:val="both"/>
              <w:rPr>
                <w:sz w:val="21"/>
              </w:rPr>
            </w:pPr>
            <w:r>
              <w:rPr>
                <w:rFonts w:ascii="Times New Roman" w:eastAsia="Times New Roman"/>
                <w:sz w:val="21"/>
              </w:rPr>
              <w:t>b.</w:t>
            </w:r>
            <w:r>
              <w:rPr>
                <w:spacing w:val="-6"/>
                <w:sz w:val="21"/>
              </w:rPr>
              <w:t>若投标保证金采用现金或支票形式提交，投标人应在递交投标文</w:t>
            </w:r>
            <w:r>
              <w:rPr>
                <w:spacing w:val="-13"/>
                <w:sz w:val="21"/>
              </w:rPr>
              <w:t>件截止时间之前，将投标保证金由投标人的基本账户转入招标人指定账户；</w:t>
            </w:r>
          </w:p>
          <w:p>
            <w:pPr>
              <w:pStyle w:val="21"/>
              <w:spacing w:line="321" w:lineRule="auto"/>
              <w:ind w:left="104" w:right="95" w:firstLine="384"/>
              <w:jc w:val="both"/>
              <w:rPr>
                <w:sz w:val="21"/>
              </w:rPr>
            </w:pPr>
            <w:r>
              <w:rPr>
                <w:rFonts w:ascii="Times New Roman" w:eastAsia="Times New Roman"/>
                <w:sz w:val="21"/>
              </w:rPr>
              <w:t>c.</w:t>
            </w:r>
            <w:r>
              <w:rPr>
                <w:spacing w:val="-4"/>
                <w:sz w:val="21"/>
              </w:rPr>
              <w:t>若投标保证金采用银行保函形式提交，银行保函的格式、开具保</w:t>
            </w:r>
            <w:r>
              <w:rPr>
                <w:spacing w:val="-11"/>
                <w:sz w:val="21"/>
              </w:rPr>
              <w:t>函的银行均满足招标文件要求，且在递交投标文件截止时间之前向招标</w:t>
            </w:r>
            <w:r>
              <w:rPr>
                <w:spacing w:val="-6"/>
                <w:sz w:val="21"/>
              </w:rPr>
              <w:t>人提交了银行保函原件。</w:t>
            </w:r>
          </w:p>
          <w:p>
            <w:pPr>
              <w:pStyle w:val="21"/>
              <w:spacing w:line="321" w:lineRule="auto"/>
              <w:ind w:left="104" w:right="-15" w:firstLine="384"/>
              <w:rPr>
                <w:sz w:val="21"/>
              </w:rPr>
            </w:pPr>
            <w:r>
              <w:rPr>
                <w:sz w:val="21"/>
              </w:rPr>
              <w:t>（</w:t>
            </w:r>
            <w:r>
              <w:rPr>
                <w:rFonts w:ascii="Times New Roman" w:eastAsia="Times New Roman"/>
                <w:sz w:val="21"/>
              </w:rPr>
              <w:t>5</w:t>
            </w:r>
            <w:r>
              <w:rPr>
                <w:sz w:val="21"/>
              </w:rPr>
              <w:t>）投标人法定代表人授权委托代理人签署投标文件的，须提交</w:t>
            </w:r>
            <w:r>
              <w:rPr>
                <w:spacing w:val="-17"/>
                <w:sz w:val="21"/>
              </w:rPr>
              <w:t>授权委托书，且授权人和被授权人均在授权委托书上签名，未使用印章、</w:t>
            </w:r>
            <w:r>
              <w:rPr>
                <w:spacing w:val="-7"/>
                <w:sz w:val="21"/>
              </w:rPr>
              <w:t>签名章或其他电子制版签名代替。</w:t>
            </w:r>
          </w:p>
          <w:p>
            <w:pPr>
              <w:pStyle w:val="21"/>
              <w:spacing w:line="321" w:lineRule="auto"/>
              <w:ind w:left="104" w:right="-15" w:firstLine="384"/>
              <w:rPr>
                <w:sz w:val="21"/>
              </w:rPr>
            </w:pPr>
            <w:r>
              <w:rPr>
                <w:sz w:val="21"/>
              </w:rPr>
              <w:t>（</w:t>
            </w:r>
            <w:r>
              <w:rPr>
                <w:rFonts w:ascii="Times New Roman" w:eastAsia="Times New Roman"/>
                <w:sz w:val="21"/>
              </w:rPr>
              <w:t>6</w:t>
            </w:r>
            <w:r>
              <w:rPr>
                <w:sz w:val="21"/>
              </w:rPr>
              <w:t>）投标人法定代表人亲自签署投标文件的，提供了法定代表人</w:t>
            </w:r>
            <w:r>
              <w:rPr>
                <w:spacing w:val="-3"/>
                <w:sz w:val="21"/>
              </w:rPr>
              <w:t>身份证明，且法定代表人在法定代表人身份证明上签名，未使用印章、签名章或其他电子制版签名代替。</w:t>
            </w:r>
          </w:p>
          <w:p>
            <w:pPr>
              <w:pStyle w:val="21"/>
              <w:spacing w:line="267" w:lineRule="exact"/>
              <w:ind w:left="488"/>
              <w:rPr>
                <w:sz w:val="21"/>
              </w:rPr>
            </w:pPr>
            <w:r>
              <w:rPr>
                <w:sz w:val="21"/>
              </w:rPr>
              <w:t>（</w:t>
            </w:r>
            <w:r>
              <w:rPr>
                <w:rFonts w:ascii="Times New Roman" w:eastAsia="Times New Roman"/>
                <w:sz w:val="21"/>
              </w:rPr>
              <w:t>7</w:t>
            </w:r>
            <w:r>
              <w:rPr>
                <w:sz w:val="21"/>
              </w:rPr>
              <w:t>）投标人以联合体形式投标时，联合体满足招标文件的要求：</w:t>
            </w:r>
          </w:p>
          <w:p>
            <w:pPr>
              <w:pStyle w:val="21"/>
              <w:spacing w:before="87" w:line="321" w:lineRule="auto"/>
              <w:ind w:left="104" w:right="95" w:firstLine="384"/>
              <w:rPr>
                <w:sz w:val="21"/>
              </w:rPr>
            </w:pPr>
            <w:r>
              <w:rPr>
                <w:rFonts w:ascii="Times New Roman" w:eastAsia="Times New Roman"/>
                <w:sz w:val="21"/>
              </w:rPr>
              <w:t>a.</w:t>
            </w:r>
            <w:r>
              <w:rPr>
                <w:sz w:val="21"/>
              </w:rPr>
              <w:t>未进行资格预审的，投标人按照招标文件提供的格式签订了联合体协议书，明确各方承担连带责任，并明确了联合体牵头人；</w:t>
            </w:r>
          </w:p>
          <w:p>
            <w:pPr>
              <w:pStyle w:val="21"/>
              <w:spacing w:line="321" w:lineRule="auto"/>
              <w:ind w:left="104" w:right="95" w:firstLine="384"/>
              <w:jc w:val="both"/>
              <w:rPr>
                <w:sz w:val="21"/>
              </w:rPr>
            </w:pPr>
            <w:r>
              <w:rPr>
                <w:rFonts w:ascii="Times New Roman" w:eastAsia="Times New Roman"/>
                <w:sz w:val="21"/>
              </w:rPr>
              <w:t>b.</w:t>
            </w:r>
            <w:r>
              <w:rPr>
                <w:spacing w:val="-5"/>
                <w:sz w:val="21"/>
              </w:rPr>
              <w:t>已进行资格预审的，投标人提供了资格预审申请文件中所附的联</w:t>
            </w:r>
            <w:r>
              <w:rPr>
                <w:spacing w:val="-13"/>
                <w:sz w:val="21"/>
              </w:rPr>
              <w:t>合体协议书复印件，且通过资格预审后的联合体无成员增减或更换的情</w:t>
            </w:r>
            <w:r>
              <w:rPr>
                <w:sz w:val="21"/>
              </w:rPr>
              <w:t>况。</w:t>
            </w:r>
          </w:p>
          <w:p>
            <w:pPr>
              <w:pStyle w:val="21"/>
              <w:spacing w:line="321" w:lineRule="auto"/>
              <w:ind w:left="104" w:right="95" w:firstLine="384"/>
              <w:rPr>
                <w:sz w:val="21"/>
              </w:rPr>
            </w:pPr>
            <w:r>
              <w:rPr>
                <w:sz w:val="21"/>
              </w:rPr>
              <w:t>（</w:t>
            </w:r>
            <w:r>
              <w:rPr>
                <w:rFonts w:ascii="Times New Roman" w:hAnsi="Times New Roman" w:eastAsia="Times New Roman"/>
                <w:sz w:val="21"/>
              </w:rPr>
              <w:t>8</w:t>
            </w:r>
            <w:r>
              <w:rPr>
                <w:sz w:val="21"/>
              </w:rPr>
              <w:t xml:space="preserve">）投标人如有分包计划，符合招标文件第二章“投标人须知” 第 </w:t>
            </w:r>
            <w:r>
              <w:rPr>
                <w:rFonts w:ascii="Times New Roman" w:hAnsi="Times New Roman" w:eastAsia="Times New Roman"/>
                <w:sz w:val="21"/>
              </w:rPr>
              <w:t xml:space="preserve">1.11 </w:t>
            </w:r>
            <w:r>
              <w:rPr>
                <w:sz w:val="21"/>
              </w:rPr>
              <w:t>款规定，且按招标文件第九章“投标文件格式”的要求填写了</w:t>
            </w:r>
          </w:p>
          <w:p>
            <w:pPr>
              <w:pStyle w:val="21"/>
              <w:spacing w:line="268" w:lineRule="exact"/>
              <w:ind w:left="104"/>
              <w:rPr>
                <w:sz w:val="21"/>
              </w:rPr>
            </w:pPr>
            <w:r>
              <w:rPr>
                <w:sz w:val="21"/>
              </w:rPr>
              <w:t>“拟分包项目情况表”。</w:t>
            </w:r>
          </w:p>
          <w:p>
            <w:pPr>
              <w:pStyle w:val="21"/>
              <w:spacing w:before="88" w:line="321" w:lineRule="auto"/>
              <w:ind w:left="104" w:right="96" w:firstLine="384"/>
              <w:rPr>
                <w:sz w:val="21"/>
              </w:rPr>
            </w:pPr>
            <w:r>
              <w:rPr>
                <w:sz w:val="21"/>
              </w:rPr>
              <w:t>（</w:t>
            </w:r>
            <w:r>
              <w:rPr>
                <w:rFonts w:ascii="Times New Roman" w:eastAsia="Times New Roman"/>
                <w:sz w:val="21"/>
              </w:rPr>
              <w:t>9</w:t>
            </w:r>
            <w:r>
              <w:rPr>
                <w:sz w:val="21"/>
              </w:rPr>
              <w:t>）同一投标人未提交两个以上不同的投标文件，但招标文件要求提交备选投标的除外。</w:t>
            </w:r>
          </w:p>
          <w:p>
            <w:pPr>
              <w:pStyle w:val="21"/>
              <w:spacing w:line="269" w:lineRule="exact"/>
              <w:ind w:left="488"/>
              <w:rPr>
                <w:sz w:val="21"/>
              </w:rPr>
            </w:pPr>
            <w:r>
              <w:rPr>
                <w:sz w:val="21"/>
              </w:rPr>
              <w:t>（</w:t>
            </w:r>
            <w:r>
              <w:rPr>
                <w:rFonts w:ascii="Times New Roman" w:eastAsia="Times New Roman"/>
                <w:sz w:val="21"/>
              </w:rPr>
              <w:t>10</w:t>
            </w:r>
            <w:r>
              <w:rPr>
                <w:sz w:val="21"/>
              </w:rPr>
              <w:t>）投标文件中未出现有关投标报价的内容。</w:t>
            </w:r>
          </w:p>
          <w:p>
            <w:pPr>
              <w:pStyle w:val="21"/>
              <w:spacing w:before="91" w:line="321" w:lineRule="auto"/>
              <w:ind w:left="104" w:right="25" w:firstLine="384"/>
              <w:rPr>
                <w:sz w:val="21"/>
              </w:rPr>
            </w:pPr>
            <w:r>
              <w:rPr>
                <w:sz w:val="21"/>
              </w:rPr>
              <w:t>（</w:t>
            </w:r>
            <w:r>
              <w:rPr>
                <w:rFonts w:ascii="Times New Roman" w:eastAsia="Times New Roman"/>
                <w:sz w:val="21"/>
              </w:rPr>
              <w:t>11</w:t>
            </w:r>
            <w:r>
              <w:rPr>
                <w:sz w:val="21"/>
              </w:rPr>
              <w:t>）投标文件载明的招标项目完成期限未超过招标文件规定的时限。</w:t>
            </w:r>
          </w:p>
          <w:p>
            <w:pPr>
              <w:pStyle w:val="21"/>
              <w:spacing w:line="268" w:lineRule="exact"/>
              <w:ind w:left="488"/>
              <w:rPr>
                <w:sz w:val="21"/>
              </w:rPr>
            </w:pPr>
            <w:r>
              <w:rPr>
                <w:sz w:val="21"/>
              </w:rPr>
              <w:t>（</w:t>
            </w:r>
            <w:r>
              <w:rPr>
                <w:rFonts w:ascii="Times New Roman" w:eastAsia="Times New Roman"/>
                <w:sz w:val="21"/>
              </w:rPr>
              <w:t>12</w:t>
            </w:r>
            <w:r>
              <w:rPr>
                <w:sz w:val="21"/>
              </w:rPr>
              <w:t>）投标文件对招标文件的实质性要求和条件作出响应。</w:t>
            </w:r>
          </w:p>
          <w:p>
            <w:pPr>
              <w:pStyle w:val="21"/>
              <w:spacing w:before="91"/>
              <w:ind w:left="488"/>
              <w:rPr>
                <w:sz w:val="21"/>
              </w:rPr>
            </w:pPr>
            <w:r>
              <w:rPr>
                <w:sz w:val="21"/>
              </w:rPr>
              <w:t>（</w:t>
            </w:r>
            <w:r>
              <w:rPr>
                <w:rFonts w:ascii="Times New Roman" w:eastAsia="Times New Roman"/>
                <w:sz w:val="21"/>
              </w:rPr>
              <w:t>13</w:t>
            </w:r>
            <w:r>
              <w:rPr>
                <w:sz w:val="21"/>
              </w:rPr>
              <w:t>）权利义务符合招标文件规定：</w:t>
            </w:r>
          </w:p>
          <w:p>
            <w:pPr>
              <w:pStyle w:val="21"/>
              <w:spacing w:before="91" w:line="321" w:lineRule="auto"/>
              <w:ind w:left="104" w:right="97" w:firstLine="384"/>
              <w:rPr>
                <w:sz w:val="21"/>
              </w:rPr>
            </w:pPr>
            <w:r>
              <w:rPr>
                <w:rFonts w:ascii="Times New Roman" w:eastAsia="Times New Roman"/>
                <w:sz w:val="21"/>
              </w:rPr>
              <w:t>a.</w:t>
            </w:r>
            <w:r>
              <w:rPr>
                <w:sz w:val="21"/>
              </w:rPr>
              <w:t>投标人应接受招标文件规定的风险划分原则，未提出新的风险划分办法；</w:t>
            </w:r>
          </w:p>
          <w:p>
            <w:pPr>
              <w:pStyle w:val="21"/>
              <w:spacing w:line="268" w:lineRule="exact"/>
              <w:ind w:left="488"/>
              <w:rPr>
                <w:sz w:val="21"/>
              </w:rPr>
            </w:pPr>
            <w:r>
              <w:rPr>
                <w:rFonts w:ascii="Times New Roman" w:eastAsia="Times New Roman"/>
                <w:sz w:val="21"/>
              </w:rPr>
              <w:t>b.</w:t>
            </w:r>
            <w:r>
              <w:rPr>
                <w:sz w:val="21"/>
              </w:rPr>
              <w:t>投标人未增加发包人的责任范围，或减少投标人义务；</w:t>
            </w:r>
          </w:p>
          <w:p>
            <w:pPr>
              <w:pStyle w:val="21"/>
              <w:spacing w:before="91"/>
              <w:ind w:left="488"/>
              <w:rPr>
                <w:sz w:val="21"/>
              </w:rPr>
            </w:pPr>
            <w:r>
              <w:rPr>
                <w:rFonts w:ascii="Times New Roman" w:eastAsia="Times New Roman"/>
                <w:sz w:val="21"/>
              </w:rPr>
              <w:t>c.</w:t>
            </w:r>
            <w:r>
              <w:rPr>
                <w:sz w:val="21"/>
              </w:rPr>
              <w:t>投标人未提出不同的工程验收、计量、支付办法；</w:t>
            </w:r>
          </w:p>
          <w:p>
            <w:pPr>
              <w:pStyle w:val="21"/>
              <w:spacing w:before="91"/>
              <w:ind w:left="488"/>
              <w:rPr>
                <w:sz w:val="21"/>
              </w:rPr>
            </w:pPr>
            <w:r>
              <w:rPr>
                <w:rFonts w:ascii="Times New Roman" w:eastAsia="Times New Roman"/>
                <w:sz w:val="21"/>
              </w:rPr>
              <w:t>d.</w:t>
            </w:r>
            <w:r>
              <w:rPr>
                <w:sz w:val="21"/>
              </w:rPr>
              <w:t>投标人对合同纠纷、事故处理办法未提出异议；</w:t>
            </w:r>
          </w:p>
          <w:p>
            <w:pPr>
              <w:pStyle w:val="21"/>
              <w:spacing w:before="91"/>
              <w:ind w:left="488"/>
              <w:rPr>
                <w:sz w:val="21"/>
              </w:rPr>
            </w:pPr>
            <w:r>
              <w:rPr>
                <w:rFonts w:ascii="Times New Roman" w:eastAsia="Times New Roman"/>
                <w:sz w:val="21"/>
              </w:rPr>
              <w:t>e.</w:t>
            </w:r>
            <w:r>
              <w:rPr>
                <w:sz w:val="21"/>
              </w:rPr>
              <w:t>投标人在投标活动中无欺诈行为；</w:t>
            </w:r>
          </w:p>
          <w:p>
            <w:pPr>
              <w:pStyle w:val="21"/>
              <w:spacing w:before="91" w:line="250" w:lineRule="exact"/>
              <w:ind w:left="488"/>
              <w:rPr>
                <w:sz w:val="21"/>
              </w:rPr>
            </w:pPr>
            <w:r>
              <w:rPr>
                <w:rFonts w:ascii="Times New Roman" w:eastAsia="Times New Roman"/>
                <w:sz w:val="21"/>
              </w:rPr>
              <w:t>f.</w:t>
            </w:r>
            <w:r>
              <w:rPr>
                <w:sz w:val="21"/>
              </w:rPr>
              <w:t>投标人未对合同条款有重要保留。</w:t>
            </w:r>
          </w:p>
        </w:tc>
      </w:tr>
    </w:tbl>
    <w:p>
      <w:pPr>
        <w:spacing w:line="250" w:lineRule="exact"/>
        <w:rPr>
          <w:sz w:val="21"/>
        </w:rPr>
        <w:sectPr>
          <w:headerReference r:id="rId27" w:type="default"/>
          <w:headerReference r:id="rId28" w:type="even"/>
          <w:pgSz w:w="11910" w:h="16850"/>
          <w:pgMar w:top="1480" w:right="1200" w:bottom="1080" w:left="1220" w:header="883" w:footer="884" w:gutter="0"/>
          <w:cols w:space="720" w:num="1"/>
        </w:sectPr>
      </w:pPr>
    </w:p>
    <w:p>
      <w:pPr>
        <w:pStyle w:val="11"/>
        <w:rPr>
          <w:sz w:val="20"/>
        </w:rPr>
      </w:pPr>
    </w:p>
    <w:p>
      <w:pPr>
        <w:pStyle w:val="11"/>
        <w:spacing w:before="12"/>
        <w:rPr>
          <w:sz w:val="20"/>
        </w:rPr>
      </w:pPr>
    </w:p>
    <w:p>
      <w:pPr>
        <w:spacing w:before="72"/>
        <w:ind w:right="384"/>
        <w:jc w:val="right"/>
        <w:rPr>
          <w:sz w:val="21"/>
        </w:rPr>
      </w:pPr>
      <w:r>
        <w:rPr>
          <w:sz w:val="21"/>
        </w:rPr>
        <w:t>续上表</w:t>
      </w:r>
    </w:p>
    <w:tbl>
      <w:tblPr>
        <w:tblStyle w:val="19"/>
        <w:tblW w:w="889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69" w:type="dxa"/>
            <w:gridSpan w:val="2"/>
            <w:tcBorders>
              <w:right w:val="single" w:color="000000" w:sz="6" w:space="0"/>
            </w:tcBorders>
          </w:tcPr>
          <w:p>
            <w:pPr>
              <w:pStyle w:val="21"/>
              <w:spacing w:before="109" w:line="252" w:lineRule="exact"/>
              <w:ind w:left="796" w:right="788"/>
              <w:jc w:val="center"/>
              <w:rPr>
                <w:b/>
                <w:sz w:val="21"/>
              </w:rPr>
            </w:pPr>
            <w:r>
              <w:rPr>
                <w:b/>
                <w:sz w:val="21"/>
              </w:rPr>
              <w:t>条款号</w:t>
            </w:r>
          </w:p>
        </w:tc>
        <w:tc>
          <w:tcPr>
            <w:tcW w:w="6626" w:type="dxa"/>
            <w:tcBorders>
              <w:left w:val="single" w:color="000000" w:sz="6" w:space="0"/>
            </w:tcBorders>
          </w:tcPr>
          <w:p>
            <w:pPr>
              <w:pStyle w:val="21"/>
              <w:spacing w:before="109" w:line="252" w:lineRule="exact"/>
              <w:ind w:left="2335" w:right="234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1" w:hRule="atLeast"/>
        </w:trPr>
        <w:tc>
          <w:tcPr>
            <w:tcW w:w="989" w:type="dxa"/>
          </w:tcPr>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spacing w:before="1"/>
              <w:rPr>
                <w:sz w:val="30"/>
              </w:rPr>
            </w:pPr>
          </w:p>
          <w:p>
            <w:pPr>
              <w:pStyle w:val="21"/>
              <w:ind w:left="282"/>
              <w:rPr>
                <w:rFonts w:ascii="Times New Roman"/>
                <w:sz w:val="21"/>
              </w:rPr>
            </w:pPr>
            <w:r>
              <w:rPr>
                <w:rFonts w:ascii="Times New Roman"/>
                <w:sz w:val="21"/>
              </w:rPr>
              <w:t>2.1.1</w:t>
            </w:r>
          </w:p>
          <w:p>
            <w:pPr>
              <w:pStyle w:val="21"/>
              <w:spacing w:before="138"/>
              <w:ind w:left="282"/>
              <w:rPr>
                <w:rFonts w:ascii="Times New Roman"/>
                <w:sz w:val="21"/>
              </w:rPr>
            </w:pPr>
            <w:r>
              <w:rPr>
                <w:rFonts w:ascii="Times New Roman"/>
                <w:sz w:val="21"/>
              </w:rPr>
              <w:t>2.1.3</w:t>
            </w:r>
          </w:p>
        </w:tc>
        <w:tc>
          <w:tcPr>
            <w:tcW w:w="1280" w:type="dxa"/>
            <w:tcBorders>
              <w:right w:val="single" w:color="000000" w:sz="6" w:space="0"/>
            </w:tcBorders>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3"/>
              <w:rPr>
                <w:sz w:val="23"/>
              </w:rPr>
            </w:pPr>
          </w:p>
          <w:p>
            <w:pPr>
              <w:pStyle w:val="21"/>
              <w:spacing w:line="338" w:lineRule="auto"/>
              <w:ind w:left="112" w:right="99"/>
              <w:jc w:val="center"/>
              <w:rPr>
                <w:sz w:val="21"/>
              </w:rPr>
            </w:pPr>
            <w:r>
              <w:rPr>
                <w:sz w:val="21"/>
              </w:rPr>
              <w:t>形式评审与响应性评审标准</w:t>
            </w:r>
          </w:p>
        </w:tc>
        <w:tc>
          <w:tcPr>
            <w:tcW w:w="6626" w:type="dxa"/>
            <w:tcBorders>
              <w:left w:val="single" w:color="000000" w:sz="6" w:space="0"/>
            </w:tcBorders>
          </w:tcPr>
          <w:p>
            <w:pPr>
              <w:pStyle w:val="21"/>
              <w:spacing w:before="90" w:line="321" w:lineRule="auto"/>
              <w:ind w:left="104" w:right="95" w:firstLine="420"/>
              <w:rPr>
                <w:sz w:val="21"/>
              </w:rPr>
            </w:pPr>
            <w:r>
              <w:rPr>
                <w:sz w:val="21"/>
              </w:rPr>
              <w:t>（</w:t>
            </w:r>
            <w:r>
              <w:rPr>
                <w:rFonts w:ascii="Times New Roman" w:hAnsi="Times New Roman" w:eastAsia="Times New Roman"/>
                <w:sz w:val="21"/>
              </w:rPr>
              <w:t>14</w:t>
            </w:r>
            <w:r>
              <w:rPr>
                <w:sz w:val="21"/>
              </w:rPr>
              <w:t>）投标文件正、副本份数符合招标文件第二章</w:t>
            </w:r>
            <w:r>
              <w:rPr>
                <w:rFonts w:ascii="Times New Roman" w:hAnsi="Times New Roman" w:eastAsia="Times New Roman"/>
                <w:sz w:val="21"/>
              </w:rPr>
              <w:t>“</w:t>
            </w:r>
            <w:r>
              <w:rPr>
                <w:sz w:val="21"/>
              </w:rPr>
              <w:t>投标人须知</w:t>
            </w:r>
            <w:r>
              <w:rPr>
                <w:rFonts w:ascii="Times New Roman" w:hAnsi="Times New Roman" w:eastAsia="Times New Roman"/>
                <w:sz w:val="21"/>
              </w:rPr>
              <w:t xml:space="preserve">” </w:t>
            </w:r>
            <w:r>
              <w:rPr>
                <w:sz w:val="21"/>
              </w:rPr>
              <w:t xml:space="preserve">第 </w:t>
            </w:r>
            <w:r>
              <w:rPr>
                <w:rFonts w:ascii="Times New Roman" w:hAnsi="Times New Roman" w:eastAsia="Times New Roman"/>
                <w:sz w:val="21"/>
              </w:rPr>
              <w:t xml:space="preserve">3.7.4 </w:t>
            </w:r>
            <w:r>
              <w:rPr>
                <w:sz w:val="21"/>
              </w:rPr>
              <w:t>项规定。</w:t>
            </w:r>
          </w:p>
          <w:p>
            <w:pPr>
              <w:pStyle w:val="21"/>
              <w:spacing w:before="22"/>
              <w:ind w:left="524"/>
              <w:rPr>
                <w:rFonts w:ascii="Times New Roman" w:hAnsi="Times New Roman"/>
                <w:sz w:val="21"/>
              </w:rPr>
            </w:pPr>
            <w:r>
              <w:rPr>
                <w:rFonts w:ascii="Times New Roman" w:hAnsi="Times New Roman"/>
                <w:sz w:val="21"/>
              </w:rPr>
              <w:t>……</w:t>
            </w:r>
          </w:p>
          <w:p>
            <w:pPr>
              <w:pStyle w:val="21"/>
            </w:pPr>
          </w:p>
          <w:p>
            <w:pPr>
              <w:pStyle w:val="21"/>
              <w:spacing w:before="173"/>
              <w:ind w:left="527"/>
              <w:rPr>
                <w:b/>
                <w:sz w:val="21"/>
              </w:rPr>
            </w:pPr>
            <w:r>
              <w:rPr>
                <w:b/>
                <w:sz w:val="21"/>
              </w:rPr>
              <w:t>第二个信封（报价文件）评审标准：</w:t>
            </w:r>
          </w:p>
          <w:p>
            <w:pPr>
              <w:pStyle w:val="21"/>
              <w:spacing w:before="92" w:line="321" w:lineRule="auto"/>
              <w:ind w:left="104" w:right="95" w:firstLine="420"/>
              <w:rPr>
                <w:sz w:val="21"/>
              </w:rPr>
            </w:pPr>
            <w:r>
              <w:rPr>
                <w:sz w:val="21"/>
              </w:rPr>
              <w:t>（</w:t>
            </w:r>
            <w:r>
              <w:rPr>
                <w:rFonts w:ascii="Times New Roman" w:eastAsia="Times New Roman"/>
                <w:sz w:val="21"/>
              </w:rPr>
              <w:t>1</w:t>
            </w:r>
            <w:r>
              <w:rPr>
                <w:sz w:val="21"/>
              </w:rPr>
              <w:t>）投标文件按照招标文件规定的格式、内容填写，字迹清晰可辨：</w:t>
            </w:r>
          </w:p>
          <w:p>
            <w:pPr>
              <w:pStyle w:val="21"/>
              <w:spacing w:line="321" w:lineRule="auto"/>
              <w:ind w:left="104" w:right="97" w:firstLine="420"/>
              <w:rPr>
                <w:sz w:val="21"/>
              </w:rPr>
            </w:pPr>
            <w:r>
              <w:rPr>
                <w:rFonts w:ascii="Times New Roman" w:eastAsia="Times New Roman"/>
                <w:sz w:val="21"/>
              </w:rPr>
              <w:t>a.</w:t>
            </w:r>
            <w:r>
              <w:rPr>
                <w:spacing w:val="-15"/>
                <w:sz w:val="21"/>
              </w:rPr>
              <w:t>投标函按招标文件规定填报了项目名称、标段号、补遗书编号</w:t>
            </w:r>
            <w:r>
              <w:rPr>
                <w:spacing w:val="-3"/>
                <w:sz w:val="21"/>
              </w:rPr>
              <w:t>（</w:t>
            </w:r>
            <w:r>
              <w:rPr>
                <w:sz w:val="21"/>
              </w:rPr>
              <w:t>如有</w:t>
            </w:r>
            <w:r>
              <w:rPr>
                <w:spacing w:val="-106"/>
                <w:sz w:val="21"/>
              </w:rPr>
              <w:t>）</w:t>
            </w:r>
            <w:r>
              <w:rPr>
                <w:spacing w:val="-3"/>
                <w:sz w:val="21"/>
              </w:rPr>
              <w:t>、投标价（包括大写金额和小写金额</w:t>
            </w:r>
            <w:r>
              <w:rPr>
                <w:spacing w:val="-109"/>
                <w:sz w:val="21"/>
              </w:rPr>
              <w:t>）</w:t>
            </w:r>
            <w:r>
              <w:rPr>
                <w:sz w:val="21"/>
              </w:rPr>
              <w:t>；</w:t>
            </w:r>
          </w:p>
          <w:p>
            <w:pPr>
              <w:pStyle w:val="21"/>
              <w:spacing w:line="321" w:lineRule="auto"/>
              <w:ind w:left="104" w:right="33" w:firstLine="420"/>
              <w:rPr>
                <w:sz w:val="21"/>
              </w:rPr>
            </w:pPr>
            <w:r>
              <w:rPr>
                <w:rFonts w:ascii="Times New Roman" w:eastAsia="Times New Roman"/>
                <w:sz w:val="21"/>
              </w:rPr>
              <w:t>b.</w:t>
            </w:r>
            <w:r>
              <w:rPr>
                <w:sz w:val="21"/>
              </w:rPr>
              <w:t>已标价工程量清单说明文字与招标文件规定一致，未进行实质性修改和删减；</w:t>
            </w:r>
          </w:p>
          <w:p>
            <w:pPr>
              <w:pStyle w:val="21"/>
              <w:spacing w:line="268" w:lineRule="exact"/>
              <w:ind w:left="524"/>
              <w:rPr>
                <w:sz w:val="21"/>
              </w:rPr>
            </w:pPr>
            <w:r>
              <w:rPr>
                <w:rFonts w:ascii="Times New Roman" w:eastAsia="Times New Roman"/>
                <w:sz w:val="21"/>
              </w:rPr>
              <w:t>c.</w:t>
            </w:r>
            <w:r>
              <w:rPr>
                <w:sz w:val="21"/>
              </w:rPr>
              <w:t>投标文件组成齐全完整，内容均按规定填写。</w:t>
            </w:r>
          </w:p>
          <w:p>
            <w:pPr>
              <w:pStyle w:val="21"/>
              <w:spacing w:before="88" w:line="321" w:lineRule="auto"/>
              <w:ind w:left="104" w:right="95" w:firstLine="420"/>
              <w:rPr>
                <w:sz w:val="21"/>
              </w:rPr>
            </w:pPr>
            <w:r>
              <w:rPr>
                <w:sz w:val="21"/>
              </w:rPr>
              <w:t>（</w:t>
            </w:r>
            <w:r>
              <w:rPr>
                <w:rFonts w:ascii="Times New Roman" w:eastAsia="Times New Roman"/>
                <w:sz w:val="21"/>
              </w:rPr>
              <w:t>2</w:t>
            </w:r>
            <w:r>
              <w:rPr>
                <w:sz w:val="21"/>
              </w:rPr>
              <w:t>）投标文件上法定代表人或其委托代理人的签字、投标人的单位章盖章齐全，符合招标文件规定。</w:t>
            </w:r>
          </w:p>
          <w:p>
            <w:pPr>
              <w:pStyle w:val="21"/>
              <w:spacing w:line="321" w:lineRule="auto"/>
              <w:ind w:left="104" w:right="95" w:firstLine="420"/>
              <w:rPr>
                <w:sz w:val="21"/>
              </w:rPr>
            </w:pPr>
            <w:r>
              <w:rPr>
                <w:sz w:val="21"/>
              </w:rPr>
              <w:t>（</w:t>
            </w:r>
            <w:r>
              <w:rPr>
                <w:rFonts w:ascii="Times New Roman" w:eastAsia="Times New Roman"/>
                <w:sz w:val="21"/>
              </w:rPr>
              <w:t>3</w:t>
            </w:r>
            <w:r>
              <w:rPr>
                <w:sz w:val="21"/>
              </w:rPr>
              <w:t>）</w:t>
            </w:r>
            <w:r>
              <w:rPr>
                <w:spacing w:val="-3"/>
                <w:sz w:val="21"/>
              </w:rPr>
              <w:t>投标报价或调价函中的报价未超过招标文件设定的最高投标限价（</w:t>
            </w:r>
            <w:r>
              <w:rPr>
                <w:spacing w:val="-2"/>
                <w:sz w:val="21"/>
              </w:rPr>
              <w:t>如有</w:t>
            </w:r>
            <w:r>
              <w:rPr>
                <w:spacing w:val="-106"/>
                <w:sz w:val="21"/>
              </w:rPr>
              <w:t>）</w:t>
            </w:r>
            <w:r>
              <w:rPr>
                <w:sz w:val="21"/>
              </w:rPr>
              <w:t>。</w:t>
            </w:r>
          </w:p>
          <w:p>
            <w:pPr>
              <w:pStyle w:val="21"/>
              <w:spacing w:line="268" w:lineRule="exact"/>
              <w:ind w:left="524"/>
              <w:rPr>
                <w:sz w:val="21"/>
              </w:rPr>
            </w:pPr>
            <w:r>
              <w:rPr>
                <w:sz w:val="21"/>
              </w:rPr>
              <w:t>（</w:t>
            </w:r>
            <w:r>
              <w:rPr>
                <w:rFonts w:ascii="Times New Roman" w:eastAsia="Times New Roman"/>
                <w:sz w:val="21"/>
              </w:rPr>
              <w:t>4</w:t>
            </w:r>
            <w:r>
              <w:rPr>
                <w:sz w:val="21"/>
              </w:rPr>
              <w:t>）投标报价或调价函中报价的大写金额能够确定具体数值。</w:t>
            </w:r>
          </w:p>
          <w:p>
            <w:pPr>
              <w:pStyle w:val="21"/>
              <w:spacing w:before="91" w:line="321" w:lineRule="auto"/>
              <w:ind w:left="104" w:right="95" w:firstLine="420"/>
              <w:rPr>
                <w:sz w:val="21"/>
              </w:rPr>
            </w:pPr>
            <w:r>
              <w:rPr>
                <w:sz w:val="21"/>
              </w:rPr>
              <w:t>（</w:t>
            </w:r>
            <w:r>
              <w:rPr>
                <w:rFonts w:ascii="Times New Roman" w:eastAsia="Times New Roman"/>
                <w:sz w:val="21"/>
              </w:rPr>
              <w:t>5</w:t>
            </w:r>
            <w:r>
              <w:rPr>
                <w:sz w:val="21"/>
              </w:rPr>
              <w:t>）同一投标人未提交两个以上不同的投标报价，但招标文件要求提交备选投标的除外。</w:t>
            </w:r>
          </w:p>
          <w:p>
            <w:pPr>
              <w:pStyle w:val="21"/>
              <w:spacing w:line="321" w:lineRule="auto"/>
              <w:ind w:left="104" w:right="95" w:firstLine="420"/>
              <w:rPr>
                <w:sz w:val="21"/>
              </w:rPr>
            </w:pPr>
            <w:r>
              <w:rPr>
                <w:sz w:val="21"/>
              </w:rPr>
              <w:t>（</w:t>
            </w:r>
            <w:r>
              <w:rPr>
                <w:rFonts w:ascii="Times New Roman" w:hAnsi="Times New Roman" w:eastAsia="Times New Roman"/>
                <w:sz w:val="21"/>
              </w:rPr>
              <w:t>6</w:t>
            </w:r>
            <w:r>
              <w:rPr>
                <w:sz w:val="21"/>
              </w:rPr>
              <w:t xml:space="preserve">）投标人若提交调价函，调价函符合招标文件第二章“投标人须知”第 </w:t>
            </w:r>
            <w:r>
              <w:rPr>
                <w:rFonts w:ascii="Times New Roman" w:hAnsi="Times New Roman" w:eastAsia="Times New Roman"/>
                <w:sz w:val="21"/>
              </w:rPr>
              <w:t xml:space="preserve">3.2.6 </w:t>
            </w:r>
            <w:r>
              <w:rPr>
                <w:sz w:val="21"/>
              </w:rPr>
              <w:t>项要求。</w:t>
            </w:r>
          </w:p>
          <w:p>
            <w:pPr>
              <w:pStyle w:val="21"/>
              <w:spacing w:line="321" w:lineRule="auto"/>
              <w:ind w:left="104" w:right="95" w:firstLine="420"/>
              <w:jc w:val="both"/>
              <w:rPr>
                <w:sz w:val="21"/>
              </w:rPr>
            </w:pPr>
            <w:r>
              <w:rPr>
                <w:sz w:val="21"/>
              </w:rPr>
              <w:t>（</w:t>
            </w:r>
            <w:r>
              <w:rPr>
                <w:rFonts w:ascii="Times New Roman" w:eastAsia="Times New Roman"/>
                <w:sz w:val="21"/>
              </w:rPr>
              <w:t>7</w:t>
            </w:r>
            <w:r>
              <w:rPr>
                <w:sz w:val="21"/>
              </w:rPr>
              <w:t>）</w:t>
            </w:r>
            <w:r>
              <w:rPr>
                <w:spacing w:val="-3"/>
                <w:sz w:val="21"/>
              </w:rPr>
              <w:t>投标人若填写工程量固化清单，填写完毕的工程量固化清单</w:t>
            </w:r>
            <w:r>
              <w:rPr>
                <w:spacing w:val="-10"/>
                <w:sz w:val="21"/>
              </w:rPr>
              <w:t>未对工程量固化清单电子文件中的数据、格式和运算定义进行修改；工</w:t>
            </w:r>
            <w:r>
              <w:rPr>
                <w:spacing w:val="-3"/>
                <w:sz w:val="21"/>
              </w:rPr>
              <w:t>程量固化清单中的投标报价和投标函大写金额报价一致。</w:t>
            </w:r>
          </w:p>
          <w:p>
            <w:pPr>
              <w:pStyle w:val="21"/>
              <w:spacing w:line="268" w:lineRule="exact"/>
              <w:ind w:left="488"/>
              <w:rPr>
                <w:sz w:val="21"/>
              </w:rPr>
            </w:pPr>
            <w:r>
              <w:rPr>
                <w:sz w:val="21"/>
              </w:rPr>
              <w:t>（</w:t>
            </w:r>
            <w:r>
              <w:rPr>
                <w:rFonts w:ascii="Times New Roman" w:hAnsi="Times New Roman" w:eastAsia="Times New Roman"/>
                <w:sz w:val="21"/>
              </w:rPr>
              <w:t>8</w:t>
            </w:r>
            <w:r>
              <w:rPr>
                <w:sz w:val="21"/>
              </w:rPr>
              <w:t>）投标文件正、副本份数符合招标文件第二章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p>
          <w:p>
            <w:pPr>
              <w:pStyle w:val="21"/>
              <w:spacing w:before="88"/>
              <w:ind w:left="104"/>
              <w:rPr>
                <w:sz w:val="21"/>
              </w:rPr>
            </w:pPr>
            <w:r>
              <w:rPr>
                <w:rFonts w:ascii="Times New Roman" w:eastAsia="Times New Roman"/>
                <w:sz w:val="21"/>
              </w:rPr>
              <w:t xml:space="preserve">3.7.4 </w:t>
            </w:r>
            <w:r>
              <w:rPr>
                <w:sz w:val="21"/>
              </w:rPr>
              <w:t>项规定。</w:t>
            </w:r>
          </w:p>
          <w:p>
            <w:pPr>
              <w:pStyle w:val="21"/>
              <w:spacing w:before="115" w:line="226" w:lineRule="exact"/>
              <w:ind w:left="48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989" w:type="dxa"/>
          </w:tcPr>
          <w:p>
            <w:pPr>
              <w:pStyle w:val="21"/>
            </w:pPr>
          </w:p>
          <w:p>
            <w:pPr>
              <w:pStyle w:val="21"/>
            </w:pPr>
          </w:p>
          <w:p>
            <w:pPr>
              <w:pStyle w:val="21"/>
            </w:pPr>
          </w:p>
          <w:p>
            <w:pPr>
              <w:pStyle w:val="21"/>
              <w:spacing w:before="177"/>
              <w:ind w:left="282"/>
              <w:rPr>
                <w:rFonts w:ascii="Times New Roman"/>
                <w:sz w:val="21"/>
              </w:rPr>
            </w:pPr>
            <w:r>
              <w:rPr>
                <w:rFonts w:ascii="Times New Roman"/>
                <w:sz w:val="21"/>
              </w:rPr>
              <w:t>2.1.2</w:t>
            </w:r>
          </w:p>
        </w:tc>
        <w:tc>
          <w:tcPr>
            <w:tcW w:w="1280" w:type="dxa"/>
            <w:tcBorders>
              <w:right w:val="single" w:color="000000" w:sz="6" w:space="0"/>
            </w:tcBorders>
          </w:tcPr>
          <w:p>
            <w:pPr>
              <w:pStyle w:val="21"/>
            </w:pPr>
          </w:p>
          <w:p>
            <w:pPr>
              <w:pStyle w:val="21"/>
            </w:pPr>
          </w:p>
          <w:p>
            <w:pPr>
              <w:pStyle w:val="21"/>
              <w:spacing w:before="2"/>
              <w:rPr>
                <w:sz w:val="19"/>
              </w:rPr>
            </w:pPr>
          </w:p>
          <w:p>
            <w:pPr>
              <w:pStyle w:val="21"/>
              <w:spacing w:line="338" w:lineRule="auto"/>
              <w:ind w:left="373" w:right="205" w:hanging="156"/>
              <w:rPr>
                <w:sz w:val="11"/>
              </w:rPr>
            </w:pPr>
            <w:r>
              <w:rPr>
                <w:sz w:val="21"/>
              </w:rPr>
              <w:t>资格评审标准</w:t>
            </w:r>
          </w:p>
        </w:tc>
        <w:tc>
          <w:tcPr>
            <w:tcW w:w="6626" w:type="dxa"/>
            <w:tcBorders>
              <w:left w:val="single" w:color="000000" w:sz="6" w:space="0"/>
            </w:tcBorders>
          </w:tcPr>
          <w:p>
            <w:pPr>
              <w:pStyle w:val="21"/>
              <w:spacing w:before="89" w:line="321" w:lineRule="auto"/>
              <w:ind w:left="104" w:right="95" w:firstLine="420"/>
              <w:rPr>
                <w:sz w:val="21"/>
              </w:rPr>
            </w:pPr>
            <w:r>
              <w:rPr>
                <w:sz w:val="21"/>
              </w:rPr>
              <w:t>（</w:t>
            </w:r>
            <w:r>
              <w:rPr>
                <w:rFonts w:ascii="Times New Roman" w:eastAsia="Times New Roman"/>
                <w:sz w:val="21"/>
              </w:rPr>
              <w:t>1</w:t>
            </w:r>
            <w:r>
              <w:rPr>
                <w:sz w:val="21"/>
              </w:rPr>
              <w:t>）投标人具备有效的营业执照、组织机构代码证、资质证书、安全生产许可证和基本账户开户许可证。</w:t>
            </w:r>
          </w:p>
          <w:p>
            <w:pPr>
              <w:pStyle w:val="21"/>
              <w:spacing w:line="268" w:lineRule="exact"/>
              <w:ind w:left="524"/>
              <w:rPr>
                <w:sz w:val="21"/>
              </w:rPr>
            </w:pPr>
            <w:r>
              <w:rPr>
                <w:sz w:val="21"/>
              </w:rPr>
              <w:t>（</w:t>
            </w:r>
            <w:r>
              <w:rPr>
                <w:rFonts w:ascii="Times New Roman" w:eastAsia="Times New Roman"/>
                <w:sz w:val="21"/>
              </w:rPr>
              <w:t>2</w:t>
            </w:r>
            <w:r>
              <w:rPr>
                <w:sz w:val="21"/>
              </w:rPr>
              <w:t>）投标人的资质等级符合招标文件规定。</w:t>
            </w:r>
          </w:p>
          <w:p>
            <w:pPr>
              <w:pStyle w:val="21"/>
              <w:spacing w:before="91"/>
              <w:ind w:left="524"/>
              <w:rPr>
                <w:sz w:val="21"/>
              </w:rPr>
            </w:pPr>
            <w:r>
              <w:rPr>
                <w:sz w:val="21"/>
              </w:rPr>
              <w:t>（</w:t>
            </w:r>
            <w:r>
              <w:rPr>
                <w:rFonts w:ascii="Times New Roman" w:eastAsia="Times New Roman"/>
                <w:sz w:val="21"/>
              </w:rPr>
              <w:t>3</w:t>
            </w:r>
            <w:r>
              <w:rPr>
                <w:sz w:val="21"/>
              </w:rPr>
              <w:t>）投标人的财务状况符合招标文件规定。</w:t>
            </w:r>
          </w:p>
          <w:p>
            <w:pPr>
              <w:pStyle w:val="21"/>
              <w:spacing w:before="92"/>
              <w:ind w:left="524"/>
              <w:rPr>
                <w:sz w:val="21"/>
              </w:rPr>
            </w:pPr>
            <w:r>
              <w:rPr>
                <w:sz w:val="21"/>
              </w:rPr>
              <w:t>（</w:t>
            </w:r>
            <w:r>
              <w:rPr>
                <w:rFonts w:ascii="Times New Roman" w:eastAsia="Times New Roman"/>
                <w:sz w:val="21"/>
              </w:rPr>
              <w:t>4</w:t>
            </w:r>
            <w:r>
              <w:rPr>
                <w:sz w:val="21"/>
              </w:rPr>
              <w:t>）投标人的类似项目业绩符合招标文件规定。</w:t>
            </w:r>
          </w:p>
          <w:p>
            <w:pPr>
              <w:pStyle w:val="21"/>
              <w:spacing w:before="91" w:line="250" w:lineRule="exact"/>
              <w:ind w:left="524"/>
              <w:rPr>
                <w:sz w:val="21"/>
              </w:rPr>
            </w:pPr>
            <w:r>
              <w:rPr>
                <w:sz w:val="21"/>
              </w:rPr>
              <w:t>（</w:t>
            </w:r>
            <w:r>
              <w:rPr>
                <w:rFonts w:ascii="Times New Roman" w:eastAsia="Times New Roman"/>
                <w:sz w:val="21"/>
              </w:rPr>
              <w:t>5</w:t>
            </w:r>
            <w:r>
              <w:rPr>
                <w:sz w:val="21"/>
              </w:rPr>
              <w:t>）投标人的信誉符合招标文件规定。</w:t>
            </w:r>
          </w:p>
        </w:tc>
      </w:tr>
    </w:tbl>
    <w:p>
      <w:pPr>
        <w:pStyle w:val="11"/>
        <w:spacing w:before="10"/>
        <w:rPr>
          <w:sz w:val="21"/>
        </w:rPr>
      </w:pPr>
    </w:p>
    <w:p>
      <w:pPr>
        <w:rPr>
          <w:sz w:val="18"/>
        </w:rPr>
        <w:sectPr>
          <w:pgSz w:w="11910" w:h="16850"/>
          <w:pgMar w:top="1480" w:right="1200" w:bottom="1040" w:left="1220" w:header="876" w:footer="853" w:gutter="0"/>
          <w:cols w:space="720" w:num="1"/>
        </w:sectPr>
      </w:pPr>
    </w:p>
    <w:p>
      <w:pPr>
        <w:pStyle w:val="11"/>
        <w:spacing w:before="5"/>
        <w:rPr>
          <w:sz w:val="11"/>
        </w:rPr>
      </w:pPr>
    </w:p>
    <w:p>
      <w:pPr>
        <w:spacing w:before="71"/>
        <w:ind w:left="8444"/>
        <w:rPr>
          <w:sz w:val="21"/>
        </w:rPr>
      </w:pPr>
      <w:r>
        <w:rPr>
          <w:sz w:val="21"/>
        </w:rPr>
        <w:t>续上表</w:t>
      </w:r>
    </w:p>
    <w:tbl>
      <w:tblPr>
        <w:tblStyle w:val="19"/>
        <w:tblW w:w="889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pPr>
              <w:pStyle w:val="21"/>
              <w:spacing w:before="109" w:line="250" w:lineRule="exact"/>
              <w:ind w:left="796" w:right="788"/>
              <w:jc w:val="center"/>
              <w:rPr>
                <w:b/>
                <w:sz w:val="21"/>
              </w:rPr>
            </w:pPr>
            <w:r>
              <w:rPr>
                <w:b/>
                <w:sz w:val="21"/>
              </w:rPr>
              <w:t>条款号</w:t>
            </w:r>
          </w:p>
        </w:tc>
        <w:tc>
          <w:tcPr>
            <w:tcW w:w="6626" w:type="dxa"/>
            <w:tcBorders>
              <w:left w:val="single" w:color="000000" w:sz="6" w:space="0"/>
            </w:tcBorders>
          </w:tcPr>
          <w:p>
            <w:pPr>
              <w:pStyle w:val="21"/>
              <w:spacing w:before="109" w:line="250" w:lineRule="exact"/>
              <w:ind w:left="2335" w:right="234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2" w:hRule="atLeast"/>
        </w:trPr>
        <w:tc>
          <w:tcPr>
            <w:tcW w:w="989" w:type="dxa"/>
          </w:tcPr>
          <w:p>
            <w:pPr>
              <w:pStyle w:val="21"/>
            </w:pPr>
          </w:p>
          <w:p>
            <w:pPr>
              <w:pStyle w:val="21"/>
            </w:pPr>
          </w:p>
          <w:p>
            <w:pPr>
              <w:pStyle w:val="21"/>
            </w:pPr>
          </w:p>
          <w:p>
            <w:pPr>
              <w:pStyle w:val="21"/>
            </w:pPr>
          </w:p>
          <w:p>
            <w:pPr>
              <w:pStyle w:val="21"/>
            </w:pPr>
          </w:p>
          <w:p>
            <w:pPr>
              <w:pStyle w:val="21"/>
              <w:rPr>
                <w:sz w:val="26"/>
              </w:rPr>
            </w:pPr>
          </w:p>
          <w:p>
            <w:pPr>
              <w:pStyle w:val="21"/>
              <w:ind w:left="157" w:right="148"/>
              <w:jc w:val="center"/>
              <w:rPr>
                <w:rFonts w:ascii="Times New Roman"/>
                <w:sz w:val="21"/>
              </w:rPr>
            </w:pPr>
            <w:r>
              <w:rPr>
                <w:rFonts w:ascii="Times New Roman"/>
                <w:sz w:val="21"/>
              </w:rPr>
              <w:t>2.1.2</w:t>
            </w:r>
          </w:p>
        </w:tc>
        <w:tc>
          <w:tcPr>
            <w:tcW w:w="1280" w:type="dxa"/>
            <w:tcBorders>
              <w:right w:val="single" w:color="000000" w:sz="6" w:space="0"/>
            </w:tcBorders>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5"/>
              <w:rPr>
                <w:sz w:val="19"/>
              </w:rPr>
            </w:pPr>
          </w:p>
          <w:p>
            <w:pPr>
              <w:pStyle w:val="21"/>
              <w:spacing w:line="340" w:lineRule="auto"/>
              <w:ind w:left="429" w:right="205" w:hanging="212"/>
              <w:rPr>
                <w:sz w:val="21"/>
              </w:rPr>
            </w:pPr>
            <w:r>
              <w:rPr>
                <w:sz w:val="21"/>
              </w:rPr>
              <w:t>资格评审标准</w:t>
            </w:r>
          </w:p>
        </w:tc>
        <w:tc>
          <w:tcPr>
            <w:tcW w:w="6626" w:type="dxa"/>
            <w:tcBorders>
              <w:left w:val="single" w:color="000000" w:sz="6" w:space="0"/>
            </w:tcBorders>
          </w:tcPr>
          <w:p>
            <w:pPr>
              <w:pStyle w:val="21"/>
              <w:spacing w:before="92" w:line="321" w:lineRule="auto"/>
              <w:ind w:left="104" w:right="95" w:firstLine="420"/>
              <w:rPr>
                <w:sz w:val="21"/>
              </w:rPr>
            </w:pPr>
            <w:r>
              <w:rPr>
                <w:sz w:val="21"/>
              </w:rPr>
              <w:t>（</w:t>
            </w:r>
            <w:r>
              <w:rPr>
                <w:rFonts w:ascii="Times New Roman" w:eastAsia="Times New Roman"/>
                <w:sz w:val="21"/>
              </w:rPr>
              <w:t>6</w:t>
            </w:r>
            <w:r>
              <w:rPr>
                <w:sz w:val="21"/>
              </w:rPr>
              <w:t>）投标人的项目经理和项目总工资格、在岗情况符合招标文件规定。</w:t>
            </w:r>
          </w:p>
          <w:p>
            <w:pPr>
              <w:pStyle w:val="21"/>
              <w:spacing w:line="268" w:lineRule="exact"/>
              <w:ind w:left="524"/>
              <w:rPr>
                <w:sz w:val="11"/>
              </w:rPr>
            </w:pPr>
            <w:r>
              <w:rPr>
                <w:sz w:val="21"/>
              </w:rPr>
              <w:t>（</w:t>
            </w:r>
            <w:r>
              <w:rPr>
                <w:rFonts w:ascii="Times New Roman" w:hAnsi="Times New Roman" w:eastAsia="Times New Roman"/>
                <w:sz w:val="21"/>
              </w:rPr>
              <w:t>7</w:t>
            </w:r>
            <w:r>
              <w:rPr>
                <w:sz w:val="21"/>
              </w:rPr>
              <w:t>）投标人的其他要求符合招标文件规定。</w:t>
            </w:r>
            <w:r>
              <w:rPr>
                <w:position w:val="10"/>
                <w:sz w:val="11"/>
              </w:rPr>
              <w:t>①</w:t>
            </w:r>
          </w:p>
          <w:p>
            <w:pPr>
              <w:pStyle w:val="21"/>
              <w:spacing w:before="91" w:line="321" w:lineRule="auto"/>
              <w:ind w:left="104" w:right="21" w:firstLine="420"/>
              <w:rPr>
                <w:sz w:val="21"/>
              </w:rPr>
            </w:pPr>
            <w:r>
              <w:rPr>
                <w:sz w:val="21"/>
              </w:rPr>
              <w:t>（</w:t>
            </w:r>
            <w:r>
              <w:rPr>
                <w:rFonts w:ascii="Times New Roman" w:hAnsi="Times New Roman" w:eastAsia="Times New Roman"/>
                <w:sz w:val="21"/>
              </w:rPr>
              <w:t>8</w:t>
            </w:r>
            <w:r>
              <w:rPr>
                <w:sz w:val="21"/>
              </w:rPr>
              <w:t>）投标人不存在第二章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1.4.3 </w:t>
            </w:r>
            <w:r>
              <w:rPr>
                <w:sz w:val="21"/>
              </w:rPr>
              <w:t xml:space="preserve">项或第 </w:t>
            </w:r>
            <w:r>
              <w:rPr>
                <w:rFonts w:ascii="Times New Roman" w:hAnsi="Times New Roman" w:eastAsia="Times New Roman"/>
                <w:sz w:val="21"/>
              </w:rPr>
              <w:t xml:space="preserve">1.4.4 </w:t>
            </w:r>
            <w:r>
              <w:rPr>
                <w:sz w:val="21"/>
              </w:rPr>
              <w:t>项规定的任何一种情形。</w:t>
            </w:r>
          </w:p>
          <w:p>
            <w:pPr>
              <w:pStyle w:val="21"/>
              <w:spacing w:line="268" w:lineRule="exact"/>
              <w:ind w:left="524"/>
              <w:rPr>
                <w:sz w:val="11"/>
              </w:rPr>
            </w:pPr>
            <w:r>
              <w:rPr>
                <w:sz w:val="21"/>
              </w:rPr>
              <w:t>（</w:t>
            </w:r>
            <w:r>
              <w:rPr>
                <w:rFonts w:ascii="Times New Roman" w:hAnsi="Times New Roman" w:eastAsia="Times New Roman"/>
                <w:sz w:val="21"/>
              </w:rPr>
              <w:t>9</w:t>
            </w:r>
            <w:r>
              <w:rPr>
                <w:sz w:val="21"/>
              </w:rPr>
              <w:t>）投标人符合第二章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1.4.5 </w:t>
            </w:r>
            <w:r>
              <w:rPr>
                <w:sz w:val="21"/>
              </w:rPr>
              <w:t>项规定。</w:t>
            </w:r>
            <w:r>
              <w:rPr>
                <w:position w:val="10"/>
                <w:sz w:val="11"/>
              </w:rPr>
              <w:t>②</w:t>
            </w:r>
          </w:p>
          <w:p>
            <w:pPr>
              <w:pStyle w:val="21"/>
              <w:spacing w:before="91" w:line="321" w:lineRule="auto"/>
              <w:ind w:left="104" w:right="95" w:firstLine="420"/>
              <w:jc w:val="both"/>
              <w:rPr>
                <w:sz w:val="21"/>
              </w:rPr>
            </w:pPr>
            <w:r>
              <w:rPr>
                <w:spacing w:val="-14"/>
                <w:sz w:val="21"/>
              </w:rPr>
              <w:t>（</w:t>
            </w:r>
            <w:r>
              <w:rPr>
                <w:rFonts w:ascii="Times New Roman" w:eastAsia="Times New Roman"/>
                <w:spacing w:val="-14"/>
                <w:sz w:val="21"/>
              </w:rPr>
              <w:t>10</w:t>
            </w:r>
            <w:r>
              <w:rPr>
                <w:spacing w:val="-14"/>
                <w:sz w:val="21"/>
              </w:rPr>
              <w:t>）</w:t>
            </w:r>
            <w:r>
              <w:rPr>
                <w:spacing w:val="-8"/>
                <w:sz w:val="21"/>
              </w:rPr>
              <w:t>以联合体形式参与投标的，联合体各方均未再以自己名义单</w:t>
            </w:r>
            <w:r>
              <w:rPr>
                <w:spacing w:val="-10"/>
                <w:sz w:val="21"/>
              </w:rPr>
              <w:t>独或参加其他联合体在同一标段中投标；独立参与投标的，投标人未同</w:t>
            </w:r>
            <w:r>
              <w:rPr>
                <w:spacing w:val="-5"/>
                <w:sz w:val="21"/>
              </w:rPr>
              <w:t>时参加联合体在同一标段中投标。</w:t>
            </w:r>
          </w:p>
          <w:p>
            <w:pPr>
              <w:pStyle w:val="21"/>
              <w:spacing w:before="22" w:line="226" w:lineRule="exact"/>
              <w:ind w:left="48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89" w:type="dxa"/>
          </w:tcPr>
          <w:p>
            <w:pPr>
              <w:pStyle w:val="21"/>
              <w:spacing w:before="109" w:line="250" w:lineRule="exact"/>
              <w:ind w:left="157" w:right="148"/>
              <w:jc w:val="center"/>
              <w:rPr>
                <w:b/>
                <w:sz w:val="21"/>
              </w:rPr>
            </w:pPr>
            <w:r>
              <w:rPr>
                <w:b/>
                <w:sz w:val="21"/>
              </w:rPr>
              <w:t>条款号</w:t>
            </w:r>
          </w:p>
        </w:tc>
        <w:tc>
          <w:tcPr>
            <w:tcW w:w="1280" w:type="dxa"/>
            <w:tcBorders>
              <w:right w:val="single" w:color="000000" w:sz="6" w:space="0"/>
            </w:tcBorders>
          </w:tcPr>
          <w:p>
            <w:pPr>
              <w:pStyle w:val="21"/>
              <w:spacing w:before="109" w:line="250" w:lineRule="exact"/>
              <w:ind w:left="217"/>
              <w:rPr>
                <w:b/>
                <w:sz w:val="21"/>
              </w:rPr>
            </w:pPr>
            <w:r>
              <w:rPr>
                <w:b/>
                <w:sz w:val="21"/>
              </w:rPr>
              <w:t>条款内容</w:t>
            </w:r>
          </w:p>
        </w:tc>
        <w:tc>
          <w:tcPr>
            <w:tcW w:w="6626" w:type="dxa"/>
            <w:tcBorders>
              <w:left w:val="single" w:color="000000" w:sz="6" w:space="0"/>
            </w:tcBorders>
          </w:tcPr>
          <w:p>
            <w:pPr>
              <w:pStyle w:val="21"/>
              <w:spacing w:before="109" w:line="250" w:lineRule="exact"/>
              <w:ind w:left="2335" w:right="2331"/>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9" w:hRule="atLeast"/>
        </w:trPr>
        <w:tc>
          <w:tcPr>
            <w:tcW w:w="989" w:type="dxa"/>
          </w:tcPr>
          <w:p>
            <w:pPr>
              <w:pStyle w:val="21"/>
            </w:pPr>
          </w:p>
          <w:p>
            <w:pPr>
              <w:pStyle w:val="21"/>
            </w:pPr>
          </w:p>
          <w:p>
            <w:pPr>
              <w:pStyle w:val="21"/>
            </w:pPr>
          </w:p>
          <w:p>
            <w:pPr>
              <w:pStyle w:val="21"/>
            </w:pPr>
          </w:p>
          <w:p>
            <w:pPr>
              <w:pStyle w:val="21"/>
            </w:pPr>
          </w:p>
          <w:p>
            <w:pPr>
              <w:pStyle w:val="21"/>
              <w:rPr>
                <w:sz w:val="26"/>
              </w:rPr>
            </w:pPr>
          </w:p>
          <w:p>
            <w:pPr>
              <w:pStyle w:val="21"/>
              <w:spacing w:before="1"/>
              <w:ind w:left="157" w:right="148"/>
              <w:jc w:val="center"/>
              <w:rPr>
                <w:rFonts w:ascii="Times New Roman"/>
                <w:sz w:val="21"/>
              </w:rPr>
            </w:pPr>
            <w:r>
              <w:rPr>
                <w:rFonts w:ascii="Times New Roman"/>
                <w:sz w:val="21"/>
              </w:rPr>
              <w:t>2.2.1</w:t>
            </w:r>
          </w:p>
        </w:tc>
        <w:tc>
          <w:tcPr>
            <w:tcW w:w="1280" w:type="dxa"/>
            <w:tcBorders>
              <w:right w:val="single" w:color="000000" w:sz="6" w:space="0"/>
            </w:tcBorders>
          </w:tcPr>
          <w:p>
            <w:pPr>
              <w:pStyle w:val="21"/>
            </w:pPr>
          </w:p>
          <w:p>
            <w:pPr>
              <w:pStyle w:val="21"/>
            </w:pPr>
          </w:p>
          <w:p>
            <w:pPr>
              <w:pStyle w:val="21"/>
            </w:pPr>
          </w:p>
          <w:p>
            <w:pPr>
              <w:pStyle w:val="21"/>
            </w:pPr>
          </w:p>
          <w:p>
            <w:pPr>
              <w:pStyle w:val="21"/>
              <w:spacing w:before="8"/>
              <w:rPr>
                <w:sz w:val="16"/>
              </w:rPr>
            </w:pPr>
          </w:p>
          <w:p>
            <w:pPr>
              <w:pStyle w:val="21"/>
              <w:ind w:left="107" w:right="99"/>
              <w:jc w:val="center"/>
              <w:rPr>
                <w:sz w:val="11"/>
              </w:rPr>
            </w:pPr>
            <w:r>
              <w:rPr>
                <w:sz w:val="21"/>
              </w:rPr>
              <w:t>分值构成</w:t>
            </w:r>
            <w:r>
              <w:rPr>
                <w:position w:val="10"/>
                <w:sz w:val="11"/>
              </w:rPr>
              <w:t>③</w:t>
            </w:r>
          </w:p>
          <w:p>
            <w:pPr>
              <w:pStyle w:val="21"/>
              <w:spacing w:before="110"/>
              <w:ind w:left="93" w:right="83"/>
              <w:jc w:val="center"/>
              <w:rPr>
                <w:rFonts w:ascii="Times New Roman" w:eastAsia="Times New Roman"/>
                <w:sz w:val="21"/>
              </w:rPr>
            </w:pPr>
            <w:r>
              <w:rPr>
                <w:sz w:val="21"/>
              </w:rPr>
              <w:t xml:space="preserve">（总分 </w:t>
            </w:r>
            <w:r>
              <w:rPr>
                <w:rFonts w:ascii="Times New Roman" w:eastAsia="Times New Roman"/>
                <w:sz w:val="21"/>
              </w:rPr>
              <w:t>100</w:t>
            </w:r>
          </w:p>
          <w:p>
            <w:pPr>
              <w:pStyle w:val="21"/>
              <w:spacing w:before="110"/>
              <w:ind w:left="112" w:right="99"/>
              <w:jc w:val="center"/>
              <w:rPr>
                <w:sz w:val="21"/>
              </w:rPr>
            </w:pPr>
            <w:r>
              <w:rPr>
                <w:sz w:val="21"/>
              </w:rPr>
              <w:t>分）</w:t>
            </w:r>
          </w:p>
        </w:tc>
        <w:tc>
          <w:tcPr>
            <w:tcW w:w="6626" w:type="dxa"/>
            <w:tcBorders>
              <w:left w:val="single" w:color="000000" w:sz="6" w:space="0"/>
            </w:tcBorders>
          </w:tcPr>
          <w:p>
            <w:pPr>
              <w:pStyle w:val="21"/>
              <w:tabs>
                <w:tab w:val="left" w:pos="2627"/>
              </w:tabs>
              <w:spacing w:before="89" w:line="321" w:lineRule="auto"/>
              <w:ind w:left="524" w:right="1656" w:firstLine="2"/>
              <w:rPr>
                <w:sz w:val="21"/>
              </w:rPr>
            </w:pPr>
            <w:r>
              <w:rPr>
                <w:b/>
                <w:sz w:val="21"/>
              </w:rPr>
              <w:t>第一个信封（商务</w:t>
            </w:r>
            <w:r>
              <w:rPr>
                <w:b/>
                <w:spacing w:val="-3"/>
                <w:sz w:val="21"/>
              </w:rPr>
              <w:t>及</w:t>
            </w:r>
            <w:r>
              <w:rPr>
                <w:b/>
                <w:sz w:val="21"/>
              </w:rPr>
              <w:t>技</w:t>
            </w:r>
            <w:r>
              <w:rPr>
                <w:b/>
                <w:spacing w:val="-3"/>
                <w:sz w:val="21"/>
              </w:rPr>
              <w:t>术</w:t>
            </w:r>
            <w:r>
              <w:rPr>
                <w:b/>
                <w:sz w:val="21"/>
              </w:rPr>
              <w:t>文件）评分分值构</w:t>
            </w:r>
            <w:r>
              <w:rPr>
                <w:b/>
                <w:spacing w:val="-3"/>
                <w:sz w:val="21"/>
              </w:rPr>
              <w:t>成</w:t>
            </w:r>
            <w:r>
              <w:rPr>
                <w:b/>
                <w:sz w:val="21"/>
              </w:rPr>
              <w:t xml:space="preserve">： </w:t>
            </w:r>
            <w:r>
              <w:rPr>
                <w:sz w:val="21"/>
              </w:rPr>
              <w:t>施工</w:t>
            </w:r>
            <w:r>
              <w:rPr>
                <w:spacing w:val="-3"/>
                <w:sz w:val="21"/>
              </w:rPr>
              <w:t>组</w:t>
            </w:r>
            <w:r>
              <w:rPr>
                <w:sz w:val="21"/>
              </w:rPr>
              <w:t>织</w:t>
            </w:r>
            <w:r>
              <w:rPr>
                <w:spacing w:val="-3"/>
                <w:sz w:val="21"/>
              </w:rPr>
              <w:t>设</w:t>
            </w:r>
            <w:r>
              <w:rPr>
                <w:sz w:val="21"/>
              </w:rPr>
              <w:t>计</w:t>
            </w:r>
            <w:r>
              <w:rPr>
                <w:spacing w:val="-3"/>
                <w:sz w:val="21"/>
              </w:rPr>
              <w:t>：</w:t>
            </w:r>
            <w:r>
              <w:rPr>
                <w:spacing w:val="-3"/>
                <w:sz w:val="21"/>
                <w:u w:val="single"/>
              </w:rPr>
              <w:t xml:space="preserve"> </w:t>
            </w:r>
            <w:r>
              <w:rPr>
                <w:spacing w:val="-3"/>
                <w:sz w:val="21"/>
                <w:u w:val="single"/>
              </w:rPr>
              <w:tab/>
            </w:r>
            <w:r>
              <w:rPr>
                <w:sz w:val="21"/>
              </w:rPr>
              <w:t>分</w:t>
            </w:r>
          </w:p>
          <w:p>
            <w:pPr>
              <w:pStyle w:val="21"/>
              <w:tabs>
                <w:tab w:val="left" w:pos="1787"/>
                <w:tab w:val="left" w:pos="2207"/>
                <w:tab w:val="left" w:pos="2317"/>
              </w:tabs>
              <w:spacing w:line="321" w:lineRule="auto"/>
              <w:ind w:left="524" w:right="4082"/>
              <w:rPr>
                <w:sz w:val="21"/>
              </w:rPr>
            </w:pPr>
            <w:r>
              <w:rPr>
                <w:sz w:val="21"/>
              </w:rPr>
              <w:t>主要</w:t>
            </w:r>
            <w:r>
              <w:rPr>
                <w:spacing w:val="-3"/>
                <w:sz w:val="21"/>
              </w:rPr>
              <w:t>人</w:t>
            </w:r>
            <w:r>
              <w:rPr>
                <w:sz w:val="21"/>
              </w:rPr>
              <w:t>员</w:t>
            </w:r>
            <w:r>
              <w:rPr>
                <w:spacing w:val="-3"/>
                <w:sz w:val="21"/>
              </w:rPr>
              <w:t>：</w:t>
            </w:r>
            <w:r>
              <w:rPr>
                <w:spacing w:val="-3"/>
                <w:sz w:val="21"/>
                <w:u w:val="single"/>
              </w:rPr>
              <w:t xml:space="preserve"> </w:t>
            </w:r>
            <w:r>
              <w:rPr>
                <w:spacing w:val="-3"/>
                <w:sz w:val="21"/>
                <w:u w:val="single"/>
              </w:rPr>
              <w:tab/>
            </w:r>
            <w:r>
              <w:rPr>
                <w:spacing w:val="-3"/>
                <w:sz w:val="21"/>
                <w:u w:val="single"/>
              </w:rPr>
              <w:tab/>
            </w:r>
            <w:r>
              <w:rPr>
                <w:sz w:val="21"/>
              </w:rPr>
              <w:t>分技术</w:t>
            </w:r>
            <w:r>
              <w:rPr>
                <w:spacing w:val="-3"/>
                <w:sz w:val="21"/>
              </w:rPr>
              <w:t>能力</w:t>
            </w:r>
            <w:r>
              <w:rPr>
                <w:position w:val="10"/>
                <w:sz w:val="11"/>
              </w:rPr>
              <w:t>④</w:t>
            </w:r>
            <w:r>
              <w:rPr>
                <w:sz w:val="21"/>
              </w:rPr>
              <w:t>：</w:t>
            </w:r>
            <w:r>
              <w:rPr>
                <w:sz w:val="21"/>
                <w:u w:val="single"/>
              </w:rPr>
              <w:t xml:space="preserve"> </w:t>
            </w:r>
            <w:r>
              <w:rPr>
                <w:sz w:val="21"/>
                <w:u w:val="single"/>
              </w:rPr>
              <w:tab/>
            </w:r>
            <w:r>
              <w:rPr>
                <w:sz w:val="21"/>
                <w:u w:val="single"/>
              </w:rPr>
              <w:tab/>
            </w:r>
            <w:r>
              <w:rPr>
                <w:sz w:val="21"/>
                <w:u w:val="single"/>
              </w:rPr>
              <w:tab/>
            </w:r>
            <w:r>
              <w:rPr>
                <w:sz w:val="21"/>
              </w:rPr>
              <w:t>分财务</w:t>
            </w:r>
            <w:r>
              <w:rPr>
                <w:spacing w:val="-3"/>
                <w:sz w:val="21"/>
              </w:rPr>
              <w:t>能</w:t>
            </w:r>
            <w:r>
              <w:rPr>
                <w:sz w:val="21"/>
              </w:rPr>
              <w:t>力</w:t>
            </w:r>
            <w:r>
              <w:rPr>
                <w:spacing w:val="-3"/>
                <w:sz w:val="21"/>
              </w:rPr>
              <w:t>：</w:t>
            </w:r>
            <w:r>
              <w:rPr>
                <w:spacing w:val="-3"/>
                <w:sz w:val="21"/>
                <w:u w:val="single"/>
              </w:rPr>
              <w:t xml:space="preserve"> </w:t>
            </w:r>
            <w:r>
              <w:rPr>
                <w:spacing w:val="-3"/>
                <w:sz w:val="21"/>
                <w:u w:val="single"/>
              </w:rPr>
              <w:tab/>
            </w:r>
            <w:r>
              <w:rPr>
                <w:spacing w:val="-3"/>
                <w:sz w:val="21"/>
                <w:u w:val="single"/>
              </w:rPr>
              <w:tab/>
            </w:r>
            <w:r>
              <w:rPr>
                <w:sz w:val="21"/>
              </w:rPr>
              <w:t>分业绩</w:t>
            </w:r>
            <w:r>
              <w:rPr>
                <w:spacing w:val="-3"/>
                <w:sz w:val="21"/>
              </w:rPr>
              <w:t>：</w:t>
            </w:r>
            <w:r>
              <w:rPr>
                <w:spacing w:val="-3"/>
                <w:sz w:val="21"/>
                <w:u w:val="single"/>
              </w:rPr>
              <w:t xml:space="preserve"> </w:t>
            </w:r>
            <w:r>
              <w:rPr>
                <w:spacing w:val="-3"/>
                <w:sz w:val="21"/>
                <w:u w:val="single"/>
              </w:rPr>
              <w:tab/>
            </w:r>
            <w:r>
              <w:rPr>
                <w:sz w:val="21"/>
              </w:rPr>
              <w:t>分</w:t>
            </w:r>
          </w:p>
          <w:p>
            <w:pPr>
              <w:pStyle w:val="21"/>
              <w:tabs>
                <w:tab w:val="left" w:pos="2207"/>
              </w:tabs>
              <w:spacing w:line="267" w:lineRule="exact"/>
              <w:ind w:left="524"/>
              <w:rPr>
                <w:sz w:val="21"/>
              </w:rPr>
            </w:pPr>
            <w:r>
              <w:rPr>
                <w:sz w:val="21"/>
              </w:rPr>
              <w:t>履约</w:t>
            </w:r>
            <w:r>
              <w:rPr>
                <w:spacing w:val="-3"/>
                <w:sz w:val="21"/>
              </w:rPr>
              <w:t>信</w:t>
            </w:r>
            <w:r>
              <w:rPr>
                <w:sz w:val="21"/>
              </w:rPr>
              <w:t>誉</w:t>
            </w:r>
            <w:r>
              <w:rPr>
                <w:spacing w:val="-3"/>
                <w:sz w:val="21"/>
              </w:rPr>
              <w:t>：</w:t>
            </w:r>
            <w:r>
              <w:rPr>
                <w:spacing w:val="-3"/>
                <w:sz w:val="21"/>
                <w:u w:val="single"/>
              </w:rPr>
              <w:t xml:space="preserve"> </w:t>
            </w:r>
            <w:r>
              <w:rPr>
                <w:spacing w:val="-3"/>
                <w:sz w:val="21"/>
                <w:u w:val="single"/>
              </w:rPr>
              <w:tab/>
            </w:r>
            <w:r>
              <w:rPr>
                <w:sz w:val="21"/>
              </w:rPr>
              <w:t>分</w:t>
            </w:r>
          </w:p>
          <w:p>
            <w:pPr>
              <w:pStyle w:val="21"/>
              <w:spacing w:before="114"/>
              <w:ind w:left="524"/>
              <w:rPr>
                <w:rFonts w:ascii="Times New Roman" w:hAnsi="Times New Roman"/>
                <w:sz w:val="21"/>
              </w:rPr>
            </w:pPr>
            <w:r>
              <w:rPr>
                <w:rFonts w:ascii="Times New Roman" w:hAnsi="Times New Roman"/>
                <w:sz w:val="21"/>
              </w:rPr>
              <w:t>……</w:t>
            </w:r>
          </w:p>
          <w:p>
            <w:pPr>
              <w:pStyle w:val="21"/>
              <w:tabs>
                <w:tab w:val="left" w:pos="2632"/>
              </w:tabs>
              <w:spacing w:before="4" w:line="360" w:lineRule="atLeast"/>
              <w:ind w:left="524" w:right="2287" w:firstLine="2"/>
              <w:rPr>
                <w:sz w:val="21"/>
              </w:rPr>
            </w:pPr>
            <w:r>
              <w:rPr>
                <w:b/>
                <w:sz w:val="21"/>
              </w:rPr>
              <w:t>第二个信封（报价</w:t>
            </w:r>
            <w:r>
              <w:rPr>
                <w:b/>
                <w:spacing w:val="-3"/>
                <w:sz w:val="21"/>
              </w:rPr>
              <w:t>文</w:t>
            </w:r>
            <w:r>
              <w:rPr>
                <w:b/>
                <w:sz w:val="21"/>
              </w:rPr>
              <w:t>件</w:t>
            </w:r>
            <w:r>
              <w:rPr>
                <w:b/>
                <w:spacing w:val="-3"/>
                <w:sz w:val="21"/>
              </w:rPr>
              <w:t>）</w:t>
            </w:r>
            <w:r>
              <w:rPr>
                <w:b/>
                <w:sz w:val="21"/>
              </w:rPr>
              <w:t xml:space="preserve">评分分值构成： </w:t>
            </w:r>
            <w:r>
              <w:rPr>
                <w:sz w:val="21"/>
              </w:rPr>
              <w:t>评标</w:t>
            </w:r>
            <w:r>
              <w:rPr>
                <w:spacing w:val="-3"/>
                <w:sz w:val="21"/>
              </w:rPr>
              <w:t>价</w:t>
            </w:r>
            <w:r>
              <w:rPr>
                <w:position w:val="10"/>
                <w:sz w:val="11"/>
              </w:rPr>
              <w:t>⑤</w:t>
            </w:r>
            <w:r>
              <w:rPr>
                <w:sz w:val="21"/>
              </w:rPr>
              <w:t>：</w:t>
            </w:r>
            <w:r>
              <w:rPr>
                <w:sz w:val="21"/>
                <w:u w:val="single"/>
              </w:rPr>
              <w:t xml:space="preserve"> </w:t>
            </w:r>
            <w:r>
              <w:rPr>
                <w:sz w:val="21"/>
                <w:u w:val="single"/>
              </w:rPr>
              <w:tab/>
            </w:r>
            <w:r>
              <w:rPr>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989" w:type="dxa"/>
          </w:tcPr>
          <w:p>
            <w:pPr>
              <w:pStyle w:val="21"/>
            </w:pPr>
          </w:p>
          <w:p>
            <w:pPr>
              <w:pStyle w:val="21"/>
            </w:pPr>
          </w:p>
          <w:p>
            <w:pPr>
              <w:pStyle w:val="21"/>
            </w:pPr>
          </w:p>
          <w:p>
            <w:pPr>
              <w:pStyle w:val="21"/>
              <w:spacing w:before="178"/>
              <w:ind w:left="157" w:right="148"/>
              <w:jc w:val="center"/>
              <w:rPr>
                <w:rFonts w:ascii="Times New Roman"/>
                <w:sz w:val="21"/>
              </w:rPr>
            </w:pPr>
            <w:r>
              <w:rPr>
                <w:rFonts w:ascii="Times New Roman"/>
                <w:sz w:val="21"/>
              </w:rPr>
              <w:t>2.2.2</w:t>
            </w:r>
          </w:p>
        </w:tc>
        <w:tc>
          <w:tcPr>
            <w:tcW w:w="1280" w:type="dxa"/>
            <w:tcBorders>
              <w:right w:val="single" w:color="000000" w:sz="6" w:space="0"/>
            </w:tcBorders>
          </w:tcPr>
          <w:p>
            <w:pPr>
              <w:pStyle w:val="21"/>
              <w:rPr>
                <w:sz w:val="20"/>
              </w:rPr>
            </w:pPr>
          </w:p>
          <w:p>
            <w:pPr>
              <w:pStyle w:val="21"/>
              <w:rPr>
                <w:sz w:val="20"/>
              </w:rPr>
            </w:pPr>
          </w:p>
          <w:p>
            <w:pPr>
              <w:pStyle w:val="21"/>
              <w:spacing w:before="3"/>
              <w:rPr>
                <w:sz w:val="23"/>
              </w:rPr>
            </w:pPr>
          </w:p>
          <w:p>
            <w:pPr>
              <w:pStyle w:val="21"/>
              <w:spacing w:line="338" w:lineRule="auto"/>
              <w:ind w:left="217" w:right="99" w:hanging="106"/>
              <w:rPr>
                <w:sz w:val="21"/>
              </w:rPr>
            </w:pPr>
            <w:r>
              <w:rPr>
                <w:sz w:val="21"/>
              </w:rPr>
              <w:t>评标基准价计算方法</w:t>
            </w:r>
          </w:p>
        </w:tc>
        <w:tc>
          <w:tcPr>
            <w:tcW w:w="6626" w:type="dxa"/>
            <w:tcBorders>
              <w:left w:val="single" w:color="000000" w:sz="6" w:space="0"/>
            </w:tcBorders>
          </w:tcPr>
          <w:p>
            <w:pPr>
              <w:pStyle w:val="21"/>
              <w:spacing w:before="90"/>
              <w:ind w:left="524"/>
              <w:rPr>
                <w:sz w:val="21"/>
              </w:rPr>
            </w:pPr>
            <w:r>
              <w:rPr>
                <w:sz w:val="21"/>
              </w:rPr>
              <w:t>评标基准价的计算：</w:t>
            </w:r>
          </w:p>
          <w:p>
            <w:pPr>
              <w:pStyle w:val="21"/>
              <w:spacing w:before="90"/>
              <w:ind w:left="524"/>
              <w:rPr>
                <w:sz w:val="21"/>
              </w:rPr>
            </w:pPr>
            <w:r>
              <w:rPr>
                <w:sz w:val="21"/>
              </w:rPr>
              <w:t>在开标现场，招标人将当场计算并宣布评标基准价。</w:t>
            </w:r>
          </w:p>
          <w:p>
            <w:pPr>
              <w:pStyle w:val="21"/>
              <w:spacing w:before="92"/>
              <w:ind w:left="524"/>
              <w:rPr>
                <w:sz w:val="21"/>
              </w:rPr>
            </w:pPr>
            <w:r>
              <w:rPr>
                <w:sz w:val="21"/>
              </w:rPr>
              <w:t>（</w:t>
            </w:r>
            <w:r>
              <w:rPr>
                <w:rFonts w:ascii="Times New Roman" w:eastAsia="Times New Roman"/>
                <w:sz w:val="21"/>
              </w:rPr>
              <w:t>1</w:t>
            </w:r>
            <w:r>
              <w:rPr>
                <w:sz w:val="21"/>
              </w:rPr>
              <w:t>）评标价的确定：</w:t>
            </w:r>
          </w:p>
          <w:p>
            <w:pPr>
              <w:pStyle w:val="21"/>
              <w:spacing w:before="91"/>
              <w:ind w:left="524"/>
              <w:rPr>
                <w:sz w:val="21"/>
              </w:rPr>
            </w:pPr>
            <w:r>
              <w:rPr>
                <w:sz w:val="21"/>
              </w:rPr>
              <w:t>方法一：评标价＝投标函文字报价</w:t>
            </w:r>
          </w:p>
          <w:p>
            <w:pPr>
              <w:pStyle w:val="21"/>
              <w:spacing w:line="360" w:lineRule="atLeast"/>
              <w:ind w:left="104" w:right="95" w:firstLine="420"/>
              <w:rPr>
                <w:sz w:val="21"/>
              </w:rPr>
            </w:pPr>
            <w:r>
              <w:rPr>
                <w:spacing w:val="-9"/>
                <w:sz w:val="21"/>
              </w:rPr>
              <w:t>方法二：评标价</w:t>
            </w:r>
            <w:r>
              <w:rPr>
                <w:sz w:val="21"/>
              </w:rPr>
              <w:t>＝</w:t>
            </w:r>
            <w:r>
              <w:rPr>
                <w:spacing w:val="-7"/>
                <w:sz w:val="21"/>
              </w:rPr>
              <w:t>投标函文字报价－暂估价－暂列金额</w:t>
            </w:r>
            <w:r>
              <w:rPr>
                <w:spacing w:val="-3"/>
                <w:sz w:val="21"/>
              </w:rPr>
              <w:t>（</w:t>
            </w:r>
            <w:r>
              <w:rPr>
                <w:spacing w:val="-2"/>
                <w:sz w:val="21"/>
              </w:rPr>
              <w:t>不含计日</w:t>
            </w:r>
            <w:r>
              <w:rPr>
                <w:spacing w:val="-3"/>
                <w:sz w:val="21"/>
              </w:rPr>
              <w:t>工总额</w:t>
            </w:r>
            <w:r>
              <w:rPr>
                <w:sz w:val="21"/>
              </w:rPr>
              <w:t>）</w:t>
            </w:r>
          </w:p>
        </w:tc>
      </w:tr>
    </w:tbl>
    <w:p>
      <w:pPr>
        <w:pStyle w:val="11"/>
        <w:spacing w:before="8"/>
        <w:rPr>
          <w:sz w:val="21"/>
        </w:rPr>
      </w:pPr>
      <w:r>
        <mc:AlternateContent>
          <mc:Choice Requires="wps">
            <w:drawing>
              <wp:anchor distT="0" distB="0" distL="114300" distR="114300" simplePos="0" relativeHeight="251654144" behindDoc="0" locked="0" layoutInCell="1" allowOverlap="1">
                <wp:simplePos x="0" y="0"/>
                <wp:positionH relativeFrom="page">
                  <wp:posOffset>1043940</wp:posOffset>
                </wp:positionH>
                <wp:positionV relativeFrom="paragraph">
                  <wp:posOffset>204470</wp:posOffset>
                </wp:positionV>
                <wp:extent cx="1829435" cy="0"/>
                <wp:effectExtent l="0" t="0" r="0" b="0"/>
                <wp:wrapTopAndBottom/>
                <wp:docPr id="25" name="直线 57"/>
                <wp:cNvGraphicFramePr/>
                <a:graphic xmlns:a="http://schemas.openxmlformats.org/drawingml/2006/main">
                  <a:graphicData uri="http://schemas.microsoft.com/office/word/2010/wordprocessingShape">
                    <wps:wsp>
                      <wps:cNvSpPr/>
                      <wps:spPr>
                        <a:xfrm>
                          <a:off x="0" y="0"/>
                          <a:ext cx="1829435" cy="0"/>
                        </a:xfrm>
                        <a:prstGeom prst="line">
                          <a:avLst/>
                        </a:prstGeom>
                        <a:ln w="6097" cap="flat" cmpd="sng">
                          <a:solidFill>
                            <a:srgbClr val="000000"/>
                          </a:solidFill>
                          <a:prstDash val="solid"/>
                          <a:headEnd type="none" w="med" len="med"/>
                          <a:tailEnd type="none" w="med" len="med"/>
                        </a:ln>
                      </wps:spPr>
                      <wps:bodyPr upright="true"/>
                    </wps:wsp>
                  </a:graphicData>
                </a:graphic>
              </wp:anchor>
            </w:drawing>
          </mc:Choice>
          <mc:Fallback>
            <w:pict>
              <v:line id="直线 57" o:spid="_x0000_s1026" o:spt="20" style="position:absolute;left:0pt;margin-left:82.2pt;margin-top:16.1pt;height:0pt;width:144.05pt;mso-position-horizontal-relative:page;mso-wrap-distance-bottom:0pt;mso-wrap-distance-top:0pt;z-index:251654144;mso-width-relative:page;mso-height-relative:page;" filled="f" stroked="t" coordsize="21600,21600" o:gfxdata="UEsFBgAAAAAAAAAAAAAAAAAAAAAAAFBLAwQKAAAAAACHTuJAAAAAAAAAAAAAAAAABAAAAGRycy9Q&#10;SwMEFAAAAAgAh07iQANwIL/VAAAACQEAAA8AAABkcnMvZG93bnJldi54bWxNj01LxDAQhu+C/yGM&#10;4M1NP5elNl1wQRA8ua6e03Zsi8mkNNlu6693xIMe35mHd54p94s1YsbJD44UxJsIBFLj2oE6BafX&#10;x7sdCB80tdo4QgUrethX11elLlp3oRecj6ETXEK+0Ar6EMZCSt/0aLXfuBGJdx9usjpwnDrZTvrC&#10;5dbIJIq20uqB+EKvRzz02Hwez1ZBNi/r89cBH9L6KV53efeW+nej1O1NHN2DCLiEPxh+9FkdKnaq&#10;3ZlaLwznbZYxqiBNEhAMZHmSg6h/B7Iq5f8Pqm9QSwMEFAAAAAgAh07iQPpq2lDRAQAAkgMAAA4A&#10;AABkcnMvZTJvRG9jLnhtbK1TS44TMRDdI3EHy3vSSWB+rXRmQRg2CEaa4QAVf7ot+SeXk07OwjVY&#10;seE4cw3KTiYDMxuEyMIpu8qv3nuuXlzvnGVbldAE3/HZZMqZ8iJI4/uOf72/eXPJGWbwEmzwquN7&#10;hfx6+frVYoytmochWKkSIxCP7Rg7PuQc26ZBMSgHOAlReUrqkBxk2qa+kQlGQne2mU+n580Ykowp&#10;CIVIp6tDki8rvtZK5C9ao8rMdpy45bqmuq7L2iwX0PYJ4mDEkQb8AwsHxlPTE9QKMrBNMi+gnBEp&#10;YNB5IoJrgtZGqKqB1Mymz9TcDRBV1ULmYDzZhP8PVnze3iZmZMfnZ5x5cPRGD9++P/z4yc4uijtj&#10;xJaK7uJtOu6QwiJ1p5Mr/ySC7aqj+5OjapeZoMPZ5fzq3VtCFo+55uliTJg/quBYCTpujS9ioYXt&#10;J8zUjEofS8qx9Wzs+Pn06oLggGZFW8gUukjs0ff1LgZr5I2xttzA1K/f28S2UF6//ookwv2jrDRZ&#10;AQ6Hupo6zMWgQH7wkuV9JFs8DTAvFJySnFlF814iAoQ2g7F/U0mtrScGxdWDjyVaB7mnV9jEZPqB&#10;nMhpoyrRkqSHr5SPQ1om6/d9BXv6l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wIL/VAAAA&#10;CQEAAA8AAAAAAAAAAQAgAAAAOAAAAGRycy9kb3ducmV2LnhtbFBLAQIUABQAAAAIAIdO4kD6atpQ&#10;0QEAAJIDAAAOAAAAAAAAAAEAIAAAADoBAABkcnMvZTJvRG9jLnhtbFBLBQYAAAAABgAGAFkBAAB9&#10;BQAAAAA=&#10;">
                <v:fill on="f" focussize="0,0"/>
                <v:stroke weight="0.48007874015748pt" color="#000000" joinstyle="round"/>
                <v:imagedata o:title=""/>
                <o:lock v:ext="edit" aspectratio="f"/>
                <w10:wrap type="topAndBottom"/>
              </v:line>
            </w:pict>
          </mc:Fallback>
        </mc:AlternateContent>
      </w:r>
    </w:p>
    <w:p>
      <w:pPr>
        <w:spacing w:before="107"/>
        <w:ind w:left="424"/>
        <w:rPr>
          <w:sz w:val="18"/>
        </w:rPr>
      </w:pPr>
      <w:r>
        <w:rPr>
          <w:position w:val="8"/>
          <w:sz w:val="9"/>
        </w:rPr>
        <w:t>①</w:t>
      </w:r>
      <w:r>
        <w:rPr>
          <w:sz w:val="9"/>
        </w:rPr>
        <w:t xml:space="preserve">  </w:t>
      </w:r>
      <w:r>
        <w:rPr>
          <w:sz w:val="18"/>
        </w:rPr>
        <w:t>对于特别复杂的特大桥梁和特长隧道项目主体工程以及其他有特殊要求的工程，还可对其他管理和技术人员</w:t>
      </w:r>
    </w:p>
    <w:p>
      <w:pPr>
        <w:spacing w:before="50"/>
        <w:ind w:left="604"/>
        <w:rPr>
          <w:sz w:val="18"/>
        </w:rPr>
      </w:pPr>
      <w:r>
        <w:rPr>
          <w:sz w:val="18"/>
        </w:rPr>
        <w:t>（例如项目副经理、专业工程师等）以及主要机械设备和试验检测设备进行资格评审。</w:t>
      </w:r>
    </w:p>
    <w:p>
      <w:pPr>
        <w:spacing w:before="48" w:line="292" w:lineRule="auto"/>
        <w:ind w:left="604" w:right="459" w:hanging="180"/>
        <w:rPr>
          <w:sz w:val="18"/>
        </w:rPr>
      </w:pPr>
      <w:r>
        <w:rPr>
          <w:position w:val="8"/>
          <w:sz w:val="9"/>
        </w:rPr>
        <w:t xml:space="preserve">② </w:t>
      </w:r>
      <w:r>
        <w:rPr>
          <w:sz w:val="18"/>
        </w:rPr>
        <w:t>本款规定仅适用于根据《关于发布公路工程从业企业资质名录的通知》（厅公路字〔</w:t>
      </w:r>
      <w:r>
        <w:rPr>
          <w:rFonts w:ascii="Times New Roman" w:hAnsi="Times New Roman" w:eastAsia="Times New Roman"/>
          <w:sz w:val="18"/>
        </w:rPr>
        <w:t>2011</w:t>
      </w:r>
      <w:r>
        <w:rPr>
          <w:sz w:val="18"/>
        </w:rPr>
        <w:t>〕</w:t>
      </w:r>
      <w:r>
        <w:rPr>
          <w:rFonts w:ascii="Times New Roman" w:hAnsi="Times New Roman" w:eastAsia="Times New Roman"/>
          <w:sz w:val="18"/>
        </w:rPr>
        <w:t xml:space="preserve">114 </w:t>
      </w:r>
      <w:r>
        <w:rPr>
          <w:sz w:val="18"/>
        </w:rPr>
        <w:t>号）要求， 招标人应通过名录对投标人资质条件进行审核的公路施工企业。</w:t>
      </w:r>
    </w:p>
    <w:p>
      <w:pPr>
        <w:spacing w:line="230" w:lineRule="exact"/>
        <w:ind w:left="424"/>
        <w:rPr>
          <w:rFonts w:ascii="Times New Roman" w:hAnsi="Times New Roman" w:eastAsia="Times New Roman"/>
          <w:sz w:val="18"/>
        </w:rPr>
      </w:pPr>
      <w:r>
        <w:rPr>
          <w:position w:val="8"/>
          <w:sz w:val="9"/>
        </w:rPr>
        <w:t xml:space="preserve">③ </w:t>
      </w:r>
      <w:r>
        <w:rPr>
          <w:sz w:val="18"/>
        </w:rPr>
        <w:t xml:space="preserve">各评分因素权重分值范围如下：施工组织设计 </w:t>
      </w:r>
      <w:r>
        <w:rPr>
          <w:rFonts w:ascii="Times New Roman" w:hAnsi="Times New Roman" w:eastAsia="Times New Roman"/>
          <w:sz w:val="18"/>
        </w:rPr>
        <w:t xml:space="preserve">5~20 </w:t>
      </w:r>
      <w:r>
        <w:rPr>
          <w:sz w:val="18"/>
        </w:rPr>
        <w:t xml:space="preserve">分；主要人员 </w:t>
      </w:r>
      <w:r>
        <w:rPr>
          <w:rFonts w:ascii="Times New Roman" w:hAnsi="Times New Roman" w:eastAsia="Times New Roman"/>
          <w:sz w:val="18"/>
        </w:rPr>
        <w:t xml:space="preserve">10~20 </w:t>
      </w:r>
      <w:r>
        <w:rPr>
          <w:sz w:val="18"/>
        </w:rPr>
        <w:t xml:space="preserve">分；技术能力 </w:t>
      </w:r>
      <w:r>
        <w:rPr>
          <w:rFonts w:ascii="Times New Roman" w:hAnsi="Times New Roman" w:eastAsia="Times New Roman"/>
          <w:sz w:val="18"/>
        </w:rPr>
        <w:t xml:space="preserve">0~5 </w:t>
      </w:r>
      <w:r>
        <w:rPr>
          <w:sz w:val="18"/>
        </w:rPr>
        <w:t xml:space="preserve">分；财务能力 </w:t>
      </w:r>
      <w:r>
        <w:rPr>
          <w:rFonts w:ascii="Times New Roman" w:hAnsi="Times New Roman" w:eastAsia="Times New Roman"/>
          <w:sz w:val="18"/>
        </w:rPr>
        <w:t>5~10</w:t>
      </w:r>
    </w:p>
    <w:p>
      <w:pPr>
        <w:spacing w:before="48"/>
        <w:ind w:left="604"/>
        <w:rPr>
          <w:sz w:val="18"/>
        </w:rPr>
      </w:pPr>
      <w:r>
        <w:rPr>
          <w:sz w:val="18"/>
        </w:rPr>
        <w:t xml:space="preserve">分；业绩 </w:t>
      </w:r>
      <w:r>
        <w:rPr>
          <w:rFonts w:ascii="Times New Roman" w:eastAsia="Times New Roman"/>
          <w:sz w:val="18"/>
        </w:rPr>
        <w:t xml:space="preserve">5~12 </w:t>
      </w:r>
      <w:r>
        <w:rPr>
          <w:sz w:val="18"/>
        </w:rPr>
        <w:t xml:space="preserve">分；履约信誉 </w:t>
      </w:r>
      <w:r>
        <w:rPr>
          <w:rFonts w:ascii="Times New Roman" w:eastAsia="Times New Roman"/>
          <w:sz w:val="18"/>
        </w:rPr>
        <w:t xml:space="preserve">3~5 </w:t>
      </w:r>
      <w:r>
        <w:rPr>
          <w:sz w:val="18"/>
        </w:rPr>
        <w:t>分。</w:t>
      </w:r>
    </w:p>
    <w:p>
      <w:pPr>
        <w:spacing w:before="50" w:line="290" w:lineRule="auto"/>
        <w:ind w:left="604" w:right="384" w:hanging="180"/>
        <w:jc w:val="both"/>
        <w:rPr>
          <w:sz w:val="18"/>
        </w:rPr>
      </w:pPr>
      <w:r>
        <w:rPr>
          <w:position w:val="8"/>
          <w:sz w:val="9"/>
        </w:rPr>
        <w:t xml:space="preserve">④ </w:t>
      </w:r>
      <w:r>
        <w:rPr>
          <w:sz w:val="18"/>
        </w:rPr>
        <w:t>“技术能力”指投标人的科研开发和技术创新能力，招标人可结合招标项目的具体情况提出相关要求，包括投标人获得的与项目施工有关的国家级工法、专利（发明专利或实用新型专利）、国家或</w:t>
      </w:r>
      <w:r>
        <w:rPr>
          <w:color w:val="2A2A2A"/>
          <w:sz w:val="18"/>
        </w:rPr>
        <w:t>省级科学技术进步奖</w:t>
      </w:r>
      <w:r>
        <w:rPr>
          <w:sz w:val="18"/>
        </w:rPr>
        <w:t>，主编或参编过的国家、行业或地方标准等。</w:t>
      </w:r>
    </w:p>
    <w:p>
      <w:pPr>
        <w:spacing w:before="3"/>
        <w:ind w:left="424"/>
        <w:rPr>
          <w:sz w:val="18"/>
        </w:rPr>
      </w:pPr>
      <w:r>
        <w:rPr>
          <w:position w:val="8"/>
          <w:sz w:val="9"/>
        </w:rPr>
        <w:t xml:space="preserve">⑤ </w:t>
      </w:r>
      <w:r>
        <w:rPr>
          <w:sz w:val="18"/>
        </w:rPr>
        <w:t xml:space="preserve">评标价权重分值不应低于 </w:t>
      </w:r>
      <w:r>
        <w:rPr>
          <w:rFonts w:ascii="Times New Roman" w:hAnsi="Times New Roman" w:eastAsia="Times New Roman"/>
          <w:sz w:val="18"/>
        </w:rPr>
        <w:t xml:space="preserve">50 </w:t>
      </w:r>
      <w:r>
        <w:rPr>
          <w:sz w:val="18"/>
        </w:rPr>
        <w:t>分。</w:t>
      </w:r>
    </w:p>
    <w:p>
      <w:pPr>
        <w:rPr>
          <w:sz w:val="18"/>
        </w:rPr>
        <w:sectPr>
          <w:pgSz w:w="11910" w:h="16850"/>
          <w:pgMar w:top="1480" w:right="1200" w:bottom="1080" w:left="1220" w:header="883" w:footer="884" w:gutter="0"/>
          <w:cols w:space="720" w:num="1"/>
        </w:sectPr>
      </w:pPr>
    </w:p>
    <w:p>
      <w:pPr>
        <w:pStyle w:val="11"/>
        <w:spacing w:before="5"/>
        <w:rPr>
          <w:sz w:val="11"/>
        </w:rPr>
      </w:pPr>
    </w:p>
    <w:p>
      <w:pPr>
        <w:spacing w:before="71"/>
        <w:ind w:left="8444"/>
        <w:rPr>
          <w:sz w:val="21"/>
        </w:rPr>
      </w:pPr>
      <w:r>
        <w:rPr>
          <w:sz w:val="21"/>
        </w:rPr>
        <w:t>续上表</w:t>
      </w:r>
    </w:p>
    <w:tbl>
      <w:tblPr>
        <w:tblStyle w:val="19"/>
        <w:tblW w:w="889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89" w:type="dxa"/>
          </w:tcPr>
          <w:p>
            <w:pPr>
              <w:pStyle w:val="21"/>
              <w:spacing w:before="109" w:line="250" w:lineRule="exact"/>
              <w:ind w:left="157" w:right="148"/>
              <w:jc w:val="center"/>
              <w:rPr>
                <w:b/>
                <w:sz w:val="21"/>
              </w:rPr>
            </w:pPr>
            <w:r>
              <w:rPr>
                <w:b/>
                <w:sz w:val="21"/>
              </w:rPr>
              <w:t>条款号</w:t>
            </w:r>
          </w:p>
        </w:tc>
        <w:tc>
          <w:tcPr>
            <w:tcW w:w="1280" w:type="dxa"/>
            <w:tcBorders>
              <w:right w:val="single" w:color="000000" w:sz="6" w:space="0"/>
            </w:tcBorders>
          </w:tcPr>
          <w:p>
            <w:pPr>
              <w:pStyle w:val="21"/>
              <w:spacing w:before="109" w:line="250" w:lineRule="exact"/>
              <w:ind w:left="217"/>
              <w:rPr>
                <w:b/>
                <w:sz w:val="21"/>
              </w:rPr>
            </w:pPr>
            <w:r>
              <w:rPr>
                <w:b/>
                <w:sz w:val="21"/>
              </w:rPr>
              <w:t>条款内容</w:t>
            </w:r>
          </w:p>
        </w:tc>
        <w:tc>
          <w:tcPr>
            <w:tcW w:w="6626" w:type="dxa"/>
            <w:tcBorders>
              <w:left w:val="single" w:color="000000" w:sz="6" w:space="0"/>
            </w:tcBorders>
          </w:tcPr>
          <w:p>
            <w:pPr>
              <w:pStyle w:val="21"/>
              <w:spacing w:before="109" w:line="250" w:lineRule="exact"/>
              <w:ind w:left="2335" w:right="2331"/>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2" w:hRule="atLeast"/>
        </w:trPr>
        <w:tc>
          <w:tcPr>
            <w:tcW w:w="989" w:type="dxa"/>
          </w:tcPr>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spacing w:before="4"/>
            </w:pPr>
          </w:p>
          <w:p>
            <w:pPr>
              <w:pStyle w:val="21"/>
              <w:ind w:left="157" w:right="148"/>
              <w:jc w:val="center"/>
              <w:rPr>
                <w:rFonts w:ascii="Times New Roman"/>
                <w:sz w:val="21"/>
              </w:rPr>
            </w:pPr>
            <w:r>
              <w:rPr>
                <w:rFonts w:ascii="Times New Roman"/>
                <w:sz w:val="21"/>
              </w:rPr>
              <w:t>2.2.2</w:t>
            </w:r>
          </w:p>
        </w:tc>
        <w:tc>
          <w:tcPr>
            <w:tcW w:w="1280" w:type="dxa"/>
            <w:tcBorders>
              <w:right w:val="single" w:color="000000" w:sz="6" w:space="0"/>
            </w:tcBorders>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9"/>
              <w:rPr>
                <w:sz w:val="23"/>
              </w:rPr>
            </w:pPr>
          </w:p>
          <w:p>
            <w:pPr>
              <w:pStyle w:val="21"/>
              <w:spacing w:line="340" w:lineRule="auto"/>
              <w:ind w:left="217" w:right="99" w:hanging="106"/>
              <w:rPr>
                <w:sz w:val="21"/>
              </w:rPr>
            </w:pPr>
            <w:r>
              <w:rPr>
                <w:sz w:val="21"/>
              </w:rPr>
              <w:t>评标基准价计算方法</w:t>
            </w:r>
          </w:p>
        </w:tc>
        <w:tc>
          <w:tcPr>
            <w:tcW w:w="6626" w:type="dxa"/>
            <w:tcBorders>
              <w:left w:val="single" w:color="000000" w:sz="6" w:space="0"/>
            </w:tcBorders>
          </w:tcPr>
          <w:p>
            <w:pPr>
              <w:pStyle w:val="21"/>
              <w:spacing w:before="92"/>
              <w:ind w:left="524"/>
              <w:rPr>
                <w:rFonts w:ascii="Times New Roman" w:hAnsi="Times New Roman" w:eastAsia="Times New Roman"/>
                <w:sz w:val="21"/>
              </w:rPr>
            </w:pPr>
            <w:r>
              <w:rPr>
                <w:sz w:val="21"/>
              </w:rPr>
              <w:t>方法三：</w:t>
            </w:r>
            <w:r>
              <w:rPr>
                <w:rFonts w:ascii="Times New Roman" w:hAnsi="Times New Roman" w:eastAsia="Times New Roman"/>
                <w:sz w:val="21"/>
              </w:rPr>
              <w:t>……</w:t>
            </w:r>
          </w:p>
          <w:p>
            <w:pPr>
              <w:pStyle w:val="21"/>
              <w:spacing w:before="91"/>
              <w:ind w:left="524"/>
              <w:rPr>
                <w:sz w:val="21"/>
              </w:rPr>
            </w:pPr>
            <w:r>
              <w:rPr>
                <w:sz w:val="21"/>
              </w:rPr>
              <w:t>（</w:t>
            </w:r>
            <w:r>
              <w:rPr>
                <w:rFonts w:ascii="Times New Roman" w:eastAsia="Times New Roman"/>
                <w:sz w:val="21"/>
              </w:rPr>
              <w:t>2</w:t>
            </w:r>
            <w:r>
              <w:rPr>
                <w:sz w:val="21"/>
              </w:rPr>
              <w:t>）评标价平均值的计算：</w:t>
            </w:r>
          </w:p>
          <w:p>
            <w:pPr>
              <w:pStyle w:val="21"/>
              <w:spacing w:before="91" w:line="321" w:lineRule="auto"/>
              <w:ind w:left="104" w:right="95" w:firstLine="420"/>
              <w:jc w:val="both"/>
              <w:rPr>
                <w:sz w:val="21"/>
              </w:rPr>
            </w:pPr>
            <w:r>
              <w:rPr>
                <w:spacing w:val="-6"/>
                <w:sz w:val="21"/>
              </w:rPr>
              <w:t xml:space="preserve">除按第二章“投标人须知”第 </w:t>
            </w:r>
            <w:r>
              <w:rPr>
                <w:rFonts w:ascii="Times New Roman" w:hAnsi="Times New Roman" w:eastAsia="Times New Roman"/>
                <w:sz w:val="21"/>
              </w:rPr>
              <w:t xml:space="preserve">5.2.4 </w:t>
            </w:r>
            <w:r>
              <w:rPr>
                <w:spacing w:val="-3"/>
                <w:sz w:val="21"/>
              </w:rPr>
              <w:t>项规定开标现场被宣布为不进</w:t>
            </w:r>
            <w:r>
              <w:rPr>
                <w:spacing w:val="-10"/>
                <w:sz w:val="21"/>
              </w:rPr>
              <w:t>入评标基准价计算的投标报价之外，所有投标人的评标价去掉一个最高值和一个最低值后的算术平均值即为评标价平均值</w:t>
            </w:r>
            <w:r>
              <w:rPr>
                <w:spacing w:val="-3"/>
                <w:sz w:val="21"/>
              </w:rPr>
              <w:t>（如果参与评标价平</w:t>
            </w:r>
            <w:r>
              <w:rPr>
                <w:spacing w:val="-6"/>
                <w:sz w:val="21"/>
              </w:rPr>
              <w:t xml:space="preserve">均值计算的有效投标人少于 </w:t>
            </w:r>
            <w:r>
              <w:rPr>
                <w:rFonts w:ascii="Times New Roman" w:hAnsi="Times New Roman" w:eastAsia="Times New Roman"/>
                <w:sz w:val="21"/>
              </w:rPr>
              <w:t xml:space="preserve">5 </w:t>
            </w:r>
            <w:r>
              <w:rPr>
                <w:spacing w:val="-13"/>
                <w:sz w:val="21"/>
              </w:rPr>
              <w:t>家时，则计算评标价平均值时不去掉最高</w:t>
            </w:r>
            <w:r>
              <w:rPr>
                <w:spacing w:val="-7"/>
                <w:sz w:val="21"/>
              </w:rPr>
              <w:t>值和最低值</w:t>
            </w:r>
            <w:r>
              <w:rPr>
                <w:spacing w:val="-106"/>
                <w:sz w:val="21"/>
              </w:rPr>
              <w:t>）</w:t>
            </w:r>
            <w:r>
              <w:rPr>
                <w:sz w:val="21"/>
              </w:rPr>
              <w:t>；</w:t>
            </w:r>
          </w:p>
          <w:p>
            <w:pPr>
              <w:pStyle w:val="21"/>
              <w:spacing w:line="267" w:lineRule="exact"/>
              <w:ind w:left="524"/>
              <w:rPr>
                <w:sz w:val="21"/>
              </w:rPr>
            </w:pPr>
            <w:r>
              <w:rPr>
                <w:sz w:val="21"/>
              </w:rPr>
              <w:t>（</w:t>
            </w:r>
            <w:r>
              <w:rPr>
                <w:rFonts w:ascii="Times New Roman" w:hAnsi="Times New Roman" w:eastAsia="Times New Roman"/>
                <w:sz w:val="21"/>
              </w:rPr>
              <w:t>3</w:t>
            </w:r>
            <w:r>
              <w:rPr>
                <w:sz w:val="21"/>
              </w:rPr>
              <w:t>）评标基准价的确定</w:t>
            </w:r>
            <w:r>
              <w:rPr>
                <w:position w:val="10"/>
                <w:sz w:val="11"/>
              </w:rPr>
              <w:t>①</w:t>
            </w:r>
            <w:r>
              <w:rPr>
                <w:sz w:val="21"/>
              </w:rPr>
              <w:t>：</w:t>
            </w:r>
          </w:p>
          <w:p>
            <w:pPr>
              <w:pStyle w:val="21"/>
              <w:spacing w:before="91"/>
              <w:ind w:left="524"/>
              <w:rPr>
                <w:sz w:val="21"/>
              </w:rPr>
            </w:pPr>
            <w:r>
              <w:rPr>
                <w:sz w:val="21"/>
              </w:rPr>
              <w:t>方法一：将评标价平均值直接作为评标基准价。</w:t>
            </w:r>
          </w:p>
          <w:p>
            <w:pPr>
              <w:pStyle w:val="21"/>
              <w:tabs>
                <w:tab w:val="left" w:pos="3573"/>
              </w:tabs>
              <w:spacing w:before="91"/>
              <w:ind w:left="524"/>
              <w:rPr>
                <w:sz w:val="21"/>
              </w:rPr>
            </w:pPr>
            <w:r>
              <w:rPr>
                <w:sz w:val="21"/>
              </w:rPr>
              <w:t>方法</w:t>
            </w:r>
            <w:r>
              <w:rPr>
                <w:spacing w:val="-3"/>
                <w:sz w:val="21"/>
              </w:rPr>
              <w:t>二</w:t>
            </w:r>
            <w:r>
              <w:rPr>
                <w:sz w:val="21"/>
              </w:rPr>
              <w:t>：</w:t>
            </w:r>
            <w:r>
              <w:rPr>
                <w:spacing w:val="-3"/>
                <w:sz w:val="21"/>
              </w:rPr>
              <w:t>将</w:t>
            </w:r>
            <w:r>
              <w:rPr>
                <w:sz w:val="21"/>
              </w:rPr>
              <w:t>评</w:t>
            </w:r>
            <w:r>
              <w:rPr>
                <w:spacing w:val="-3"/>
                <w:sz w:val="21"/>
              </w:rPr>
              <w:t>标</w:t>
            </w:r>
            <w:r>
              <w:rPr>
                <w:sz w:val="21"/>
              </w:rPr>
              <w:t>价</w:t>
            </w:r>
            <w:r>
              <w:rPr>
                <w:spacing w:val="-3"/>
                <w:sz w:val="21"/>
              </w:rPr>
              <w:t>平</w:t>
            </w:r>
            <w:r>
              <w:rPr>
                <w:sz w:val="21"/>
              </w:rPr>
              <w:t>均</w:t>
            </w:r>
            <w:r>
              <w:rPr>
                <w:spacing w:val="-3"/>
                <w:sz w:val="21"/>
              </w:rPr>
              <w:t>值</w:t>
            </w:r>
            <w:r>
              <w:rPr>
                <w:sz w:val="21"/>
              </w:rPr>
              <w:t>下浮</w:t>
            </w:r>
            <w:r>
              <w:rPr>
                <w:sz w:val="21"/>
                <w:u w:val="single"/>
              </w:rPr>
              <w:t xml:space="preserve"> </w:t>
            </w:r>
            <w:r>
              <w:rPr>
                <w:sz w:val="21"/>
                <w:u w:val="single"/>
              </w:rPr>
              <w:tab/>
            </w:r>
            <w:r>
              <w:rPr>
                <w:sz w:val="21"/>
              </w:rPr>
              <w:t>％，</w:t>
            </w:r>
            <w:r>
              <w:rPr>
                <w:spacing w:val="-3"/>
                <w:sz w:val="21"/>
              </w:rPr>
              <w:t>作</w:t>
            </w:r>
            <w:r>
              <w:rPr>
                <w:sz w:val="21"/>
              </w:rPr>
              <w:t>为</w:t>
            </w:r>
            <w:r>
              <w:rPr>
                <w:spacing w:val="-3"/>
                <w:sz w:val="21"/>
              </w:rPr>
              <w:t>评</w:t>
            </w:r>
            <w:r>
              <w:rPr>
                <w:sz w:val="21"/>
              </w:rPr>
              <w:t>标</w:t>
            </w:r>
            <w:r>
              <w:rPr>
                <w:spacing w:val="-3"/>
                <w:sz w:val="21"/>
              </w:rPr>
              <w:t>基准</w:t>
            </w:r>
            <w:r>
              <w:rPr>
                <w:sz w:val="21"/>
              </w:rPr>
              <w:t>价。</w:t>
            </w:r>
          </w:p>
          <w:p>
            <w:pPr>
              <w:pStyle w:val="21"/>
              <w:spacing w:before="91" w:line="321" w:lineRule="auto"/>
              <w:ind w:left="104" w:right="97" w:firstLine="420"/>
              <w:rPr>
                <w:sz w:val="21"/>
              </w:rPr>
            </w:pPr>
            <w:r>
              <w:rPr>
                <w:spacing w:val="-10"/>
                <w:sz w:val="21"/>
              </w:rPr>
              <w:t>方法三：招标人设置评标基准价系数，由投标人代表现场抽取，评</w:t>
            </w:r>
            <w:r>
              <w:rPr>
                <w:spacing w:val="-5"/>
                <w:sz w:val="21"/>
              </w:rPr>
              <w:t>标价平均值乘以现场抽取的评标基准价系数作为评标基准价。</w:t>
            </w:r>
          </w:p>
          <w:p>
            <w:pPr>
              <w:pStyle w:val="21"/>
              <w:spacing w:line="268" w:lineRule="exact"/>
              <w:ind w:left="524"/>
              <w:rPr>
                <w:rFonts w:ascii="Times New Roman" w:hAnsi="Times New Roman" w:eastAsia="Times New Roman"/>
                <w:sz w:val="21"/>
              </w:rPr>
            </w:pPr>
            <w:r>
              <w:rPr>
                <w:sz w:val="21"/>
              </w:rPr>
              <w:t>方法四：</w:t>
            </w:r>
            <w:r>
              <w:rPr>
                <w:rFonts w:ascii="Times New Roman" w:hAnsi="Times New Roman" w:eastAsia="Times New Roman"/>
                <w:sz w:val="21"/>
              </w:rPr>
              <w:t>……</w:t>
            </w:r>
          </w:p>
          <w:p>
            <w:pPr>
              <w:pStyle w:val="21"/>
              <w:spacing w:before="13" w:line="360" w:lineRule="exact"/>
              <w:ind w:left="104" w:right="-15" w:firstLine="420"/>
              <w:rPr>
                <w:spacing w:val="-3"/>
                <w:sz w:val="21"/>
              </w:rPr>
            </w:pPr>
            <w:r>
              <w:rPr>
                <w:sz w:val="21"/>
              </w:rPr>
              <w:t>在评标过程中，评标委员会应对招标人计算的评标基准价进行复</w:t>
            </w:r>
            <w:r>
              <w:rPr>
                <w:spacing w:val="-3"/>
                <w:sz w:val="21"/>
              </w:rPr>
              <w:t>核，存在计算错误的应予以修正并在评标报告中作出说明。除此之外， 评标基准价在整个评标期间保持不变，不随任何因素发生变化</w:t>
            </w:r>
          </w:p>
          <w:p>
            <w:pPr>
              <w:pStyle w:val="21"/>
              <w:spacing w:before="13" w:line="360" w:lineRule="exact"/>
              <w:ind w:left="104" w:right="-15" w:firstLine="420"/>
              <w:rPr>
                <w:spacing w:val="-3"/>
                <w:sz w:val="21"/>
              </w:rPr>
            </w:pPr>
            <w:r>
              <w:rPr>
                <w:rFonts w:hint="eastAsia"/>
                <w:sz w:val="21"/>
                <w:lang w:val="en-US"/>
              </w:rPr>
              <w:t>另：根据项目特点，招标人可选择</w:t>
            </w:r>
            <w:r>
              <w:rPr>
                <w:sz w:val="21"/>
                <w:lang w:val="en-US"/>
              </w:rPr>
              <w:t>四川省交通运输厅《关于印发&lt;四川省公路工程建设项目招标投标管理实施细则&gt;的通知》（川交发〔2019〕32号）</w:t>
            </w:r>
            <w:r>
              <w:rPr>
                <w:rFonts w:hint="eastAsia"/>
                <w:sz w:val="21"/>
                <w:lang w:val="en-US"/>
              </w:rPr>
              <w:t>所附评标基准价的确定方式。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989" w:type="dxa"/>
          </w:tcPr>
          <w:p>
            <w:pPr>
              <w:pStyle w:val="21"/>
              <w:spacing w:before="2"/>
              <w:rPr>
                <w:sz w:val="24"/>
              </w:rPr>
            </w:pPr>
          </w:p>
          <w:p>
            <w:pPr>
              <w:pStyle w:val="21"/>
              <w:ind w:left="157" w:right="148"/>
              <w:jc w:val="center"/>
              <w:rPr>
                <w:rFonts w:ascii="Times New Roman"/>
                <w:sz w:val="21"/>
              </w:rPr>
            </w:pPr>
            <w:r>
              <w:rPr>
                <w:rFonts w:ascii="Times New Roman"/>
                <w:sz w:val="21"/>
              </w:rPr>
              <w:t>2.2.3</w:t>
            </w:r>
          </w:p>
        </w:tc>
        <w:tc>
          <w:tcPr>
            <w:tcW w:w="1280" w:type="dxa"/>
            <w:tcBorders>
              <w:right w:val="single" w:color="000000" w:sz="6" w:space="0"/>
            </w:tcBorders>
          </w:tcPr>
          <w:p>
            <w:pPr>
              <w:pStyle w:val="21"/>
              <w:spacing w:before="3" w:line="380" w:lineRule="exact"/>
              <w:ind w:left="112" w:right="-15" w:hanging="104"/>
              <w:rPr>
                <w:sz w:val="21"/>
              </w:rPr>
            </w:pPr>
            <w:r>
              <w:rPr>
                <w:spacing w:val="-2"/>
                <w:sz w:val="21"/>
              </w:rPr>
              <w:t>评标价的偏差</w:t>
            </w:r>
            <w:r>
              <w:rPr>
                <w:spacing w:val="-3"/>
                <w:sz w:val="21"/>
              </w:rPr>
              <w:t>率计算公式</w:t>
            </w:r>
          </w:p>
        </w:tc>
        <w:tc>
          <w:tcPr>
            <w:tcW w:w="6626" w:type="dxa"/>
            <w:tcBorders>
              <w:left w:val="single" w:color="000000" w:sz="6" w:space="0"/>
            </w:tcBorders>
          </w:tcPr>
          <w:p>
            <w:pPr>
              <w:pStyle w:val="21"/>
              <w:tabs>
                <w:tab w:val="left" w:pos="1995"/>
              </w:tabs>
              <w:spacing w:before="6" w:line="360" w:lineRule="atLeast"/>
              <w:ind w:left="524" w:right="626"/>
              <w:rPr>
                <w:sz w:val="21"/>
              </w:rPr>
            </w:pPr>
            <w:r>
              <w:rPr>
                <w:sz w:val="21"/>
              </w:rPr>
              <w:t>偏差</w:t>
            </w:r>
            <w:r>
              <w:rPr>
                <w:spacing w:val="-3"/>
                <w:sz w:val="21"/>
              </w:rPr>
              <w:t>率</w:t>
            </w:r>
            <w:r>
              <w:rPr>
                <w:rFonts w:ascii="Times New Roman" w:hAnsi="Times New Roman" w:eastAsia="Times New Roman"/>
                <w:sz w:val="21"/>
              </w:rPr>
              <w:t>=100%</w:t>
            </w:r>
            <w:r>
              <w:rPr>
                <w:rFonts w:ascii="Times New Roman" w:hAnsi="Times New Roman" w:eastAsia="Times New Roman"/>
                <w:spacing w:val="18"/>
                <w:sz w:val="21"/>
              </w:rPr>
              <w:t xml:space="preserve"> </w:t>
            </w:r>
            <w:r>
              <w:rPr>
                <w:rFonts w:ascii="Times New Roman" w:hAnsi="Times New Roman" w:eastAsia="Times New Roman"/>
                <w:spacing w:val="-3"/>
                <w:sz w:val="21"/>
              </w:rPr>
              <w:t>×</w:t>
            </w:r>
            <w:r>
              <w:rPr>
                <w:spacing w:val="-3"/>
                <w:sz w:val="21"/>
              </w:rPr>
              <w:t>（</w:t>
            </w:r>
            <w:r>
              <w:rPr>
                <w:sz w:val="21"/>
              </w:rPr>
              <w:t>投</w:t>
            </w:r>
            <w:r>
              <w:rPr>
                <w:spacing w:val="-3"/>
                <w:sz w:val="21"/>
              </w:rPr>
              <w:t>标人</w:t>
            </w:r>
            <w:r>
              <w:rPr>
                <w:sz w:val="21"/>
              </w:rPr>
              <w:t>评标</w:t>
            </w:r>
            <w:r>
              <w:rPr>
                <w:spacing w:val="-3"/>
                <w:sz w:val="21"/>
              </w:rPr>
              <w:t>价</w:t>
            </w:r>
            <w:r>
              <w:rPr>
                <w:sz w:val="21"/>
              </w:rPr>
              <w:t>－</w:t>
            </w:r>
            <w:r>
              <w:rPr>
                <w:spacing w:val="-3"/>
                <w:sz w:val="21"/>
              </w:rPr>
              <w:t>评</w:t>
            </w:r>
            <w:r>
              <w:rPr>
                <w:sz w:val="21"/>
              </w:rPr>
              <w:t>标</w:t>
            </w:r>
            <w:r>
              <w:rPr>
                <w:spacing w:val="-3"/>
                <w:sz w:val="21"/>
              </w:rPr>
              <w:t>基</w:t>
            </w:r>
            <w:r>
              <w:rPr>
                <w:sz w:val="21"/>
              </w:rPr>
              <w:t>准</w:t>
            </w:r>
            <w:r>
              <w:rPr>
                <w:spacing w:val="-3"/>
                <w:sz w:val="21"/>
              </w:rPr>
              <w:t>价</w:t>
            </w:r>
            <w:r>
              <w:rPr>
                <w:sz w:val="21"/>
              </w:rPr>
              <w:t>）</w:t>
            </w:r>
            <w:r>
              <w:rPr>
                <w:rFonts w:ascii="Times New Roman" w:hAnsi="Times New Roman" w:eastAsia="Times New Roman"/>
                <w:sz w:val="21"/>
              </w:rPr>
              <w:t>/</w:t>
            </w:r>
            <w:r>
              <w:rPr>
                <w:spacing w:val="-3"/>
                <w:sz w:val="21"/>
              </w:rPr>
              <w:t>评</w:t>
            </w:r>
            <w:r>
              <w:rPr>
                <w:sz w:val="21"/>
              </w:rPr>
              <w:t>标基</w:t>
            </w:r>
            <w:r>
              <w:rPr>
                <w:spacing w:val="-3"/>
                <w:sz w:val="21"/>
              </w:rPr>
              <w:t>准</w:t>
            </w:r>
            <w:r>
              <w:rPr>
                <w:sz w:val="21"/>
              </w:rPr>
              <w:t>价偏差</w:t>
            </w:r>
            <w:r>
              <w:rPr>
                <w:spacing w:val="-3"/>
                <w:sz w:val="21"/>
              </w:rPr>
              <w:t>率</w:t>
            </w:r>
            <w:r>
              <w:rPr>
                <w:sz w:val="21"/>
              </w:rPr>
              <w:t>保</w:t>
            </w:r>
            <w:r>
              <w:rPr>
                <w:spacing w:val="-3"/>
                <w:sz w:val="21"/>
              </w:rPr>
              <w:t>留</w:t>
            </w:r>
            <w:r>
              <w:rPr>
                <w:spacing w:val="-3"/>
                <w:sz w:val="21"/>
                <w:u w:val="single"/>
              </w:rPr>
              <w:t xml:space="preserve"> </w:t>
            </w:r>
            <w:r>
              <w:rPr>
                <w:spacing w:val="-3"/>
                <w:sz w:val="21"/>
                <w:u w:val="single"/>
              </w:rPr>
              <w:tab/>
            </w:r>
            <w:r>
              <w:rPr>
                <w:sz w:val="21"/>
              </w:rPr>
              <w:t>位</w:t>
            </w:r>
            <w:r>
              <w:rPr>
                <w:spacing w:val="-3"/>
                <w:sz w:val="21"/>
              </w:rPr>
              <w:t>小数</w:t>
            </w:r>
          </w:p>
        </w:tc>
      </w:tr>
    </w:tbl>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2"/>
        <w:rPr>
          <w:sz w:val="23"/>
        </w:rPr>
      </w:pPr>
      <w:r>
        <mc:AlternateContent>
          <mc:Choice Requires="wps">
            <w:drawing>
              <wp:anchor distT="0" distB="0" distL="114300" distR="114300" simplePos="0" relativeHeight="251655168" behindDoc="0" locked="0" layoutInCell="1" allowOverlap="1">
                <wp:simplePos x="0" y="0"/>
                <wp:positionH relativeFrom="page">
                  <wp:posOffset>1043940</wp:posOffset>
                </wp:positionH>
                <wp:positionV relativeFrom="paragraph">
                  <wp:posOffset>216535</wp:posOffset>
                </wp:positionV>
                <wp:extent cx="1829435" cy="0"/>
                <wp:effectExtent l="0" t="0" r="0" b="0"/>
                <wp:wrapTopAndBottom/>
                <wp:docPr id="26" name="直线 56"/>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6" o:spid="_x0000_s1026" o:spt="20" style="position:absolute;left:0pt;margin-left:82.2pt;margin-top:17.05pt;height:0pt;width:144.05pt;mso-position-horizontal-relative:page;mso-wrap-distance-bottom:0pt;mso-wrap-distance-top:0pt;z-index:251655168;mso-width-relative:page;mso-height-relative:page;" filled="f" stroked="t" coordsize="21600,21600" o:gfxdata="UEsFBgAAAAAAAAAAAAAAAAAAAAAAAFBLAwQKAAAAAACHTuJAAAAAAAAAAAAAAAAABAAAAGRycy9Q&#10;SwMEFAAAAAgAh07iQFXLpLPYAAAACQEAAA8AAABkcnMvZG93bnJldi54bWxNj8FOwkAQhu8mvMNm&#10;SLzJtliw1m45YDThYIxAPC/dsS3tzjbdhcLbO8aDHv+ZL/98k68uthNnHHzjSEE8i0Aglc40VCnY&#10;717uUhA+aDK6c4QKruhhVUxucp0ZN9IHnrehElxCPtMK6hD6TEpf1mi1n7keiXdfbrA6cBwqaQY9&#10;crnt5DyKltLqhvhCrXtc11i225NV8JbKZ/fefpbX47h7TdNN+/iw2St1O42jJxABL+EPhh99VoeC&#10;nQ7uRMaLjvMySRhVcJ/EIBhIFvMFiMPvQBa5/P9B8Q1QSwMEFAAAAAgAh07iQLC6BVjRAQAAkgMA&#10;AA4AAABkcnMvZTJvRG9jLnhtbK1TO24bMRDtA+QOBPtoJSUW7IVWLqI4TZAYsHOAET+7BPgDh9JK&#10;Z8k1UqXJcXyNDClZzqcxjKighpzhm/ceZ5fXe2fZTiU0wXd8NplyprwI0vi+41/vb95ccoYZvAQb&#10;vOr4QSG/Xr1+tRxjq+ZhCFaqxAjEYzvGjg85x7ZpUAzKAU5CVJ6SOiQHmbapb2SCkdCdbebT6aIZ&#10;Q5IxBaEQ6XR9TPJVxddaifxFa1SZ2Y4Tt1zXVNdNWZvVEto+QRyMONGAF7BwYDw1PUOtIQPbJvMP&#10;lDMiBQw6T0RwTdDaCFU1kJrZ9C81dwNEVbWQORjPNuH/gxWfd7eJGdnx+YIzD47e6OHb94cfP9nF&#10;orgzRmyp6C7eptMOKSxS9zq58k8i2L46ejg7qvaZCTqcXc6v3r294Ew85pqnizFh/qiCYyXouDW+&#10;iIUWdp8wUzMqfSwpx9azseOL6RURFUCzoi1kCl0k9uj7eheDNfLGWFtuYOo3721iOyivX39FEuH+&#10;UVaarAGHY11NHediUCA/eMnyIZItngaYFwpOSc6sonkvEQFCm8HY51RSa+uJQXH16GOJNkEe6BW2&#10;MZl+ICdy2qpKtCTp4Svl05CWyfp9X8GePqX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FXLpLPY&#10;AAAACQEAAA8AAAAAAAAAAQAgAAAAOAAAAGRycy9kb3ducmV2LnhtbFBLAQIUABQAAAAIAIdO4kCw&#10;ugVY0QEAAJIDAAAOAAAAAAAAAAEAIAAAAD0BAABkcnMvZTJvRG9jLnhtbFBLBQYAAAAABgAGAFkB&#10;AACABQAAAAA=&#10;">
                <v:fill on="f" focussize="0,0"/>
                <v:stroke weight="0.48pt" color="#000000" joinstyle="round"/>
                <v:imagedata o:title=""/>
                <o:lock v:ext="edit" aspectratio="f"/>
                <w10:wrap type="topAndBottom"/>
              </v:line>
            </w:pict>
          </mc:Fallback>
        </mc:AlternateContent>
      </w:r>
    </w:p>
    <w:p>
      <w:pPr>
        <w:spacing w:before="148" w:line="331" w:lineRule="auto"/>
        <w:ind w:left="635" w:right="387" w:hanging="212"/>
        <w:jc w:val="right"/>
        <w:rPr>
          <w:sz w:val="18"/>
        </w:rPr>
      </w:pPr>
      <w:r>
        <w:rPr>
          <w:position w:val="8"/>
          <w:sz w:val="9"/>
        </w:rPr>
        <w:t xml:space="preserve">① </w:t>
      </w:r>
      <w:r>
        <w:rPr>
          <w:sz w:val="18"/>
        </w:rPr>
        <w:t>招标人可依据招标项目特点和实际需要，选择或制定适合项目的评标基准价计算方法。与评标基准价计算或评标价得分计算相关的所有系数（如有），其具体数值或随机抽取的数值区间均应在评标办法中予以明确。</w:t>
      </w:r>
    </w:p>
    <w:p>
      <w:pPr>
        <w:spacing w:line="331" w:lineRule="auto"/>
        <w:jc w:val="right"/>
        <w:rPr>
          <w:sz w:val="18"/>
        </w:rPr>
        <w:sectPr>
          <w:pgSz w:w="11910" w:h="16850"/>
          <w:pgMar w:top="1480" w:right="1200" w:bottom="1040" w:left="1220" w:header="876" w:footer="853" w:gutter="0"/>
          <w:cols w:space="720" w:num="1"/>
        </w:sectPr>
      </w:pPr>
    </w:p>
    <w:p>
      <w:pPr>
        <w:spacing w:before="109"/>
        <w:ind w:left="8446"/>
        <w:rPr>
          <w:sz w:val="21"/>
        </w:rPr>
      </w:pPr>
      <w:r>
        <w:rPr>
          <w:sz w:val="21"/>
        </w:rPr>
        <w:t>续上表</w:t>
      </w:r>
    </w:p>
    <w:tbl>
      <w:tblPr>
        <w:tblStyle w:val="19"/>
        <w:tblW w:w="8893"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373"/>
        <w:gridCol w:w="991"/>
        <w:gridCol w:w="3166"/>
        <w:gridCol w:w="771"/>
        <w:gridCol w:w="1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12" w:type="dxa"/>
            <w:gridSpan w:val="5"/>
          </w:tcPr>
          <w:p>
            <w:pPr>
              <w:pStyle w:val="21"/>
              <w:spacing w:before="109" w:line="252" w:lineRule="exact"/>
              <w:ind w:left="2829" w:right="2824"/>
              <w:jc w:val="center"/>
              <w:rPr>
                <w:b/>
                <w:sz w:val="11"/>
              </w:rPr>
            </w:pPr>
            <w:r>
              <w:rPr>
                <w:b/>
                <w:sz w:val="21"/>
              </w:rPr>
              <w:t>评分因素与权重分值</w:t>
            </w:r>
            <w:r>
              <w:rPr>
                <w:b/>
                <w:position w:val="10"/>
                <w:sz w:val="11"/>
              </w:rPr>
              <w:t>①</w:t>
            </w:r>
          </w:p>
        </w:tc>
        <w:tc>
          <w:tcPr>
            <w:tcW w:w="1181" w:type="dxa"/>
            <w:vMerge w:val="restart"/>
          </w:tcPr>
          <w:p>
            <w:pPr>
              <w:pStyle w:val="21"/>
            </w:pPr>
          </w:p>
          <w:p>
            <w:pPr>
              <w:pStyle w:val="21"/>
              <w:spacing w:before="8"/>
              <w:rPr>
                <w:sz w:val="16"/>
              </w:rPr>
            </w:pPr>
          </w:p>
          <w:p>
            <w:pPr>
              <w:pStyle w:val="21"/>
              <w:ind w:left="110"/>
              <w:rPr>
                <w:b/>
                <w:sz w:val="11"/>
              </w:rPr>
            </w:pPr>
            <w:r>
              <w:rPr>
                <w:b/>
                <w:sz w:val="21"/>
              </w:rPr>
              <w:t>评分标准</w:t>
            </w:r>
            <w:r>
              <w:rPr>
                <w:b/>
                <w:position w:val="10"/>
                <w:sz w:val="11"/>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411" w:type="dxa"/>
          </w:tcPr>
          <w:p>
            <w:pPr>
              <w:pStyle w:val="21"/>
              <w:spacing w:before="3"/>
              <w:rPr>
                <w:sz w:val="23"/>
              </w:rPr>
            </w:pPr>
          </w:p>
          <w:p>
            <w:pPr>
              <w:pStyle w:val="21"/>
              <w:spacing w:before="1"/>
              <w:ind w:right="271"/>
              <w:jc w:val="right"/>
              <w:rPr>
                <w:b/>
                <w:sz w:val="21"/>
              </w:rPr>
            </w:pPr>
            <w:r>
              <w:rPr>
                <w:b/>
                <w:sz w:val="21"/>
              </w:rPr>
              <w:t>条款号</w:t>
            </w:r>
            <w:r>
              <w:rPr>
                <w:b/>
                <w:w w:val="99"/>
                <w:sz w:val="21"/>
              </w:rPr>
              <w:t xml:space="preserve"> </w:t>
            </w:r>
          </w:p>
        </w:tc>
        <w:tc>
          <w:tcPr>
            <w:tcW w:w="1373" w:type="dxa"/>
          </w:tcPr>
          <w:p>
            <w:pPr>
              <w:pStyle w:val="21"/>
              <w:spacing w:before="3"/>
              <w:rPr>
                <w:sz w:val="23"/>
              </w:rPr>
            </w:pPr>
          </w:p>
          <w:p>
            <w:pPr>
              <w:pStyle w:val="21"/>
              <w:spacing w:before="1"/>
              <w:ind w:left="263"/>
              <w:rPr>
                <w:b/>
                <w:sz w:val="21"/>
              </w:rPr>
            </w:pPr>
            <w:r>
              <w:rPr>
                <w:b/>
                <w:sz w:val="21"/>
              </w:rPr>
              <w:t>评分因素</w:t>
            </w:r>
            <w:r>
              <w:rPr>
                <w:b/>
                <w:w w:val="99"/>
                <w:sz w:val="21"/>
              </w:rPr>
              <w:t xml:space="preserve"> </w:t>
            </w:r>
          </w:p>
        </w:tc>
        <w:tc>
          <w:tcPr>
            <w:tcW w:w="991" w:type="dxa"/>
          </w:tcPr>
          <w:p>
            <w:pPr>
              <w:pStyle w:val="21"/>
              <w:spacing w:before="15" w:line="380" w:lineRule="exact"/>
              <w:ind w:left="74" w:right="-44"/>
              <w:rPr>
                <w:b/>
                <w:sz w:val="21"/>
              </w:rPr>
            </w:pPr>
            <w:r>
              <w:rPr>
                <w:b/>
                <w:sz w:val="21"/>
              </w:rPr>
              <w:t>评分因素</w:t>
            </w:r>
            <w:r>
              <w:rPr>
                <w:b/>
                <w:spacing w:val="-1"/>
                <w:sz w:val="21"/>
              </w:rPr>
              <w:t>权重分值</w:t>
            </w:r>
            <w:r>
              <w:rPr>
                <w:b/>
                <w:w w:val="99"/>
                <w:sz w:val="21"/>
              </w:rPr>
              <w:t xml:space="preserve"> </w:t>
            </w:r>
          </w:p>
        </w:tc>
        <w:tc>
          <w:tcPr>
            <w:tcW w:w="3166" w:type="dxa"/>
          </w:tcPr>
          <w:p>
            <w:pPr>
              <w:pStyle w:val="21"/>
              <w:spacing w:before="3"/>
              <w:rPr>
                <w:sz w:val="23"/>
              </w:rPr>
            </w:pPr>
          </w:p>
          <w:p>
            <w:pPr>
              <w:pStyle w:val="21"/>
              <w:spacing w:before="1"/>
              <w:ind w:left="739"/>
              <w:rPr>
                <w:b/>
                <w:sz w:val="21"/>
              </w:rPr>
            </w:pPr>
            <w:r>
              <w:rPr>
                <w:b/>
                <w:sz w:val="21"/>
              </w:rPr>
              <w:t>各评分因素细分项</w:t>
            </w:r>
            <w:r>
              <w:rPr>
                <w:b/>
                <w:w w:val="99"/>
                <w:sz w:val="21"/>
              </w:rPr>
              <w:t xml:space="preserve"> </w:t>
            </w:r>
          </w:p>
        </w:tc>
        <w:tc>
          <w:tcPr>
            <w:tcW w:w="771" w:type="dxa"/>
          </w:tcPr>
          <w:p>
            <w:pPr>
              <w:pStyle w:val="21"/>
              <w:spacing w:before="3"/>
              <w:rPr>
                <w:sz w:val="23"/>
              </w:rPr>
            </w:pPr>
          </w:p>
          <w:p>
            <w:pPr>
              <w:pStyle w:val="21"/>
              <w:spacing w:before="1"/>
              <w:ind w:right="-15"/>
              <w:jc w:val="right"/>
              <w:rPr>
                <w:b/>
                <w:sz w:val="21"/>
              </w:rPr>
            </w:pPr>
            <w:r>
              <w:rPr>
                <w:b/>
                <w:sz w:val="21"/>
              </w:rPr>
              <w:t>分值</w:t>
            </w:r>
            <w:r>
              <w:rPr>
                <w:b/>
                <w:w w:val="99"/>
                <w:sz w:val="21"/>
              </w:rPr>
              <w:t xml:space="preserve"> </w:t>
            </w:r>
          </w:p>
        </w:tc>
        <w:tc>
          <w:tcPr>
            <w:tcW w:w="118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11" w:type="dxa"/>
            <w:vMerge w:val="restart"/>
          </w:tcPr>
          <w:p>
            <w:pPr>
              <w:pStyle w:val="21"/>
            </w:pPr>
          </w:p>
          <w:p>
            <w:pPr>
              <w:pStyle w:val="21"/>
            </w:pPr>
          </w:p>
          <w:p>
            <w:pPr>
              <w:pStyle w:val="21"/>
            </w:pPr>
          </w:p>
          <w:p>
            <w:pPr>
              <w:pStyle w:val="21"/>
            </w:pPr>
          </w:p>
          <w:p>
            <w:pPr>
              <w:pStyle w:val="21"/>
            </w:pPr>
          </w:p>
          <w:p>
            <w:pPr>
              <w:pStyle w:val="21"/>
            </w:pPr>
          </w:p>
          <w:p>
            <w:pPr>
              <w:pStyle w:val="21"/>
            </w:pPr>
          </w:p>
          <w:p>
            <w:pPr>
              <w:pStyle w:val="21"/>
            </w:pPr>
          </w:p>
          <w:p>
            <w:pPr>
              <w:pStyle w:val="21"/>
              <w:spacing w:before="158"/>
              <w:ind w:left="232"/>
              <w:rPr>
                <w:sz w:val="21"/>
              </w:rPr>
            </w:pPr>
            <w:r>
              <w:rPr>
                <w:rFonts w:ascii="Times New Roman" w:eastAsia="Times New Roman"/>
                <w:sz w:val="21"/>
              </w:rPr>
              <w:t>2.2.4</w:t>
            </w:r>
            <w:r>
              <w:rPr>
                <w:sz w:val="21"/>
              </w:rPr>
              <w:t>（</w:t>
            </w:r>
            <w:r>
              <w:rPr>
                <w:rFonts w:ascii="Times New Roman" w:eastAsia="Times New Roman"/>
                <w:sz w:val="21"/>
              </w:rPr>
              <w:t>1</w:t>
            </w:r>
            <w:r>
              <w:rPr>
                <w:sz w:val="21"/>
              </w:rPr>
              <w:t>）</w:t>
            </w:r>
          </w:p>
        </w:tc>
        <w:tc>
          <w:tcPr>
            <w:tcW w:w="1373" w:type="dxa"/>
            <w:vMerge w:val="restart"/>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173" w:line="338" w:lineRule="auto"/>
              <w:ind w:left="578" w:right="149" w:hanging="420"/>
              <w:rPr>
                <w:sz w:val="21"/>
              </w:rPr>
            </w:pPr>
            <w:r>
              <w:rPr>
                <w:sz w:val="21"/>
              </w:rPr>
              <w:t>施工组织设计</w:t>
            </w:r>
          </w:p>
        </w:tc>
        <w:tc>
          <w:tcPr>
            <w:tcW w:w="991" w:type="dxa"/>
            <w:vMerge w:val="restart"/>
          </w:tcPr>
          <w:p>
            <w:pPr>
              <w:pStyle w:val="21"/>
            </w:pPr>
          </w:p>
          <w:p>
            <w:pPr>
              <w:pStyle w:val="21"/>
            </w:pPr>
          </w:p>
          <w:p>
            <w:pPr>
              <w:pStyle w:val="21"/>
            </w:pPr>
          </w:p>
          <w:p>
            <w:pPr>
              <w:pStyle w:val="21"/>
            </w:pPr>
          </w:p>
          <w:p>
            <w:pPr>
              <w:pStyle w:val="21"/>
            </w:pPr>
          </w:p>
          <w:p>
            <w:pPr>
              <w:pStyle w:val="21"/>
            </w:pPr>
          </w:p>
          <w:p>
            <w:pPr>
              <w:pStyle w:val="21"/>
            </w:pPr>
          </w:p>
          <w:p>
            <w:pPr>
              <w:pStyle w:val="21"/>
            </w:pPr>
          </w:p>
          <w:p>
            <w:pPr>
              <w:pStyle w:val="21"/>
              <w:tabs>
                <w:tab w:val="left" w:pos="674"/>
              </w:tabs>
              <w:spacing w:before="158"/>
              <w:ind w:left="357"/>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66" w:type="dxa"/>
          </w:tcPr>
          <w:p>
            <w:pPr>
              <w:pStyle w:val="21"/>
              <w:spacing w:before="94" w:line="250" w:lineRule="exact"/>
              <w:ind w:left="293"/>
              <w:rPr>
                <w:sz w:val="21"/>
              </w:rPr>
            </w:pPr>
            <w:r>
              <w:rPr>
                <w:sz w:val="21"/>
              </w:rPr>
              <w:t>总体施工组织布置及规划</w:t>
            </w:r>
          </w:p>
        </w:tc>
        <w:tc>
          <w:tcPr>
            <w:tcW w:w="771" w:type="dxa"/>
          </w:tcPr>
          <w:p>
            <w:pPr>
              <w:pStyle w:val="21"/>
              <w:tabs>
                <w:tab w:val="left" w:pos="457"/>
              </w:tabs>
              <w:spacing w:before="94" w:line="250" w:lineRule="exact"/>
              <w:ind w:left="13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81" w:type="dxa"/>
          </w:tcPr>
          <w:p>
            <w:pPr>
              <w:pStyle w:val="21"/>
              <w:spacing w:before="118" w:line="226" w:lineRule="exact"/>
              <w:ind w:left="10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411" w:type="dxa"/>
            <w:vMerge w:val="continue"/>
            <w:tcBorders>
              <w:top w:val="nil"/>
            </w:tcBorders>
          </w:tcPr>
          <w:p>
            <w:pPr>
              <w:rPr>
                <w:sz w:val="2"/>
                <w:szCs w:val="2"/>
              </w:rPr>
            </w:pPr>
          </w:p>
        </w:tc>
        <w:tc>
          <w:tcPr>
            <w:tcW w:w="1373"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3166" w:type="dxa"/>
          </w:tcPr>
          <w:p>
            <w:pPr>
              <w:pStyle w:val="21"/>
              <w:spacing w:before="15" w:line="380" w:lineRule="exact"/>
              <w:ind w:left="108" w:right="96" w:firstLine="184"/>
              <w:rPr>
                <w:sz w:val="21"/>
              </w:rPr>
            </w:pPr>
            <w:r>
              <w:rPr>
                <w:sz w:val="21"/>
              </w:rPr>
              <w:t>主要工程项目的施工方案、方法与技术措施</w:t>
            </w:r>
          </w:p>
        </w:tc>
        <w:tc>
          <w:tcPr>
            <w:tcW w:w="771" w:type="dxa"/>
          </w:tcPr>
          <w:p>
            <w:pPr>
              <w:pStyle w:val="21"/>
              <w:spacing w:before="3"/>
              <w:rPr>
                <w:sz w:val="23"/>
              </w:rPr>
            </w:pPr>
          </w:p>
          <w:p>
            <w:pPr>
              <w:pStyle w:val="21"/>
              <w:tabs>
                <w:tab w:val="left" w:pos="457"/>
              </w:tabs>
              <w:spacing w:before="1"/>
              <w:ind w:left="13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81" w:type="dxa"/>
          </w:tcPr>
          <w:p>
            <w:pPr>
              <w:pStyle w:val="21"/>
              <w:spacing w:before="1"/>
              <w:rPr>
                <w:sz w:val="25"/>
              </w:rPr>
            </w:pPr>
          </w:p>
          <w:p>
            <w:pPr>
              <w:pStyle w:val="21"/>
              <w:spacing w:before="1"/>
              <w:ind w:left="10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411" w:type="dxa"/>
            <w:vMerge w:val="continue"/>
            <w:tcBorders>
              <w:top w:val="nil"/>
            </w:tcBorders>
          </w:tcPr>
          <w:p>
            <w:pPr>
              <w:rPr>
                <w:sz w:val="2"/>
                <w:szCs w:val="2"/>
              </w:rPr>
            </w:pPr>
          </w:p>
        </w:tc>
        <w:tc>
          <w:tcPr>
            <w:tcW w:w="1373"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3166" w:type="dxa"/>
          </w:tcPr>
          <w:p>
            <w:pPr>
              <w:pStyle w:val="21"/>
              <w:spacing w:before="94" w:line="250" w:lineRule="exact"/>
              <w:ind w:left="295"/>
              <w:rPr>
                <w:sz w:val="21"/>
              </w:rPr>
            </w:pPr>
            <w:r>
              <w:rPr>
                <w:sz w:val="21"/>
              </w:rPr>
              <w:t>工期保证体系及保证措施</w:t>
            </w:r>
          </w:p>
        </w:tc>
        <w:tc>
          <w:tcPr>
            <w:tcW w:w="771" w:type="dxa"/>
          </w:tcPr>
          <w:p>
            <w:pPr>
              <w:pStyle w:val="21"/>
              <w:tabs>
                <w:tab w:val="left" w:pos="457"/>
              </w:tabs>
              <w:spacing w:before="94" w:line="250" w:lineRule="exact"/>
              <w:ind w:left="13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81" w:type="dxa"/>
          </w:tcPr>
          <w:p>
            <w:pPr>
              <w:pStyle w:val="21"/>
              <w:spacing w:before="118" w:line="226" w:lineRule="exact"/>
              <w:ind w:left="10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continue"/>
            <w:tcBorders>
              <w:top w:val="nil"/>
            </w:tcBorders>
          </w:tcPr>
          <w:p>
            <w:pPr>
              <w:rPr>
                <w:sz w:val="2"/>
                <w:szCs w:val="2"/>
              </w:rPr>
            </w:pPr>
          </w:p>
        </w:tc>
        <w:tc>
          <w:tcPr>
            <w:tcW w:w="1373"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3166" w:type="dxa"/>
          </w:tcPr>
          <w:p>
            <w:pPr>
              <w:pStyle w:val="21"/>
              <w:spacing w:before="109" w:line="252" w:lineRule="exact"/>
              <w:ind w:left="295"/>
              <w:rPr>
                <w:sz w:val="21"/>
              </w:rPr>
            </w:pPr>
            <w:r>
              <w:rPr>
                <w:sz w:val="21"/>
              </w:rPr>
              <w:t>工程质量管理体系及保证措施</w:t>
            </w:r>
          </w:p>
        </w:tc>
        <w:tc>
          <w:tcPr>
            <w:tcW w:w="771" w:type="dxa"/>
          </w:tcPr>
          <w:p>
            <w:pPr>
              <w:pStyle w:val="21"/>
              <w:tabs>
                <w:tab w:val="left" w:pos="457"/>
              </w:tabs>
              <w:spacing w:before="109" w:line="252" w:lineRule="exact"/>
              <w:ind w:left="13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81" w:type="dxa"/>
          </w:tcPr>
          <w:p>
            <w:pPr>
              <w:pStyle w:val="21"/>
              <w:spacing w:before="133" w:line="229" w:lineRule="exact"/>
              <w:ind w:left="10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1" w:type="dxa"/>
            <w:vMerge w:val="continue"/>
            <w:tcBorders>
              <w:top w:val="nil"/>
            </w:tcBorders>
          </w:tcPr>
          <w:p>
            <w:pPr>
              <w:rPr>
                <w:sz w:val="2"/>
                <w:szCs w:val="2"/>
              </w:rPr>
            </w:pPr>
          </w:p>
        </w:tc>
        <w:tc>
          <w:tcPr>
            <w:tcW w:w="1373"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3166" w:type="dxa"/>
          </w:tcPr>
          <w:p>
            <w:pPr>
              <w:pStyle w:val="21"/>
              <w:spacing w:before="109" w:line="250" w:lineRule="exact"/>
              <w:ind w:left="295"/>
              <w:rPr>
                <w:sz w:val="21"/>
              </w:rPr>
            </w:pPr>
            <w:r>
              <w:rPr>
                <w:sz w:val="21"/>
              </w:rPr>
              <w:t>安全生产管理体系及保证措施</w:t>
            </w:r>
          </w:p>
        </w:tc>
        <w:tc>
          <w:tcPr>
            <w:tcW w:w="771" w:type="dxa"/>
          </w:tcPr>
          <w:p>
            <w:pPr>
              <w:pStyle w:val="21"/>
              <w:tabs>
                <w:tab w:val="left" w:pos="457"/>
              </w:tabs>
              <w:spacing w:before="109" w:line="250" w:lineRule="exact"/>
              <w:ind w:left="13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81" w:type="dxa"/>
          </w:tcPr>
          <w:p>
            <w:pPr>
              <w:pStyle w:val="21"/>
              <w:spacing w:before="132" w:line="226" w:lineRule="exact"/>
              <w:ind w:left="10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411" w:type="dxa"/>
            <w:vMerge w:val="continue"/>
            <w:tcBorders>
              <w:top w:val="nil"/>
            </w:tcBorders>
          </w:tcPr>
          <w:p>
            <w:pPr>
              <w:rPr>
                <w:sz w:val="2"/>
                <w:szCs w:val="2"/>
              </w:rPr>
            </w:pPr>
          </w:p>
        </w:tc>
        <w:tc>
          <w:tcPr>
            <w:tcW w:w="1373"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3166" w:type="dxa"/>
          </w:tcPr>
          <w:p>
            <w:pPr>
              <w:pStyle w:val="21"/>
              <w:spacing w:before="13" w:line="382" w:lineRule="exact"/>
              <w:ind w:left="108" w:right="95" w:firstLine="187"/>
              <w:rPr>
                <w:sz w:val="21"/>
              </w:rPr>
            </w:pPr>
            <w:r>
              <w:rPr>
                <w:sz w:val="21"/>
              </w:rPr>
              <w:t>环境保护、水土保持保证体系及保证措施</w:t>
            </w:r>
          </w:p>
        </w:tc>
        <w:tc>
          <w:tcPr>
            <w:tcW w:w="771" w:type="dxa"/>
          </w:tcPr>
          <w:p>
            <w:pPr>
              <w:pStyle w:val="21"/>
              <w:spacing w:before="6"/>
              <w:rPr>
                <w:sz w:val="23"/>
              </w:rPr>
            </w:pPr>
          </w:p>
          <w:p>
            <w:pPr>
              <w:pStyle w:val="21"/>
              <w:tabs>
                <w:tab w:val="left" w:pos="457"/>
              </w:tabs>
              <w:ind w:left="13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81" w:type="dxa"/>
          </w:tcPr>
          <w:p>
            <w:pPr>
              <w:pStyle w:val="21"/>
              <w:spacing w:before="4"/>
              <w:rPr>
                <w:sz w:val="25"/>
              </w:rPr>
            </w:pPr>
          </w:p>
          <w:p>
            <w:pPr>
              <w:pStyle w:val="21"/>
              <w:ind w:left="10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411" w:type="dxa"/>
            <w:vMerge w:val="continue"/>
            <w:tcBorders>
              <w:top w:val="nil"/>
            </w:tcBorders>
          </w:tcPr>
          <w:p>
            <w:pPr>
              <w:rPr>
                <w:sz w:val="2"/>
                <w:szCs w:val="2"/>
              </w:rPr>
            </w:pPr>
          </w:p>
        </w:tc>
        <w:tc>
          <w:tcPr>
            <w:tcW w:w="1373"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3166" w:type="dxa"/>
          </w:tcPr>
          <w:p>
            <w:pPr>
              <w:pStyle w:val="21"/>
              <w:spacing w:before="92"/>
              <w:ind w:left="295"/>
              <w:rPr>
                <w:sz w:val="21"/>
              </w:rPr>
            </w:pPr>
            <w:r>
              <w:rPr>
                <w:sz w:val="21"/>
              </w:rPr>
              <w:t>文明施工、文物保护保证体系</w:t>
            </w:r>
          </w:p>
          <w:p>
            <w:pPr>
              <w:pStyle w:val="21"/>
              <w:spacing w:before="113" w:line="250" w:lineRule="exact"/>
              <w:ind w:left="108"/>
              <w:rPr>
                <w:sz w:val="21"/>
              </w:rPr>
            </w:pPr>
            <w:r>
              <w:rPr>
                <w:sz w:val="21"/>
              </w:rPr>
              <w:t>及保证措施</w:t>
            </w:r>
          </w:p>
        </w:tc>
        <w:tc>
          <w:tcPr>
            <w:tcW w:w="771" w:type="dxa"/>
          </w:tcPr>
          <w:p>
            <w:pPr>
              <w:pStyle w:val="21"/>
            </w:pPr>
          </w:p>
          <w:p>
            <w:pPr>
              <w:pStyle w:val="21"/>
              <w:tabs>
                <w:tab w:val="left" w:pos="457"/>
              </w:tabs>
              <w:ind w:left="13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81" w:type="dxa"/>
          </w:tcPr>
          <w:p>
            <w:pPr>
              <w:pStyle w:val="21"/>
              <w:spacing w:before="10"/>
              <w:rPr>
                <w:sz w:val="23"/>
              </w:rPr>
            </w:pPr>
          </w:p>
          <w:p>
            <w:pPr>
              <w:pStyle w:val="21"/>
              <w:spacing w:before="1"/>
              <w:ind w:left="10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411" w:type="dxa"/>
            <w:vMerge w:val="continue"/>
            <w:tcBorders>
              <w:top w:val="nil"/>
            </w:tcBorders>
          </w:tcPr>
          <w:p>
            <w:pPr>
              <w:rPr>
                <w:sz w:val="2"/>
                <w:szCs w:val="2"/>
              </w:rPr>
            </w:pPr>
          </w:p>
        </w:tc>
        <w:tc>
          <w:tcPr>
            <w:tcW w:w="1373"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3166" w:type="dxa"/>
          </w:tcPr>
          <w:p>
            <w:pPr>
              <w:pStyle w:val="21"/>
              <w:spacing w:before="15" w:line="380" w:lineRule="exact"/>
              <w:ind w:left="108" w:right="95" w:firstLine="187"/>
              <w:rPr>
                <w:sz w:val="21"/>
              </w:rPr>
            </w:pPr>
            <w:r>
              <w:rPr>
                <w:sz w:val="21"/>
              </w:rPr>
              <w:t>项目风险预测与防范，事故应急预案</w:t>
            </w:r>
          </w:p>
        </w:tc>
        <w:tc>
          <w:tcPr>
            <w:tcW w:w="771" w:type="dxa"/>
          </w:tcPr>
          <w:p>
            <w:pPr>
              <w:pStyle w:val="21"/>
              <w:spacing w:before="3"/>
              <w:rPr>
                <w:sz w:val="23"/>
              </w:rPr>
            </w:pPr>
          </w:p>
          <w:p>
            <w:pPr>
              <w:pStyle w:val="21"/>
              <w:tabs>
                <w:tab w:val="left" w:pos="457"/>
              </w:tabs>
              <w:spacing w:before="1"/>
              <w:ind w:left="13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81" w:type="dxa"/>
          </w:tcPr>
          <w:p>
            <w:pPr>
              <w:pStyle w:val="21"/>
              <w:spacing w:before="1"/>
              <w:rPr>
                <w:sz w:val="25"/>
              </w:rPr>
            </w:pPr>
          </w:p>
          <w:p>
            <w:pPr>
              <w:pStyle w:val="21"/>
              <w:spacing w:before="1"/>
              <w:ind w:left="10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11" w:type="dxa"/>
            <w:vMerge w:val="continue"/>
            <w:tcBorders>
              <w:top w:val="nil"/>
            </w:tcBorders>
          </w:tcPr>
          <w:p>
            <w:pPr>
              <w:rPr>
                <w:sz w:val="2"/>
                <w:szCs w:val="2"/>
              </w:rPr>
            </w:pPr>
          </w:p>
        </w:tc>
        <w:tc>
          <w:tcPr>
            <w:tcW w:w="1373"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3166" w:type="dxa"/>
          </w:tcPr>
          <w:p>
            <w:pPr>
              <w:pStyle w:val="21"/>
              <w:spacing w:before="118" w:line="226" w:lineRule="exact"/>
              <w:ind w:left="295"/>
              <w:rPr>
                <w:rFonts w:ascii="Times New Roman" w:hAnsi="Times New Roman"/>
                <w:sz w:val="21"/>
              </w:rPr>
            </w:pPr>
            <w:r>
              <w:rPr>
                <w:rFonts w:ascii="Times New Roman" w:hAnsi="Times New Roman"/>
                <w:sz w:val="21"/>
              </w:rPr>
              <w:t>……</w:t>
            </w:r>
          </w:p>
        </w:tc>
        <w:tc>
          <w:tcPr>
            <w:tcW w:w="771" w:type="dxa"/>
          </w:tcPr>
          <w:p>
            <w:pPr>
              <w:pStyle w:val="21"/>
              <w:tabs>
                <w:tab w:val="left" w:pos="457"/>
              </w:tabs>
              <w:spacing w:before="94" w:line="250" w:lineRule="exact"/>
              <w:ind w:left="139"/>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1" w:type="dxa"/>
          </w:tcPr>
          <w:p>
            <w:pPr>
              <w:pStyle w:val="21"/>
              <w:spacing w:before="118" w:line="226" w:lineRule="exact"/>
              <w:ind w:left="108"/>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restart"/>
          </w:tcPr>
          <w:p>
            <w:pPr>
              <w:pStyle w:val="21"/>
            </w:pPr>
          </w:p>
          <w:p>
            <w:pPr>
              <w:pStyle w:val="21"/>
            </w:pPr>
          </w:p>
          <w:p>
            <w:pPr>
              <w:pStyle w:val="21"/>
              <w:spacing w:before="9"/>
              <w:rPr>
                <w:sz w:val="19"/>
              </w:rPr>
            </w:pPr>
          </w:p>
          <w:p>
            <w:pPr>
              <w:pStyle w:val="21"/>
              <w:spacing w:before="1"/>
              <w:ind w:left="230"/>
              <w:rPr>
                <w:sz w:val="21"/>
              </w:rPr>
            </w:pPr>
            <w:r>
              <w:rPr>
                <w:rFonts w:ascii="Times New Roman" w:eastAsia="Times New Roman"/>
                <w:sz w:val="21"/>
              </w:rPr>
              <w:t>2.2.4</w:t>
            </w:r>
            <w:r>
              <w:rPr>
                <w:sz w:val="21"/>
              </w:rPr>
              <w:t>（</w:t>
            </w:r>
            <w:r>
              <w:rPr>
                <w:rFonts w:ascii="Times New Roman" w:eastAsia="Times New Roman"/>
                <w:sz w:val="21"/>
              </w:rPr>
              <w:t>2</w:t>
            </w:r>
            <w:r>
              <w:rPr>
                <w:sz w:val="21"/>
              </w:rPr>
              <w:t>）</w:t>
            </w:r>
          </w:p>
        </w:tc>
        <w:tc>
          <w:tcPr>
            <w:tcW w:w="1373" w:type="dxa"/>
            <w:vMerge w:val="restart"/>
          </w:tcPr>
          <w:p>
            <w:pPr>
              <w:pStyle w:val="21"/>
              <w:rPr>
                <w:sz w:val="20"/>
              </w:rPr>
            </w:pPr>
          </w:p>
          <w:p>
            <w:pPr>
              <w:pStyle w:val="21"/>
              <w:rPr>
                <w:sz w:val="20"/>
              </w:rPr>
            </w:pPr>
          </w:p>
          <w:p>
            <w:pPr>
              <w:pStyle w:val="21"/>
              <w:spacing w:before="9"/>
              <w:rPr>
                <w:sz w:val="23"/>
              </w:rPr>
            </w:pPr>
          </w:p>
          <w:p>
            <w:pPr>
              <w:pStyle w:val="21"/>
              <w:spacing w:before="1"/>
              <w:ind w:left="263"/>
              <w:rPr>
                <w:sz w:val="21"/>
              </w:rPr>
            </w:pPr>
            <w:r>
              <w:rPr>
                <w:sz w:val="21"/>
              </w:rPr>
              <w:t>主要人员</w:t>
            </w:r>
          </w:p>
        </w:tc>
        <w:tc>
          <w:tcPr>
            <w:tcW w:w="991" w:type="dxa"/>
            <w:vMerge w:val="restart"/>
          </w:tcPr>
          <w:p>
            <w:pPr>
              <w:pStyle w:val="21"/>
            </w:pPr>
          </w:p>
          <w:p>
            <w:pPr>
              <w:pStyle w:val="21"/>
            </w:pPr>
          </w:p>
          <w:p>
            <w:pPr>
              <w:pStyle w:val="21"/>
              <w:spacing w:before="6"/>
              <w:rPr>
                <w:sz w:val="20"/>
              </w:rPr>
            </w:pPr>
          </w:p>
          <w:p>
            <w:pPr>
              <w:pStyle w:val="21"/>
              <w:tabs>
                <w:tab w:val="left" w:pos="674"/>
              </w:tabs>
              <w:ind w:left="357"/>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66" w:type="dxa"/>
          </w:tcPr>
          <w:p>
            <w:pPr>
              <w:pStyle w:val="21"/>
              <w:spacing w:before="109" w:line="252" w:lineRule="exact"/>
              <w:ind w:left="295"/>
              <w:rPr>
                <w:sz w:val="21"/>
              </w:rPr>
            </w:pPr>
            <w:r>
              <w:rPr>
                <w:sz w:val="21"/>
              </w:rPr>
              <w:t xml:space="preserve">项目经理任职资格与业绩 </w:t>
            </w:r>
          </w:p>
        </w:tc>
        <w:tc>
          <w:tcPr>
            <w:tcW w:w="771" w:type="dxa"/>
          </w:tcPr>
          <w:p>
            <w:pPr>
              <w:pStyle w:val="21"/>
              <w:spacing w:before="109" w:line="252" w:lineRule="exact"/>
              <w:ind w:right="-15"/>
              <w:jc w:val="right"/>
              <w:rPr>
                <w:sz w:val="21"/>
              </w:rPr>
            </w:pPr>
            <w:r>
              <w:rPr>
                <w:sz w:val="21"/>
                <w:u w:val="single"/>
              </w:rPr>
              <w:t xml:space="preserve">   </w:t>
            </w:r>
            <w:r>
              <w:rPr>
                <w:sz w:val="21"/>
              </w:rPr>
              <w:t xml:space="preserve">分 </w:t>
            </w:r>
          </w:p>
        </w:tc>
        <w:tc>
          <w:tcPr>
            <w:tcW w:w="1181" w:type="dxa"/>
          </w:tcPr>
          <w:p>
            <w:pPr>
              <w:pStyle w:val="21"/>
              <w:spacing w:before="132" w:line="229" w:lineRule="exact"/>
              <w:ind w:left="108"/>
              <w:rPr>
                <w:sz w:val="21"/>
              </w:rPr>
            </w:pPr>
            <w:r>
              <w:rPr>
                <w:rFonts w:ascii="Times New Roman" w:hAnsi="Times New Roman"/>
                <w:sz w:val="21"/>
              </w:rPr>
              <w:t>……</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411" w:type="dxa"/>
            <w:vMerge w:val="continue"/>
            <w:tcBorders>
              <w:top w:val="nil"/>
            </w:tcBorders>
          </w:tcPr>
          <w:p>
            <w:pPr>
              <w:rPr>
                <w:sz w:val="2"/>
                <w:szCs w:val="2"/>
              </w:rPr>
            </w:pPr>
          </w:p>
        </w:tc>
        <w:tc>
          <w:tcPr>
            <w:tcW w:w="1373"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3166" w:type="dxa"/>
          </w:tcPr>
          <w:p>
            <w:pPr>
              <w:pStyle w:val="21"/>
              <w:rPr>
                <w:sz w:val="24"/>
              </w:rPr>
            </w:pPr>
          </w:p>
          <w:p>
            <w:pPr>
              <w:pStyle w:val="21"/>
              <w:ind w:left="295"/>
              <w:rPr>
                <w:sz w:val="21"/>
              </w:rPr>
            </w:pPr>
            <w:r>
              <w:rPr>
                <w:sz w:val="21"/>
              </w:rPr>
              <w:t xml:space="preserve">项目总工任职资格与业绩 </w:t>
            </w:r>
          </w:p>
        </w:tc>
        <w:tc>
          <w:tcPr>
            <w:tcW w:w="771" w:type="dxa"/>
          </w:tcPr>
          <w:p>
            <w:pPr>
              <w:pStyle w:val="21"/>
              <w:rPr>
                <w:sz w:val="24"/>
              </w:rPr>
            </w:pPr>
          </w:p>
          <w:p>
            <w:pPr>
              <w:pStyle w:val="21"/>
              <w:ind w:right="-15"/>
              <w:jc w:val="right"/>
              <w:rPr>
                <w:sz w:val="21"/>
              </w:rPr>
            </w:pPr>
            <w:r>
              <w:rPr>
                <w:sz w:val="21"/>
                <w:u w:val="single"/>
              </w:rPr>
              <w:t xml:space="preserve">   </w:t>
            </w:r>
            <w:r>
              <w:rPr>
                <w:sz w:val="21"/>
              </w:rPr>
              <w:t xml:space="preserve">分 </w:t>
            </w:r>
          </w:p>
        </w:tc>
        <w:tc>
          <w:tcPr>
            <w:tcW w:w="1181" w:type="dxa"/>
          </w:tcPr>
          <w:p>
            <w:pPr>
              <w:pStyle w:val="21"/>
              <w:spacing w:before="132"/>
              <w:ind w:left="108"/>
              <w:rPr>
                <w:sz w:val="21"/>
              </w:rPr>
            </w:pPr>
            <w:r>
              <w:rPr>
                <w:rFonts w:ascii="Times New Roman" w:hAnsi="Times New Roman"/>
                <w:sz w:val="21"/>
              </w:rPr>
              <w:t>……</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411" w:type="dxa"/>
            <w:vMerge w:val="continue"/>
            <w:tcBorders>
              <w:top w:val="nil"/>
            </w:tcBorders>
          </w:tcPr>
          <w:p>
            <w:pPr>
              <w:rPr>
                <w:sz w:val="2"/>
                <w:szCs w:val="2"/>
              </w:rPr>
            </w:pPr>
          </w:p>
        </w:tc>
        <w:tc>
          <w:tcPr>
            <w:tcW w:w="1373"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3166" w:type="dxa"/>
          </w:tcPr>
          <w:p>
            <w:pPr>
              <w:pStyle w:val="21"/>
              <w:spacing w:before="3"/>
              <w:rPr>
                <w:sz w:val="20"/>
              </w:rPr>
            </w:pPr>
          </w:p>
          <w:p>
            <w:pPr>
              <w:pStyle w:val="21"/>
              <w:ind w:left="295"/>
              <w:rPr>
                <w:sz w:val="21"/>
              </w:rPr>
            </w:pPr>
            <w:r>
              <w:rPr>
                <w:rFonts w:ascii="Times New Roman" w:hAnsi="Times New Roman"/>
                <w:sz w:val="21"/>
              </w:rPr>
              <w:t>……</w:t>
            </w:r>
            <w:r>
              <w:rPr>
                <w:sz w:val="21"/>
              </w:rPr>
              <w:t xml:space="preserve"> </w:t>
            </w:r>
          </w:p>
        </w:tc>
        <w:tc>
          <w:tcPr>
            <w:tcW w:w="771" w:type="dxa"/>
          </w:tcPr>
          <w:p>
            <w:pPr>
              <w:pStyle w:val="21"/>
              <w:spacing w:before="5"/>
              <w:rPr>
                <w:sz w:val="18"/>
              </w:rPr>
            </w:pPr>
          </w:p>
          <w:p>
            <w:pPr>
              <w:pStyle w:val="21"/>
              <w:ind w:right="-15"/>
              <w:jc w:val="right"/>
              <w:rPr>
                <w:sz w:val="21"/>
              </w:rPr>
            </w:pPr>
            <w:r>
              <w:rPr>
                <w:sz w:val="21"/>
                <w:u w:val="single"/>
              </w:rPr>
              <w:t xml:space="preserve">   </w:t>
            </w:r>
            <w:r>
              <w:rPr>
                <w:sz w:val="21"/>
              </w:rPr>
              <w:t xml:space="preserve">分 </w:t>
            </w:r>
          </w:p>
        </w:tc>
        <w:tc>
          <w:tcPr>
            <w:tcW w:w="1181" w:type="dxa"/>
          </w:tcPr>
          <w:p>
            <w:pPr>
              <w:pStyle w:val="21"/>
              <w:spacing w:before="132"/>
              <w:ind w:left="108"/>
              <w:rPr>
                <w:sz w:val="21"/>
              </w:rPr>
            </w:pPr>
            <w:r>
              <w:rPr>
                <w:rFonts w:ascii="Times New Roman" w:hAnsi="Times New Roman"/>
                <w:sz w:val="21"/>
              </w:rPr>
              <w:t>……</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2" w:hRule="atLeast"/>
        </w:trPr>
        <w:tc>
          <w:tcPr>
            <w:tcW w:w="1411" w:type="dxa"/>
          </w:tcPr>
          <w:p>
            <w:pPr>
              <w:pStyle w:val="21"/>
            </w:pPr>
          </w:p>
          <w:p>
            <w:pPr>
              <w:pStyle w:val="21"/>
            </w:pPr>
          </w:p>
          <w:p>
            <w:pPr>
              <w:pStyle w:val="21"/>
            </w:pPr>
          </w:p>
          <w:p>
            <w:pPr>
              <w:pStyle w:val="21"/>
            </w:pPr>
          </w:p>
          <w:p>
            <w:pPr>
              <w:pStyle w:val="21"/>
            </w:pPr>
          </w:p>
          <w:p>
            <w:pPr>
              <w:pStyle w:val="21"/>
              <w:spacing w:before="4"/>
              <w:rPr>
                <w:sz w:val="17"/>
              </w:rPr>
            </w:pPr>
          </w:p>
          <w:p>
            <w:pPr>
              <w:pStyle w:val="21"/>
              <w:ind w:right="218"/>
              <w:jc w:val="right"/>
              <w:rPr>
                <w:sz w:val="21"/>
              </w:rPr>
            </w:pPr>
            <w:r>
              <w:rPr>
                <w:rFonts w:ascii="Times New Roman" w:eastAsia="Times New Roman"/>
                <w:sz w:val="21"/>
              </w:rPr>
              <w:t>2.2.4</w:t>
            </w:r>
            <w:r>
              <w:rPr>
                <w:sz w:val="21"/>
              </w:rPr>
              <w:t>（</w:t>
            </w:r>
            <w:r>
              <w:rPr>
                <w:rFonts w:ascii="Times New Roman" w:eastAsia="Times New Roman"/>
                <w:sz w:val="21"/>
              </w:rPr>
              <w:t>3</w:t>
            </w:r>
            <w:r>
              <w:rPr>
                <w:sz w:val="21"/>
              </w:rPr>
              <w:t>）</w:t>
            </w:r>
          </w:p>
        </w:tc>
        <w:tc>
          <w:tcPr>
            <w:tcW w:w="1373" w:type="dxa"/>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4"/>
              <w:rPr>
                <w:sz w:val="27"/>
              </w:rPr>
            </w:pPr>
          </w:p>
          <w:p>
            <w:pPr>
              <w:pStyle w:val="21"/>
              <w:ind w:left="369"/>
              <w:rPr>
                <w:sz w:val="21"/>
              </w:rPr>
            </w:pPr>
            <w:r>
              <w:rPr>
                <w:sz w:val="21"/>
              </w:rPr>
              <w:t>评标价</w:t>
            </w:r>
          </w:p>
        </w:tc>
        <w:tc>
          <w:tcPr>
            <w:tcW w:w="991" w:type="dxa"/>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4"/>
              <w:rPr>
                <w:sz w:val="27"/>
              </w:rPr>
            </w:pPr>
          </w:p>
          <w:p>
            <w:pPr>
              <w:pStyle w:val="21"/>
              <w:ind w:left="357" w:right="-15"/>
              <w:rPr>
                <w:sz w:val="21"/>
              </w:rPr>
            </w:pPr>
            <w:r>
              <w:rPr>
                <w:sz w:val="21"/>
                <w:u w:val="single"/>
              </w:rPr>
              <w:t xml:space="preserve">   </w:t>
            </w:r>
            <w:r>
              <w:rPr>
                <w:spacing w:val="-3"/>
                <w:sz w:val="21"/>
              </w:rPr>
              <w:t>分</w:t>
            </w:r>
            <w:r>
              <w:rPr>
                <w:sz w:val="21"/>
              </w:rPr>
              <w:t xml:space="preserve"> </w:t>
            </w:r>
          </w:p>
        </w:tc>
        <w:tc>
          <w:tcPr>
            <w:tcW w:w="5118" w:type="dxa"/>
            <w:gridSpan w:val="3"/>
          </w:tcPr>
          <w:p>
            <w:pPr>
              <w:pStyle w:val="21"/>
              <w:spacing w:before="109"/>
              <w:ind w:left="108"/>
              <w:rPr>
                <w:sz w:val="21"/>
              </w:rPr>
            </w:pPr>
            <w:r>
              <w:rPr>
                <w:sz w:val="21"/>
              </w:rPr>
              <w:t>评标价得分计算公式示例：</w:t>
            </w:r>
          </w:p>
          <w:p>
            <w:pPr>
              <w:pStyle w:val="21"/>
              <w:spacing w:before="112" w:line="338" w:lineRule="auto"/>
              <w:ind w:left="108" w:right="95"/>
              <w:jc w:val="both"/>
              <w:rPr>
                <w:sz w:val="21"/>
              </w:rPr>
            </w:pPr>
            <w:r>
              <w:rPr>
                <w:sz w:val="21"/>
              </w:rPr>
              <w:t>（</w:t>
            </w:r>
            <w:r>
              <w:rPr>
                <w:rFonts w:ascii="Times New Roman" w:hAnsi="Times New Roman" w:eastAsia="Times New Roman"/>
                <w:sz w:val="21"/>
              </w:rPr>
              <w:t>1</w:t>
            </w:r>
            <w:r>
              <w:rPr>
                <w:sz w:val="21"/>
              </w:rPr>
              <w:t>）如果投标人的评标价</w:t>
            </w:r>
            <w:r>
              <w:rPr>
                <w:rFonts w:ascii="Times New Roman" w:hAnsi="Times New Roman" w:eastAsia="Times New Roman"/>
                <w:sz w:val="21"/>
              </w:rPr>
              <w:t>&gt;</w:t>
            </w:r>
            <w:r>
              <w:rPr>
                <w:sz w:val="21"/>
              </w:rPr>
              <w:t>评标基准价，则评标价得分＝</w:t>
            </w:r>
            <w:r>
              <w:rPr>
                <w:rFonts w:ascii="Times New Roman" w:hAnsi="Times New Roman" w:eastAsia="Times New Roman"/>
                <w:sz w:val="21"/>
              </w:rPr>
              <w:t>F</w:t>
            </w:r>
            <w:r>
              <w:rPr>
                <w:sz w:val="21"/>
              </w:rPr>
              <w:t>－偏差率</w:t>
            </w:r>
            <w:r>
              <w:rPr>
                <w:rFonts w:ascii="Times New Roman" w:hAnsi="Times New Roman" w:eastAsia="Times New Roman"/>
                <w:sz w:val="21"/>
              </w:rPr>
              <w:t xml:space="preserve">×100× E </w:t>
            </w:r>
            <w:r>
              <w:rPr>
                <w:rFonts w:ascii="Times New Roman" w:hAnsi="Times New Roman" w:eastAsia="Times New Roman"/>
                <w:sz w:val="21"/>
                <w:vertAlign w:val="subscript"/>
              </w:rPr>
              <w:t>1</w:t>
            </w:r>
            <w:r>
              <w:rPr>
                <w:sz w:val="21"/>
              </w:rPr>
              <w:t>；</w:t>
            </w:r>
          </w:p>
          <w:p>
            <w:pPr>
              <w:pStyle w:val="21"/>
              <w:spacing w:line="340" w:lineRule="auto"/>
              <w:ind w:left="108" w:right="95"/>
              <w:jc w:val="both"/>
              <w:rPr>
                <w:sz w:val="21"/>
              </w:rPr>
            </w:pPr>
            <w:r>
              <w:rPr>
                <w:sz w:val="21"/>
              </w:rPr>
              <w:t>（</w:t>
            </w:r>
            <w:r>
              <w:rPr>
                <w:rFonts w:ascii="Times New Roman" w:hAnsi="Times New Roman" w:eastAsia="Times New Roman"/>
                <w:sz w:val="21"/>
              </w:rPr>
              <w:t>2</w:t>
            </w:r>
            <w:r>
              <w:rPr>
                <w:sz w:val="21"/>
              </w:rPr>
              <w:t>）如果投标人的评标价</w:t>
            </w:r>
            <w:r>
              <w:rPr>
                <w:rFonts w:ascii="Times New Roman" w:hAnsi="Times New Roman" w:eastAsia="Times New Roman"/>
                <w:sz w:val="21"/>
              </w:rPr>
              <w:t>≤</w:t>
            </w:r>
            <w:r>
              <w:rPr>
                <w:sz w:val="21"/>
              </w:rPr>
              <w:t>评标基准价，则评标价得分＝</w:t>
            </w:r>
            <w:r>
              <w:rPr>
                <w:rFonts w:ascii="Times New Roman" w:hAnsi="Times New Roman" w:eastAsia="Times New Roman"/>
                <w:sz w:val="21"/>
              </w:rPr>
              <w:t>F</w:t>
            </w:r>
            <w:r>
              <w:rPr>
                <w:sz w:val="21"/>
              </w:rPr>
              <w:t>＋偏差率</w:t>
            </w:r>
            <w:r>
              <w:rPr>
                <w:rFonts w:ascii="Times New Roman" w:hAnsi="Times New Roman" w:eastAsia="Times New Roman"/>
                <w:sz w:val="21"/>
              </w:rPr>
              <w:t xml:space="preserve">× 100× E </w:t>
            </w:r>
            <w:r>
              <w:rPr>
                <w:rFonts w:ascii="Times New Roman" w:hAnsi="Times New Roman" w:eastAsia="Times New Roman"/>
                <w:sz w:val="21"/>
                <w:vertAlign w:val="subscript"/>
              </w:rPr>
              <w:t>2</w:t>
            </w:r>
            <w:r>
              <w:rPr>
                <w:sz w:val="21"/>
              </w:rPr>
              <w:t>。</w:t>
            </w:r>
          </w:p>
          <w:p>
            <w:pPr>
              <w:pStyle w:val="21"/>
              <w:spacing w:line="338" w:lineRule="auto"/>
              <w:ind w:left="108" w:right="95"/>
              <w:jc w:val="both"/>
              <w:rPr>
                <w:sz w:val="21"/>
              </w:rPr>
            </w:pPr>
            <w:r>
              <w:rPr>
                <w:sz w:val="21"/>
              </w:rPr>
              <w:t>其中：</w:t>
            </w:r>
            <w:r>
              <w:rPr>
                <w:rFonts w:ascii="Times New Roman" w:eastAsia="Times New Roman"/>
                <w:sz w:val="21"/>
              </w:rPr>
              <w:t xml:space="preserve">F </w:t>
            </w:r>
            <w:r>
              <w:rPr>
                <w:sz w:val="21"/>
              </w:rPr>
              <w:t>是评标价所占的权重分值，</w:t>
            </w:r>
            <w:r>
              <w:rPr>
                <w:rFonts w:ascii="Times New Roman" w:eastAsia="Times New Roman"/>
                <w:sz w:val="21"/>
              </w:rPr>
              <w:t>E</w:t>
            </w:r>
            <w:r>
              <w:rPr>
                <w:rFonts w:ascii="Times New Roman" w:eastAsia="Times New Roman"/>
                <w:sz w:val="21"/>
                <w:vertAlign w:val="subscript"/>
              </w:rPr>
              <w:t>1</w:t>
            </w:r>
            <w:r>
              <w:rPr>
                <w:rFonts w:ascii="Times New Roman" w:eastAsia="Times New Roman"/>
                <w:sz w:val="21"/>
              </w:rPr>
              <w:t xml:space="preserve"> </w:t>
            </w:r>
            <w:r>
              <w:rPr>
                <w:sz w:val="21"/>
              </w:rPr>
              <w:t>是评标价每高于评标基准价一个百分点的扣分值，</w:t>
            </w:r>
            <w:r>
              <w:rPr>
                <w:rFonts w:ascii="Times New Roman" w:eastAsia="Times New Roman"/>
                <w:sz w:val="21"/>
              </w:rPr>
              <w:t>E</w:t>
            </w:r>
            <w:r>
              <w:rPr>
                <w:rFonts w:ascii="Times New Roman" w:eastAsia="Times New Roman"/>
                <w:sz w:val="21"/>
                <w:vertAlign w:val="subscript"/>
              </w:rPr>
              <w:t>2</w:t>
            </w:r>
            <w:r>
              <w:rPr>
                <w:rFonts w:ascii="Times New Roman" w:eastAsia="Times New Roman"/>
                <w:sz w:val="21"/>
              </w:rPr>
              <w:t xml:space="preserve"> </w:t>
            </w:r>
            <w:r>
              <w:rPr>
                <w:sz w:val="21"/>
              </w:rPr>
              <w:t>是评标价每低于评标基准价一个百分点的扣分值；招标人可依据招</w:t>
            </w:r>
          </w:p>
          <w:p>
            <w:pPr>
              <w:pStyle w:val="21"/>
              <w:spacing w:line="252" w:lineRule="exact"/>
              <w:ind w:left="108"/>
              <w:jc w:val="both"/>
              <w:rPr>
                <w:sz w:val="21"/>
              </w:rPr>
            </w:pPr>
            <w:r>
              <w:rPr>
                <w:spacing w:val="-6"/>
                <w:sz w:val="21"/>
              </w:rPr>
              <w:t xml:space="preserve">标项目具体特点和实际需要设置 </w:t>
            </w:r>
            <w:r>
              <w:rPr>
                <w:rFonts w:ascii="Times New Roman" w:eastAsia="Times New Roman"/>
                <w:sz w:val="21"/>
              </w:rPr>
              <w:t>E</w:t>
            </w:r>
            <w:r>
              <w:rPr>
                <w:rFonts w:ascii="Times New Roman" w:eastAsia="Times New Roman"/>
                <w:sz w:val="21"/>
                <w:vertAlign w:val="subscript"/>
              </w:rPr>
              <w:t>1</w:t>
            </w:r>
            <w:r>
              <w:rPr>
                <w:spacing w:val="-17"/>
                <w:sz w:val="21"/>
              </w:rPr>
              <w:t>、</w:t>
            </w:r>
            <w:r>
              <w:rPr>
                <w:rFonts w:ascii="Times New Roman" w:eastAsia="Times New Roman"/>
                <w:spacing w:val="-7"/>
                <w:sz w:val="21"/>
              </w:rPr>
              <w:t>E</w:t>
            </w:r>
            <w:r>
              <w:rPr>
                <w:rFonts w:ascii="Times New Roman" w:eastAsia="Times New Roman"/>
                <w:spacing w:val="-7"/>
                <w:sz w:val="21"/>
                <w:vertAlign w:val="subscript"/>
              </w:rPr>
              <w:t>2</w:t>
            </w:r>
            <w:r>
              <w:rPr>
                <w:spacing w:val="-19"/>
                <w:sz w:val="21"/>
              </w:rPr>
              <w:t xml:space="preserve">，但 </w:t>
            </w:r>
            <w:r>
              <w:rPr>
                <w:rFonts w:ascii="Times New Roman" w:eastAsia="Times New Roman"/>
                <w:sz w:val="21"/>
              </w:rPr>
              <w:t>E</w:t>
            </w:r>
            <w:r>
              <w:rPr>
                <w:rFonts w:ascii="Times New Roman" w:eastAsia="Times New Roman"/>
                <w:sz w:val="21"/>
                <w:vertAlign w:val="subscript"/>
              </w:rPr>
              <w:t>1</w:t>
            </w:r>
            <w:r>
              <w:rPr>
                <w:rFonts w:ascii="Times New Roman" w:eastAsia="Times New Roman"/>
                <w:sz w:val="21"/>
              </w:rPr>
              <w:t xml:space="preserve"> </w:t>
            </w:r>
            <w:r>
              <w:rPr>
                <w:spacing w:val="-2"/>
                <w:sz w:val="21"/>
              </w:rPr>
              <w:t>应大于</w:t>
            </w:r>
          </w:p>
        </w:tc>
      </w:tr>
    </w:tbl>
    <w:p>
      <w:pPr>
        <w:pStyle w:val="11"/>
        <w:spacing w:before="9"/>
        <w:rPr>
          <w:sz w:val="8"/>
        </w:rPr>
      </w:pPr>
      <w:r>
        <mc:AlternateContent>
          <mc:Choice Requires="wps">
            <w:drawing>
              <wp:anchor distT="0" distB="0" distL="114300" distR="114300" simplePos="0" relativeHeight="251656192" behindDoc="0" locked="0" layoutInCell="1" allowOverlap="1">
                <wp:simplePos x="0" y="0"/>
                <wp:positionH relativeFrom="page">
                  <wp:posOffset>1043940</wp:posOffset>
                </wp:positionH>
                <wp:positionV relativeFrom="paragraph">
                  <wp:posOffset>99060</wp:posOffset>
                </wp:positionV>
                <wp:extent cx="1829435" cy="0"/>
                <wp:effectExtent l="0" t="0" r="0" b="0"/>
                <wp:wrapTopAndBottom/>
                <wp:docPr id="27" name="直线 55"/>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5" o:spid="_x0000_s1026" o:spt="20" style="position:absolute;left:0pt;margin-left:82.2pt;margin-top:7.8pt;height:0pt;width:144.05pt;mso-position-horizontal-relative:page;mso-wrap-distance-bottom:0pt;mso-wrap-distance-top:0pt;z-index:251656192;mso-width-relative:page;mso-height-relative:page;" filled="f" stroked="t" coordsize="21600,21600" o:gfxdata="UEsFBgAAAAAAAAAAAAAAAAAAAAAAAFBLAwQKAAAAAACHTuJAAAAAAAAAAAAAAAAABAAAAGRycy9Q&#10;SwMEFAAAAAgAh07iQNazGWTYAAAACQEAAA8AAABkcnMvZG93bnJldi54bWxNj81OwzAQhO9IvIO1&#10;SNyo0yoJIY3TAwikHhDqjzi78TYJiddR7Dbt27OIA9x2dkez3xSri+3FGUffOlIwn0UgkCpnWqoV&#10;7HevDxkIHzQZ3TtCBVf0sCpvbwqdGzfRBs/bUAsOIZ9rBU0IQy6lrxq02s/cgMS3oxutDizHWppR&#10;Txxue7mIolRa3RJ/aPSAzw1W3fZkFbxn8sV9dJ/V9WvavWXZunt6XO+Vur+bR0sQAS/hzww/+IwO&#10;JTMd3ImMFz3rNI7ZykOSgmBDnCwSEIffhSwL+b9B+Q1QSwMEFAAAAAgAh07iQGnTtHnRAQAAkgMA&#10;AA4AAABkcnMvZTJvRG9jLnhtbK1TS44TMRDdI3EHy3vSSSBhppXOLAjDBsFIAweo+NNtyT+5nHRy&#10;Fq7Big3HmWtQdjIZPhuEyMIpu8qv3nuuXt0cnGV7ldAE3/HZZMqZ8iJI4/uOf/50++KKM8zgJdjg&#10;VcePCvnN+vmz1RhbNQ9DsFIlRiAe2zF2fMg5tk2DYlAOcBKi8pTUITnItE19IxOMhO5sM59Ol80Y&#10;kowpCIVIp5tTkq8rvtZK5I9ao8rMdpy45bqmum7L2qxX0PYJ4mDEmQb8AwsHxlPTC9QGMrBdMn9A&#10;OSNSwKDzRATXBK2NUFUDqZlNf1NzP0BUVQuZg/FiE/4/WPFhf5eYkR2fv+bMg6M3evjy9eHbd7ZY&#10;FHfGiC0V3ce7dN4hhUXqQSdX/kkEO1RHjxdH1SEzQYezq/n1q5cLzsRjrnm6GBPmdyo4VoKOW+OL&#10;WGhh/x4zNaPSx5JybD0bO76cXi8JDmhWtIVMoYvEHn1f72KwRt4aa8sNTP32jU1sD+X1669IItxf&#10;ykqTDeBwqqup01wMCuRbL1k+RrLF0wDzQsEpyZlVNO8lIkBoMxj7N5XU2npiUFw9+ViibZBHeoVd&#10;TKYfyImcdqoSLUl6+Er5PKRlsn7eV7CnT2n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azGWTY&#10;AAAACQEAAA8AAAAAAAAAAQAgAAAAOAAAAGRycy9kb3ducmV2LnhtbFBLAQIUABQAAAAIAIdO4kBp&#10;07R50QEAAJIDAAAOAAAAAAAAAAEAIAAAAD0BAABkcnMvZTJvRG9jLnhtbFBLBQYAAAAABgAGAFkB&#10;AACABQAAAAA=&#10;">
                <v:fill on="f" focussize="0,0"/>
                <v:stroke weight="0.48pt" color="#000000" joinstyle="round"/>
                <v:imagedata o:title=""/>
                <o:lock v:ext="edit" aspectratio="f"/>
                <w10:wrap type="topAndBottom"/>
              </v:line>
            </w:pict>
          </mc:Fallback>
        </mc:AlternateContent>
      </w:r>
    </w:p>
    <w:p>
      <w:pPr>
        <w:spacing w:before="129" w:line="312" w:lineRule="auto"/>
        <w:ind w:left="604" w:right="404" w:hanging="180"/>
        <w:jc w:val="both"/>
        <w:rPr>
          <w:sz w:val="18"/>
        </w:rPr>
      </w:pPr>
      <w:r>
        <w:rPr>
          <w:position w:val="8"/>
          <w:sz w:val="9"/>
        </w:rPr>
        <w:t xml:space="preserve">① </w:t>
      </w:r>
      <w:r>
        <w:rPr>
          <w:sz w:val="18"/>
        </w:rPr>
        <w:t>招标人应根据项目具体情况确定各评分因素及评分因素权重分值，并对各评分因素进行细分（如有）、确定</w:t>
      </w:r>
      <w:r>
        <w:rPr>
          <w:spacing w:val="-2"/>
          <w:sz w:val="18"/>
        </w:rPr>
        <w:t xml:space="preserve">各评分因素细分项的分值，各评分因素权重分值合计应为 </w:t>
      </w:r>
      <w:r>
        <w:rPr>
          <w:rFonts w:ascii="Times New Roman" w:hAnsi="Times New Roman" w:eastAsia="Times New Roman"/>
          <w:sz w:val="18"/>
        </w:rPr>
        <w:t xml:space="preserve">100 </w:t>
      </w:r>
      <w:r>
        <w:rPr>
          <w:sz w:val="18"/>
        </w:rPr>
        <w:t>分。各评分因素（</w:t>
      </w:r>
      <w:r>
        <w:rPr>
          <w:spacing w:val="-1"/>
          <w:sz w:val="18"/>
        </w:rPr>
        <w:t>评标价和履约信誉评分项除外）</w:t>
      </w:r>
      <w:r>
        <w:rPr>
          <w:spacing w:val="-5"/>
          <w:sz w:val="18"/>
        </w:rPr>
        <w:t xml:space="preserve">得分一般不得低于其权重分值的 </w:t>
      </w:r>
      <w:r>
        <w:rPr>
          <w:rFonts w:ascii="Times New Roman" w:hAnsi="Times New Roman" w:eastAsia="Times New Roman"/>
          <w:sz w:val="18"/>
        </w:rPr>
        <w:t>60%</w:t>
      </w:r>
      <w:r>
        <w:rPr>
          <w:spacing w:val="-1"/>
          <w:sz w:val="18"/>
        </w:rPr>
        <w:t>，且各评分因素得分应以评标委员会各成员的打分平均值确定，评</w:t>
      </w:r>
      <w:r>
        <w:rPr>
          <w:spacing w:val="-6"/>
          <w:sz w:val="18"/>
        </w:rPr>
        <w:t xml:space="preserve">标委员会成员总数为 </w:t>
      </w:r>
      <w:r>
        <w:rPr>
          <w:rFonts w:ascii="Times New Roman" w:hAnsi="Times New Roman" w:eastAsia="Times New Roman"/>
          <w:sz w:val="18"/>
        </w:rPr>
        <w:t xml:space="preserve">7 </w:t>
      </w:r>
      <w:r>
        <w:rPr>
          <w:spacing w:val="-1"/>
          <w:sz w:val="18"/>
        </w:rPr>
        <w:t>人以上时，该平均值以去掉一个最高分和一个最低分后计算。评标委员会成员对某一</w:t>
      </w:r>
      <w:r>
        <w:rPr>
          <w:spacing w:val="-4"/>
          <w:sz w:val="18"/>
        </w:rPr>
        <w:t xml:space="preserve">项评分因素的评分低于权重分值 </w:t>
      </w:r>
      <w:r>
        <w:rPr>
          <w:rFonts w:ascii="Times New Roman" w:hAnsi="Times New Roman" w:eastAsia="Times New Roman"/>
          <w:sz w:val="18"/>
        </w:rPr>
        <w:t>60%</w:t>
      </w:r>
      <w:r>
        <w:rPr>
          <w:spacing w:val="-1"/>
          <w:sz w:val="18"/>
        </w:rPr>
        <w:t>的，应在评标报告中作出说明。</w:t>
      </w:r>
    </w:p>
    <w:p>
      <w:pPr>
        <w:spacing w:before="1"/>
        <w:ind w:left="424"/>
        <w:rPr>
          <w:sz w:val="18"/>
        </w:rPr>
      </w:pPr>
      <w:r>
        <w:rPr>
          <w:position w:val="8"/>
          <w:sz w:val="9"/>
        </w:rPr>
        <w:t xml:space="preserve">② </w:t>
      </w:r>
      <w:r>
        <w:rPr>
          <w:sz w:val="18"/>
        </w:rPr>
        <w:t>招标人应列明各评分因素或各评分因素细分项（如有）的评分标准并作为评标委员会进行评分的依据。</w:t>
      </w:r>
    </w:p>
    <w:p>
      <w:pPr>
        <w:rPr>
          <w:sz w:val="18"/>
        </w:rPr>
        <w:sectPr>
          <w:pgSz w:w="11910" w:h="16850"/>
          <w:pgMar w:top="1480" w:right="1200" w:bottom="1080" w:left="1220" w:header="883" w:footer="884" w:gutter="0"/>
          <w:cols w:space="720" w:num="1"/>
        </w:sectPr>
      </w:pPr>
    </w:p>
    <w:p>
      <w:pPr>
        <w:pStyle w:val="11"/>
        <w:spacing w:before="5"/>
        <w:rPr>
          <w:sz w:val="8"/>
        </w:rPr>
      </w:pPr>
    </w:p>
    <w:tbl>
      <w:tblPr>
        <w:tblStyle w:val="19"/>
        <w:tblW w:w="8888"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453"/>
        <w:gridCol w:w="919"/>
        <w:gridCol w:w="990"/>
        <w:gridCol w:w="3165"/>
        <w:gridCol w:w="770"/>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08" w:type="dxa"/>
            <w:gridSpan w:val="6"/>
          </w:tcPr>
          <w:p>
            <w:pPr>
              <w:pStyle w:val="21"/>
              <w:spacing w:before="109" w:line="250" w:lineRule="exact"/>
              <w:ind w:left="2829" w:right="2820"/>
              <w:jc w:val="center"/>
              <w:rPr>
                <w:b/>
                <w:sz w:val="11"/>
              </w:rPr>
            </w:pPr>
            <w:r>
              <w:rPr>
                <w:b/>
                <w:sz w:val="21"/>
              </w:rPr>
              <w:t>评分因素与权重分值</w:t>
            </w:r>
            <w:r>
              <w:rPr>
                <w:b/>
                <w:position w:val="10"/>
                <w:sz w:val="11"/>
              </w:rPr>
              <w:t>①</w:t>
            </w:r>
          </w:p>
        </w:tc>
        <w:tc>
          <w:tcPr>
            <w:tcW w:w="1180" w:type="dxa"/>
            <w:vMerge w:val="restart"/>
          </w:tcPr>
          <w:p>
            <w:pPr>
              <w:pStyle w:val="21"/>
            </w:pPr>
          </w:p>
          <w:p>
            <w:pPr>
              <w:pStyle w:val="21"/>
              <w:spacing w:before="6"/>
              <w:rPr>
                <w:sz w:val="16"/>
              </w:rPr>
            </w:pPr>
          </w:p>
          <w:p>
            <w:pPr>
              <w:pStyle w:val="21"/>
              <w:ind w:left="114"/>
              <w:rPr>
                <w:b/>
                <w:sz w:val="11"/>
              </w:rPr>
            </w:pPr>
            <w:r>
              <w:rPr>
                <w:b/>
                <w:sz w:val="21"/>
              </w:rPr>
              <w:t>评分标准</w:t>
            </w:r>
            <w:r>
              <w:rPr>
                <w:b/>
                <w:position w:val="10"/>
                <w:sz w:val="11"/>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411" w:type="dxa"/>
          </w:tcPr>
          <w:p>
            <w:pPr>
              <w:pStyle w:val="21"/>
              <w:spacing w:before="3"/>
              <w:rPr>
                <w:sz w:val="23"/>
              </w:rPr>
            </w:pPr>
          </w:p>
          <w:p>
            <w:pPr>
              <w:pStyle w:val="21"/>
              <w:spacing w:before="1"/>
              <w:ind w:left="388"/>
              <w:rPr>
                <w:b/>
                <w:sz w:val="21"/>
              </w:rPr>
            </w:pPr>
            <w:r>
              <w:rPr>
                <w:b/>
                <w:sz w:val="21"/>
              </w:rPr>
              <w:t>条款号</w:t>
            </w:r>
            <w:r>
              <w:rPr>
                <w:b/>
                <w:w w:val="99"/>
                <w:sz w:val="21"/>
              </w:rPr>
              <w:t xml:space="preserve"> </w:t>
            </w:r>
          </w:p>
        </w:tc>
        <w:tc>
          <w:tcPr>
            <w:tcW w:w="1372" w:type="dxa"/>
            <w:gridSpan w:val="2"/>
          </w:tcPr>
          <w:p>
            <w:pPr>
              <w:pStyle w:val="21"/>
              <w:spacing w:before="3"/>
              <w:rPr>
                <w:sz w:val="23"/>
              </w:rPr>
            </w:pPr>
          </w:p>
          <w:p>
            <w:pPr>
              <w:pStyle w:val="21"/>
              <w:spacing w:before="1"/>
              <w:ind w:left="263"/>
              <w:rPr>
                <w:b/>
                <w:sz w:val="21"/>
              </w:rPr>
            </w:pPr>
            <w:r>
              <w:rPr>
                <w:b/>
                <w:sz w:val="21"/>
              </w:rPr>
              <w:t>评分因素</w:t>
            </w:r>
            <w:r>
              <w:rPr>
                <w:b/>
                <w:w w:val="99"/>
                <w:sz w:val="21"/>
              </w:rPr>
              <w:t xml:space="preserve"> </w:t>
            </w:r>
          </w:p>
        </w:tc>
        <w:tc>
          <w:tcPr>
            <w:tcW w:w="990" w:type="dxa"/>
          </w:tcPr>
          <w:p>
            <w:pPr>
              <w:pStyle w:val="21"/>
              <w:spacing w:before="13" w:line="382" w:lineRule="exact"/>
              <w:ind w:left="75" w:right="-58"/>
              <w:rPr>
                <w:b/>
                <w:sz w:val="21"/>
              </w:rPr>
            </w:pPr>
            <w:r>
              <w:rPr>
                <w:b/>
                <w:sz w:val="21"/>
              </w:rPr>
              <w:t>评分因素</w:t>
            </w:r>
            <w:r>
              <w:rPr>
                <w:b/>
                <w:spacing w:val="-1"/>
                <w:sz w:val="21"/>
              </w:rPr>
              <w:t>权重分值</w:t>
            </w:r>
            <w:r>
              <w:rPr>
                <w:b/>
                <w:w w:val="99"/>
                <w:sz w:val="21"/>
              </w:rPr>
              <w:t xml:space="preserve"> </w:t>
            </w:r>
          </w:p>
        </w:tc>
        <w:tc>
          <w:tcPr>
            <w:tcW w:w="3165" w:type="dxa"/>
          </w:tcPr>
          <w:p>
            <w:pPr>
              <w:pStyle w:val="21"/>
              <w:spacing w:before="3"/>
              <w:rPr>
                <w:sz w:val="23"/>
              </w:rPr>
            </w:pPr>
          </w:p>
          <w:p>
            <w:pPr>
              <w:pStyle w:val="21"/>
              <w:spacing w:before="1"/>
              <w:ind w:left="774" w:right="653"/>
              <w:jc w:val="center"/>
              <w:rPr>
                <w:b/>
                <w:sz w:val="21"/>
              </w:rPr>
            </w:pPr>
            <w:r>
              <w:rPr>
                <w:b/>
                <w:sz w:val="21"/>
              </w:rPr>
              <w:t>各评分因素细分项</w:t>
            </w:r>
            <w:r>
              <w:rPr>
                <w:b/>
                <w:w w:val="99"/>
                <w:sz w:val="21"/>
              </w:rPr>
              <w:t xml:space="preserve"> </w:t>
            </w:r>
          </w:p>
        </w:tc>
        <w:tc>
          <w:tcPr>
            <w:tcW w:w="770" w:type="dxa"/>
          </w:tcPr>
          <w:p>
            <w:pPr>
              <w:pStyle w:val="21"/>
              <w:spacing w:before="3"/>
              <w:rPr>
                <w:sz w:val="23"/>
              </w:rPr>
            </w:pPr>
          </w:p>
          <w:p>
            <w:pPr>
              <w:pStyle w:val="21"/>
              <w:spacing w:before="1"/>
              <w:ind w:left="245" w:right="-29"/>
              <w:rPr>
                <w:b/>
                <w:sz w:val="21"/>
              </w:rPr>
            </w:pPr>
            <w:r>
              <w:rPr>
                <w:b/>
                <w:sz w:val="21"/>
              </w:rPr>
              <w:t>分值</w:t>
            </w:r>
            <w:r>
              <w:rPr>
                <w:b/>
                <w:w w:val="99"/>
                <w:sz w:val="21"/>
              </w:rPr>
              <w:t xml:space="preserve"> </w:t>
            </w:r>
          </w:p>
        </w:tc>
        <w:tc>
          <w:tcPr>
            <w:tcW w:w="11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411" w:type="dxa"/>
          </w:tcPr>
          <w:p>
            <w:pPr>
              <w:pStyle w:val="21"/>
              <w:rPr>
                <w:rFonts w:ascii="Times New Roman"/>
                <w:sz w:val="20"/>
              </w:rPr>
            </w:pPr>
          </w:p>
        </w:tc>
        <w:tc>
          <w:tcPr>
            <w:tcW w:w="1372" w:type="dxa"/>
            <w:gridSpan w:val="2"/>
          </w:tcPr>
          <w:p>
            <w:pPr>
              <w:pStyle w:val="21"/>
              <w:rPr>
                <w:rFonts w:ascii="Times New Roman"/>
                <w:sz w:val="20"/>
              </w:rPr>
            </w:pPr>
          </w:p>
        </w:tc>
        <w:tc>
          <w:tcPr>
            <w:tcW w:w="990" w:type="dxa"/>
          </w:tcPr>
          <w:p>
            <w:pPr>
              <w:pStyle w:val="21"/>
              <w:rPr>
                <w:rFonts w:ascii="Times New Roman"/>
                <w:sz w:val="20"/>
              </w:rPr>
            </w:pPr>
          </w:p>
        </w:tc>
        <w:tc>
          <w:tcPr>
            <w:tcW w:w="5115" w:type="dxa"/>
            <w:gridSpan w:val="3"/>
          </w:tcPr>
          <w:p>
            <w:pPr>
              <w:pStyle w:val="21"/>
              <w:spacing w:before="116" w:line="226" w:lineRule="exact"/>
              <w:ind w:left="110"/>
              <w:rPr>
                <w:rFonts w:ascii="Times New Roman"/>
                <w:sz w:val="21"/>
              </w:rPr>
            </w:pPr>
            <w:r>
              <w:rPr>
                <w:rFonts w:ascii="Times New Roman"/>
                <w:sz w:val="21"/>
              </w:rPr>
              <w:t>E</w:t>
            </w:r>
            <w:r>
              <w:rPr>
                <w:rFonts w:ascii="Times New Roman"/>
                <w:sz w:val="21"/>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restart"/>
          </w:tcPr>
          <w:p>
            <w:pPr>
              <w:pStyle w:val="21"/>
            </w:pPr>
          </w:p>
          <w:p>
            <w:pPr>
              <w:pStyle w:val="21"/>
            </w:pPr>
          </w:p>
          <w:p>
            <w:pPr>
              <w:pStyle w:val="21"/>
            </w:pPr>
          </w:p>
          <w:p>
            <w:pPr>
              <w:pStyle w:val="21"/>
            </w:pPr>
          </w:p>
          <w:p>
            <w:pPr>
              <w:pStyle w:val="21"/>
            </w:pPr>
          </w:p>
          <w:p>
            <w:pPr>
              <w:pStyle w:val="21"/>
            </w:pPr>
          </w:p>
          <w:p>
            <w:pPr>
              <w:pStyle w:val="21"/>
              <w:spacing w:before="175"/>
              <w:ind w:left="232"/>
              <w:rPr>
                <w:sz w:val="21"/>
              </w:rPr>
            </w:pPr>
            <w:r>
              <w:rPr>
                <w:rFonts w:ascii="Times New Roman" w:eastAsia="Times New Roman"/>
                <w:sz w:val="21"/>
              </w:rPr>
              <w:t>2.2.4</w:t>
            </w:r>
            <w:r>
              <w:rPr>
                <w:sz w:val="21"/>
              </w:rPr>
              <w:t>（</w:t>
            </w:r>
            <w:r>
              <w:rPr>
                <w:rFonts w:ascii="Times New Roman" w:eastAsia="Times New Roman"/>
                <w:sz w:val="21"/>
              </w:rPr>
              <w:t>4</w:t>
            </w:r>
            <w:r>
              <w:rPr>
                <w:sz w:val="21"/>
              </w:rPr>
              <w:t>）</w:t>
            </w:r>
          </w:p>
        </w:tc>
        <w:tc>
          <w:tcPr>
            <w:tcW w:w="453" w:type="dxa"/>
            <w:vMerge w:val="restart"/>
          </w:tcPr>
          <w:p>
            <w:pPr>
              <w:pStyle w:val="21"/>
              <w:rPr>
                <w:sz w:val="20"/>
              </w:rPr>
            </w:pPr>
          </w:p>
          <w:p>
            <w:pPr>
              <w:pStyle w:val="21"/>
              <w:rPr>
                <w:sz w:val="20"/>
              </w:rPr>
            </w:pPr>
          </w:p>
          <w:p>
            <w:pPr>
              <w:pStyle w:val="21"/>
              <w:rPr>
                <w:sz w:val="20"/>
              </w:rPr>
            </w:pPr>
          </w:p>
          <w:p>
            <w:pPr>
              <w:pStyle w:val="21"/>
              <w:rPr>
                <w:sz w:val="20"/>
              </w:rPr>
            </w:pPr>
          </w:p>
          <w:p>
            <w:pPr>
              <w:pStyle w:val="21"/>
              <w:spacing w:before="1"/>
              <w:rPr>
                <w:sz w:val="21"/>
              </w:rPr>
            </w:pPr>
          </w:p>
          <w:p>
            <w:pPr>
              <w:pStyle w:val="21"/>
              <w:spacing w:line="338" w:lineRule="auto"/>
              <w:ind w:left="119" w:right="109"/>
              <w:jc w:val="both"/>
              <w:rPr>
                <w:sz w:val="21"/>
              </w:rPr>
            </w:pPr>
            <w:r>
              <w:rPr>
                <w:sz w:val="21"/>
              </w:rPr>
              <w:t>其他因素</w:t>
            </w:r>
          </w:p>
        </w:tc>
        <w:tc>
          <w:tcPr>
            <w:tcW w:w="919" w:type="dxa"/>
            <w:vMerge w:val="restart"/>
          </w:tcPr>
          <w:p>
            <w:pPr>
              <w:pStyle w:val="21"/>
              <w:spacing w:before="5" w:line="380" w:lineRule="atLeast"/>
              <w:ind w:left="250" w:right="234"/>
              <w:rPr>
                <w:sz w:val="21"/>
              </w:rPr>
            </w:pPr>
            <w:r>
              <w:rPr>
                <w:sz w:val="21"/>
              </w:rPr>
              <w:t>技术能力</w:t>
            </w:r>
          </w:p>
        </w:tc>
        <w:tc>
          <w:tcPr>
            <w:tcW w:w="990" w:type="dxa"/>
            <w:vMerge w:val="restart"/>
          </w:tcPr>
          <w:p>
            <w:pPr>
              <w:pStyle w:val="21"/>
              <w:spacing w:before="11"/>
              <w:rPr>
                <w:sz w:val="23"/>
              </w:rPr>
            </w:pPr>
          </w:p>
          <w:p>
            <w:pPr>
              <w:pStyle w:val="21"/>
              <w:tabs>
                <w:tab w:val="left" w:pos="675"/>
              </w:tabs>
              <w:ind w:left="358"/>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65" w:type="dxa"/>
          </w:tcPr>
          <w:p>
            <w:pPr>
              <w:pStyle w:val="21"/>
              <w:spacing w:before="135" w:line="226" w:lineRule="exact"/>
              <w:ind w:left="671" w:right="653"/>
              <w:jc w:val="center"/>
              <w:rPr>
                <w:rFonts w:ascii="Times New Roman" w:hAnsi="Times New Roman"/>
                <w:sz w:val="21"/>
              </w:rPr>
            </w:pPr>
            <w:r>
              <w:rPr>
                <w:rFonts w:ascii="Times New Roman" w:hAnsi="Times New Roman"/>
                <w:sz w:val="21"/>
              </w:rPr>
              <w:t>……</w:t>
            </w:r>
          </w:p>
        </w:tc>
        <w:tc>
          <w:tcPr>
            <w:tcW w:w="770" w:type="dxa"/>
          </w:tcPr>
          <w:p>
            <w:pPr>
              <w:pStyle w:val="21"/>
              <w:tabs>
                <w:tab w:val="left" w:pos="460"/>
              </w:tabs>
              <w:spacing w:before="111" w:line="250" w:lineRule="exact"/>
              <w:ind w:left="142"/>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0" w:type="dxa"/>
          </w:tcPr>
          <w:p>
            <w:pPr>
              <w:pStyle w:val="21"/>
              <w:spacing w:before="135" w:line="226" w:lineRule="exact"/>
              <w:ind w:left="364" w:right="34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1" w:type="dxa"/>
            <w:vMerge w:val="continue"/>
            <w:tcBorders>
              <w:top w:val="nil"/>
            </w:tcBorders>
          </w:tcPr>
          <w:p>
            <w:pPr>
              <w:rPr>
                <w:sz w:val="2"/>
                <w:szCs w:val="2"/>
              </w:rPr>
            </w:pPr>
          </w:p>
        </w:tc>
        <w:tc>
          <w:tcPr>
            <w:tcW w:w="453" w:type="dxa"/>
            <w:vMerge w:val="continue"/>
            <w:tcBorders>
              <w:top w:val="nil"/>
            </w:tcBorders>
          </w:tcPr>
          <w:p>
            <w:pPr>
              <w:rPr>
                <w:sz w:val="2"/>
                <w:szCs w:val="2"/>
              </w:rPr>
            </w:pPr>
          </w:p>
        </w:tc>
        <w:tc>
          <w:tcPr>
            <w:tcW w:w="919" w:type="dxa"/>
            <w:vMerge w:val="continue"/>
            <w:tcBorders>
              <w:top w:val="nil"/>
            </w:tcBorders>
          </w:tcPr>
          <w:p>
            <w:pPr>
              <w:rPr>
                <w:sz w:val="2"/>
                <w:szCs w:val="2"/>
              </w:rPr>
            </w:pPr>
          </w:p>
        </w:tc>
        <w:tc>
          <w:tcPr>
            <w:tcW w:w="990" w:type="dxa"/>
            <w:vMerge w:val="continue"/>
            <w:tcBorders>
              <w:top w:val="nil"/>
            </w:tcBorders>
          </w:tcPr>
          <w:p>
            <w:pPr>
              <w:rPr>
                <w:sz w:val="2"/>
                <w:szCs w:val="2"/>
              </w:rPr>
            </w:pPr>
          </w:p>
        </w:tc>
        <w:tc>
          <w:tcPr>
            <w:tcW w:w="3165" w:type="dxa"/>
          </w:tcPr>
          <w:p>
            <w:pPr>
              <w:pStyle w:val="21"/>
              <w:spacing w:before="132" w:line="226" w:lineRule="exact"/>
              <w:ind w:left="671" w:right="653"/>
              <w:jc w:val="center"/>
              <w:rPr>
                <w:rFonts w:ascii="Times New Roman" w:hAnsi="Times New Roman"/>
                <w:sz w:val="21"/>
              </w:rPr>
            </w:pPr>
            <w:r>
              <w:rPr>
                <w:rFonts w:ascii="Times New Roman" w:hAnsi="Times New Roman"/>
                <w:sz w:val="21"/>
              </w:rPr>
              <w:t>……</w:t>
            </w:r>
          </w:p>
        </w:tc>
        <w:tc>
          <w:tcPr>
            <w:tcW w:w="770" w:type="dxa"/>
          </w:tcPr>
          <w:p>
            <w:pPr>
              <w:pStyle w:val="21"/>
              <w:tabs>
                <w:tab w:val="left" w:pos="428"/>
              </w:tabs>
              <w:spacing w:before="108" w:line="250" w:lineRule="exact"/>
              <w:ind w:left="1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0" w:type="dxa"/>
          </w:tcPr>
          <w:p>
            <w:pPr>
              <w:pStyle w:val="21"/>
              <w:spacing w:before="132" w:line="226" w:lineRule="exact"/>
              <w:ind w:left="364" w:right="34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continue"/>
            <w:tcBorders>
              <w:top w:val="nil"/>
            </w:tcBorders>
          </w:tcPr>
          <w:p>
            <w:pPr>
              <w:rPr>
                <w:sz w:val="2"/>
                <w:szCs w:val="2"/>
              </w:rPr>
            </w:pPr>
          </w:p>
        </w:tc>
        <w:tc>
          <w:tcPr>
            <w:tcW w:w="453" w:type="dxa"/>
            <w:vMerge w:val="continue"/>
            <w:tcBorders>
              <w:top w:val="nil"/>
            </w:tcBorders>
          </w:tcPr>
          <w:p>
            <w:pPr>
              <w:rPr>
                <w:sz w:val="2"/>
                <w:szCs w:val="2"/>
              </w:rPr>
            </w:pPr>
          </w:p>
        </w:tc>
        <w:tc>
          <w:tcPr>
            <w:tcW w:w="919" w:type="dxa"/>
            <w:vMerge w:val="restart"/>
          </w:tcPr>
          <w:p>
            <w:pPr>
              <w:pStyle w:val="21"/>
              <w:spacing w:before="5" w:line="380" w:lineRule="atLeast"/>
              <w:ind w:left="250" w:right="234"/>
              <w:rPr>
                <w:sz w:val="21"/>
              </w:rPr>
            </w:pPr>
            <w:r>
              <w:rPr>
                <w:sz w:val="21"/>
              </w:rPr>
              <w:t>财务能力</w:t>
            </w:r>
          </w:p>
        </w:tc>
        <w:tc>
          <w:tcPr>
            <w:tcW w:w="990" w:type="dxa"/>
            <w:vMerge w:val="restart"/>
          </w:tcPr>
          <w:p>
            <w:pPr>
              <w:pStyle w:val="21"/>
              <w:spacing w:before="11"/>
              <w:rPr>
                <w:sz w:val="23"/>
              </w:rPr>
            </w:pPr>
          </w:p>
          <w:p>
            <w:pPr>
              <w:pStyle w:val="21"/>
              <w:tabs>
                <w:tab w:val="left" w:pos="675"/>
              </w:tabs>
              <w:ind w:left="358"/>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65" w:type="dxa"/>
          </w:tcPr>
          <w:p>
            <w:pPr>
              <w:pStyle w:val="21"/>
              <w:spacing w:before="135" w:line="226" w:lineRule="exact"/>
              <w:ind w:left="671" w:right="653"/>
              <w:jc w:val="center"/>
              <w:rPr>
                <w:rFonts w:ascii="Times New Roman" w:hAnsi="Times New Roman"/>
                <w:sz w:val="21"/>
              </w:rPr>
            </w:pPr>
            <w:r>
              <w:rPr>
                <w:rFonts w:ascii="Times New Roman" w:hAnsi="Times New Roman"/>
                <w:sz w:val="21"/>
              </w:rPr>
              <w:t>……</w:t>
            </w:r>
          </w:p>
        </w:tc>
        <w:tc>
          <w:tcPr>
            <w:tcW w:w="770" w:type="dxa"/>
          </w:tcPr>
          <w:p>
            <w:pPr>
              <w:pStyle w:val="21"/>
              <w:tabs>
                <w:tab w:val="left" w:pos="460"/>
              </w:tabs>
              <w:spacing w:before="111" w:line="250" w:lineRule="exact"/>
              <w:ind w:left="142"/>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0" w:type="dxa"/>
          </w:tcPr>
          <w:p>
            <w:pPr>
              <w:pStyle w:val="21"/>
              <w:spacing w:before="135" w:line="226" w:lineRule="exact"/>
              <w:ind w:left="364" w:right="34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411" w:type="dxa"/>
            <w:vMerge w:val="continue"/>
            <w:tcBorders>
              <w:top w:val="nil"/>
            </w:tcBorders>
          </w:tcPr>
          <w:p>
            <w:pPr>
              <w:rPr>
                <w:sz w:val="2"/>
                <w:szCs w:val="2"/>
              </w:rPr>
            </w:pPr>
          </w:p>
        </w:tc>
        <w:tc>
          <w:tcPr>
            <w:tcW w:w="453" w:type="dxa"/>
            <w:vMerge w:val="continue"/>
            <w:tcBorders>
              <w:top w:val="nil"/>
            </w:tcBorders>
          </w:tcPr>
          <w:p>
            <w:pPr>
              <w:rPr>
                <w:sz w:val="2"/>
                <w:szCs w:val="2"/>
              </w:rPr>
            </w:pPr>
          </w:p>
        </w:tc>
        <w:tc>
          <w:tcPr>
            <w:tcW w:w="919" w:type="dxa"/>
            <w:vMerge w:val="continue"/>
            <w:tcBorders>
              <w:top w:val="nil"/>
            </w:tcBorders>
          </w:tcPr>
          <w:p>
            <w:pPr>
              <w:rPr>
                <w:sz w:val="2"/>
                <w:szCs w:val="2"/>
              </w:rPr>
            </w:pPr>
          </w:p>
        </w:tc>
        <w:tc>
          <w:tcPr>
            <w:tcW w:w="990" w:type="dxa"/>
            <w:vMerge w:val="continue"/>
            <w:tcBorders>
              <w:top w:val="nil"/>
            </w:tcBorders>
          </w:tcPr>
          <w:p>
            <w:pPr>
              <w:rPr>
                <w:sz w:val="2"/>
                <w:szCs w:val="2"/>
              </w:rPr>
            </w:pPr>
          </w:p>
        </w:tc>
        <w:tc>
          <w:tcPr>
            <w:tcW w:w="3165" w:type="dxa"/>
          </w:tcPr>
          <w:p>
            <w:pPr>
              <w:pStyle w:val="21"/>
              <w:spacing w:before="133" w:line="226" w:lineRule="exact"/>
              <w:ind w:left="671" w:right="653"/>
              <w:jc w:val="center"/>
              <w:rPr>
                <w:rFonts w:ascii="Times New Roman" w:hAnsi="Times New Roman"/>
                <w:sz w:val="21"/>
              </w:rPr>
            </w:pPr>
            <w:r>
              <w:rPr>
                <w:rFonts w:ascii="Times New Roman" w:hAnsi="Times New Roman"/>
                <w:sz w:val="21"/>
              </w:rPr>
              <w:t>……</w:t>
            </w:r>
          </w:p>
        </w:tc>
        <w:tc>
          <w:tcPr>
            <w:tcW w:w="770" w:type="dxa"/>
          </w:tcPr>
          <w:p>
            <w:pPr>
              <w:pStyle w:val="21"/>
              <w:tabs>
                <w:tab w:val="left" w:pos="428"/>
              </w:tabs>
              <w:spacing w:before="109" w:line="250" w:lineRule="exact"/>
              <w:ind w:left="1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0" w:type="dxa"/>
          </w:tcPr>
          <w:p>
            <w:pPr>
              <w:pStyle w:val="21"/>
              <w:spacing w:before="133" w:line="226" w:lineRule="exact"/>
              <w:ind w:left="364" w:right="34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continue"/>
            <w:tcBorders>
              <w:top w:val="nil"/>
            </w:tcBorders>
          </w:tcPr>
          <w:p>
            <w:pPr>
              <w:rPr>
                <w:sz w:val="2"/>
                <w:szCs w:val="2"/>
              </w:rPr>
            </w:pPr>
          </w:p>
        </w:tc>
        <w:tc>
          <w:tcPr>
            <w:tcW w:w="453" w:type="dxa"/>
            <w:vMerge w:val="continue"/>
            <w:tcBorders>
              <w:top w:val="nil"/>
            </w:tcBorders>
          </w:tcPr>
          <w:p>
            <w:pPr>
              <w:rPr>
                <w:sz w:val="2"/>
                <w:szCs w:val="2"/>
              </w:rPr>
            </w:pPr>
          </w:p>
        </w:tc>
        <w:tc>
          <w:tcPr>
            <w:tcW w:w="919" w:type="dxa"/>
            <w:vMerge w:val="restart"/>
          </w:tcPr>
          <w:p>
            <w:pPr>
              <w:pStyle w:val="21"/>
              <w:spacing w:before="11"/>
              <w:rPr>
                <w:sz w:val="23"/>
              </w:rPr>
            </w:pPr>
          </w:p>
          <w:p>
            <w:pPr>
              <w:pStyle w:val="21"/>
              <w:ind w:left="247"/>
              <w:rPr>
                <w:sz w:val="21"/>
              </w:rPr>
            </w:pPr>
            <w:r>
              <w:rPr>
                <w:sz w:val="21"/>
              </w:rPr>
              <w:t>业绩</w:t>
            </w:r>
          </w:p>
        </w:tc>
        <w:tc>
          <w:tcPr>
            <w:tcW w:w="990" w:type="dxa"/>
            <w:vMerge w:val="restart"/>
          </w:tcPr>
          <w:p>
            <w:pPr>
              <w:pStyle w:val="21"/>
              <w:spacing w:before="11"/>
              <w:rPr>
                <w:sz w:val="23"/>
              </w:rPr>
            </w:pPr>
          </w:p>
          <w:p>
            <w:pPr>
              <w:pStyle w:val="21"/>
              <w:tabs>
                <w:tab w:val="left" w:pos="675"/>
              </w:tabs>
              <w:ind w:left="358"/>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65" w:type="dxa"/>
          </w:tcPr>
          <w:p>
            <w:pPr>
              <w:pStyle w:val="21"/>
              <w:spacing w:before="135" w:line="226" w:lineRule="exact"/>
              <w:ind w:left="671" w:right="653"/>
              <w:jc w:val="center"/>
              <w:rPr>
                <w:rFonts w:ascii="Times New Roman" w:hAnsi="Times New Roman"/>
                <w:sz w:val="21"/>
              </w:rPr>
            </w:pPr>
            <w:r>
              <w:rPr>
                <w:rFonts w:ascii="Times New Roman" w:hAnsi="Times New Roman"/>
                <w:sz w:val="21"/>
              </w:rPr>
              <w:t>……</w:t>
            </w:r>
          </w:p>
        </w:tc>
        <w:tc>
          <w:tcPr>
            <w:tcW w:w="770" w:type="dxa"/>
          </w:tcPr>
          <w:p>
            <w:pPr>
              <w:pStyle w:val="21"/>
              <w:tabs>
                <w:tab w:val="left" w:pos="428"/>
              </w:tabs>
              <w:spacing w:before="111" w:line="250" w:lineRule="exact"/>
              <w:ind w:left="1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0" w:type="dxa"/>
          </w:tcPr>
          <w:p>
            <w:pPr>
              <w:pStyle w:val="21"/>
              <w:spacing w:before="135" w:line="226" w:lineRule="exact"/>
              <w:ind w:left="364" w:right="34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1" w:type="dxa"/>
            <w:vMerge w:val="continue"/>
            <w:tcBorders>
              <w:top w:val="nil"/>
            </w:tcBorders>
          </w:tcPr>
          <w:p>
            <w:pPr>
              <w:rPr>
                <w:sz w:val="2"/>
                <w:szCs w:val="2"/>
              </w:rPr>
            </w:pPr>
          </w:p>
        </w:tc>
        <w:tc>
          <w:tcPr>
            <w:tcW w:w="453" w:type="dxa"/>
            <w:vMerge w:val="continue"/>
            <w:tcBorders>
              <w:top w:val="nil"/>
            </w:tcBorders>
          </w:tcPr>
          <w:p>
            <w:pPr>
              <w:rPr>
                <w:sz w:val="2"/>
                <w:szCs w:val="2"/>
              </w:rPr>
            </w:pPr>
          </w:p>
        </w:tc>
        <w:tc>
          <w:tcPr>
            <w:tcW w:w="919" w:type="dxa"/>
            <w:vMerge w:val="continue"/>
            <w:tcBorders>
              <w:top w:val="nil"/>
            </w:tcBorders>
          </w:tcPr>
          <w:p>
            <w:pPr>
              <w:rPr>
                <w:sz w:val="2"/>
                <w:szCs w:val="2"/>
              </w:rPr>
            </w:pPr>
          </w:p>
        </w:tc>
        <w:tc>
          <w:tcPr>
            <w:tcW w:w="990" w:type="dxa"/>
            <w:vMerge w:val="continue"/>
            <w:tcBorders>
              <w:top w:val="nil"/>
            </w:tcBorders>
          </w:tcPr>
          <w:p>
            <w:pPr>
              <w:rPr>
                <w:sz w:val="2"/>
                <w:szCs w:val="2"/>
              </w:rPr>
            </w:pPr>
          </w:p>
        </w:tc>
        <w:tc>
          <w:tcPr>
            <w:tcW w:w="3165" w:type="dxa"/>
          </w:tcPr>
          <w:p>
            <w:pPr>
              <w:pStyle w:val="21"/>
              <w:spacing w:before="132" w:line="226" w:lineRule="exact"/>
              <w:ind w:left="671" w:right="653"/>
              <w:jc w:val="center"/>
              <w:rPr>
                <w:rFonts w:ascii="Times New Roman" w:hAnsi="Times New Roman"/>
                <w:sz w:val="21"/>
              </w:rPr>
            </w:pPr>
            <w:r>
              <w:rPr>
                <w:rFonts w:ascii="Times New Roman" w:hAnsi="Times New Roman"/>
                <w:sz w:val="21"/>
              </w:rPr>
              <w:t>……</w:t>
            </w:r>
          </w:p>
        </w:tc>
        <w:tc>
          <w:tcPr>
            <w:tcW w:w="770" w:type="dxa"/>
          </w:tcPr>
          <w:p>
            <w:pPr>
              <w:pStyle w:val="21"/>
              <w:tabs>
                <w:tab w:val="left" w:pos="428"/>
              </w:tabs>
              <w:spacing w:before="108" w:line="250" w:lineRule="exact"/>
              <w:ind w:left="1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0" w:type="dxa"/>
          </w:tcPr>
          <w:p>
            <w:pPr>
              <w:pStyle w:val="21"/>
              <w:spacing w:before="132" w:line="226" w:lineRule="exact"/>
              <w:ind w:left="364" w:right="34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continue"/>
            <w:tcBorders>
              <w:top w:val="nil"/>
            </w:tcBorders>
          </w:tcPr>
          <w:p>
            <w:pPr>
              <w:rPr>
                <w:sz w:val="2"/>
                <w:szCs w:val="2"/>
              </w:rPr>
            </w:pPr>
          </w:p>
        </w:tc>
        <w:tc>
          <w:tcPr>
            <w:tcW w:w="453" w:type="dxa"/>
            <w:vMerge w:val="continue"/>
            <w:tcBorders>
              <w:top w:val="nil"/>
            </w:tcBorders>
          </w:tcPr>
          <w:p>
            <w:pPr>
              <w:rPr>
                <w:sz w:val="2"/>
                <w:szCs w:val="2"/>
              </w:rPr>
            </w:pPr>
          </w:p>
        </w:tc>
        <w:tc>
          <w:tcPr>
            <w:tcW w:w="919" w:type="dxa"/>
            <w:vMerge w:val="restart"/>
          </w:tcPr>
          <w:p>
            <w:pPr>
              <w:pStyle w:val="21"/>
              <w:spacing w:before="5" w:line="380" w:lineRule="atLeast"/>
              <w:ind w:left="192" w:right="183" w:firstLine="55"/>
              <w:rPr>
                <w:sz w:val="11"/>
              </w:rPr>
            </w:pPr>
            <w:r>
              <w:rPr>
                <w:sz w:val="21"/>
              </w:rPr>
              <w:t>履约信誉</w:t>
            </w:r>
            <w:r>
              <w:rPr>
                <w:position w:val="10"/>
                <w:sz w:val="11"/>
              </w:rPr>
              <w:t>①</w:t>
            </w:r>
          </w:p>
        </w:tc>
        <w:tc>
          <w:tcPr>
            <w:tcW w:w="990" w:type="dxa"/>
            <w:vMerge w:val="restart"/>
          </w:tcPr>
          <w:p>
            <w:pPr>
              <w:pStyle w:val="21"/>
              <w:spacing w:before="11"/>
              <w:rPr>
                <w:sz w:val="23"/>
              </w:rPr>
            </w:pPr>
          </w:p>
          <w:p>
            <w:pPr>
              <w:pStyle w:val="21"/>
              <w:tabs>
                <w:tab w:val="left" w:pos="675"/>
              </w:tabs>
              <w:ind w:left="358"/>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65" w:type="dxa"/>
          </w:tcPr>
          <w:p>
            <w:pPr>
              <w:pStyle w:val="21"/>
              <w:spacing w:before="135" w:line="226" w:lineRule="exact"/>
              <w:ind w:left="671" w:right="653"/>
              <w:jc w:val="center"/>
              <w:rPr>
                <w:rFonts w:ascii="Times New Roman" w:hAnsi="Times New Roman"/>
                <w:sz w:val="21"/>
              </w:rPr>
            </w:pPr>
            <w:r>
              <w:rPr>
                <w:rFonts w:ascii="Times New Roman" w:hAnsi="Times New Roman"/>
                <w:sz w:val="21"/>
              </w:rPr>
              <w:t>……</w:t>
            </w:r>
          </w:p>
        </w:tc>
        <w:tc>
          <w:tcPr>
            <w:tcW w:w="770" w:type="dxa"/>
          </w:tcPr>
          <w:p>
            <w:pPr>
              <w:pStyle w:val="21"/>
              <w:tabs>
                <w:tab w:val="left" w:pos="428"/>
              </w:tabs>
              <w:spacing w:before="111" w:line="250" w:lineRule="exact"/>
              <w:ind w:left="1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0" w:type="dxa"/>
          </w:tcPr>
          <w:p>
            <w:pPr>
              <w:pStyle w:val="21"/>
              <w:spacing w:before="135" w:line="226" w:lineRule="exact"/>
              <w:ind w:left="364" w:right="34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1" w:type="dxa"/>
            <w:vMerge w:val="continue"/>
            <w:tcBorders>
              <w:top w:val="nil"/>
            </w:tcBorders>
          </w:tcPr>
          <w:p>
            <w:pPr>
              <w:rPr>
                <w:sz w:val="2"/>
                <w:szCs w:val="2"/>
              </w:rPr>
            </w:pPr>
          </w:p>
        </w:tc>
        <w:tc>
          <w:tcPr>
            <w:tcW w:w="453" w:type="dxa"/>
            <w:vMerge w:val="continue"/>
            <w:tcBorders>
              <w:top w:val="nil"/>
            </w:tcBorders>
          </w:tcPr>
          <w:p>
            <w:pPr>
              <w:rPr>
                <w:sz w:val="2"/>
                <w:szCs w:val="2"/>
              </w:rPr>
            </w:pPr>
          </w:p>
        </w:tc>
        <w:tc>
          <w:tcPr>
            <w:tcW w:w="919" w:type="dxa"/>
            <w:vMerge w:val="continue"/>
            <w:tcBorders>
              <w:top w:val="nil"/>
            </w:tcBorders>
          </w:tcPr>
          <w:p>
            <w:pPr>
              <w:rPr>
                <w:sz w:val="2"/>
                <w:szCs w:val="2"/>
              </w:rPr>
            </w:pPr>
          </w:p>
        </w:tc>
        <w:tc>
          <w:tcPr>
            <w:tcW w:w="990" w:type="dxa"/>
            <w:vMerge w:val="continue"/>
            <w:tcBorders>
              <w:top w:val="nil"/>
            </w:tcBorders>
          </w:tcPr>
          <w:p>
            <w:pPr>
              <w:rPr>
                <w:sz w:val="2"/>
                <w:szCs w:val="2"/>
              </w:rPr>
            </w:pPr>
          </w:p>
        </w:tc>
        <w:tc>
          <w:tcPr>
            <w:tcW w:w="3165" w:type="dxa"/>
          </w:tcPr>
          <w:p>
            <w:pPr>
              <w:pStyle w:val="21"/>
              <w:spacing w:before="132" w:line="226" w:lineRule="exact"/>
              <w:ind w:left="671" w:right="653"/>
              <w:jc w:val="center"/>
              <w:rPr>
                <w:rFonts w:ascii="Times New Roman" w:hAnsi="Times New Roman"/>
                <w:sz w:val="21"/>
              </w:rPr>
            </w:pPr>
            <w:r>
              <w:rPr>
                <w:rFonts w:ascii="Times New Roman" w:hAnsi="Times New Roman"/>
                <w:sz w:val="21"/>
              </w:rPr>
              <w:t>……</w:t>
            </w:r>
          </w:p>
        </w:tc>
        <w:tc>
          <w:tcPr>
            <w:tcW w:w="770" w:type="dxa"/>
          </w:tcPr>
          <w:p>
            <w:pPr>
              <w:pStyle w:val="21"/>
              <w:tabs>
                <w:tab w:val="left" w:pos="428"/>
              </w:tabs>
              <w:spacing w:before="108" w:line="250" w:lineRule="exact"/>
              <w:ind w:left="1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0" w:type="dxa"/>
          </w:tcPr>
          <w:p>
            <w:pPr>
              <w:pStyle w:val="21"/>
              <w:spacing w:before="132" w:line="226" w:lineRule="exact"/>
              <w:ind w:left="364" w:right="34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11" w:type="dxa"/>
            <w:vMerge w:val="continue"/>
            <w:tcBorders>
              <w:top w:val="nil"/>
            </w:tcBorders>
          </w:tcPr>
          <w:p>
            <w:pPr>
              <w:rPr>
                <w:sz w:val="2"/>
                <w:szCs w:val="2"/>
              </w:rPr>
            </w:pPr>
          </w:p>
        </w:tc>
        <w:tc>
          <w:tcPr>
            <w:tcW w:w="453" w:type="dxa"/>
            <w:vMerge w:val="continue"/>
            <w:tcBorders>
              <w:top w:val="nil"/>
            </w:tcBorders>
          </w:tcPr>
          <w:p>
            <w:pPr>
              <w:rPr>
                <w:sz w:val="2"/>
                <w:szCs w:val="2"/>
              </w:rPr>
            </w:pPr>
          </w:p>
        </w:tc>
        <w:tc>
          <w:tcPr>
            <w:tcW w:w="919" w:type="dxa"/>
            <w:vMerge w:val="restart"/>
          </w:tcPr>
          <w:p>
            <w:pPr>
              <w:pStyle w:val="21"/>
              <w:spacing w:before="135"/>
              <w:ind w:left="250"/>
              <w:rPr>
                <w:rFonts w:ascii="Times New Roman" w:hAnsi="Times New Roman"/>
                <w:sz w:val="21"/>
              </w:rPr>
            </w:pPr>
            <w:r>
              <w:rPr>
                <w:rFonts w:ascii="Times New Roman" w:hAnsi="Times New Roman"/>
                <w:sz w:val="21"/>
              </w:rPr>
              <w:t>……</w:t>
            </w:r>
          </w:p>
        </w:tc>
        <w:tc>
          <w:tcPr>
            <w:tcW w:w="990" w:type="dxa"/>
            <w:vMerge w:val="restart"/>
          </w:tcPr>
          <w:p>
            <w:pPr>
              <w:pStyle w:val="21"/>
              <w:spacing w:before="11"/>
              <w:rPr>
                <w:sz w:val="23"/>
              </w:rPr>
            </w:pPr>
          </w:p>
          <w:p>
            <w:pPr>
              <w:pStyle w:val="21"/>
              <w:tabs>
                <w:tab w:val="left" w:pos="675"/>
              </w:tabs>
              <w:ind w:left="358"/>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65" w:type="dxa"/>
          </w:tcPr>
          <w:p>
            <w:pPr>
              <w:pStyle w:val="21"/>
              <w:spacing w:before="135" w:line="226" w:lineRule="exact"/>
              <w:ind w:left="671" w:right="653"/>
              <w:jc w:val="center"/>
              <w:rPr>
                <w:rFonts w:ascii="Times New Roman" w:hAnsi="Times New Roman"/>
                <w:sz w:val="21"/>
              </w:rPr>
            </w:pPr>
            <w:r>
              <w:rPr>
                <w:rFonts w:ascii="Times New Roman" w:hAnsi="Times New Roman"/>
                <w:sz w:val="21"/>
              </w:rPr>
              <w:t>……</w:t>
            </w:r>
          </w:p>
        </w:tc>
        <w:tc>
          <w:tcPr>
            <w:tcW w:w="770" w:type="dxa"/>
          </w:tcPr>
          <w:p>
            <w:pPr>
              <w:pStyle w:val="21"/>
              <w:tabs>
                <w:tab w:val="left" w:pos="428"/>
              </w:tabs>
              <w:spacing w:before="111" w:line="250" w:lineRule="exact"/>
              <w:ind w:left="1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0" w:type="dxa"/>
          </w:tcPr>
          <w:p>
            <w:pPr>
              <w:pStyle w:val="21"/>
              <w:spacing w:before="135" w:line="226" w:lineRule="exact"/>
              <w:ind w:left="364" w:right="34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11" w:type="dxa"/>
            <w:vMerge w:val="continue"/>
            <w:tcBorders>
              <w:top w:val="nil"/>
            </w:tcBorders>
          </w:tcPr>
          <w:p>
            <w:pPr>
              <w:rPr>
                <w:sz w:val="2"/>
                <w:szCs w:val="2"/>
              </w:rPr>
            </w:pPr>
          </w:p>
        </w:tc>
        <w:tc>
          <w:tcPr>
            <w:tcW w:w="453" w:type="dxa"/>
            <w:vMerge w:val="continue"/>
            <w:tcBorders>
              <w:top w:val="nil"/>
            </w:tcBorders>
          </w:tcPr>
          <w:p>
            <w:pPr>
              <w:rPr>
                <w:sz w:val="2"/>
                <w:szCs w:val="2"/>
              </w:rPr>
            </w:pPr>
          </w:p>
        </w:tc>
        <w:tc>
          <w:tcPr>
            <w:tcW w:w="919" w:type="dxa"/>
            <w:vMerge w:val="continue"/>
            <w:tcBorders>
              <w:top w:val="nil"/>
            </w:tcBorders>
          </w:tcPr>
          <w:p>
            <w:pPr>
              <w:rPr>
                <w:sz w:val="2"/>
                <w:szCs w:val="2"/>
              </w:rPr>
            </w:pPr>
          </w:p>
        </w:tc>
        <w:tc>
          <w:tcPr>
            <w:tcW w:w="990" w:type="dxa"/>
            <w:vMerge w:val="continue"/>
            <w:tcBorders>
              <w:top w:val="nil"/>
            </w:tcBorders>
          </w:tcPr>
          <w:p>
            <w:pPr>
              <w:rPr>
                <w:sz w:val="2"/>
                <w:szCs w:val="2"/>
              </w:rPr>
            </w:pPr>
          </w:p>
        </w:tc>
        <w:tc>
          <w:tcPr>
            <w:tcW w:w="3165" w:type="dxa"/>
          </w:tcPr>
          <w:p>
            <w:pPr>
              <w:pStyle w:val="21"/>
              <w:spacing w:before="132" w:line="226" w:lineRule="exact"/>
              <w:ind w:left="671" w:right="653"/>
              <w:jc w:val="center"/>
              <w:rPr>
                <w:rFonts w:ascii="Times New Roman" w:hAnsi="Times New Roman"/>
                <w:sz w:val="21"/>
              </w:rPr>
            </w:pPr>
            <w:r>
              <w:rPr>
                <w:rFonts w:ascii="Times New Roman" w:hAnsi="Times New Roman"/>
                <w:sz w:val="21"/>
              </w:rPr>
              <w:t>……</w:t>
            </w:r>
          </w:p>
        </w:tc>
        <w:tc>
          <w:tcPr>
            <w:tcW w:w="770" w:type="dxa"/>
          </w:tcPr>
          <w:p>
            <w:pPr>
              <w:pStyle w:val="21"/>
              <w:tabs>
                <w:tab w:val="left" w:pos="428"/>
              </w:tabs>
              <w:spacing w:before="108" w:line="250" w:lineRule="exact"/>
              <w:ind w:left="1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80" w:type="dxa"/>
          </w:tcPr>
          <w:p>
            <w:pPr>
              <w:pStyle w:val="21"/>
              <w:spacing w:before="132" w:line="226" w:lineRule="exact"/>
              <w:ind w:left="364" w:right="345"/>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888" w:type="dxa"/>
            <w:gridSpan w:val="7"/>
          </w:tcPr>
          <w:p>
            <w:pPr>
              <w:pStyle w:val="21"/>
              <w:spacing w:before="92"/>
              <w:ind w:left="107"/>
              <w:rPr>
                <w:sz w:val="21"/>
              </w:rPr>
            </w:pPr>
            <w:r>
              <w:rPr>
                <w:sz w:val="21"/>
              </w:rPr>
              <w:t>需要补充的其他内容：</w:t>
            </w:r>
          </w:p>
          <w:p>
            <w:pPr>
              <w:pStyle w:val="21"/>
              <w:spacing w:before="114" w:line="227" w:lineRule="exact"/>
              <w:ind w:left="107"/>
              <w:rPr>
                <w:rFonts w:ascii="Times New Roman" w:hAnsi="Times New Roman"/>
                <w:sz w:val="21"/>
              </w:rPr>
            </w:pPr>
            <w:r>
              <w:rPr>
                <w:rFonts w:ascii="Times New Roman" w:hAnsi="Times New Roman"/>
                <w:sz w:val="21"/>
              </w:rPr>
              <w:t>……</w:t>
            </w:r>
          </w:p>
        </w:tc>
      </w:tr>
    </w:tbl>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0"/>
        <w:rPr>
          <w:sz w:val="21"/>
        </w:rPr>
      </w:pPr>
      <w:r>
        <mc:AlternateContent>
          <mc:Choice Requires="wps">
            <w:drawing>
              <wp:anchor distT="0" distB="0" distL="114300" distR="114300" simplePos="0" relativeHeight="251657216" behindDoc="0" locked="0" layoutInCell="1" allowOverlap="1">
                <wp:simplePos x="0" y="0"/>
                <wp:positionH relativeFrom="page">
                  <wp:posOffset>1043940</wp:posOffset>
                </wp:positionH>
                <wp:positionV relativeFrom="paragraph">
                  <wp:posOffset>205740</wp:posOffset>
                </wp:positionV>
                <wp:extent cx="1829435" cy="0"/>
                <wp:effectExtent l="0" t="0" r="0" b="0"/>
                <wp:wrapTopAndBottom/>
                <wp:docPr id="28" name="直线 54"/>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4" o:spid="_x0000_s1026" o:spt="20" style="position:absolute;left:0pt;margin-left:82.2pt;margin-top:16.2pt;height:0pt;width:144.05pt;mso-position-horizontal-relative:page;mso-wrap-distance-bottom:0pt;mso-wrap-distance-top:0pt;z-index:251657216;mso-width-relative:page;mso-height-relative:page;" filled="f" stroked="t" coordsize="21600,21600" o:gfxdata="UEsFBgAAAAAAAAAAAAAAAAAAAAAAAFBLAwQKAAAAAACHTuJAAAAAAAAAAAAAAAAABAAAAGRycy9Q&#10;SwMEFAAAAAgAh07iQPgp7xDYAAAACQEAAA8AAABkcnMvZG93bnJldi54bWxNj0FPwkAQhe8m/IfN&#10;mHiTLaVgrd1ygGjCwRiBeF66Y1vbnW26C4V/7xgPepq8mZc338tXF9uJMw6+caRgNo1AIJXONFQp&#10;OOyf71MQPmgyunOECq7oYVVMbnKdGTfSO553oRIcQj7TCuoQ+kxKX9ZotZ+6Holvn26wOrAcKmkG&#10;PXK47WQcRUtpdUP8odY9rmss293JKnhN5ca9tR/l9Wvcv6Tptn182B6UurudRU8gAl7Cnxl+8Bkd&#10;CmY6uhMZLzrWyyRhq4J5zJMNySJegDj+LmSRy/8Nim9QSwMEFAAAAAgAh07iQFeEWxDRAQAAkgMA&#10;AA4AAABkcnMvZTJvRG9jLnhtbK1TzW4TMRC+I/EOlu9kk9BG7SqbHgjlgqBS4QEm/tm15D95nGzy&#10;LLwGJy48Tl+DsZOmLVwQIgdn7Bl//r5vZpc3e2fZTiU0wXd8NplyprwI0vi+41+/3L654gwzeAk2&#10;eNXxg0J+s3r9ajnGVs3DEKxUiRGIx3aMHR9yjm3ToBiUA5yEqDwldUgOMm1T38gEI6E728yn00Uz&#10;hiRjCkIh0un6mOSriq+1Evmz1qgysx0nbrmuqa6bsjarJbR9gjgYcaIB/8DCgfH06BlqDRnYNpk/&#10;oJwRKWDQeSKCa4LWRqiqgdTMpr+puR8gqqqFzMF4tgn/H6z4tLtLzMiOz6lTHhz16OHb94cfP9nl&#10;RXFnjNhS0X28S6cdUlik7nVy5Z9EsH119HB2VO0zE3Q4u5pfX7y95Ew85pqnizFh/qCCYyXouDW+&#10;iIUWdh8x02NU+lhSjq1nY8cX0+sFwQHNiraQKXSR2KPv610M1shbY225ganfvLOJ7aB0v/6KJMJ9&#10;UVYeWQMOx7qaOs7FoEC+95LlQyRbPA0wLxSckpxZRfNeIgKENoOxf1NJT1tPDIqrRx9LtAnyQF3Y&#10;xmT6gZzIaasq0ZKkxlfKpyEtk/V8X8GePqX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gp7xDY&#10;AAAACQEAAA8AAAAAAAAAAQAgAAAAOAAAAGRycy9kb3ducmV2LnhtbFBLAQIUABQAAAAIAIdO4kBX&#10;hFsQ0QEAAJIDAAAOAAAAAAAAAAEAIAAAAD0BAABkcnMvZTJvRG9jLnhtbFBLBQYAAAAABgAGAFkB&#10;AACABQAAAAA=&#10;">
                <v:fill on="f" focussize="0,0"/>
                <v:stroke weight="0.48pt" color="#000000" joinstyle="round"/>
                <v:imagedata o:title=""/>
                <o:lock v:ext="edit" aspectratio="f"/>
                <w10:wrap type="topAndBottom"/>
              </v:line>
            </w:pict>
          </mc:Fallback>
        </mc:AlternateContent>
      </w:r>
    </w:p>
    <w:p>
      <w:pPr>
        <w:spacing w:before="129" w:line="312" w:lineRule="auto"/>
        <w:ind w:left="604" w:right="418" w:hanging="180"/>
        <w:rPr>
          <w:sz w:val="18"/>
        </w:rPr>
      </w:pPr>
      <w:r>
        <w:rPr>
          <w:position w:val="8"/>
          <w:sz w:val="9"/>
        </w:rPr>
        <w:t xml:space="preserve">① </w:t>
      </w:r>
      <w:r>
        <w:rPr>
          <w:sz w:val="18"/>
        </w:rPr>
        <w:t>招标人可结合招标项目所在地省级交通运输主管部门对投标人的信用评级对其履约信用进行评分，但不得任意设置歧视性条款并不得任意设立行政许可。</w:t>
      </w:r>
    </w:p>
    <w:p>
      <w:pPr>
        <w:spacing w:line="312" w:lineRule="auto"/>
        <w:rPr>
          <w:sz w:val="18"/>
        </w:rPr>
        <w:sectPr>
          <w:pgSz w:w="11910" w:h="16850"/>
          <w:pgMar w:top="1480" w:right="1200" w:bottom="1040" w:left="1220" w:header="876" w:footer="853" w:gutter="0"/>
          <w:cols w:space="720" w:num="1"/>
        </w:sectPr>
      </w:pPr>
    </w:p>
    <w:p>
      <w:pPr>
        <w:pStyle w:val="11"/>
        <w:spacing w:before="5"/>
        <w:rPr>
          <w:sz w:val="22"/>
        </w:rPr>
      </w:pPr>
    </w:p>
    <w:p>
      <w:pPr>
        <w:numPr>
          <w:ilvl w:val="0"/>
          <w:numId w:val="12"/>
        </w:numPr>
        <w:tabs>
          <w:tab w:val="left" w:pos="845"/>
        </w:tabs>
        <w:spacing w:before="62"/>
        <w:rPr>
          <w:rFonts w:ascii="黑体" w:eastAsia="黑体"/>
          <w:sz w:val="28"/>
        </w:rPr>
      </w:pPr>
      <w:bookmarkStart w:id="114" w:name="_bookmark126"/>
      <w:bookmarkEnd w:id="114"/>
      <w:r>
        <w:rPr>
          <w:rFonts w:hint="eastAsia" w:ascii="黑体" w:eastAsia="黑体"/>
          <w:sz w:val="28"/>
        </w:rPr>
        <w:t>评标方法</w:t>
      </w:r>
    </w:p>
    <w:p>
      <w:pPr>
        <w:pStyle w:val="11"/>
        <w:spacing w:before="11"/>
        <w:rPr>
          <w:rFonts w:ascii="黑体"/>
          <w:sz w:val="25"/>
        </w:rPr>
      </w:pPr>
    </w:p>
    <w:p>
      <w:pPr>
        <w:pStyle w:val="11"/>
        <w:spacing w:line="312" w:lineRule="auto"/>
        <w:ind w:left="424" w:right="263" w:firstLine="479"/>
      </w:pPr>
      <w:r>
        <w:rPr>
          <w:spacing w:val="-7"/>
        </w:rPr>
        <w:t xml:space="preserve">本次评标采用综合评分法。评标委员会对满足招标文件实质性要求的投标文件， </w:t>
      </w:r>
      <w:r>
        <w:rPr>
          <w:spacing w:val="-8"/>
        </w:rPr>
        <w:t xml:space="preserve">按照本章第 </w:t>
      </w:r>
      <w:r>
        <w:rPr>
          <w:rFonts w:ascii="Times New Roman" w:eastAsia="Times New Roman"/>
        </w:rPr>
        <w:t xml:space="preserve">2.2 </w:t>
      </w:r>
      <w: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11"/>
        <w:spacing w:before="4"/>
        <w:rPr>
          <w:sz w:val="21"/>
        </w:rPr>
      </w:pPr>
    </w:p>
    <w:p>
      <w:pPr>
        <w:numPr>
          <w:ilvl w:val="0"/>
          <w:numId w:val="12"/>
        </w:numPr>
        <w:tabs>
          <w:tab w:val="left" w:pos="845"/>
        </w:tabs>
        <w:rPr>
          <w:rFonts w:ascii="黑体" w:eastAsia="黑体"/>
          <w:sz w:val="28"/>
        </w:rPr>
      </w:pPr>
      <w:bookmarkStart w:id="115" w:name="_bookmark127"/>
      <w:bookmarkEnd w:id="115"/>
      <w:r>
        <w:rPr>
          <w:rFonts w:hint="eastAsia" w:ascii="黑体" w:eastAsia="黑体"/>
          <w:sz w:val="28"/>
        </w:rPr>
        <w:t>评审标准</w:t>
      </w:r>
    </w:p>
    <w:p>
      <w:pPr>
        <w:pStyle w:val="20"/>
        <w:numPr>
          <w:ilvl w:val="1"/>
          <w:numId w:val="12"/>
        </w:numPr>
        <w:tabs>
          <w:tab w:val="left" w:pos="905"/>
        </w:tabs>
        <w:spacing w:before="246"/>
        <w:rPr>
          <w:rFonts w:ascii="黑体" w:eastAsia="黑体"/>
          <w:sz w:val="24"/>
        </w:rPr>
      </w:pPr>
      <w:bookmarkStart w:id="116" w:name="_bookmark128"/>
      <w:bookmarkEnd w:id="116"/>
      <w:r>
        <w:rPr>
          <w:rFonts w:hint="eastAsia" w:ascii="黑体" w:eastAsia="黑体"/>
          <w:sz w:val="24"/>
        </w:rPr>
        <w:t>初步评审标准</w:t>
      </w:r>
    </w:p>
    <w:p>
      <w:pPr>
        <w:pStyle w:val="11"/>
        <w:spacing w:before="12"/>
        <w:rPr>
          <w:rFonts w:ascii="黑体"/>
          <w:sz w:val="27"/>
        </w:rPr>
      </w:pPr>
    </w:p>
    <w:p>
      <w:pPr>
        <w:pStyle w:val="11"/>
        <w:ind w:left="904"/>
        <w:rPr>
          <w:rFonts w:ascii="Times New Roman"/>
        </w:rPr>
      </w:pPr>
      <w:r>
        <w:rPr>
          <w:rFonts w:ascii="Times New Roman"/>
        </w:rPr>
        <w:t>2.1.1</w:t>
      </w:r>
    </w:p>
    <w:p>
      <w:pPr>
        <w:pStyle w:val="11"/>
        <w:spacing w:before="125"/>
        <w:ind w:left="904"/>
        <w:rPr>
          <w:rFonts w:ascii="Times New Roman"/>
        </w:rPr>
      </w:pPr>
      <w:r>
        <w:rPr>
          <w:rFonts w:ascii="Times New Roman"/>
        </w:rPr>
        <w:t>2.1.2</w:t>
      </w:r>
    </w:p>
    <w:p>
      <w:pPr>
        <w:pStyle w:val="11"/>
        <w:spacing w:before="97" w:line="312" w:lineRule="auto"/>
        <w:ind w:left="424" w:right="382" w:firstLine="479"/>
      </w:pPr>
      <w:r>
        <w:rPr>
          <w:rFonts w:ascii="Times New Roman" w:hAnsi="Times New Roman" w:eastAsia="Times New Roman"/>
        </w:rPr>
        <w:t xml:space="preserve">2.1.2 </w:t>
      </w:r>
      <w:r>
        <w:rPr>
          <w:spacing w:val="-5"/>
        </w:rPr>
        <w:t>资格评审标准：见资格预审文件第三章</w:t>
      </w:r>
      <w:r>
        <w:rPr>
          <w:rFonts w:ascii="Times New Roman" w:hAnsi="Times New Roman" w:eastAsia="Times New Roman"/>
        </w:rPr>
        <w:t>“</w:t>
      </w:r>
      <w:r>
        <w:t>资格审查办法</w:t>
      </w:r>
      <w:r>
        <w:rPr>
          <w:rFonts w:ascii="Times New Roman" w:hAnsi="Times New Roman" w:eastAsia="Times New Roman"/>
        </w:rPr>
        <w:t>”</w:t>
      </w:r>
      <w:r>
        <w:rPr>
          <w:spacing w:val="-5"/>
        </w:rPr>
        <w:t>详细审查标准</w:t>
      </w:r>
      <w:r>
        <w:t>（适用于已进行资格预审的</w:t>
      </w:r>
      <w:r>
        <w:rPr>
          <w:spacing w:val="-120"/>
        </w:rPr>
        <w:t>）</w:t>
      </w:r>
      <w:r>
        <w:t>。</w:t>
      </w:r>
    </w:p>
    <w:p>
      <w:pPr>
        <w:pStyle w:val="11"/>
        <w:spacing w:before="28"/>
        <w:ind w:left="904"/>
        <w:rPr>
          <w:rFonts w:ascii="Times New Roman"/>
        </w:rPr>
      </w:pPr>
      <w:r>
        <w:rPr>
          <w:rFonts w:ascii="Times New Roman"/>
        </w:rPr>
        <w:t>2.1.3</w:t>
      </w:r>
    </w:p>
    <w:p>
      <w:pPr>
        <w:pStyle w:val="11"/>
        <w:spacing w:before="7"/>
        <w:rPr>
          <w:rFonts w:ascii="Times New Roman"/>
          <w:sz w:val="21"/>
        </w:rPr>
      </w:pPr>
    </w:p>
    <w:p>
      <w:pPr>
        <w:pStyle w:val="20"/>
        <w:numPr>
          <w:ilvl w:val="1"/>
          <w:numId w:val="12"/>
        </w:numPr>
        <w:tabs>
          <w:tab w:val="left" w:pos="905"/>
        </w:tabs>
        <w:rPr>
          <w:rFonts w:ascii="黑体" w:eastAsia="黑体"/>
          <w:sz w:val="24"/>
        </w:rPr>
      </w:pPr>
      <w:bookmarkStart w:id="117" w:name="_bookmark129"/>
      <w:bookmarkEnd w:id="117"/>
      <w:r>
        <w:rPr>
          <w:rFonts w:hint="eastAsia" w:ascii="黑体" w:eastAsia="黑体"/>
          <w:sz w:val="24"/>
        </w:rPr>
        <w:t>分值构成与评分标准</w:t>
      </w:r>
    </w:p>
    <w:p>
      <w:pPr>
        <w:pStyle w:val="11"/>
        <w:spacing w:before="10"/>
        <w:rPr>
          <w:rFonts w:ascii="黑体"/>
          <w:sz w:val="25"/>
        </w:rPr>
      </w:pPr>
    </w:p>
    <w:p>
      <w:pPr>
        <w:pStyle w:val="20"/>
        <w:numPr>
          <w:ilvl w:val="2"/>
          <w:numId w:val="12"/>
        </w:numPr>
        <w:tabs>
          <w:tab w:val="left" w:pos="1505"/>
        </w:tabs>
        <w:rPr>
          <w:rFonts w:ascii="黑体" w:eastAsia="黑体"/>
          <w:sz w:val="24"/>
        </w:rPr>
      </w:pPr>
      <w:r>
        <w:rPr>
          <w:rFonts w:hint="eastAsia" w:ascii="黑体" w:eastAsia="黑体"/>
          <w:sz w:val="24"/>
        </w:rPr>
        <w:t>分值构成</w:t>
      </w:r>
    </w:p>
    <w:p>
      <w:pPr>
        <w:pStyle w:val="11"/>
        <w:spacing w:before="94"/>
        <w:ind w:left="904"/>
      </w:pPr>
      <w:r>
        <w:t>（</w:t>
      </w:r>
      <w:r>
        <w:rPr>
          <w:rFonts w:ascii="Times New Roman" w:eastAsia="Times New Roman"/>
        </w:rPr>
        <w:t>1</w:t>
      </w:r>
      <w:r>
        <w:t>）施工组织设计：见评标办法前附表；</w:t>
      </w:r>
    </w:p>
    <w:p>
      <w:pPr>
        <w:pStyle w:val="11"/>
        <w:spacing w:before="93"/>
        <w:ind w:left="904"/>
      </w:pPr>
      <w:r>
        <w:t>（</w:t>
      </w:r>
      <w:r>
        <w:rPr>
          <w:rFonts w:ascii="Times New Roman" w:eastAsia="Times New Roman"/>
        </w:rPr>
        <w:t>2</w:t>
      </w:r>
      <w:r>
        <w:t>）主要人员：见评标办法前附表；</w:t>
      </w:r>
    </w:p>
    <w:p>
      <w:pPr>
        <w:pStyle w:val="11"/>
        <w:spacing w:before="91"/>
        <w:ind w:left="904"/>
      </w:pPr>
      <w:r>
        <w:t>（</w:t>
      </w:r>
      <w:r>
        <w:rPr>
          <w:rFonts w:ascii="Times New Roman" w:eastAsia="Times New Roman"/>
        </w:rPr>
        <w:t>3</w:t>
      </w:r>
      <w:r>
        <w:t>）评标价：见评标办法前附表；</w:t>
      </w:r>
    </w:p>
    <w:p>
      <w:pPr>
        <w:pStyle w:val="11"/>
        <w:spacing w:before="93"/>
        <w:ind w:left="904"/>
      </w:pPr>
      <w:r>
        <w:t>（</w:t>
      </w:r>
      <w:r>
        <w:rPr>
          <w:rFonts w:ascii="Times New Roman" w:eastAsia="Times New Roman"/>
        </w:rPr>
        <w:t>4</w:t>
      </w:r>
      <w:r>
        <w:t>）其他评分因素：见评标办法前附表。</w:t>
      </w:r>
    </w:p>
    <w:p>
      <w:pPr>
        <w:pStyle w:val="20"/>
        <w:numPr>
          <w:ilvl w:val="2"/>
          <w:numId w:val="12"/>
        </w:numPr>
        <w:tabs>
          <w:tab w:val="left" w:pos="1505"/>
        </w:tabs>
        <w:spacing w:before="94"/>
        <w:rPr>
          <w:rFonts w:ascii="黑体" w:eastAsia="黑体"/>
          <w:sz w:val="24"/>
        </w:rPr>
      </w:pPr>
      <w:r>
        <w:rPr>
          <w:rFonts w:hint="eastAsia" w:ascii="黑体" w:eastAsia="黑体"/>
          <w:sz w:val="24"/>
        </w:rPr>
        <w:t>评标基准价计算</w:t>
      </w:r>
    </w:p>
    <w:p>
      <w:pPr>
        <w:pStyle w:val="20"/>
        <w:numPr>
          <w:ilvl w:val="2"/>
          <w:numId w:val="12"/>
        </w:numPr>
        <w:tabs>
          <w:tab w:val="left" w:pos="1505"/>
        </w:tabs>
        <w:spacing w:before="91"/>
        <w:rPr>
          <w:rFonts w:ascii="黑体" w:eastAsia="黑体"/>
          <w:sz w:val="24"/>
        </w:rPr>
      </w:pPr>
      <w:r>
        <w:rPr>
          <w:rFonts w:hint="eastAsia" w:ascii="黑体" w:eastAsia="黑体"/>
          <w:sz w:val="24"/>
        </w:rPr>
        <w:t>评标价的偏差率计算</w:t>
      </w:r>
    </w:p>
    <w:p>
      <w:pPr>
        <w:pStyle w:val="11"/>
        <w:spacing w:before="93"/>
        <w:ind w:left="904"/>
      </w:pPr>
      <w:r>
        <w:t>评标价的偏差率计算公式：见评标办法前附表。</w:t>
      </w:r>
    </w:p>
    <w:p>
      <w:pPr>
        <w:pStyle w:val="20"/>
        <w:numPr>
          <w:ilvl w:val="2"/>
          <w:numId w:val="12"/>
        </w:numPr>
        <w:tabs>
          <w:tab w:val="left" w:pos="1505"/>
        </w:tabs>
        <w:spacing w:before="94"/>
        <w:rPr>
          <w:rFonts w:ascii="黑体" w:eastAsia="黑体"/>
          <w:sz w:val="24"/>
        </w:rPr>
      </w:pPr>
      <w:r>
        <w:rPr>
          <w:rFonts w:hint="eastAsia" w:ascii="黑体" w:eastAsia="黑体"/>
          <w:sz w:val="24"/>
        </w:rPr>
        <w:t>评分标准</w:t>
      </w:r>
    </w:p>
    <w:p>
      <w:pPr>
        <w:pStyle w:val="11"/>
        <w:spacing w:before="90"/>
        <w:ind w:left="904"/>
      </w:pPr>
      <w:r>
        <w:t>（</w:t>
      </w:r>
      <w:r>
        <w:rPr>
          <w:rFonts w:ascii="Times New Roman" w:eastAsia="Times New Roman"/>
        </w:rPr>
        <w:t>1</w:t>
      </w:r>
      <w:r>
        <w:t>）施工组织设计评分标准：见评标办法前附表；</w:t>
      </w:r>
    </w:p>
    <w:p>
      <w:pPr>
        <w:pStyle w:val="11"/>
        <w:spacing w:before="94"/>
        <w:ind w:left="904"/>
      </w:pPr>
      <w:r>
        <w:t>（</w:t>
      </w:r>
      <w:r>
        <w:rPr>
          <w:rFonts w:ascii="Times New Roman" w:eastAsia="Times New Roman"/>
        </w:rPr>
        <w:t>2</w:t>
      </w:r>
      <w:r>
        <w:t>）主要人员评分标准：见评标办法前附表；</w:t>
      </w:r>
    </w:p>
    <w:p>
      <w:pPr>
        <w:pStyle w:val="11"/>
        <w:spacing w:before="93"/>
        <w:ind w:left="904"/>
      </w:pPr>
      <w:r>
        <w:t>（</w:t>
      </w:r>
      <w:r>
        <w:rPr>
          <w:rFonts w:ascii="Times New Roman" w:eastAsia="Times New Roman"/>
        </w:rPr>
        <w:t>3</w:t>
      </w:r>
      <w:r>
        <w:t>）评标价评分标准：见评标办法前附表；</w:t>
      </w:r>
    </w:p>
    <w:p>
      <w:pPr>
        <w:pStyle w:val="11"/>
        <w:spacing w:before="91"/>
        <w:ind w:left="904"/>
      </w:pPr>
      <w:r>
        <w:t>（</w:t>
      </w:r>
      <w:r>
        <w:rPr>
          <w:rFonts w:ascii="Times New Roman" w:eastAsia="Times New Roman"/>
        </w:rPr>
        <w:t>4</w:t>
      </w:r>
      <w:r>
        <w:t>）其他因素评分标准：见评标办法前附表。</w:t>
      </w:r>
    </w:p>
    <w:p>
      <w:pPr>
        <w:sectPr>
          <w:pgSz w:w="11910" w:h="16850"/>
          <w:pgMar w:top="1480" w:right="1200" w:bottom="1080" w:left="1220" w:header="883" w:footer="884" w:gutter="0"/>
          <w:cols w:space="720" w:num="1"/>
        </w:sectPr>
      </w:pPr>
    </w:p>
    <w:p>
      <w:pPr>
        <w:numPr>
          <w:ilvl w:val="0"/>
          <w:numId w:val="12"/>
        </w:numPr>
        <w:tabs>
          <w:tab w:val="left" w:pos="845"/>
        </w:tabs>
        <w:spacing w:before="109"/>
        <w:rPr>
          <w:rFonts w:ascii="黑体" w:eastAsia="黑体"/>
          <w:sz w:val="28"/>
        </w:rPr>
      </w:pPr>
      <w:bookmarkStart w:id="118" w:name="_bookmark130"/>
      <w:bookmarkEnd w:id="118"/>
      <w:r>
        <w:rPr>
          <w:rFonts w:hint="eastAsia" w:ascii="黑体" w:eastAsia="黑体"/>
          <w:sz w:val="28"/>
        </w:rPr>
        <w:t>评标程序</w:t>
      </w:r>
    </w:p>
    <w:p>
      <w:pPr>
        <w:pStyle w:val="20"/>
        <w:numPr>
          <w:ilvl w:val="1"/>
          <w:numId w:val="12"/>
        </w:numPr>
        <w:tabs>
          <w:tab w:val="left" w:pos="905"/>
        </w:tabs>
        <w:spacing w:before="243"/>
        <w:rPr>
          <w:rFonts w:ascii="黑体" w:eastAsia="黑体"/>
          <w:sz w:val="24"/>
        </w:rPr>
      </w:pPr>
      <w:bookmarkStart w:id="119" w:name="_bookmark131"/>
      <w:bookmarkEnd w:id="119"/>
      <w:r>
        <w:rPr>
          <w:rFonts w:hint="eastAsia" w:ascii="黑体" w:eastAsia="黑体"/>
          <w:sz w:val="24"/>
        </w:rPr>
        <w:t>第一个信封初步评审</w:t>
      </w:r>
    </w:p>
    <w:p>
      <w:pPr>
        <w:pStyle w:val="11"/>
        <w:rPr>
          <w:rFonts w:ascii="黑体"/>
          <w:sz w:val="26"/>
        </w:rPr>
      </w:pPr>
    </w:p>
    <w:p>
      <w:pPr>
        <w:pStyle w:val="20"/>
        <w:numPr>
          <w:ilvl w:val="2"/>
          <w:numId w:val="12"/>
        </w:numPr>
        <w:tabs>
          <w:tab w:val="left" w:pos="1505"/>
        </w:tabs>
        <w:spacing w:line="312" w:lineRule="auto"/>
        <w:ind w:left="424" w:right="382" w:firstLine="480"/>
        <w:jc w:val="both"/>
        <w:rPr>
          <w:sz w:val="24"/>
        </w:rPr>
      </w:pPr>
      <w:r>
        <w:rPr>
          <w:sz w:val="24"/>
        </w:rPr>
        <w:t>评标委员会可以要求投标人提交第二章</w:t>
      </w:r>
      <w:r>
        <w:rPr>
          <w:rFonts w:ascii="Times New Roman" w:hAnsi="Times New Roman" w:eastAsia="Times New Roman"/>
          <w:sz w:val="24"/>
        </w:rPr>
        <w:t>“</w:t>
      </w:r>
      <w:r>
        <w:rPr>
          <w:sz w:val="24"/>
        </w:rPr>
        <w:t>投标人须知</w:t>
      </w:r>
      <w:r>
        <w:rPr>
          <w:rFonts w:ascii="Times New Roman" w:hAnsi="Times New Roman" w:eastAsia="Times New Roman"/>
          <w:sz w:val="24"/>
        </w:rPr>
        <w:t>”</w:t>
      </w:r>
      <w:r>
        <w:rPr>
          <w:spacing w:val="-31"/>
          <w:sz w:val="24"/>
        </w:rPr>
        <w:t xml:space="preserve">第 </w:t>
      </w:r>
      <w:r>
        <w:rPr>
          <w:rFonts w:ascii="Times New Roman" w:hAnsi="Times New Roman" w:eastAsia="Times New Roman"/>
          <w:sz w:val="24"/>
        </w:rPr>
        <w:t>3.5.1</w:t>
      </w:r>
      <w:r>
        <w:rPr>
          <w:rFonts w:ascii="Times New Roman" w:hAnsi="Times New Roman" w:eastAsia="Times New Roman"/>
          <w:spacing w:val="1"/>
          <w:sz w:val="24"/>
        </w:rPr>
        <w:t xml:space="preserve"> </w:t>
      </w:r>
      <w:r>
        <w:rPr>
          <w:spacing w:val="-16"/>
          <w:sz w:val="24"/>
        </w:rPr>
        <w:t xml:space="preserve">项至第 </w:t>
      </w:r>
      <w:r>
        <w:rPr>
          <w:rFonts w:ascii="Times New Roman" w:hAnsi="Times New Roman" w:eastAsia="Times New Roman"/>
          <w:sz w:val="24"/>
        </w:rPr>
        <w:t xml:space="preserve">3.5.6 </w:t>
      </w:r>
      <w:r>
        <w:rPr>
          <w:spacing w:val="-1"/>
          <w:sz w:val="24"/>
        </w:rPr>
        <w:t xml:space="preserve">项规定的有关证明和证件的原件，以便核验。评标委员会依据本章第 </w:t>
      </w:r>
      <w:r>
        <w:rPr>
          <w:rFonts w:ascii="Times New Roman" w:hAnsi="Times New Roman" w:eastAsia="Times New Roman"/>
          <w:sz w:val="24"/>
        </w:rPr>
        <w:t>2.1</w:t>
      </w:r>
      <w:r>
        <w:rPr>
          <w:rFonts w:ascii="Times New Roman" w:hAnsi="Times New Roman" w:eastAsia="Times New Roman"/>
          <w:spacing w:val="47"/>
          <w:sz w:val="24"/>
        </w:rPr>
        <w:t xml:space="preserve"> </w:t>
      </w:r>
      <w:r>
        <w:rPr>
          <w:sz w:val="24"/>
        </w:rPr>
        <w:t>款规定的标准对投标文件第一个信封（商务及技术文件）进行初步评审。有一项不符合评审</w:t>
      </w:r>
      <w:r>
        <w:rPr>
          <w:spacing w:val="-8"/>
          <w:sz w:val="24"/>
        </w:rPr>
        <w:t>标准的，评标委员会应否决其投标。</w:t>
      </w:r>
      <w:r>
        <w:rPr>
          <w:sz w:val="24"/>
        </w:rPr>
        <w:t>（适用于未进行资格预审的）</w:t>
      </w:r>
    </w:p>
    <w:p>
      <w:pPr>
        <w:pStyle w:val="11"/>
        <w:spacing w:line="312" w:lineRule="auto"/>
        <w:ind w:left="424" w:right="262" w:firstLine="479"/>
        <w:jc w:val="both"/>
      </w:pPr>
      <w:r>
        <w:rPr>
          <w:rFonts w:ascii="Times New Roman" w:eastAsia="Times New Roman"/>
        </w:rPr>
        <w:t xml:space="preserve">3.1.1 </w:t>
      </w:r>
      <w:r>
        <w:rPr>
          <w:spacing w:val="-6"/>
        </w:rPr>
        <w:t xml:space="preserve">评标委员会依据本章第 </w:t>
      </w:r>
      <w:r>
        <w:rPr>
          <w:rFonts w:ascii="Times New Roman" w:eastAsia="Times New Roman"/>
        </w:rPr>
        <w:t xml:space="preserve">2.1.1 </w:t>
      </w:r>
      <w:r>
        <w:rPr>
          <w:spacing w:val="-36"/>
        </w:rPr>
        <w:t xml:space="preserve">项、第 </w:t>
      </w:r>
      <w:r>
        <w:rPr>
          <w:rFonts w:ascii="Times New Roman" w:eastAsia="Times New Roman"/>
        </w:rPr>
        <w:t xml:space="preserve">2.1.3 </w:t>
      </w:r>
      <w:r>
        <w:t>项规定的评审标准对投标文件第一个信封（商务及技术文件）进行初步评审。有一项不符合评审标准的，评标委员会应否决其投标。当投标人资格预审申请文件的内容发生重大变化时，评标委员会</w:t>
      </w:r>
      <w:r>
        <w:rPr>
          <w:spacing w:val="-11"/>
        </w:rPr>
        <w:t xml:space="preserve">依据本章第 </w:t>
      </w:r>
      <w:r>
        <w:rPr>
          <w:rFonts w:ascii="Times New Roman" w:eastAsia="Times New Roman"/>
        </w:rPr>
        <w:t xml:space="preserve">2.1.2 </w:t>
      </w:r>
      <w:r>
        <w:t>项规定的标准对其更新资料进行评审</w:t>
      </w:r>
      <w:r>
        <w:rPr>
          <w:spacing w:val="-203"/>
        </w:rPr>
        <w:t>。</w:t>
      </w:r>
      <w:r>
        <w:t>（适用于已进行资格预审的）</w:t>
      </w:r>
    </w:p>
    <w:p>
      <w:pPr>
        <w:pStyle w:val="20"/>
        <w:numPr>
          <w:ilvl w:val="1"/>
          <w:numId w:val="12"/>
        </w:numPr>
        <w:tabs>
          <w:tab w:val="left" w:pos="905"/>
        </w:tabs>
        <w:spacing w:before="153"/>
        <w:rPr>
          <w:rFonts w:ascii="黑体" w:eastAsia="黑体"/>
          <w:sz w:val="24"/>
        </w:rPr>
      </w:pPr>
      <w:bookmarkStart w:id="120" w:name="_bookmark132"/>
      <w:bookmarkEnd w:id="120"/>
      <w:r>
        <w:rPr>
          <w:rFonts w:hint="eastAsia" w:ascii="黑体" w:eastAsia="黑体"/>
          <w:sz w:val="24"/>
        </w:rPr>
        <w:t>第一个信封详细评审</w:t>
      </w:r>
    </w:p>
    <w:p>
      <w:pPr>
        <w:pStyle w:val="11"/>
        <w:rPr>
          <w:rFonts w:ascii="黑体"/>
          <w:sz w:val="26"/>
        </w:rPr>
      </w:pPr>
    </w:p>
    <w:p>
      <w:pPr>
        <w:pStyle w:val="20"/>
        <w:numPr>
          <w:ilvl w:val="2"/>
          <w:numId w:val="12"/>
        </w:numPr>
        <w:tabs>
          <w:tab w:val="left" w:pos="1505"/>
        </w:tabs>
        <w:spacing w:line="312" w:lineRule="auto"/>
        <w:ind w:left="424" w:right="382" w:firstLine="480"/>
        <w:jc w:val="both"/>
        <w:rPr>
          <w:sz w:val="24"/>
        </w:rPr>
      </w:pPr>
      <w:r>
        <w:rPr>
          <w:spacing w:val="-6"/>
          <w:sz w:val="24"/>
        </w:rPr>
        <w:t xml:space="preserve">评标委员会按本章第 </w:t>
      </w:r>
      <w:r>
        <w:rPr>
          <w:rFonts w:ascii="Times New Roman" w:eastAsia="Times New Roman"/>
          <w:sz w:val="24"/>
        </w:rPr>
        <w:t xml:space="preserve">2.2 </w:t>
      </w:r>
      <w:r>
        <w:rPr>
          <w:spacing w:val="-2"/>
          <w:sz w:val="24"/>
        </w:rPr>
        <w:t>款规定的量化因素和分值进行打分，并计算出各投标人的商务和技术得分。</w:t>
      </w:r>
    </w:p>
    <w:p>
      <w:pPr>
        <w:pStyle w:val="11"/>
        <w:spacing w:line="312" w:lineRule="auto"/>
        <w:ind w:left="424" w:right="384" w:firstLine="479"/>
        <w:jc w:val="both"/>
      </w:pPr>
      <w:r>
        <w:rPr>
          <w:spacing w:val="-10"/>
        </w:rPr>
        <w:t>（</w:t>
      </w:r>
      <w:r>
        <w:rPr>
          <w:rFonts w:ascii="Times New Roman" w:eastAsia="Times New Roman"/>
          <w:spacing w:val="-10"/>
        </w:rPr>
        <w:t>1</w:t>
      </w:r>
      <w:r>
        <w:rPr>
          <w:spacing w:val="-10"/>
        </w:rPr>
        <w:t>）</w:t>
      </w:r>
      <w:r>
        <w:rPr>
          <w:spacing w:val="-12"/>
        </w:rPr>
        <w:t xml:space="preserve">按本章第 </w:t>
      </w:r>
      <w:r>
        <w:rPr>
          <w:rFonts w:ascii="Times New Roman" w:eastAsia="Times New Roman"/>
        </w:rPr>
        <w:t xml:space="preserve">2.2.4 </w:t>
      </w:r>
      <w:r>
        <w:rPr>
          <w:spacing w:val="-29"/>
        </w:rPr>
        <w:t>项</w:t>
      </w:r>
      <w:r>
        <w:rPr>
          <w:spacing w:val="-10"/>
        </w:rPr>
        <w:t>（</w:t>
      </w:r>
      <w:r>
        <w:rPr>
          <w:rFonts w:ascii="Times New Roman" w:eastAsia="Times New Roman"/>
          <w:spacing w:val="-10"/>
        </w:rPr>
        <w:t>1</w:t>
      </w:r>
      <w:r>
        <w:rPr>
          <w:spacing w:val="-10"/>
        </w:rPr>
        <w:t>）</w:t>
      </w:r>
      <w:r>
        <w:t>目规定的评审因素和分值对施工组织设计部分计算</w:t>
      </w:r>
      <w:r>
        <w:rPr>
          <w:spacing w:val="-16"/>
        </w:rPr>
        <w:t xml:space="preserve">出得分 </w:t>
      </w:r>
      <w:r>
        <w:rPr>
          <w:rFonts w:ascii="Times New Roman" w:eastAsia="Times New Roman"/>
        </w:rPr>
        <w:t>A</w:t>
      </w:r>
      <w:r>
        <w:t>；</w:t>
      </w:r>
    </w:p>
    <w:p>
      <w:pPr>
        <w:pStyle w:val="11"/>
        <w:spacing w:line="312" w:lineRule="auto"/>
        <w:ind w:left="424" w:right="384" w:firstLine="479"/>
        <w:jc w:val="both"/>
      </w:pPr>
      <w:r>
        <w:rPr>
          <w:spacing w:val="-10"/>
        </w:rPr>
        <w:t>（</w:t>
      </w:r>
      <w:r>
        <w:rPr>
          <w:rFonts w:ascii="Times New Roman" w:eastAsia="Times New Roman"/>
          <w:spacing w:val="-10"/>
        </w:rPr>
        <w:t>2</w:t>
      </w:r>
      <w:r>
        <w:rPr>
          <w:spacing w:val="-10"/>
        </w:rPr>
        <w:t>）</w:t>
      </w:r>
      <w:r>
        <w:rPr>
          <w:spacing w:val="-12"/>
        </w:rPr>
        <w:t xml:space="preserve">按本章第 </w:t>
      </w:r>
      <w:r>
        <w:rPr>
          <w:rFonts w:ascii="Times New Roman" w:eastAsia="Times New Roman"/>
        </w:rPr>
        <w:t xml:space="preserve">2.2.4 </w:t>
      </w:r>
      <w:r>
        <w:rPr>
          <w:spacing w:val="-29"/>
        </w:rPr>
        <w:t>项</w:t>
      </w:r>
      <w:r>
        <w:rPr>
          <w:spacing w:val="-10"/>
        </w:rPr>
        <w:t>（</w:t>
      </w:r>
      <w:r>
        <w:rPr>
          <w:rFonts w:ascii="Times New Roman" w:eastAsia="Times New Roman"/>
          <w:spacing w:val="-10"/>
        </w:rPr>
        <w:t>2</w:t>
      </w:r>
      <w:r>
        <w:rPr>
          <w:spacing w:val="-10"/>
        </w:rPr>
        <w:t>）</w:t>
      </w:r>
      <w:r>
        <w:t>目规定的评审因素和分值对主要人员部分计算出得</w:t>
      </w:r>
      <w:r>
        <w:rPr>
          <w:spacing w:val="-31"/>
        </w:rPr>
        <w:t xml:space="preserve">分 </w:t>
      </w:r>
      <w:r>
        <w:rPr>
          <w:rFonts w:ascii="Times New Roman" w:eastAsia="Times New Roman"/>
        </w:rPr>
        <w:t>B</w:t>
      </w:r>
      <w:r>
        <w:t>；</w:t>
      </w:r>
    </w:p>
    <w:p>
      <w:pPr>
        <w:pStyle w:val="11"/>
        <w:spacing w:before="2"/>
        <w:ind w:left="904"/>
      </w:pPr>
      <w:r>
        <w:rPr>
          <w:spacing w:val="-23"/>
        </w:rPr>
        <w:t>（</w:t>
      </w:r>
      <w:r>
        <w:rPr>
          <w:rFonts w:ascii="Times New Roman" w:eastAsia="Times New Roman"/>
          <w:spacing w:val="-23"/>
        </w:rPr>
        <w:t>3</w:t>
      </w:r>
      <w:r>
        <w:rPr>
          <w:spacing w:val="-23"/>
        </w:rPr>
        <w:t>）</w:t>
      </w:r>
      <w:r>
        <w:rPr>
          <w:spacing w:val="-12"/>
        </w:rPr>
        <w:t xml:space="preserve">按本章第 </w:t>
      </w:r>
      <w:r>
        <w:rPr>
          <w:rFonts w:ascii="Times New Roman" w:eastAsia="Times New Roman"/>
        </w:rPr>
        <w:t xml:space="preserve">2.2.4 </w:t>
      </w:r>
      <w:r>
        <w:rPr>
          <w:spacing w:val="-65"/>
        </w:rPr>
        <w:t>项</w:t>
      </w:r>
      <w:r>
        <w:rPr>
          <w:spacing w:val="-23"/>
        </w:rPr>
        <w:t>（</w:t>
      </w:r>
      <w:r>
        <w:rPr>
          <w:rFonts w:ascii="Times New Roman" w:eastAsia="Times New Roman"/>
          <w:spacing w:val="-23"/>
        </w:rPr>
        <w:t>4</w:t>
      </w:r>
      <w:r>
        <w:rPr>
          <w:spacing w:val="-23"/>
        </w:rPr>
        <w:t>）</w:t>
      </w:r>
      <w:r>
        <w:rPr>
          <w:spacing w:val="-3"/>
        </w:rPr>
        <w:t xml:space="preserve">目规定的评审因素和分值对其他部分计算出得分 </w:t>
      </w:r>
      <w:r>
        <w:rPr>
          <w:rFonts w:ascii="Times New Roman" w:eastAsia="Times New Roman"/>
        </w:rPr>
        <w:t>D</w:t>
      </w:r>
      <w:r>
        <w:t>。</w:t>
      </w:r>
    </w:p>
    <w:p>
      <w:pPr>
        <w:pStyle w:val="20"/>
        <w:numPr>
          <w:ilvl w:val="2"/>
          <w:numId w:val="12"/>
        </w:numPr>
        <w:tabs>
          <w:tab w:val="left" w:pos="1510"/>
        </w:tabs>
        <w:spacing w:before="91"/>
        <w:ind w:left="1509" w:hanging="605"/>
        <w:rPr>
          <w:sz w:val="24"/>
        </w:rPr>
      </w:pPr>
      <w:r>
        <w:rPr>
          <w:spacing w:val="1"/>
          <w:sz w:val="24"/>
        </w:rPr>
        <w:t>投标人的商务和技术得分分值计算保留小数点后两位，小数点后第三位</w:t>
      </w:r>
    </w:p>
    <w:p>
      <w:pPr>
        <w:pStyle w:val="11"/>
        <w:spacing w:before="93"/>
        <w:ind w:left="424"/>
      </w:pPr>
      <w:r>
        <w:rPr>
          <w:rFonts w:ascii="Times New Roman" w:hAnsi="Times New Roman" w:eastAsia="Times New Roman"/>
        </w:rPr>
        <w:t>“</w:t>
      </w:r>
      <w:r>
        <w:t>四舍五入</w:t>
      </w:r>
      <w:r>
        <w:rPr>
          <w:rFonts w:ascii="Times New Roman" w:hAnsi="Times New Roman" w:eastAsia="Times New Roman"/>
        </w:rPr>
        <w:t>”</w:t>
      </w:r>
      <w:r>
        <w:t>。</w:t>
      </w:r>
    </w:p>
    <w:p>
      <w:pPr>
        <w:pStyle w:val="20"/>
        <w:numPr>
          <w:ilvl w:val="2"/>
          <w:numId w:val="12"/>
        </w:numPr>
        <w:tabs>
          <w:tab w:val="left" w:pos="1505"/>
        </w:tabs>
        <w:spacing w:before="93"/>
        <w:ind w:left="424" w:firstLine="480"/>
        <w:rPr>
          <w:sz w:val="24"/>
        </w:rPr>
      </w:pPr>
      <w:r>
        <w:rPr>
          <w:sz w:val="24"/>
        </w:rPr>
        <w:t>投标人的商务和技术得分</w:t>
      </w:r>
      <w:r>
        <w:rPr>
          <w:rFonts w:ascii="Times New Roman" w:eastAsia="Times New Roman"/>
          <w:sz w:val="24"/>
        </w:rPr>
        <w:t>=A+B+D</w:t>
      </w:r>
      <w:r>
        <w:rPr>
          <w:sz w:val="24"/>
        </w:rPr>
        <w:t>。</w:t>
      </w:r>
    </w:p>
    <w:p>
      <w:pPr>
        <w:pStyle w:val="11"/>
        <w:spacing w:before="12"/>
        <w:rPr>
          <w:sz w:val="18"/>
        </w:rPr>
      </w:pPr>
    </w:p>
    <w:p>
      <w:pPr>
        <w:pStyle w:val="20"/>
        <w:numPr>
          <w:ilvl w:val="1"/>
          <w:numId w:val="12"/>
        </w:numPr>
        <w:tabs>
          <w:tab w:val="left" w:pos="905"/>
        </w:tabs>
        <w:rPr>
          <w:rFonts w:ascii="黑体" w:eastAsia="黑体"/>
          <w:sz w:val="24"/>
        </w:rPr>
      </w:pPr>
      <w:bookmarkStart w:id="121" w:name="_bookmark133"/>
      <w:bookmarkEnd w:id="121"/>
      <w:r>
        <w:rPr>
          <w:rFonts w:hint="eastAsia" w:ascii="黑体" w:eastAsia="黑体"/>
          <w:sz w:val="24"/>
        </w:rPr>
        <w:t>第二个信封开标</w:t>
      </w:r>
    </w:p>
    <w:p>
      <w:pPr>
        <w:pStyle w:val="11"/>
        <w:rPr>
          <w:rFonts w:ascii="黑体"/>
          <w:sz w:val="26"/>
        </w:rPr>
      </w:pPr>
    </w:p>
    <w:p>
      <w:pPr>
        <w:pStyle w:val="11"/>
        <w:spacing w:before="1" w:line="312" w:lineRule="auto"/>
        <w:ind w:left="424" w:right="384" w:firstLine="479"/>
        <w:jc w:val="both"/>
      </w:pPr>
      <w:r>
        <w:rPr>
          <w:spacing w:val="-12"/>
        </w:rPr>
        <w:t>第一个信封</w:t>
      </w:r>
      <w:r>
        <w:t>（商务及技术文件</w:t>
      </w:r>
      <w:r>
        <w:rPr>
          <w:spacing w:val="-60"/>
        </w:rPr>
        <w:t>）</w:t>
      </w:r>
      <w:r>
        <w:rPr>
          <w:spacing w:val="-8"/>
        </w:rPr>
        <w:t>评审结束后，招标人将按照第二章</w:t>
      </w:r>
      <w:r>
        <w:rPr>
          <w:rFonts w:ascii="Times New Roman" w:hAnsi="Times New Roman" w:eastAsia="Times New Roman"/>
        </w:rPr>
        <w:t>“</w:t>
      </w:r>
      <w:r>
        <w:t>投标人须知</w:t>
      </w:r>
      <w:r>
        <w:rPr>
          <w:rFonts w:ascii="Times New Roman" w:hAnsi="Times New Roman" w:eastAsia="Times New Roman"/>
        </w:rPr>
        <w:t xml:space="preserve">” </w:t>
      </w:r>
      <w:r>
        <w:rPr>
          <w:spacing w:val="-6"/>
        </w:rPr>
        <w:t xml:space="preserve">第 </w:t>
      </w:r>
      <w:r>
        <w:rPr>
          <w:rFonts w:ascii="Times New Roman" w:hAnsi="Times New Roman" w:eastAsia="Times New Roman"/>
        </w:rPr>
        <w:t xml:space="preserve">5.1 </w:t>
      </w:r>
      <w:r>
        <w:t>款规定的时间和地点对通过投标文件第一个信封（商务及技术文件）评审的投标文件第二个信封（报价文件）进行开标。</w:t>
      </w:r>
    </w:p>
    <w:p>
      <w:pPr>
        <w:pStyle w:val="20"/>
        <w:numPr>
          <w:ilvl w:val="1"/>
          <w:numId w:val="12"/>
        </w:numPr>
        <w:tabs>
          <w:tab w:val="left" w:pos="845"/>
        </w:tabs>
        <w:spacing w:before="152"/>
        <w:ind w:left="844" w:hanging="420"/>
        <w:rPr>
          <w:rFonts w:ascii="黑体" w:eastAsia="黑体"/>
          <w:sz w:val="24"/>
        </w:rPr>
      </w:pPr>
      <w:bookmarkStart w:id="122" w:name="_bookmark134"/>
      <w:bookmarkEnd w:id="122"/>
      <w:r>
        <w:rPr>
          <w:rFonts w:hint="eastAsia" w:ascii="黑体" w:eastAsia="黑体"/>
          <w:sz w:val="24"/>
        </w:rPr>
        <w:t>第二个信封初步评审</w:t>
      </w:r>
    </w:p>
    <w:p>
      <w:pPr>
        <w:pStyle w:val="11"/>
        <w:rPr>
          <w:rFonts w:ascii="黑体"/>
          <w:sz w:val="26"/>
        </w:rPr>
      </w:pPr>
    </w:p>
    <w:p>
      <w:pPr>
        <w:pStyle w:val="20"/>
        <w:numPr>
          <w:ilvl w:val="2"/>
          <w:numId w:val="12"/>
        </w:numPr>
        <w:tabs>
          <w:tab w:val="left" w:pos="1505"/>
        </w:tabs>
        <w:spacing w:line="312" w:lineRule="auto"/>
        <w:ind w:left="424" w:right="382" w:firstLine="480"/>
        <w:jc w:val="both"/>
        <w:rPr>
          <w:sz w:val="24"/>
        </w:rPr>
      </w:pPr>
      <w:r>
        <w:rPr>
          <w:spacing w:val="-6"/>
          <w:sz w:val="24"/>
        </w:rPr>
        <w:t xml:space="preserve">评标委员会依据本章第 </w:t>
      </w:r>
      <w:r>
        <w:rPr>
          <w:rFonts w:ascii="Times New Roman" w:eastAsia="Times New Roman"/>
          <w:sz w:val="24"/>
        </w:rPr>
        <w:t xml:space="preserve">2.1.1 </w:t>
      </w:r>
      <w:r>
        <w:rPr>
          <w:spacing w:val="-36"/>
          <w:sz w:val="24"/>
        </w:rPr>
        <w:t xml:space="preserve">项、第 </w:t>
      </w:r>
      <w:r>
        <w:rPr>
          <w:rFonts w:ascii="Times New Roman" w:eastAsia="Times New Roman"/>
          <w:sz w:val="24"/>
        </w:rPr>
        <w:t xml:space="preserve">2.1.3 </w:t>
      </w:r>
      <w:r>
        <w:rPr>
          <w:sz w:val="24"/>
        </w:rPr>
        <w:t>项规定的评审标准对投标文件第二个信封（报价文件）进行初步评审。有一项不符合评审标准的，评标委员会应否决其投标。</w:t>
      </w:r>
    </w:p>
    <w:p>
      <w:pPr>
        <w:spacing w:line="312" w:lineRule="auto"/>
        <w:jc w:val="both"/>
        <w:rPr>
          <w:sz w:val="24"/>
        </w:rPr>
        <w:sectPr>
          <w:pgSz w:w="11910" w:h="16850"/>
          <w:pgMar w:top="1480" w:right="1200" w:bottom="1040" w:left="1220" w:header="876" w:footer="853" w:gutter="0"/>
          <w:cols w:space="720" w:num="1"/>
        </w:sectPr>
      </w:pPr>
    </w:p>
    <w:p>
      <w:pPr>
        <w:pStyle w:val="11"/>
        <w:spacing w:before="7"/>
        <w:rPr>
          <w:sz w:val="9"/>
        </w:rPr>
      </w:pPr>
    </w:p>
    <w:p>
      <w:pPr>
        <w:pStyle w:val="20"/>
        <w:numPr>
          <w:ilvl w:val="2"/>
          <w:numId w:val="12"/>
        </w:numPr>
        <w:tabs>
          <w:tab w:val="left" w:pos="1386"/>
        </w:tabs>
        <w:spacing w:before="74" w:line="312" w:lineRule="auto"/>
        <w:ind w:left="424" w:right="387" w:firstLine="480"/>
        <w:jc w:val="both"/>
        <w:rPr>
          <w:sz w:val="24"/>
        </w:rPr>
      </w:pPr>
      <w:r>
        <w:rPr>
          <w:spacing w:val="10"/>
          <w:position w:val="11"/>
          <w:sz w:val="12"/>
        </w:rPr>
        <w:t xml:space="preserve"> </w:t>
      </w:r>
      <w:r>
        <w:rPr>
          <w:sz w:val="24"/>
        </w:rPr>
        <w:t>投标报价有算术错误的，评标委员会按以下原则对投标报价进行修正， 修正的价格经投标人书面确认后具有约束力。投标人不接受修正价格的，评标委员会应否决其投标。</w:t>
      </w:r>
    </w:p>
    <w:p>
      <w:pPr>
        <w:pStyle w:val="11"/>
        <w:spacing w:before="1"/>
        <w:ind w:left="904"/>
      </w:pPr>
      <w:r>
        <w:t>（</w:t>
      </w:r>
      <w:r>
        <w:rPr>
          <w:rFonts w:ascii="Times New Roman" w:eastAsia="Times New Roman"/>
        </w:rPr>
        <w:t>1</w:t>
      </w:r>
      <w:r>
        <w:t>）投标文件中的大写金额与小写金额不一致的，以大写金额为准；</w:t>
      </w:r>
    </w:p>
    <w:p>
      <w:pPr>
        <w:pStyle w:val="11"/>
        <w:spacing w:before="91" w:line="312" w:lineRule="auto"/>
        <w:ind w:left="424" w:right="301" w:firstLine="479"/>
        <w:rPr>
          <w:rFonts w:ascii="Times New Roman" w:eastAsia="Times New Roman"/>
        </w:rPr>
      </w:pPr>
      <w:r>
        <w:t>（</w:t>
      </w:r>
      <w:r>
        <w:rPr>
          <w:rFonts w:ascii="Times New Roman" w:eastAsia="Times New Roman"/>
        </w:rPr>
        <w:t>2</w:t>
      </w:r>
      <w:r>
        <w:t>）总价金额与依据单价计算出的结果不一致的，以单价金额为准修正总价， 但单价金额小数点有明显错误的除外</w:t>
      </w:r>
      <w:r>
        <w:rPr>
          <w:rFonts w:ascii="Times New Roman" w:eastAsia="Times New Roman"/>
        </w:rPr>
        <w:t>;</w:t>
      </w:r>
    </w:p>
    <w:p>
      <w:pPr>
        <w:pStyle w:val="11"/>
        <w:spacing w:before="2" w:line="312" w:lineRule="auto"/>
        <w:ind w:left="424" w:right="306" w:firstLine="479"/>
      </w:pPr>
      <w:r>
        <w:t>（</w:t>
      </w:r>
      <w:r>
        <w:rPr>
          <w:rFonts w:ascii="Times New Roman" w:eastAsia="Times New Roman"/>
        </w:rPr>
        <w:t>3</w:t>
      </w:r>
      <w:r>
        <w:t>）当单价与数量相乘不等于合价时，以单价计算为准，如果单价有明显的小数点位置差错，应以标出的合价为准，同时对单价予以修正；</w:t>
      </w:r>
    </w:p>
    <w:p>
      <w:pPr>
        <w:pStyle w:val="11"/>
        <w:spacing w:before="1" w:line="312" w:lineRule="auto"/>
        <w:ind w:left="424" w:right="306" w:firstLine="479"/>
      </w:pPr>
      <w:r>
        <w:t>（</w:t>
      </w:r>
      <w:r>
        <w:rPr>
          <w:rFonts w:ascii="Times New Roman" w:eastAsia="Times New Roman"/>
        </w:rPr>
        <w:t>4</w:t>
      </w:r>
      <w:r>
        <w:t>）当各子目的合价累计不等于总价时，应以各子目合价累计数为准，修正总价。</w:t>
      </w:r>
    </w:p>
    <w:p>
      <w:pPr>
        <w:pStyle w:val="20"/>
        <w:numPr>
          <w:ilvl w:val="2"/>
          <w:numId w:val="12"/>
        </w:numPr>
        <w:tabs>
          <w:tab w:val="left" w:pos="1505"/>
        </w:tabs>
        <w:spacing w:line="312" w:lineRule="auto"/>
        <w:ind w:left="424" w:right="385" w:firstLine="480"/>
        <w:jc w:val="both"/>
        <w:rPr>
          <w:sz w:val="24"/>
        </w:rPr>
      </w:pPr>
      <w:r>
        <w:rPr>
          <w:spacing w:val="-5"/>
          <w:sz w:val="24"/>
        </w:rPr>
        <w:t>工程量清单中的投标报价有其他错误的，评标委员会按以下原则对投标报价进行修正，修正的价格经投标人书面确认后具有约束力。投标人不接受修正价格的，评标委员会应否决其投标。</w:t>
      </w:r>
    </w:p>
    <w:p>
      <w:pPr>
        <w:pStyle w:val="11"/>
        <w:spacing w:line="312" w:lineRule="auto"/>
        <w:ind w:left="424" w:right="266" w:firstLine="479"/>
      </w:pPr>
      <w:r>
        <w:t>（</w:t>
      </w:r>
      <w:r>
        <w:rPr>
          <w:rFonts w:ascii="Times New Roman" w:eastAsia="Times New Roman"/>
        </w:rPr>
        <w:t>1</w:t>
      </w:r>
      <w:r>
        <w:rPr>
          <w:spacing w:val="-104"/>
        </w:rPr>
        <w:t>）</w:t>
      </w:r>
      <w:r>
        <w:rPr>
          <w:spacing w:val="-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11"/>
        <w:spacing w:before="2" w:line="312" w:lineRule="auto"/>
        <w:ind w:left="424" w:right="266" w:firstLine="479"/>
      </w:pPr>
      <w:r>
        <w:t>（</w:t>
      </w:r>
      <w:r>
        <w:rPr>
          <w:rFonts w:ascii="Times New Roman" w:eastAsia="Times New Roman"/>
        </w:rPr>
        <w:t>2</w:t>
      </w:r>
      <w:r>
        <w:rPr>
          <w:spacing w:val="-104"/>
        </w:rPr>
        <w:t>）</w:t>
      </w:r>
      <w:r>
        <w:rPr>
          <w:spacing w:val="-4"/>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11"/>
        <w:spacing w:before="1" w:line="312" w:lineRule="auto"/>
        <w:ind w:left="424" w:right="305" w:firstLine="479"/>
      </w:pPr>
      <w:r>
        <w:t>（</w:t>
      </w:r>
      <w:r>
        <w:rPr>
          <w:rFonts w:ascii="Times New Roman" w:eastAsia="Times New Roman"/>
        </w:rPr>
        <w:t>3</w:t>
      </w:r>
      <w:r>
        <w:t>）当单价与数量的乘积与合价（金额）虽然一致，但投标人修改了该子目的工程数量，则其合价按招标人给定的工程数量乘以投标人所报单价予以修正。</w:t>
      </w:r>
    </w:p>
    <w:p>
      <w:pPr>
        <w:pStyle w:val="20"/>
        <w:numPr>
          <w:ilvl w:val="2"/>
          <w:numId w:val="12"/>
        </w:numPr>
        <w:tabs>
          <w:tab w:val="left" w:pos="1505"/>
        </w:tabs>
        <w:spacing w:line="314" w:lineRule="auto"/>
        <w:ind w:left="424" w:right="387" w:firstLine="480"/>
        <w:rPr>
          <w:sz w:val="24"/>
        </w:rPr>
      </w:pPr>
      <w:r>
        <w:rPr>
          <w:sz w:val="24"/>
        </w:rPr>
        <w:t>修正后的最终投标报价若超过最高投标限价</w:t>
      </w:r>
      <w:r>
        <w:rPr>
          <w:spacing w:val="1"/>
          <w:sz w:val="24"/>
        </w:rPr>
        <w:t>（</w:t>
      </w:r>
      <w:r>
        <w:rPr>
          <w:sz w:val="24"/>
        </w:rPr>
        <w:t>如有</w:t>
      </w:r>
      <w:r>
        <w:rPr>
          <w:spacing w:val="-120"/>
          <w:sz w:val="24"/>
        </w:rPr>
        <w:t>）</w:t>
      </w:r>
      <w:r>
        <w:rPr>
          <w:sz w:val="24"/>
        </w:rPr>
        <w:t>，评标委员会应否决其投标。</w:t>
      </w:r>
    </w:p>
    <w:p>
      <w:pPr>
        <w:pStyle w:val="20"/>
        <w:numPr>
          <w:ilvl w:val="2"/>
          <w:numId w:val="12"/>
        </w:numPr>
        <w:tabs>
          <w:tab w:val="left" w:pos="1505"/>
        </w:tabs>
        <w:spacing w:line="312" w:lineRule="auto"/>
        <w:ind w:left="424" w:right="385" w:firstLine="480"/>
        <w:rPr>
          <w:sz w:val="24"/>
        </w:rPr>
      </w:pPr>
      <w:r>
        <w:rPr>
          <w:spacing w:val="-4"/>
          <w:sz w:val="24"/>
        </w:rPr>
        <w:t>修正后的最终投标报价仅作为签订合同的一个依据，不参与评标价得分的计算。</w:t>
      </w:r>
    </w:p>
    <w:p>
      <w:pPr>
        <w:pStyle w:val="20"/>
        <w:numPr>
          <w:ilvl w:val="1"/>
          <w:numId w:val="12"/>
        </w:numPr>
        <w:tabs>
          <w:tab w:val="left" w:pos="905"/>
        </w:tabs>
        <w:spacing w:before="147"/>
        <w:rPr>
          <w:rFonts w:ascii="黑体" w:eastAsia="黑体"/>
          <w:sz w:val="24"/>
        </w:rPr>
      </w:pPr>
      <w:bookmarkStart w:id="123" w:name="_bookmark135"/>
      <w:bookmarkEnd w:id="123"/>
      <w:r>
        <w:rPr>
          <w:rFonts w:hint="eastAsia" w:ascii="黑体" w:eastAsia="黑体"/>
          <w:sz w:val="24"/>
        </w:rPr>
        <w:t>第二个信封详细评审</w:t>
      </w:r>
    </w:p>
    <w:p>
      <w:pPr>
        <w:pStyle w:val="11"/>
        <w:rPr>
          <w:rFonts w:ascii="黑体"/>
          <w:sz w:val="26"/>
        </w:rPr>
      </w:pPr>
    </w:p>
    <w:p>
      <w:pPr>
        <w:pStyle w:val="20"/>
        <w:numPr>
          <w:ilvl w:val="2"/>
          <w:numId w:val="12"/>
        </w:numPr>
        <w:tabs>
          <w:tab w:val="left" w:pos="1505"/>
        </w:tabs>
        <w:spacing w:line="312" w:lineRule="auto"/>
        <w:ind w:left="425" w:firstLine="482"/>
        <w:rPr>
          <w:rFonts w:ascii="Times New Roman" w:eastAsia="Times New Roman"/>
          <w:spacing w:val="-3"/>
          <w:sz w:val="24"/>
        </w:rPr>
      </w:pPr>
      <w:r>
        <w:rPr>
          <w:spacing w:val="-6"/>
          <w:sz w:val="24"/>
        </w:rPr>
        <w:t xml:space="preserve">评标委员会按本章第 </w:t>
      </w:r>
      <w:r>
        <w:rPr>
          <w:rFonts w:ascii="Times New Roman" w:eastAsia="Times New Roman"/>
          <w:spacing w:val="-3"/>
          <w:sz w:val="24"/>
        </w:rPr>
        <w:t>2.2.4</w:t>
      </w:r>
      <w:r>
        <w:rPr>
          <w:spacing w:val="-3"/>
          <w:sz w:val="24"/>
        </w:rPr>
        <w:t>（</w:t>
      </w:r>
      <w:r>
        <w:rPr>
          <w:rFonts w:ascii="Times New Roman" w:eastAsia="Times New Roman"/>
          <w:spacing w:val="-3"/>
          <w:sz w:val="24"/>
        </w:rPr>
        <w:t>3</w:t>
      </w:r>
      <w:r>
        <w:rPr>
          <w:spacing w:val="-3"/>
          <w:sz w:val="24"/>
        </w:rPr>
        <w:t>）</w:t>
      </w:r>
      <w:r>
        <w:rPr>
          <w:sz w:val="24"/>
        </w:rPr>
        <w:t>目规定的评审</w:t>
      </w:r>
      <w:r>
        <w:rPr>
          <w:rFonts w:ascii="Times New Roman" w:eastAsia="Times New Roman"/>
          <w:spacing w:val="-3"/>
          <w:sz w:val="24"/>
        </w:rPr>
        <w:t>因素和分值对评标价计算出得分 C。评标价得分分值计算保留小数点后两位，小数点后第三位“四舍五入”。</w:t>
      </w:r>
    </w:p>
    <w:p>
      <w:pPr>
        <w:pStyle w:val="20"/>
        <w:numPr>
          <w:ilvl w:val="2"/>
          <w:numId w:val="12"/>
        </w:numPr>
        <w:tabs>
          <w:tab w:val="left" w:pos="1505"/>
        </w:tabs>
        <w:spacing w:before="91"/>
        <w:ind w:left="424" w:firstLine="480"/>
        <w:rPr>
          <w:sz w:val="24"/>
        </w:rPr>
      </w:pPr>
      <w:r>
        <w:rPr>
          <w:sz w:val="24"/>
        </w:rPr>
        <w:t>投标人综合得分</w:t>
      </w:r>
      <w:r>
        <w:rPr>
          <w:rFonts w:ascii="Times New Roman" w:eastAsia="Times New Roman"/>
          <w:sz w:val="24"/>
        </w:rPr>
        <w:t>=</w:t>
      </w:r>
      <w:r>
        <w:rPr>
          <w:sz w:val="24"/>
        </w:rPr>
        <w:t>投标人的商务和技术得分</w:t>
      </w:r>
      <w:r>
        <w:rPr>
          <w:rFonts w:ascii="Times New Roman" w:eastAsia="Times New Roman"/>
          <w:sz w:val="24"/>
        </w:rPr>
        <w:t>+C</w:t>
      </w:r>
      <w:r>
        <w:rPr>
          <w:sz w:val="24"/>
        </w:rPr>
        <w:t>。</w:t>
      </w:r>
    </w:p>
    <w:p>
      <w:pPr>
        <w:pStyle w:val="20"/>
        <w:numPr>
          <w:ilvl w:val="2"/>
          <w:numId w:val="12"/>
        </w:numPr>
        <w:tabs>
          <w:tab w:val="left" w:pos="1505"/>
        </w:tabs>
        <w:spacing w:before="94" w:line="312" w:lineRule="auto"/>
        <w:ind w:left="424" w:right="385" w:firstLine="480"/>
        <w:jc w:val="both"/>
        <w:rPr>
          <w:sz w:val="24"/>
        </w:rPr>
      </w:pPr>
      <w:r>
        <w:rPr>
          <w:spacing w:val="-4"/>
          <w:sz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20"/>
        <w:numPr>
          <w:ilvl w:val="1"/>
          <w:numId w:val="12"/>
        </w:numPr>
        <w:tabs>
          <w:tab w:val="left" w:pos="905"/>
        </w:tabs>
        <w:spacing w:before="153"/>
        <w:rPr>
          <w:rFonts w:ascii="黑体" w:eastAsia="黑体"/>
          <w:sz w:val="24"/>
        </w:rPr>
      </w:pPr>
      <w:bookmarkStart w:id="124" w:name="_bookmark136"/>
      <w:bookmarkEnd w:id="124"/>
      <w:r>
        <w:rPr>
          <w:rFonts w:hint="eastAsia" w:ascii="黑体" w:eastAsia="黑体"/>
          <w:sz w:val="24"/>
        </w:rPr>
        <w:t>投标文件相关信息的核查</w:t>
      </w:r>
    </w:p>
    <w:p>
      <w:pPr>
        <w:pStyle w:val="11"/>
        <w:spacing w:before="11"/>
        <w:rPr>
          <w:rFonts w:ascii="黑体"/>
          <w:sz w:val="25"/>
        </w:rPr>
      </w:pPr>
    </w:p>
    <w:p>
      <w:pPr>
        <w:pStyle w:val="20"/>
        <w:numPr>
          <w:ilvl w:val="2"/>
          <w:numId w:val="12"/>
        </w:numPr>
        <w:tabs>
          <w:tab w:val="left" w:pos="1505"/>
        </w:tabs>
        <w:spacing w:line="312" w:lineRule="auto"/>
        <w:ind w:left="424" w:right="385" w:firstLine="480"/>
        <w:jc w:val="both"/>
        <w:rPr>
          <w:sz w:val="24"/>
        </w:rPr>
      </w:pPr>
      <w:r>
        <w:rPr>
          <w:spacing w:val="-9"/>
          <w:sz w:val="24"/>
        </w:rPr>
        <w:t>在评标过程中，评标委员会应查询交通运输主管部门“公路建设市场信用</w:t>
      </w:r>
      <w:r>
        <w:rPr>
          <w:spacing w:val="-18"/>
          <w:sz w:val="24"/>
        </w:rPr>
        <w:t>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20"/>
        <w:numPr>
          <w:ilvl w:val="2"/>
          <w:numId w:val="12"/>
        </w:numPr>
        <w:tabs>
          <w:tab w:val="left" w:pos="1505"/>
        </w:tabs>
        <w:spacing w:before="3" w:line="312" w:lineRule="auto"/>
        <w:ind w:left="424" w:right="385" w:firstLine="480"/>
        <w:jc w:val="both"/>
        <w:rPr>
          <w:sz w:val="24"/>
        </w:rPr>
      </w:pPr>
      <w:r>
        <w:rPr>
          <w:spacing w:val="-4"/>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1"/>
        <w:spacing w:before="1"/>
        <w:ind w:left="904"/>
      </w:pPr>
      <w:r>
        <w:t>（</w:t>
      </w:r>
      <w:r>
        <w:rPr>
          <w:rFonts w:ascii="Times New Roman" w:eastAsia="Times New Roman"/>
        </w:rPr>
        <w:t>1</w:t>
      </w:r>
      <w:r>
        <w:t>）有下列情形之一的，属于投标人相互串通投标：</w:t>
      </w:r>
    </w:p>
    <w:p>
      <w:pPr>
        <w:pStyle w:val="11"/>
        <w:spacing w:before="91"/>
        <w:ind w:left="904"/>
      </w:pPr>
      <w:r>
        <w:rPr>
          <w:rFonts w:ascii="Times New Roman" w:eastAsia="Times New Roman"/>
        </w:rPr>
        <w:t>a.</w:t>
      </w:r>
      <w:r>
        <w:t>投标人之间协商投标报价等投标文件的实质性内容；</w:t>
      </w:r>
    </w:p>
    <w:p>
      <w:pPr>
        <w:pStyle w:val="11"/>
        <w:spacing w:before="93"/>
        <w:ind w:left="904"/>
      </w:pPr>
      <w:r>
        <w:rPr>
          <w:rFonts w:ascii="Times New Roman" w:eastAsia="Times New Roman"/>
        </w:rPr>
        <w:t>b.</w:t>
      </w:r>
      <w:r>
        <w:t>投标人之间约定中标人；</w:t>
      </w:r>
    </w:p>
    <w:p>
      <w:pPr>
        <w:pStyle w:val="11"/>
        <w:spacing w:before="93"/>
        <w:ind w:left="904"/>
      </w:pPr>
      <w:r>
        <w:rPr>
          <w:rFonts w:ascii="Times New Roman" w:eastAsia="Times New Roman"/>
        </w:rPr>
        <w:t>c.</w:t>
      </w:r>
      <w:r>
        <w:t>投标人之间约定部分投标人放弃投标或中标；</w:t>
      </w:r>
    </w:p>
    <w:p>
      <w:pPr>
        <w:pStyle w:val="11"/>
        <w:spacing w:before="91"/>
        <w:ind w:left="904"/>
      </w:pPr>
      <w:r>
        <w:rPr>
          <w:rFonts w:ascii="Times New Roman" w:eastAsia="Times New Roman"/>
        </w:rPr>
        <w:t>d.</w:t>
      </w:r>
      <w:r>
        <w:t>属于同一集团、协会、商会等组织成员的投标人按照该组织要求协同投标；</w:t>
      </w:r>
    </w:p>
    <w:p>
      <w:pPr>
        <w:pStyle w:val="11"/>
        <w:spacing w:before="94"/>
        <w:ind w:left="904"/>
      </w:pPr>
      <w:r>
        <w:rPr>
          <w:rFonts w:ascii="Times New Roman" w:eastAsia="Times New Roman"/>
        </w:rPr>
        <w:t>e.</w:t>
      </w:r>
      <w:r>
        <w:t>投标人之间为谋取中标或排斥特定投标人而采取的其他联合行动。</w:t>
      </w:r>
    </w:p>
    <w:p>
      <w:pPr>
        <w:pStyle w:val="11"/>
        <w:spacing w:before="93"/>
        <w:ind w:left="904"/>
      </w:pPr>
      <w:r>
        <w:t>（</w:t>
      </w:r>
      <w:r>
        <w:rPr>
          <w:rFonts w:ascii="Times New Roman" w:eastAsia="Times New Roman"/>
        </w:rPr>
        <w:t>2</w:t>
      </w:r>
      <w:r>
        <w:t>）有下列情形之一的，视为投标人相互串通投标：</w:t>
      </w:r>
    </w:p>
    <w:p>
      <w:pPr>
        <w:pStyle w:val="11"/>
        <w:spacing w:before="91" w:line="312" w:lineRule="auto"/>
        <w:ind w:left="904" w:right="3346"/>
      </w:pPr>
      <w:r>
        <w:rPr>
          <w:rFonts w:ascii="Times New Roman" w:eastAsia="Times New Roman"/>
        </w:rPr>
        <w:t>a.</w:t>
      </w:r>
      <w:r>
        <w:t xml:space="preserve">不同投标人的投标文件由同一单位或个人编制； </w:t>
      </w:r>
      <w:r>
        <w:rPr>
          <w:rFonts w:ascii="Times New Roman" w:eastAsia="Times New Roman"/>
        </w:rPr>
        <w:t>b.</w:t>
      </w:r>
      <w:r>
        <w:t>不同投标人委托同一单位或个人办理投标事宜；</w:t>
      </w:r>
    </w:p>
    <w:p>
      <w:pPr>
        <w:pStyle w:val="11"/>
        <w:spacing w:before="2"/>
        <w:ind w:left="904"/>
      </w:pPr>
      <w:r>
        <w:rPr>
          <w:rFonts w:ascii="Times New Roman" w:eastAsia="Times New Roman"/>
        </w:rPr>
        <w:t>c.</w:t>
      </w:r>
      <w:r>
        <w:t>不同投标人的投标文件载明的项目管理成员为同一人；</w:t>
      </w:r>
    </w:p>
    <w:p>
      <w:pPr>
        <w:pStyle w:val="11"/>
        <w:spacing w:before="91" w:line="312" w:lineRule="auto"/>
        <w:ind w:left="904" w:right="2146"/>
      </w:pPr>
      <w:r>
        <w:rPr>
          <w:rFonts w:ascii="Times New Roman" w:eastAsia="Times New Roman"/>
        </w:rPr>
        <w:t>d.</w:t>
      </w:r>
      <w:r>
        <w:t xml:space="preserve">不同投标人的投标文件异常一致或投标报价呈规律性差异； </w:t>
      </w:r>
      <w:r>
        <w:rPr>
          <w:rFonts w:ascii="Times New Roman" w:eastAsia="Times New Roman"/>
        </w:rPr>
        <w:t>e.</w:t>
      </w:r>
      <w:r>
        <w:t>不同投标人的投标文件相互混装；</w:t>
      </w:r>
    </w:p>
    <w:p>
      <w:pPr>
        <w:pStyle w:val="11"/>
        <w:spacing w:before="2"/>
        <w:ind w:left="904"/>
      </w:pPr>
      <w:r>
        <w:rPr>
          <w:rFonts w:ascii="Times New Roman" w:eastAsia="Times New Roman"/>
        </w:rPr>
        <w:t>f.</w:t>
      </w:r>
      <w:r>
        <w:t>不同投标人的投标保证金从同一单位或个人的账户转出。</w:t>
      </w:r>
    </w:p>
    <w:p>
      <w:pPr>
        <w:pStyle w:val="11"/>
        <w:spacing w:before="91"/>
        <w:ind w:left="904"/>
      </w:pPr>
      <w:r>
        <w:t>（</w:t>
      </w:r>
      <w:r>
        <w:rPr>
          <w:rFonts w:ascii="Times New Roman" w:eastAsia="Times New Roman"/>
        </w:rPr>
        <w:t>3</w:t>
      </w:r>
      <w:r>
        <w:t>）有下列情形之一的，属于招标人与投标人串通投标：</w:t>
      </w:r>
    </w:p>
    <w:p>
      <w:pPr>
        <w:pStyle w:val="11"/>
        <w:spacing w:before="94"/>
        <w:ind w:left="904"/>
        <w:rPr>
          <w:rFonts w:ascii="Times New Roman" w:eastAsia="Times New Roman"/>
        </w:rPr>
      </w:pPr>
      <w:r>
        <w:rPr>
          <w:rFonts w:ascii="Times New Roman" w:eastAsia="Times New Roman"/>
        </w:rPr>
        <w:t>a.</w:t>
      </w:r>
      <w:r>
        <w:t>招标人在开标前开启投标文件并将有关信息泄露给其他投标人</w:t>
      </w:r>
      <w:r>
        <w:rPr>
          <w:rFonts w:ascii="Times New Roman" w:eastAsia="Times New Roman"/>
        </w:rPr>
        <w:t>;</w:t>
      </w:r>
    </w:p>
    <w:p>
      <w:pPr>
        <w:pStyle w:val="11"/>
        <w:spacing w:before="93"/>
        <w:ind w:left="904"/>
      </w:pPr>
      <w:r>
        <w:rPr>
          <w:rFonts w:ascii="Times New Roman" w:eastAsia="Times New Roman"/>
        </w:rPr>
        <w:t>b.</w:t>
      </w:r>
      <w:r>
        <w:t>招标人直接或间接向投标人泄露标底、评标委员会成员等信息；</w:t>
      </w:r>
    </w:p>
    <w:p>
      <w:pPr>
        <w:pStyle w:val="11"/>
        <w:spacing w:before="91"/>
        <w:ind w:left="904"/>
      </w:pPr>
      <w:r>
        <w:rPr>
          <w:rFonts w:ascii="Times New Roman" w:eastAsia="Times New Roman"/>
        </w:rPr>
        <w:t>c.</w:t>
      </w:r>
      <w:r>
        <w:t>招标人明示或暗示投标人压低或抬高投标报价；</w:t>
      </w:r>
    </w:p>
    <w:p>
      <w:pPr>
        <w:pStyle w:val="11"/>
        <w:spacing w:before="94"/>
        <w:ind w:left="904"/>
      </w:pPr>
      <w:r>
        <w:rPr>
          <w:rFonts w:ascii="Times New Roman" w:eastAsia="Times New Roman"/>
        </w:rPr>
        <w:t>d.</w:t>
      </w:r>
      <w:r>
        <w:t>招标人授意投标人撤换、修改投标文件；</w:t>
      </w:r>
    </w:p>
    <w:p>
      <w:pPr>
        <w:sectPr>
          <w:pgSz w:w="11910" w:h="16850"/>
          <w:pgMar w:top="1480" w:right="1200" w:bottom="1040" w:left="1220" w:header="876" w:footer="853" w:gutter="0"/>
          <w:cols w:space="720" w:num="1"/>
        </w:sectPr>
      </w:pPr>
    </w:p>
    <w:p>
      <w:pPr>
        <w:pStyle w:val="11"/>
        <w:spacing w:before="7"/>
        <w:rPr>
          <w:sz w:val="9"/>
        </w:rPr>
      </w:pPr>
    </w:p>
    <w:p>
      <w:pPr>
        <w:pStyle w:val="11"/>
        <w:spacing w:before="74"/>
        <w:ind w:left="904"/>
      </w:pPr>
      <w:r>
        <w:rPr>
          <w:rFonts w:ascii="Times New Roman" w:eastAsia="Times New Roman"/>
        </w:rPr>
        <w:t>e.</w:t>
      </w:r>
      <w:r>
        <w:t>招标人明示或暗示投标人为特定投标人中标提供方便；</w:t>
      </w:r>
    </w:p>
    <w:p>
      <w:pPr>
        <w:pStyle w:val="11"/>
        <w:spacing w:before="91"/>
        <w:ind w:left="904"/>
      </w:pPr>
      <w:r>
        <w:rPr>
          <w:rFonts w:ascii="Times New Roman" w:eastAsia="Times New Roman"/>
        </w:rPr>
        <w:t>f.</w:t>
      </w:r>
      <w:r>
        <w:t>招标人与投标人为谋求特定投标人中标而采取的其他串通行为。</w:t>
      </w:r>
    </w:p>
    <w:p>
      <w:pPr>
        <w:pStyle w:val="11"/>
        <w:spacing w:before="94"/>
        <w:ind w:left="904"/>
      </w:pPr>
      <w:r>
        <w:t>（</w:t>
      </w:r>
      <w:r>
        <w:rPr>
          <w:rFonts w:ascii="Times New Roman" w:eastAsia="Times New Roman"/>
        </w:rPr>
        <w:t>4</w:t>
      </w:r>
      <w:r>
        <w:t>）投标人有下列情形之一的，属于弄虚作假的行为：</w:t>
      </w:r>
    </w:p>
    <w:p>
      <w:pPr>
        <w:pStyle w:val="11"/>
        <w:spacing w:before="93"/>
        <w:ind w:left="904"/>
      </w:pPr>
      <w:r>
        <w:rPr>
          <w:rFonts w:ascii="Times New Roman" w:eastAsia="Times New Roman"/>
        </w:rPr>
        <w:t>a.</w:t>
      </w:r>
      <w:r>
        <w:t>使用通过受让或租借等方式获取的资格、资质证书投标；</w:t>
      </w:r>
    </w:p>
    <w:p>
      <w:pPr>
        <w:pStyle w:val="11"/>
        <w:spacing w:before="91"/>
        <w:ind w:left="904"/>
      </w:pPr>
      <w:r>
        <w:rPr>
          <w:rFonts w:ascii="Times New Roman" w:eastAsia="Times New Roman"/>
        </w:rPr>
        <w:t>b.</w:t>
      </w:r>
      <w:r>
        <w:t>使用伪造、变造的许可证件；</w:t>
      </w:r>
    </w:p>
    <w:p>
      <w:pPr>
        <w:pStyle w:val="11"/>
        <w:spacing w:before="93"/>
        <w:ind w:left="904"/>
      </w:pPr>
      <w:r>
        <w:rPr>
          <w:rFonts w:ascii="Times New Roman" w:eastAsia="Times New Roman"/>
        </w:rPr>
        <w:t>c.</w:t>
      </w:r>
      <w:r>
        <w:t>提供虚假的财务状况或业绩；</w:t>
      </w:r>
    </w:p>
    <w:p>
      <w:pPr>
        <w:pStyle w:val="11"/>
        <w:spacing w:before="93"/>
        <w:ind w:left="904"/>
      </w:pPr>
      <w:r>
        <w:rPr>
          <w:rFonts w:ascii="Times New Roman" w:eastAsia="Times New Roman"/>
        </w:rPr>
        <w:t>d.</w:t>
      </w:r>
      <w:r>
        <w:t>提供虚假的项目负责人或主要技术人员简历、劳动关系证明；</w:t>
      </w:r>
    </w:p>
    <w:p>
      <w:pPr>
        <w:pStyle w:val="11"/>
        <w:spacing w:before="92"/>
        <w:ind w:left="904"/>
      </w:pPr>
      <w:r>
        <w:rPr>
          <w:rFonts w:ascii="Times New Roman" w:eastAsia="Times New Roman"/>
        </w:rPr>
        <w:t>e.</w:t>
      </w:r>
      <w:r>
        <w:t>提供虚假的信用状况；</w:t>
      </w:r>
    </w:p>
    <w:p>
      <w:pPr>
        <w:pStyle w:val="11"/>
        <w:spacing w:before="93"/>
        <w:ind w:left="904"/>
      </w:pPr>
      <w:r>
        <w:rPr>
          <w:rFonts w:ascii="Times New Roman" w:eastAsia="Times New Roman"/>
        </w:rPr>
        <w:t>f.</w:t>
      </w:r>
      <w:r>
        <w:t>其他弄虚作假的行为。</w:t>
      </w:r>
    </w:p>
    <w:p>
      <w:pPr>
        <w:pStyle w:val="11"/>
        <w:rPr>
          <w:sz w:val="26"/>
        </w:rPr>
      </w:pPr>
    </w:p>
    <w:p>
      <w:pPr>
        <w:pStyle w:val="20"/>
        <w:numPr>
          <w:ilvl w:val="1"/>
          <w:numId w:val="12"/>
        </w:numPr>
        <w:tabs>
          <w:tab w:val="left" w:pos="905"/>
        </w:tabs>
        <w:rPr>
          <w:rFonts w:ascii="黑体" w:eastAsia="黑体"/>
          <w:sz w:val="24"/>
        </w:rPr>
      </w:pPr>
      <w:bookmarkStart w:id="125" w:name="_bookmark137"/>
      <w:bookmarkEnd w:id="125"/>
      <w:r>
        <w:rPr>
          <w:rFonts w:hint="eastAsia" w:ascii="黑体" w:eastAsia="黑体"/>
          <w:sz w:val="24"/>
        </w:rPr>
        <w:t>投标文件的澄清和说明</w:t>
      </w:r>
    </w:p>
    <w:p>
      <w:pPr>
        <w:pStyle w:val="11"/>
        <w:spacing w:before="11"/>
        <w:rPr>
          <w:rFonts w:ascii="黑体"/>
          <w:sz w:val="25"/>
        </w:rPr>
      </w:pPr>
    </w:p>
    <w:p>
      <w:pPr>
        <w:pStyle w:val="20"/>
        <w:numPr>
          <w:ilvl w:val="2"/>
          <w:numId w:val="12"/>
        </w:numPr>
        <w:tabs>
          <w:tab w:val="left" w:pos="1505"/>
        </w:tabs>
        <w:spacing w:line="312" w:lineRule="auto"/>
        <w:ind w:left="424" w:right="382" w:firstLine="480"/>
        <w:jc w:val="both"/>
        <w:rPr>
          <w:sz w:val="24"/>
        </w:rPr>
      </w:pPr>
      <w:r>
        <w:rPr>
          <w:spacing w:val="-9"/>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20"/>
        <w:numPr>
          <w:ilvl w:val="2"/>
          <w:numId w:val="12"/>
        </w:numPr>
        <w:tabs>
          <w:tab w:val="left" w:pos="1505"/>
        </w:tabs>
        <w:spacing w:before="2" w:line="312" w:lineRule="auto"/>
        <w:ind w:left="424" w:right="382" w:firstLine="480"/>
        <w:rPr>
          <w:sz w:val="24"/>
        </w:rPr>
      </w:pPr>
      <w:r>
        <w:rPr>
          <w:spacing w:val="-3"/>
          <w:sz w:val="24"/>
        </w:rPr>
        <w:t>澄清和说明不得超出投标文件的范围或改变投标文件的实质性内容</w:t>
      </w:r>
      <w:r>
        <w:rPr>
          <w:sz w:val="24"/>
        </w:rPr>
        <w:t>（算术性错误的修正除外</w:t>
      </w:r>
      <w:r>
        <w:rPr>
          <w:spacing w:val="-120"/>
          <w:sz w:val="24"/>
        </w:rPr>
        <w:t>）</w:t>
      </w:r>
      <w:r>
        <w:rPr>
          <w:sz w:val="24"/>
        </w:rPr>
        <w:t>。投标人的书面澄清、说明属于投标文件的组成部分。</w:t>
      </w:r>
    </w:p>
    <w:p>
      <w:pPr>
        <w:pStyle w:val="20"/>
        <w:numPr>
          <w:ilvl w:val="2"/>
          <w:numId w:val="12"/>
        </w:numPr>
        <w:tabs>
          <w:tab w:val="left" w:pos="1505"/>
        </w:tabs>
        <w:spacing w:line="312" w:lineRule="auto"/>
        <w:ind w:left="424" w:right="263" w:firstLine="480"/>
        <w:rPr>
          <w:sz w:val="24"/>
        </w:rPr>
      </w:pPr>
      <w:r>
        <w:rPr>
          <w:spacing w:val="-11"/>
          <w:sz w:val="24"/>
        </w:rPr>
        <w:t>评标委员会不得暗示或诱导投标人作出澄清、说明，对投标人提交的澄清、说明有疑问的，可以要求投标人进一步澄清或说明，直至满足评标委员会的要求。</w:t>
      </w:r>
    </w:p>
    <w:p>
      <w:pPr>
        <w:pStyle w:val="20"/>
        <w:numPr>
          <w:ilvl w:val="2"/>
          <w:numId w:val="12"/>
        </w:numPr>
        <w:tabs>
          <w:tab w:val="left" w:pos="1505"/>
        </w:tabs>
        <w:spacing w:before="2" w:line="312" w:lineRule="auto"/>
        <w:ind w:left="424" w:right="385" w:firstLine="480"/>
        <w:rPr>
          <w:sz w:val="24"/>
        </w:rPr>
      </w:pPr>
      <w:r>
        <w:rPr>
          <w:spacing w:val="-3"/>
          <w:sz w:val="24"/>
        </w:rPr>
        <w:t>凡超出招标文件规定的或给发包人带来未曾要求的利益的变化、偏差或其他因素在评标时不予考虑。</w:t>
      </w:r>
    </w:p>
    <w:p>
      <w:pPr>
        <w:pStyle w:val="11"/>
        <w:spacing w:before="9"/>
        <w:rPr>
          <w:sz w:val="18"/>
        </w:rPr>
      </w:pPr>
    </w:p>
    <w:p>
      <w:pPr>
        <w:pStyle w:val="20"/>
        <w:numPr>
          <w:ilvl w:val="1"/>
          <w:numId w:val="12"/>
        </w:numPr>
        <w:tabs>
          <w:tab w:val="left" w:pos="905"/>
        </w:tabs>
        <w:rPr>
          <w:rFonts w:ascii="黑体" w:eastAsia="黑体"/>
          <w:sz w:val="24"/>
        </w:rPr>
      </w:pPr>
      <w:bookmarkStart w:id="126" w:name="_bookmark138"/>
      <w:bookmarkEnd w:id="126"/>
      <w:r>
        <w:rPr>
          <w:rFonts w:hint="eastAsia" w:ascii="黑体" w:eastAsia="黑体"/>
          <w:sz w:val="24"/>
        </w:rPr>
        <w:t>不得否决投标的情形</w:t>
      </w:r>
    </w:p>
    <w:p>
      <w:pPr>
        <w:pStyle w:val="11"/>
        <w:spacing w:before="1"/>
        <w:rPr>
          <w:rFonts w:ascii="黑体"/>
          <w:sz w:val="26"/>
        </w:rPr>
      </w:pPr>
    </w:p>
    <w:p>
      <w:pPr>
        <w:pStyle w:val="11"/>
        <w:ind w:left="904"/>
      </w:pPr>
      <w:r>
        <w:t xml:space="preserve">投标文件存在第二章“投标人须知”第 </w:t>
      </w:r>
      <w:r>
        <w:rPr>
          <w:rFonts w:ascii="Times New Roman" w:hAnsi="Times New Roman" w:eastAsia="Times New Roman"/>
        </w:rPr>
        <w:t xml:space="preserve">1.12.3 </w:t>
      </w:r>
      <w:r>
        <w:t>项所列情形的，均视为细微偏差，</w:t>
      </w:r>
    </w:p>
    <w:p>
      <w:pPr>
        <w:pStyle w:val="11"/>
        <w:spacing w:before="91" w:line="312" w:lineRule="auto"/>
        <w:ind w:left="424" w:right="334"/>
      </w:pPr>
      <w:r>
        <w:t xml:space="preserve">评标委员会不得否决投标人的投标，应按照第二章“投标人须知”第 </w:t>
      </w:r>
      <w:r>
        <w:rPr>
          <w:rFonts w:ascii="Times New Roman" w:hAnsi="Times New Roman" w:eastAsia="Times New Roman"/>
        </w:rPr>
        <w:t xml:space="preserve">1.12.4 </w:t>
      </w:r>
      <w:r>
        <w:t>项规定的原则处理。</w:t>
      </w:r>
    </w:p>
    <w:p>
      <w:pPr>
        <w:pStyle w:val="20"/>
        <w:numPr>
          <w:ilvl w:val="1"/>
          <w:numId w:val="12"/>
        </w:numPr>
        <w:tabs>
          <w:tab w:val="left" w:pos="905"/>
        </w:tabs>
        <w:spacing w:before="153"/>
        <w:rPr>
          <w:rFonts w:ascii="黑体" w:eastAsia="黑体"/>
          <w:sz w:val="24"/>
        </w:rPr>
      </w:pPr>
      <w:bookmarkStart w:id="127" w:name="_bookmark139"/>
      <w:bookmarkEnd w:id="127"/>
      <w:r>
        <w:rPr>
          <w:rFonts w:hint="eastAsia" w:ascii="黑体" w:eastAsia="黑体"/>
          <w:sz w:val="24"/>
        </w:rPr>
        <w:t>评标结果</w:t>
      </w:r>
    </w:p>
    <w:p>
      <w:pPr>
        <w:pStyle w:val="11"/>
        <w:spacing w:before="10"/>
        <w:rPr>
          <w:rFonts w:ascii="黑体"/>
          <w:sz w:val="25"/>
        </w:rPr>
      </w:pPr>
    </w:p>
    <w:p>
      <w:pPr>
        <w:pStyle w:val="20"/>
        <w:numPr>
          <w:ilvl w:val="2"/>
          <w:numId w:val="12"/>
        </w:numPr>
        <w:tabs>
          <w:tab w:val="left" w:pos="1505"/>
        </w:tabs>
        <w:spacing w:before="1" w:line="312" w:lineRule="auto"/>
        <w:ind w:left="424" w:right="385" w:firstLine="480"/>
        <w:rPr>
          <w:sz w:val="24"/>
        </w:rPr>
      </w:pPr>
      <w:r>
        <w:rPr>
          <w:sz w:val="24"/>
        </w:rPr>
        <w:t>除第二章</w:t>
      </w:r>
      <w:r>
        <w:rPr>
          <w:rFonts w:ascii="Times New Roman" w:hAnsi="Times New Roman" w:eastAsia="Times New Roman"/>
          <w:sz w:val="24"/>
        </w:rPr>
        <w:t>“</w:t>
      </w:r>
      <w:r>
        <w:rPr>
          <w:sz w:val="24"/>
        </w:rPr>
        <w:t>投标人须知</w:t>
      </w:r>
      <w:r>
        <w:rPr>
          <w:rFonts w:ascii="Times New Roman" w:hAnsi="Times New Roman" w:eastAsia="Times New Roman"/>
          <w:sz w:val="24"/>
        </w:rPr>
        <w:t>”</w:t>
      </w:r>
      <w:r>
        <w:rPr>
          <w:spacing w:val="-5"/>
          <w:sz w:val="24"/>
        </w:rPr>
        <w:t>前附表授权直接确定中标人外，评标委员会按照得分由高到低的顺序推荐中标候选人，并标明排序。</w:t>
      </w:r>
    </w:p>
    <w:p>
      <w:pPr>
        <w:pStyle w:val="20"/>
        <w:numPr>
          <w:ilvl w:val="2"/>
          <w:numId w:val="12"/>
        </w:numPr>
        <w:tabs>
          <w:tab w:val="left" w:pos="1505"/>
        </w:tabs>
        <w:spacing w:before="2"/>
        <w:ind w:left="424" w:firstLine="480"/>
        <w:rPr>
          <w:sz w:val="24"/>
        </w:rPr>
      </w:pPr>
      <w:r>
        <w:rPr>
          <w:sz w:val="24"/>
        </w:rPr>
        <w:t>评标委员会完成评标后，应向招标人提交书面评标报告。</w:t>
      </w:r>
    </w:p>
    <w:p>
      <w:pPr>
        <w:rPr>
          <w:sz w:val="24"/>
        </w:rPr>
        <w:sectPr>
          <w:pgSz w:w="11910" w:h="16850"/>
          <w:pgMar w:top="1480" w:right="1200" w:bottom="1080" w:left="1220" w:header="883" w:footer="884" w:gutter="0"/>
          <w:cols w:space="720" w:num="1"/>
        </w:sectPr>
      </w:pPr>
    </w:p>
    <w:p>
      <w:pPr>
        <w:pStyle w:val="11"/>
        <w:rPr>
          <w:sz w:val="20"/>
        </w:rPr>
      </w:pPr>
    </w:p>
    <w:p>
      <w:pPr>
        <w:pStyle w:val="11"/>
        <w:spacing w:before="11"/>
        <w:rPr>
          <w:sz w:val="21"/>
        </w:rPr>
      </w:pPr>
    </w:p>
    <w:p>
      <w:pPr>
        <w:tabs>
          <w:tab w:val="left" w:pos="2128"/>
        </w:tabs>
        <w:spacing w:before="52"/>
        <w:ind w:left="441"/>
        <w:rPr>
          <w:rFonts w:ascii="黑体" w:hAnsi="黑体" w:eastAsia="黑体"/>
          <w:b/>
          <w:sz w:val="21"/>
        </w:rPr>
      </w:pPr>
      <w:bookmarkStart w:id="128" w:name="_bookmark140"/>
      <w:bookmarkEnd w:id="128"/>
      <w:r>
        <w:rPr>
          <w:rFonts w:hint="eastAsia" w:ascii="黑体" w:hAnsi="黑体" w:eastAsia="黑体"/>
          <w:b/>
          <w:sz w:val="42"/>
        </w:rPr>
        <w:t>第三章</w:t>
      </w:r>
      <w:r>
        <w:rPr>
          <w:rFonts w:hint="eastAsia" w:ascii="黑体" w:hAnsi="黑体" w:eastAsia="黑体"/>
          <w:b/>
          <w:sz w:val="42"/>
        </w:rPr>
        <w:tab/>
      </w:r>
      <w:r>
        <w:rPr>
          <w:rFonts w:hint="eastAsia" w:ascii="黑体" w:hAnsi="黑体" w:eastAsia="黑体"/>
          <w:b/>
          <w:sz w:val="42"/>
        </w:rPr>
        <w:t>评标办法（经评审的最低投标价法）</w:t>
      </w:r>
      <w:r>
        <w:rPr>
          <w:rFonts w:hint="eastAsia" w:ascii="黑体" w:hAnsi="黑体" w:eastAsia="黑体"/>
          <w:b/>
          <w:position w:val="19"/>
          <w:sz w:val="21"/>
        </w:rPr>
        <w:t>①</w:t>
      </w:r>
    </w:p>
    <w:p>
      <w:pPr>
        <w:pStyle w:val="11"/>
        <w:spacing w:before="4"/>
        <w:rPr>
          <w:rFonts w:ascii="黑体"/>
          <w:b/>
          <w:sz w:val="39"/>
        </w:rPr>
      </w:pPr>
    </w:p>
    <w:p>
      <w:pPr>
        <w:ind w:left="424"/>
        <w:rPr>
          <w:b/>
          <w:sz w:val="14"/>
        </w:rPr>
      </w:pPr>
      <w:bookmarkStart w:id="129" w:name="_bookmark141"/>
      <w:bookmarkEnd w:id="129"/>
      <w:r>
        <w:rPr>
          <w:rFonts w:hint="eastAsia" w:ascii="黑体" w:hAnsi="黑体" w:eastAsia="黑体"/>
          <w:b/>
          <w:sz w:val="28"/>
        </w:rPr>
        <w:t>评标办法前附表</w:t>
      </w:r>
      <w:r>
        <w:rPr>
          <w:b/>
          <w:position w:val="13"/>
          <w:sz w:val="14"/>
        </w:rPr>
        <w:t>②</w:t>
      </w:r>
    </w:p>
    <w:p>
      <w:pPr>
        <w:pStyle w:val="11"/>
        <w:spacing w:before="12"/>
        <w:rPr>
          <w:b/>
          <w:sz w:val="18"/>
        </w:rPr>
      </w:pPr>
    </w:p>
    <w:tbl>
      <w:tblPr>
        <w:tblStyle w:val="19"/>
        <w:tblW w:w="889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63"/>
        <w:gridCol w:w="6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993" w:type="dxa"/>
            <w:gridSpan w:val="2"/>
          </w:tcPr>
          <w:p>
            <w:pPr>
              <w:pStyle w:val="21"/>
              <w:spacing w:before="89" w:line="250" w:lineRule="exact"/>
              <w:ind w:left="659" w:right="651"/>
              <w:jc w:val="center"/>
              <w:rPr>
                <w:b/>
                <w:sz w:val="21"/>
              </w:rPr>
            </w:pPr>
            <w:r>
              <w:rPr>
                <w:b/>
                <w:sz w:val="21"/>
              </w:rPr>
              <w:t>条款号</w:t>
            </w:r>
          </w:p>
        </w:tc>
        <w:tc>
          <w:tcPr>
            <w:tcW w:w="6902" w:type="dxa"/>
          </w:tcPr>
          <w:p>
            <w:pPr>
              <w:pStyle w:val="21"/>
              <w:spacing w:before="89" w:line="250" w:lineRule="exact"/>
              <w:ind w:left="89" w:right="85"/>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730" w:type="dxa"/>
          </w:tcPr>
          <w:p>
            <w:pPr>
              <w:pStyle w:val="21"/>
              <w:rPr>
                <w:b/>
              </w:rPr>
            </w:pPr>
          </w:p>
          <w:p>
            <w:pPr>
              <w:pStyle w:val="21"/>
              <w:rPr>
                <w:b/>
              </w:rPr>
            </w:pPr>
          </w:p>
          <w:p>
            <w:pPr>
              <w:pStyle w:val="21"/>
              <w:rPr>
                <w:b/>
              </w:rPr>
            </w:pPr>
          </w:p>
          <w:p>
            <w:pPr>
              <w:pStyle w:val="21"/>
              <w:spacing w:before="168"/>
              <w:ind w:left="9"/>
              <w:jc w:val="center"/>
              <w:rPr>
                <w:rFonts w:ascii="Times New Roman"/>
                <w:sz w:val="21"/>
              </w:rPr>
            </w:pPr>
            <w:r>
              <w:rPr>
                <w:rFonts w:ascii="Times New Roman"/>
                <w:sz w:val="21"/>
              </w:rPr>
              <w:t>1</w:t>
            </w:r>
          </w:p>
        </w:tc>
        <w:tc>
          <w:tcPr>
            <w:tcW w:w="1263" w:type="dxa"/>
          </w:tcPr>
          <w:p>
            <w:pPr>
              <w:pStyle w:val="21"/>
              <w:rPr>
                <w:b/>
                <w:sz w:val="20"/>
              </w:rPr>
            </w:pPr>
          </w:p>
          <w:p>
            <w:pPr>
              <w:pStyle w:val="21"/>
              <w:rPr>
                <w:b/>
                <w:sz w:val="20"/>
              </w:rPr>
            </w:pPr>
          </w:p>
          <w:p>
            <w:pPr>
              <w:pStyle w:val="21"/>
              <w:rPr>
                <w:b/>
                <w:sz w:val="20"/>
              </w:rPr>
            </w:pPr>
          </w:p>
          <w:p>
            <w:pPr>
              <w:pStyle w:val="21"/>
              <w:spacing w:before="3"/>
              <w:rPr>
                <w:b/>
                <w:sz w:val="17"/>
              </w:rPr>
            </w:pPr>
          </w:p>
          <w:p>
            <w:pPr>
              <w:pStyle w:val="21"/>
              <w:spacing w:before="1"/>
              <w:ind w:left="210"/>
              <w:rPr>
                <w:sz w:val="21"/>
              </w:rPr>
            </w:pPr>
            <w:r>
              <w:rPr>
                <w:sz w:val="21"/>
              </w:rPr>
              <w:t>评标方法</w:t>
            </w:r>
          </w:p>
        </w:tc>
        <w:tc>
          <w:tcPr>
            <w:tcW w:w="6902" w:type="dxa"/>
          </w:tcPr>
          <w:p>
            <w:pPr>
              <w:pStyle w:val="21"/>
              <w:spacing w:before="90" w:line="321" w:lineRule="auto"/>
              <w:ind w:left="106" w:right="95" w:firstLine="420"/>
              <w:rPr>
                <w:sz w:val="21"/>
              </w:rPr>
            </w:pPr>
            <w:r>
              <w:rPr>
                <w:spacing w:val="-7"/>
                <w:sz w:val="21"/>
              </w:rPr>
              <w:t>经评审的投标价相等时，评标委员会依次按照以下优先顺序推荐中标</w:t>
            </w:r>
            <w:r>
              <w:rPr>
                <w:spacing w:val="-5"/>
                <w:sz w:val="21"/>
              </w:rPr>
              <w:t>候选人或确定中标人：</w:t>
            </w:r>
          </w:p>
          <w:p>
            <w:pPr>
              <w:pStyle w:val="21"/>
              <w:spacing w:line="269" w:lineRule="exact"/>
              <w:ind w:left="527"/>
              <w:rPr>
                <w:sz w:val="21"/>
              </w:rPr>
            </w:pPr>
            <w:r>
              <w:rPr>
                <w:sz w:val="21"/>
              </w:rPr>
              <w:t>（</w:t>
            </w:r>
            <w:r>
              <w:rPr>
                <w:rFonts w:ascii="Times New Roman" w:eastAsia="Times New Roman"/>
                <w:sz w:val="21"/>
              </w:rPr>
              <w:t>1</w:t>
            </w:r>
            <w:r>
              <w:rPr>
                <w:sz w:val="21"/>
              </w:rPr>
              <w:t>）投标报价低的投标人优先；</w:t>
            </w:r>
          </w:p>
          <w:p>
            <w:pPr>
              <w:pStyle w:val="21"/>
              <w:spacing w:before="90" w:line="321" w:lineRule="auto"/>
              <w:ind w:left="106" w:right="102" w:firstLine="420"/>
              <w:rPr>
                <w:sz w:val="21"/>
              </w:rPr>
            </w:pPr>
            <w:r>
              <w:rPr>
                <w:sz w:val="21"/>
              </w:rPr>
              <w:t>（</w:t>
            </w:r>
            <w:r>
              <w:rPr>
                <w:rFonts w:ascii="Times New Roman" w:eastAsia="Times New Roman"/>
                <w:sz w:val="21"/>
              </w:rPr>
              <w:t>2</w:t>
            </w:r>
            <w:r>
              <w:rPr>
                <w:sz w:val="21"/>
              </w:rPr>
              <w:t>）被招标项目所在地省级交通运输主管部门评为较高信用等级的投标人优先；</w:t>
            </w:r>
          </w:p>
          <w:p>
            <w:pPr>
              <w:pStyle w:val="21"/>
              <w:spacing w:line="249" w:lineRule="exact"/>
              <w:ind w:left="527"/>
              <w:rPr>
                <w:rFonts w:ascii="Times New Roman" w:hAnsi="Times New Roman" w:eastAsia="Times New Roman"/>
                <w:sz w:val="21"/>
              </w:rPr>
            </w:pPr>
            <w:r>
              <w:rPr>
                <w:sz w:val="21"/>
              </w:rPr>
              <w:t>（</w:t>
            </w:r>
            <w:r>
              <w:rPr>
                <w:rFonts w:ascii="Times New Roman" w:hAnsi="Times New Roman" w:eastAsia="Times New Roman"/>
                <w:sz w:val="21"/>
              </w:rPr>
              <w:t>3</w:t>
            </w:r>
            <w:r>
              <w:rPr>
                <w:sz w:val="21"/>
              </w:rPr>
              <w:t>）</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3" w:hRule="atLeast"/>
        </w:trPr>
        <w:tc>
          <w:tcPr>
            <w:tcW w:w="730" w:type="dxa"/>
          </w:tcPr>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rPr>
                <w:b/>
              </w:rPr>
            </w:pPr>
          </w:p>
          <w:p>
            <w:pPr>
              <w:pStyle w:val="21"/>
              <w:spacing w:before="10"/>
              <w:rPr>
                <w:b/>
                <w:sz w:val="25"/>
              </w:rPr>
            </w:pPr>
          </w:p>
          <w:p>
            <w:pPr>
              <w:pStyle w:val="21"/>
              <w:spacing w:before="1"/>
              <w:ind w:left="153"/>
              <w:rPr>
                <w:rFonts w:ascii="Times New Roman"/>
                <w:sz w:val="21"/>
              </w:rPr>
            </w:pPr>
            <w:r>
              <w:rPr>
                <w:rFonts w:ascii="Times New Roman"/>
                <w:sz w:val="21"/>
              </w:rPr>
              <w:t>2.1.1</w:t>
            </w:r>
          </w:p>
          <w:p>
            <w:pPr>
              <w:pStyle w:val="21"/>
              <w:spacing w:before="118"/>
              <w:ind w:left="153"/>
              <w:rPr>
                <w:rFonts w:ascii="Times New Roman"/>
                <w:sz w:val="21"/>
              </w:rPr>
            </w:pPr>
            <w:r>
              <w:rPr>
                <w:rFonts w:ascii="Times New Roman"/>
                <w:sz w:val="21"/>
              </w:rPr>
              <w:t>2.1.3</w:t>
            </w:r>
          </w:p>
        </w:tc>
        <w:tc>
          <w:tcPr>
            <w:tcW w:w="1263" w:type="dxa"/>
          </w:tcPr>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spacing w:before="179" w:line="321" w:lineRule="auto"/>
              <w:ind w:left="210" w:right="198"/>
              <w:jc w:val="both"/>
              <w:rPr>
                <w:sz w:val="21"/>
              </w:rPr>
            </w:pPr>
            <w:r>
              <w:rPr>
                <w:sz w:val="21"/>
              </w:rPr>
              <w:t>形式评审与响应性评审标准</w:t>
            </w:r>
          </w:p>
        </w:tc>
        <w:tc>
          <w:tcPr>
            <w:tcW w:w="6902" w:type="dxa"/>
          </w:tcPr>
          <w:p>
            <w:pPr>
              <w:pStyle w:val="21"/>
              <w:spacing w:before="90"/>
              <w:ind w:left="529"/>
              <w:rPr>
                <w:b/>
                <w:sz w:val="21"/>
              </w:rPr>
            </w:pPr>
            <w:r>
              <w:rPr>
                <w:b/>
                <w:sz w:val="21"/>
              </w:rPr>
              <w:t>第一个信封（商务及技术文件）评审标准：</w:t>
            </w:r>
          </w:p>
          <w:p>
            <w:pPr>
              <w:pStyle w:val="21"/>
              <w:spacing w:before="90"/>
              <w:ind w:left="527" w:right="-15"/>
              <w:rPr>
                <w:sz w:val="21"/>
              </w:rPr>
            </w:pPr>
            <w:r>
              <w:rPr>
                <w:spacing w:val="-6"/>
                <w:sz w:val="21"/>
              </w:rPr>
              <w:t>（</w:t>
            </w:r>
            <w:r>
              <w:rPr>
                <w:rFonts w:ascii="Times New Roman" w:eastAsia="Times New Roman"/>
                <w:spacing w:val="-6"/>
                <w:sz w:val="21"/>
              </w:rPr>
              <w:t>1</w:t>
            </w:r>
            <w:r>
              <w:rPr>
                <w:spacing w:val="-6"/>
                <w:sz w:val="21"/>
              </w:rPr>
              <w:t>）</w:t>
            </w:r>
            <w:r>
              <w:rPr>
                <w:spacing w:val="-5"/>
                <w:sz w:val="21"/>
              </w:rPr>
              <w:t>投标文件按照招标文件规定的格式、内容填写，字迹清晰可辨：</w:t>
            </w:r>
          </w:p>
          <w:p>
            <w:pPr>
              <w:pStyle w:val="21"/>
              <w:spacing w:before="91" w:line="321" w:lineRule="auto"/>
              <w:ind w:left="106" w:right="95" w:firstLine="420"/>
              <w:rPr>
                <w:sz w:val="21"/>
              </w:rPr>
            </w:pPr>
            <w:r>
              <w:rPr>
                <w:rFonts w:ascii="Times New Roman" w:eastAsia="Times New Roman"/>
                <w:sz w:val="21"/>
              </w:rPr>
              <w:t>a.</w:t>
            </w:r>
            <w:r>
              <w:rPr>
                <w:spacing w:val="-2"/>
                <w:sz w:val="21"/>
              </w:rPr>
              <w:t>投标函按招标文件规定填报了项目名称、标段号、补遗书编号</w:t>
            </w:r>
            <w:r>
              <w:rPr>
                <w:sz w:val="21"/>
              </w:rPr>
              <w:t>（如有</w:t>
            </w:r>
            <w:r>
              <w:rPr>
                <w:spacing w:val="-106"/>
                <w:sz w:val="21"/>
              </w:rPr>
              <w:t>）</w:t>
            </w:r>
            <w:r>
              <w:rPr>
                <w:spacing w:val="-3"/>
                <w:sz w:val="21"/>
              </w:rPr>
              <w:t>、工期、工程质量要求及安全目标；</w:t>
            </w:r>
          </w:p>
          <w:p>
            <w:pPr>
              <w:pStyle w:val="21"/>
              <w:spacing w:line="268" w:lineRule="exact"/>
              <w:ind w:left="527"/>
              <w:rPr>
                <w:sz w:val="21"/>
              </w:rPr>
            </w:pPr>
            <w:r>
              <w:rPr>
                <w:rFonts w:ascii="Times New Roman" w:eastAsia="Times New Roman"/>
                <w:sz w:val="21"/>
              </w:rPr>
              <w:t>b.</w:t>
            </w:r>
            <w:r>
              <w:rPr>
                <w:sz w:val="21"/>
              </w:rPr>
              <w:t>投标函附录的所有数据均符合招标文件规定；</w:t>
            </w:r>
          </w:p>
          <w:p>
            <w:pPr>
              <w:pStyle w:val="21"/>
              <w:spacing w:before="91"/>
              <w:ind w:left="527"/>
              <w:rPr>
                <w:sz w:val="21"/>
              </w:rPr>
            </w:pPr>
            <w:r>
              <w:rPr>
                <w:rFonts w:ascii="Times New Roman" w:eastAsia="Times New Roman"/>
                <w:sz w:val="21"/>
              </w:rPr>
              <w:t>c.</w:t>
            </w:r>
            <w:r>
              <w:rPr>
                <w:sz w:val="21"/>
              </w:rPr>
              <w:t>投标文件组成齐全完整，内容均按规定填写。</w:t>
            </w:r>
          </w:p>
          <w:p>
            <w:pPr>
              <w:pStyle w:val="21"/>
              <w:spacing w:before="91" w:line="321" w:lineRule="auto"/>
              <w:ind w:left="106" w:right="99" w:firstLine="420"/>
              <w:rPr>
                <w:sz w:val="21"/>
              </w:rPr>
            </w:pPr>
            <w:r>
              <w:rPr>
                <w:sz w:val="21"/>
              </w:rPr>
              <w:t>（</w:t>
            </w:r>
            <w:r>
              <w:rPr>
                <w:rFonts w:ascii="Times New Roman" w:eastAsia="Times New Roman"/>
                <w:sz w:val="21"/>
              </w:rPr>
              <w:t>2</w:t>
            </w:r>
            <w:r>
              <w:rPr>
                <w:sz w:val="21"/>
              </w:rPr>
              <w:t>）投标文件上法定代表人或其委托代理人的签字、投标人的单位章盖章齐全，符合招标文件规定。</w:t>
            </w:r>
          </w:p>
          <w:p>
            <w:pPr>
              <w:pStyle w:val="21"/>
              <w:spacing w:line="321" w:lineRule="auto"/>
              <w:ind w:left="106" w:right="95" w:firstLine="420"/>
              <w:jc w:val="both"/>
              <w:rPr>
                <w:sz w:val="21"/>
              </w:rPr>
            </w:pPr>
            <w:r>
              <w:rPr>
                <w:sz w:val="21"/>
              </w:rPr>
              <w:t>（</w:t>
            </w:r>
            <w:r>
              <w:rPr>
                <w:rFonts w:ascii="Times New Roman" w:eastAsia="Times New Roman"/>
                <w:sz w:val="21"/>
              </w:rPr>
              <w:t>3</w:t>
            </w:r>
            <w:r>
              <w:rPr>
                <w:sz w:val="21"/>
              </w:rPr>
              <w:t>）与申请资格预审时比较，投标人发生合并、分立、破产等重大</w:t>
            </w:r>
            <w:r>
              <w:rPr>
                <w:spacing w:val="-8"/>
                <w:sz w:val="21"/>
              </w:rPr>
              <w:t>变化的，仍具备资格预审文件规定的相应资格条件且其投标未影响招标公正性：</w:t>
            </w:r>
          </w:p>
          <w:p>
            <w:pPr>
              <w:pStyle w:val="21"/>
              <w:spacing w:line="321" w:lineRule="auto"/>
              <w:ind w:left="106" w:right="96" w:firstLine="420"/>
              <w:rPr>
                <w:sz w:val="21"/>
              </w:rPr>
            </w:pPr>
            <w:r>
              <w:rPr>
                <w:rFonts w:ascii="Times New Roman" w:eastAsia="Times New Roman"/>
                <w:sz w:val="21"/>
              </w:rPr>
              <w:t>a.</w:t>
            </w:r>
            <w:r>
              <w:rPr>
                <w:sz w:val="21"/>
              </w:rPr>
              <w:t>投标人应提供相关部门的合法批件及企业法人营业执照和资质证书等证件的副本变更记录复印件；</w:t>
            </w:r>
          </w:p>
          <w:p>
            <w:pPr>
              <w:pStyle w:val="21"/>
              <w:spacing w:line="321" w:lineRule="auto"/>
              <w:ind w:left="106" w:right="95" w:firstLine="420"/>
              <w:rPr>
                <w:sz w:val="21"/>
              </w:rPr>
            </w:pPr>
            <w:r>
              <w:rPr>
                <w:rFonts w:ascii="Times New Roman" w:eastAsia="Times New Roman"/>
                <w:sz w:val="21"/>
              </w:rPr>
              <w:t>b.</w:t>
            </w:r>
            <w:r>
              <w:rPr>
                <w:spacing w:val="-3"/>
                <w:sz w:val="21"/>
              </w:rPr>
              <w:t>投标人仍然满足资格预审文件中规定的资格预审条件最低要求</w:t>
            </w:r>
            <w:r>
              <w:rPr>
                <w:sz w:val="21"/>
              </w:rPr>
              <w:t>（资</w:t>
            </w:r>
            <w:r>
              <w:rPr>
                <w:spacing w:val="-3"/>
                <w:sz w:val="21"/>
              </w:rPr>
              <w:t>质、业绩、人员、信誉、财务等</w:t>
            </w:r>
            <w:r>
              <w:rPr>
                <w:spacing w:val="-106"/>
                <w:sz w:val="21"/>
              </w:rPr>
              <w:t>）</w:t>
            </w:r>
            <w:r>
              <w:rPr>
                <w:sz w:val="21"/>
              </w:rPr>
              <w:t>；</w:t>
            </w:r>
          </w:p>
          <w:p>
            <w:pPr>
              <w:pStyle w:val="21"/>
              <w:spacing w:line="321" w:lineRule="auto"/>
              <w:ind w:left="106" w:right="96" w:firstLine="420"/>
              <w:rPr>
                <w:sz w:val="21"/>
              </w:rPr>
            </w:pPr>
            <w:r>
              <w:rPr>
                <w:rFonts w:ascii="Times New Roman" w:eastAsia="Times New Roman"/>
                <w:sz w:val="21"/>
              </w:rPr>
              <w:t>c.</w:t>
            </w:r>
            <w:r>
              <w:rPr>
                <w:sz w:val="21"/>
              </w:rPr>
              <w:t>与所投标段的其他投标人不存在控股、管理关系或单位负责人为同一人的情况；与招标人也不存在利害关系并可能影响招标公正性。</w:t>
            </w:r>
          </w:p>
          <w:p>
            <w:pPr>
              <w:pStyle w:val="21"/>
              <w:spacing w:line="268" w:lineRule="exact"/>
              <w:ind w:left="527"/>
              <w:rPr>
                <w:sz w:val="21"/>
              </w:rPr>
            </w:pPr>
            <w:r>
              <w:rPr>
                <w:sz w:val="21"/>
              </w:rPr>
              <w:t>（</w:t>
            </w:r>
            <w:r>
              <w:rPr>
                <w:rFonts w:ascii="Times New Roman" w:eastAsia="Times New Roman"/>
                <w:sz w:val="21"/>
              </w:rPr>
              <w:t>4</w:t>
            </w:r>
            <w:r>
              <w:rPr>
                <w:sz w:val="21"/>
              </w:rPr>
              <w:t>）投标人按照招标文件的规定提供了投标保证金：</w:t>
            </w:r>
          </w:p>
          <w:p>
            <w:pPr>
              <w:pStyle w:val="21"/>
              <w:spacing w:before="87" w:line="321" w:lineRule="auto"/>
              <w:ind w:left="106" w:right="99" w:firstLine="384"/>
              <w:rPr>
                <w:sz w:val="21"/>
              </w:rPr>
            </w:pPr>
            <w:r>
              <w:rPr>
                <w:rFonts w:ascii="Times New Roman" w:eastAsia="Times New Roman"/>
                <w:sz w:val="21"/>
              </w:rPr>
              <w:t>a.</w:t>
            </w:r>
            <w:r>
              <w:rPr>
                <w:sz w:val="21"/>
              </w:rPr>
              <w:t>投标保证金金额符合招标文件规定的金额，且投标保证金有效期不少于投标有效期；</w:t>
            </w:r>
          </w:p>
          <w:p>
            <w:pPr>
              <w:pStyle w:val="21"/>
              <w:spacing w:line="268" w:lineRule="exact"/>
              <w:ind w:left="527"/>
              <w:rPr>
                <w:sz w:val="21"/>
              </w:rPr>
            </w:pPr>
            <w:r>
              <w:rPr>
                <w:rFonts w:ascii="Times New Roman" w:eastAsia="Times New Roman"/>
                <w:sz w:val="21"/>
              </w:rPr>
              <w:t>b.</w:t>
            </w:r>
            <w:r>
              <w:rPr>
                <w:sz w:val="21"/>
              </w:rPr>
              <w:t>若投标保证金采用现金或支票形式提交，投标人应在递交投标文件</w:t>
            </w:r>
          </w:p>
          <w:p>
            <w:pPr>
              <w:pStyle w:val="21"/>
              <w:spacing w:before="91" w:line="252" w:lineRule="exact"/>
              <w:ind w:left="106"/>
              <w:rPr>
                <w:sz w:val="21"/>
              </w:rPr>
            </w:pPr>
            <w:r>
              <w:rPr>
                <w:sz w:val="21"/>
              </w:rPr>
              <w:t>截止时间之前，将投标保证金由投标人的基本账户转入招标人指定账户；</w:t>
            </w:r>
          </w:p>
        </w:tc>
      </w:tr>
    </w:tbl>
    <w:p>
      <w:pPr>
        <w:pStyle w:val="11"/>
        <w:spacing w:before="5"/>
        <w:rPr>
          <w:b/>
          <w:sz w:val="10"/>
        </w:rPr>
      </w:pPr>
      <w:r>
        <mc:AlternateContent>
          <mc:Choice Requires="wps">
            <w:drawing>
              <wp:anchor distT="0" distB="0" distL="114300" distR="114300" simplePos="0" relativeHeight="251659264" behindDoc="0" locked="0" layoutInCell="1" allowOverlap="1">
                <wp:simplePos x="0" y="0"/>
                <wp:positionH relativeFrom="page">
                  <wp:posOffset>1043940</wp:posOffset>
                </wp:positionH>
                <wp:positionV relativeFrom="paragraph">
                  <wp:posOffset>113030</wp:posOffset>
                </wp:positionV>
                <wp:extent cx="1829435" cy="0"/>
                <wp:effectExtent l="0" t="0" r="0" b="0"/>
                <wp:wrapTopAndBottom/>
                <wp:docPr id="34" name="直线 52"/>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2" o:spid="_x0000_s1026" o:spt="20" style="position:absolute;left:0pt;margin-left:82.2pt;margin-top:8.9pt;height:0pt;width:144.05pt;mso-position-horizontal-relative:page;mso-wrap-distance-bottom:0pt;mso-wrap-distance-top:0pt;z-index:251659264;mso-width-relative:page;mso-height-relative:page;" filled="f" stroked="t" coordsize="21600,21600" o:gfxdata="UEsFBgAAAAAAAAAAAAAAAAAAAAAAAFBLAwQKAAAAAACHTuJAAAAAAAAAAAAAAAAABAAAAGRycy9Q&#10;SwMEFAAAAAgAh07iQGG9W1nXAAAACQEAAA8AAABkcnMvZG93bnJldi54bWxNj0FvwjAMhe9I/IfI&#10;SLtBCipQSlMOmzaJwzQN0M6h8dqujVM1gcK/n6cdtpuf/fT8vWx3s624Yu9rRwrmswgEUuFMTaWC&#10;0/F5moDwQZPRrSNUcEcPu3w8ynRq3EDveD2EUnAI+VQrqELoUil9UaHVfuY6JL59ut7qwLIvpen1&#10;wOG2lYsoWkmra+IPle7wscKiOVysgtdEPrm35qO4fw3HlyTZN5v1/qTUw2QebUEEvIU/M/zgMzrk&#10;zHR2FzJetKxXccxWHtZcgQ3xcrEEcf5dyDyT/xvk31BLAwQUAAAACACHTuJAQKcXjdIBAACSAwAA&#10;DgAAAGRycy9lMm9Eb2MueG1srVM7bhsxEO0D5A4E+2gl2RbshVYuojhNkBiwc4ARP7sE+AOH0kpn&#10;yTVSpclxfI0MKVnOpwmCqKCGnOGb9x5nl7d7Z9lOJTTBd3w2mXKmvAjS+L7jnx/v3lxzhhm8BBu8&#10;6vhBIb9dvX61HGOr5mEIVqrECMRjO8aODznHtmlQDMoBTkJUnpI6JAeZtqlvZIKR0J1t5tPpohlD&#10;kjEFoRDpdH1M8lXF11qJ/ElrVJnZjhO3XNdU101Zm9US2j5BHIw40YB/YOHAeGp6hlpDBrZN5g8o&#10;Z0QKGHSeiOCaoLURqmogNbPpb2oeBoiqaiFzMJ5twv8HKz7u7hMzsuMXl5x5cPRGT1++Pn37zq7m&#10;xZ0xYktFD/E+nXZIYZG618mVfxLB9tXRw9lRtc9M0OHsen5zeXHFmXjONS8XY8L8XgXHStBxa3wR&#10;Cy3sPmCmZlT6XFKOrWdjxxfTmwXBAc2KtpApdJHYo+/rXQzWyDtjbbmBqd+8tYntoLx+/RVJhPtL&#10;WWmyBhyOdTV1nItBgXznJcuHSLZ4GmBeKDglObOK5r1EBAhtBmP/ppJaW08MiqtHH0u0CfJAr7CN&#10;yfQDOZHTVlWiJUkPXymfhrRM1s/7CvbyKa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G9W1nX&#10;AAAACQEAAA8AAAAAAAAAAQAgAAAAOAAAAGRycy9kb3ducmV2LnhtbFBLAQIUABQAAAAIAIdO4kBA&#10;pxeN0gEAAJIDAAAOAAAAAAAAAAEAIAAAADwBAABkcnMvZTJvRG9jLnhtbFBLBQYAAAAABgAGAFkB&#10;AACABQAAAAA=&#10;">
                <v:fill on="f" focussize="0,0"/>
                <v:stroke weight="0.48pt" color="#000000" joinstyle="round"/>
                <v:imagedata o:title=""/>
                <o:lock v:ext="edit" aspectratio="f"/>
                <w10:wrap type="topAndBottom"/>
              </v:line>
            </w:pict>
          </mc:Fallback>
        </mc:AlternateContent>
      </w:r>
    </w:p>
    <w:p>
      <w:pPr>
        <w:spacing w:before="129"/>
        <w:ind w:left="424"/>
        <w:rPr>
          <w:sz w:val="18"/>
        </w:rPr>
      </w:pPr>
      <w:r>
        <w:rPr>
          <w:position w:val="8"/>
          <w:sz w:val="9"/>
        </w:rPr>
        <w:t xml:space="preserve">① </w:t>
      </w:r>
      <w:r>
        <w:rPr>
          <w:sz w:val="18"/>
        </w:rPr>
        <w:t>本办法仅适用于工程规模较小、技术含量较低的工程。</w:t>
      </w:r>
    </w:p>
    <w:p>
      <w:pPr>
        <w:spacing w:before="69" w:line="312" w:lineRule="auto"/>
        <w:ind w:left="604" w:right="438" w:hanging="180"/>
        <w:rPr>
          <w:sz w:val="18"/>
        </w:rPr>
      </w:pPr>
      <w:r>
        <w:rPr>
          <w:position w:val="8"/>
          <w:sz w:val="9"/>
        </w:rPr>
        <w:t xml:space="preserve">② </w:t>
      </w:r>
      <w:r>
        <w:rPr>
          <w:rFonts w:ascii="Times New Roman" w:hAnsi="Times New Roman" w:eastAsia="Times New Roman"/>
          <w:sz w:val="18"/>
        </w:rPr>
        <w:t>“</w:t>
      </w:r>
      <w:r>
        <w:rPr>
          <w:sz w:val="18"/>
        </w:rPr>
        <w:t>评标办法前附表</w:t>
      </w:r>
      <w:r>
        <w:rPr>
          <w:rFonts w:ascii="Times New Roman" w:hAnsi="Times New Roman" w:eastAsia="Times New Roman"/>
          <w:sz w:val="18"/>
        </w:rPr>
        <w:t>”</w:t>
      </w:r>
      <w:r>
        <w:rPr>
          <w:sz w:val="18"/>
        </w:rPr>
        <w:t>用于明确评标的方法、因素、标准和程序。招标人应根据招标项目具体特点和实际需要， 详细列明全部评审因素、标准，没有列明的因素和标准不得作为评标的依据。</w:t>
      </w:r>
    </w:p>
    <w:p>
      <w:pPr>
        <w:spacing w:line="312" w:lineRule="auto"/>
        <w:rPr>
          <w:sz w:val="18"/>
        </w:rPr>
        <w:sectPr>
          <w:footerReference r:id="rId29" w:type="default"/>
          <w:footerReference r:id="rId30" w:type="even"/>
          <w:pgSz w:w="11910" w:h="16850"/>
          <w:pgMar w:top="1480" w:right="1200" w:bottom="1240" w:left="1220" w:header="876" w:footer="1060" w:gutter="0"/>
          <w:pgNumType w:start="102"/>
          <w:cols w:space="720" w:num="1"/>
        </w:sectPr>
      </w:pPr>
    </w:p>
    <w:p>
      <w:pPr>
        <w:pStyle w:val="11"/>
        <w:spacing w:before="8"/>
        <w:rPr>
          <w:sz w:val="28"/>
        </w:rPr>
      </w:pPr>
    </w:p>
    <w:p>
      <w:pPr>
        <w:spacing w:before="71"/>
        <w:ind w:right="382"/>
        <w:jc w:val="right"/>
        <w:rPr>
          <w:sz w:val="21"/>
        </w:rPr>
      </w:pPr>
      <w:r>
        <w:rPr>
          <w:sz w:val="21"/>
        </w:rPr>
        <w:t>续上表</w:t>
      </w:r>
    </w:p>
    <w:tbl>
      <w:tblPr>
        <w:tblStyle w:val="19"/>
        <w:tblW w:w="889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63"/>
        <w:gridCol w:w="6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993" w:type="dxa"/>
            <w:gridSpan w:val="2"/>
          </w:tcPr>
          <w:p>
            <w:pPr>
              <w:pStyle w:val="21"/>
              <w:spacing w:before="90" w:line="250" w:lineRule="exact"/>
              <w:ind w:left="659" w:right="651"/>
              <w:jc w:val="center"/>
              <w:rPr>
                <w:b/>
                <w:sz w:val="21"/>
              </w:rPr>
            </w:pPr>
            <w:r>
              <w:rPr>
                <w:b/>
                <w:sz w:val="21"/>
              </w:rPr>
              <w:t>条款号</w:t>
            </w:r>
          </w:p>
        </w:tc>
        <w:tc>
          <w:tcPr>
            <w:tcW w:w="6902" w:type="dxa"/>
          </w:tcPr>
          <w:p>
            <w:pPr>
              <w:pStyle w:val="21"/>
              <w:spacing w:before="90" w:line="250" w:lineRule="exact"/>
              <w:ind w:left="89" w:right="85"/>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4" w:hRule="atLeast"/>
        </w:trPr>
        <w:tc>
          <w:tcPr>
            <w:tcW w:w="730" w:type="dxa"/>
          </w:tcPr>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spacing w:before="8"/>
              <w:rPr>
                <w:sz w:val="18"/>
              </w:rPr>
            </w:pPr>
          </w:p>
          <w:p>
            <w:pPr>
              <w:pStyle w:val="21"/>
              <w:ind w:left="153"/>
              <w:rPr>
                <w:rFonts w:ascii="Times New Roman"/>
                <w:sz w:val="21"/>
              </w:rPr>
            </w:pPr>
            <w:r>
              <w:rPr>
                <w:rFonts w:ascii="Times New Roman"/>
                <w:sz w:val="21"/>
              </w:rPr>
              <w:t>2.1.1</w:t>
            </w:r>
          </w:p>
          <w:p>
            <w:pPr>
              <w:pStyle w:val="21"/>
              <w:spacing w:before="119"/>
              <w:ind w:left="153"/>
              <w:rPr>
                <w:rFonts w:ascii="Times New Roman"/>
                <w:sz w:val="21"/>
              </w:rPr>
            </w:pPr>
            <w:r>
              <w:rPr>
                <w:rFonts w:ascii="Times New Roman"/>
                <w:sz w:val="21"/>
              </w:rPr>
              <w:t>2.1.3</w:t>
            </w:r>
          </w:p>
        </w:tc>
        <w:tc>
          <w:tcPr>
            <w:tcW w:w="1263" w:type="dxa"/>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10"/>
            </w:pPr>
          </w:p>
          <w:p>
            <w:pPr>
              <w:pStyle w:val="21"/>
              <w:spacing w:line="321" w:lineRule="auto"/>
              <w:ind w:left="210" w:right="198"/>
              <w:jc w:val="both"/>
              <w:rPr>
                <w:sz w:val="21"/>
              </w:rPr>
            </w:pPr>
            <w:r>
              <w:rPr>
                <w:sz w:val="21"/>
              </w:rPr>
              <w:t>形式评审与响应性评审标准</w:t>
            </w:r>
          </w:p>
        </w:tc>
        <w:tc>
          <w:tcPr>
            <w:tcW w:w="6902" w:type="dxa"/>
          </w:tcPr>
          <w:p>
            <w:pPr>
              <w:pStyle w:val="21"/>
              <w:spacing w:before="92" w:line="321" w:lineRule="auto"/>
              <w:ind w:left="106" w:right="95" w:firstLine="420"/>
              <w:jc w:val="both"/>
              <w:rPr>
                <w:sz w:val="21"/>
              </w:rPr>
            </w:pPr>
            <w:r>
              <w:rPr>
                <w:rFonts w:ascii="Times New Roman" w:eastAsia="Times New Roman"/>
                <w:sz w:val="21"/>
              </w:rPr>
              <w:t>c.</w:t>
            </w:r>
            <w:r>
              <w:rPr>
                <w:spacing w:val="-2"/>
                <w:sz w:val="21"/>
              </w:rPr>
              <w:t>若投标保证金采用银行保函形式提交，银行保函的格式、开具保函</w:t>
            </w:r>
            <w:r>
              <w:rPr>
                <w:spacing w:val="-6"/>
                <w:sz w:val="21"/>
              </w:rPr>
              <w:t>的银行均满足招标文件要求，且在递交投标文件截止时间之前向招标人提</w:t>
            </w:r>
            <w:r>
              <w:rPr>
                <w:spacing w:val="-4"/>
                <w:sz w:val="21"/>
              </w:rPr>
              <w:t>交了银行保函原件。</w:t>
            </w:r>
          </w:p>
          <w:p>
            <w:pPr>
              <w:pStyle w:val="21"/>
              <w:spacing w:line="321" w:lineRule="auto"/>
              <w:ind w:left="106" w:right="95" w:firstLine="384"/>
              <w:jc w:val="both"/>
              <w:rPr>
                <w:sz w:val="21"/>
              </w:rPr>
            </w:pPr>
            <w:r>
              <w:rPr>
                <w:sz w:val="21"/>
              </w:rPr>
              <w:t>（</w:t>
            </w:r>
            <w:r>
              <w:rPr>
                <w:rFonts w:ascii="Times New Roman" w:eastAsia="Times New Roman"/>
                <w:sz w:val="21"/>
              </w:rPr>
              <w:t>5</w:t>
            </w:r>
            <w:r>
              <w:rPr>
                <w:sz w:val="21"/>
              </w:rPr>
              <w:t>）投标人法定代表人授权委托代理人签署投标文件的，须提交授</w:t>
            </w:r>
            <w:r>
              <w:rPr>
                <w:spacing w:val="-6"/>
                <w:sz w:val="21"/>
              </w:rPr>
              <w:t>权委托书，且授权人和被授权人均在授权委托书上签名，未使用印章、签</w:t>
            </w:r>
            <w:r>
              <w:rPr>
                <w:spacing w:val="-4"/>
                <w:sz w:val="21"/>
              </w:rPr>
              <w:t>名章或其他电子制版签名代替。</w:t>
            </w:r>
          </w:p>
          <w:p>
            <w:pPr>
              <w:pStyle w:val="21"/>
              <w:spacing w:line="321" w:lineRule="auto"/>
              <w:ind w:left="106" w:right="95" w:firstLine="384"/>
              <w:jc w:val="both"/>
              <w:rPr>
                <w:sz w:val="21"/>
              </w:rPr>
            </w:pPr>
            <w:r>
              <w:rPr>
                <w:sz w:val="21"/>
              </w:rPr>
              <w:t>（</w:t>
            </w:r>
            <w:r>
              <w:rPr>
                <w:rFonts w:ascii="Times New Roman" w:eastAsia="Times New Roman"/>
                <w:sz w:val="21"/>
              </w:rPr>
              <w:t>6</w:t>
            </w:r>
            <w:r>
              <w:rPr>
                <w:sz w:val="21"/>
              </w:rPr>
              <w:t>）投标人法定代表人亲自签署投标文件的，提供了法定代表人身</w:t>
            </w:r>
            <w:r>
              <w:rPr>
                <w:spacing w:val="-6"/>
                <w:sz w:val="21"/>
              </w:rPr>
              <w:t>份证明，且法定代表人在法定代表人身份证明上签名，未使用印章、签名</w:t>
            </w:r>
            <w:r>
              <w:rPr>
                <w:spacing w:val="-4"/>
                <w:sz w:val="21"/>
              </w:rPr>
              <w:t>章或其他电子制版签名代替。</w:t>
            </w:r>
          </w:p>
          <w:p>
            <w:pPr>
              <w:pStyle w:val="21"/>
              <w:spacing w:line="267" w:lineRule="exact"/>
              <w:ind w:left="491"/>
              <w:rPr>
                <w:sz w:val="21"/>
              </w:rPr>
            </w:pPr>
            <w:r>
              <w:rPr>
                <w:sz w:val="21"/>
              </w:rPr>
              <w:t>（</w:t>
            </w:r>
            <w:r>
              <w:rPr>
                <w:rFonts w:ascii="Times New Roman" w:eastAsia="Times New Roman"/>
                <w:sz w:val="21"/>
              </w:rPr>
              <w:t>7</w:t>
            </w:r>
            <w:r>
              <w:rPr>
                <w:sz w:val="21"/>
              </w:rPr>
              <w:t>）投标人以联合体形式投标时，联合体满足招标文件的要求：</w:t>
            </w:r>
          </w:p>
          <w:p>
            <w:pPr>
              <w:pStyle w:val="21"/>
              <w:spacing w:before="88" w:line="321" w:lineRule="auto"/>
              <w:ind w:left="106" w:right="101" w:firstLine="384"/>
              <w:rPr>
                <w:sz w:val="21"/>
              </w:rPr>
            </w:pPr>
            <w:r>
              <w:rPr>
                <w:rFonts w:ascii="Times New Roman" w:eastAsia="Times New Roman"/>
                <w:sz w:val="21"/>
              </w:rPr>
              <w:t>a.</w:t>
            </w:r>
            <w:r>
              <w:rPr>
                <w:sz w:val="21"/>
              </w:rPr>
              <w:t>未进行资格预审的，投标人按照招标文件提供的格式签订了联合体协议书，明确各方承担连带责任，并明确了联合体牵头人；</w:t>
            </w:r>
          </w:p>
          <w:p>
            <w:pPr>
              <w:pStyle w:val="21"/>
              <w:spacing w:line="321" w:lineRule="auto"/>
              <w:ind w:left="106" w:right="59" w:firstLine="384"/>
              <w:rPr>
                <w:sz w:val="21"/>
              </w:rPr>
            </w:pPr>
            <w:r>
              <w:rPr>
                <w:rFonts w:ascii="Times New Roman" w:eastAsia="Times New Roman"/>
                <w:sz w:val="21"/>
              </w:rPr>
              <w:t>b.</w:t>
            </w:r>
            <w:r>
              <w:rPr>
                <w:sz w:val="21"/>
              </w:rPr>
              <w:t>已进行资格预审的，投标人提供了资格预审申请文件中所附的联合体协议书复印件，且通过资格预审后的联合体无成员增减或更换的情况。</w:t>
            </w:r>
          </w:p>
          <w:p>
            <w:pPr>
              <w:pStyle w:val="21"/>
              <w:spacing w:line="268" w:lineRule="exact"/>
              <w:ind w:left="491"/>
              <w:rPr>
                <w:sz w:val="21"/>
              </w:rPr>
            </w:pPr>
            <w:r>
              <w:rPr>
                <w:sz w:val="21"/>
              </w:rPr>
              <w:t>（</w:t>
            </w:r>
            <w:r>
              <w:rPr>
                <w:rFonts w:ascii="Times New Roman" w:hAnsi="Times New Roman" w:eastAsia="Times New Roman"/>
                <w:sz w:val="21"/>
              </w:rPr>
              <w:t>8</w:t>
            </w:r>
            <w:r>
              <w:rPr>
                <w:sz w:val="21"/>
              </w:rPr>
              <w:t>）投标人如有分包计划，符合招标文件第二章“投标人须知”第</w:t>
            </w:r>
          </w:p>
          <w:p>
            <w:pPr>
              <w:pStyle w:val="21"/>
              <w:spacing w:before="90" w:line="321" w:lineRule="auto"/>
              <w:ind w:left="106" w:right="63"/>
              <w:rPr>
                <w:sz w:val="21"/>
              </w:rPr>
            </w:pPr>
            <w:r>
              <w:rPr>
                <w:rFonts w:ascii="Times New Roman" w:hAnsi="Times New Roman" w:eastAsia="Times New Roman"/>
                <w:sz w:val="21"/>
              </w:rPr>
              <w:t xml:space="preserve">1.11 </w:t>
            </w:r>
            <w:r>
              <w:rPr>
                <w:sz w:val="21"/>
              </w:rPr>
              <w:t>款规定，且按招标文件第九章“投标文件格式”的要求填写了“拟分包项目情况表”。</w:t>
            </w:r>
          </w:p>
          <w:p>
            <w:pPr>
              <w:pStyle w:val="21"/>
              <w:spacing w:line="321" w:lineRule="auto"/>
              <w:ind w:left="106" w:right="96" w:firstLine="384"/>
              <w:rPr>
                <w:sz w:val="21"/>
              </w:rPr>
            </w:pPr>
            <w:r>
              <w:rPr>
                <w:sz w:val="21"/>
              </w:rPr>
              <w:t>（</w:t>
            </w:r>
            <w:r>
              <w:rPr>
                <w:rFonts w:ascii="Times New Roman" w:eastAsia="Times New Roman"/>
                <w:sz w:val="21"/>
              </w:rPr>
              <w:t>9</w:t>
            </w:r>
            <w:r>
              <w:rPr>
                <w:sz w:val="21"/>
              </w:rPr>
              <w:t>）同一投标人未提交两个以上不同的投标文件，但招标文件要求提交备选投标的除外。</w:t>
            </w:r>
          </w:p>
          <w:p>
            <w:pPr>
              <w:pStyle w:val="21"/>
              <w:spacing w:line="268" w:lineRule="exact"/>
              <w:ind w:left="491"/>
              <w:rPr>
                <w:sz w:val="21"/>
              </w:rPr>
            </w:pPr>
            <w:r>
              <w:rPr>
                <w:sz w:val="21"/>
              </w:rPr>
              <w:t>（</w:t>
            </w:r>
            <w:r>
              <w:rPr>
                <w:rFonts w:ascii="Times New Roman" w:eastAsia="Times New Roman"/>
                <w:sz w:val="21"/>
              </w:rPr>
              <w:t>10</w:t>
            </w:r>
            <w:r>
              <w:rPr>
                <w:sz w:val="21"/>
              </w:rPr>
              <w:t>）投标文件中未出现有关投标报价的内容。</w:t>
            </w:r>
          </w:p>
          <w:p>
            <w:pPr>
              <w:pStyle w:val="21"/>
              <w:spacing w:before="90"/>
              <w:ind w:left="491" w:right="-15"/>
              <w:rPr>
                <w:sz w:val="21"/>
              </w:rPr>
            </w:pPr>
            <w:r>
              <w:rPr>
                <w:sz w:val="21"/>
              </w:rPr>
              <w:t>（</w:t>
            </w:r>
            <w:r>
              <w:rPr>
                <w:rFonts w:ascii="Times New Roman" w:eastAsia="Times New Roman"/>
                <w:spacing w:val="-8"/>
                <w:sz w:val="21"/>
              </w:rPr>
              <w:t>1</w:t>
            </w:r>
            <w:r>
              <w:rPr>
                <w:rFonts w:ascii="Times New Roman" w:eastAsia="Times New Roman"/>
                <w:spacing w:val="-3"/>
                <w:sz w:val="21"/>
              </w:rPr>
              <w:t>1</w:t>
            </w:r>
            <w:r>
              <w:rPr>
                <w:spacing w:val="-101"/>
                <w:sz w:val="21"/>
              </w:rPr>
              <w:t>）</w:t>
            </w:r>
            <w:r>
              <w:rPr>
                <w:spacing w:val="-3"/>
                <w:sz w:val="21"/>
              </w:rPr>
              <w:t>投标文件载明的招标项目完成期限未超过招标文件规定的时限。</w:t>
            </w:r>
          </w:p>
          <w:p>
            <w:pPr>
              <w:pStyle w:val="21"/>
              <w:spacing w:before="91"/>
              <w:ind w:left="491"/>
              <w:rPr>
                <w:sz w:val="21"/>
              </w:rPr>
            </w:pPr>
            <w:r>
              <w:rPr>
                <w:sz w:val="21"/>
              </w:rPr>
              <w:t>（</w:t>
            </w:r>
            <w:r>
              <w:rPr>
                <w:rFonts w:ascii="Times New Roman" w:eastAsia="Times New Roman"/>
                <w:sz w:val="21"/>
              </w:rPr>
              <w:t>12</w:t>
            </w:r>
            <w:r>
              <w:rPr>
                <w:sz w:val="21"/>
              </w:rPr>
              <w:t>）投标文件对招标文件的实质性要求和条件作出响应。</w:t>
            </w:r>
          </w:p>
          <w:p>
            <w:pPr>
              <w:pStyle w:val="21"/>
              <w:spacing w:before="91"/>
              <w:ind w:left="491"/>
              <w:rPr>
                <w:sz w:val="21"/>
              </w:rPr>
            </w:pPr>
            <w:r>
              <w:rPr>
                <w:sz w:val="21"/>
              </w:rPr>
              <w:t>（</w:t>
            </w:r>
            <w:r>
              <w:rPr>
                <w:rFonts w:ascii="Times New Roman" w:eastAsia="Times New Roman"/>
                <w:sz w:val="21"/>
              </w:rPr>
              <w:t>13</w:t>
            </w:r>
            <w:r>
              <w:rPr>
                <w:sz w:val="21"/>
              </w:rPr>
              <w:t>）权利义务符合招标文件规定：</w:t>
            </w:r>
          </w:p>
          <w:p>
            <w:pPr>
              <w:pStyle w:val="21"/>
              <w:spacing w:before="91" w:line="321" w:lineRule="auto"/>
              <w:ind w:left="106" w:right="101" w:firstLine="384"/>
              <w:rPr>
                <w:sz w:val="21"/>
              </w:rPr>
            </w:pPr>
            <w:r>
              <w:rPr>
                <w:rFonts w:ascii="Times New Roman" w:eastAsia="Times New Roman"/>
                <w:sz w:val="21"/>
              </w:rPr>
              <w:t>a.</w:t>
            </w:r>
            <w:r>
              <w:rPr>
                <w:sz w:val="21"/>
              </w:rPr>
              <w:t>投标人应接受招标文件规定的风险划分原则，未提出新的风险划分办法；</w:t>
            </w:r>
          </w:p>
          <w:p>
            <w:pPr>
              <w:pStyle w:val="21"/>
              <w:spacing w:line="268" w:lineRule="exact"/>
              <w:ind w:left="491"/>
              <w:rPr>
                <w:sz w:val="21"/>
              </w:rPr>
            </w:pPr>
            <w:r>
              <w:rPr>
                <w:rFonts w:ascii="Times New Roman" w:eastAsia="Times New Roman"/>
                <w:sz w:val="21"/>
              </w:rPr>
              <w:t>b.</w:t>
            </w:r>
            <w:r>
              <w:rPr>
                <w:sz w:val="21"/>
              </w:rPr>
              <w:t>投标人未增加发包人的责任范围，或减少投标人义务；</w:t>
            </w:r>
          </w:p>
          <w:p>
            <w:pPr>
              <w:pStyle w:val="21"/>
              <w:spacing w:before="91"/>
              <w:ind w:left="491"/>
              <w:rPr>
                <w:sz w:val="21"/>
              </w:rPr>
            </w:pPr>
            <w:r>
              <w:rPr>
                <w:rFonts w:ascii="Times New Roman" w:eastAsia="Times New Roman"/>
                <w:sz w:val="21"/>
              </w:rPr>
              <w:t>c.</w:t>
            </w:r>
            <w:r>
              <w:rPr>
                <w:sz w:val="21"/>
              </w:rPr>
              <w:t>投标人未提出不同的工程验收、计量、支付办法；</w:t>
            </w:r>
          </w:p>
          <w:p>
            <w:pPr>
              <w:pStyle w:val="21"/>
              <w:spacing w:before="91"/>
              <w:ind w:left="491"/>
              <w:rPr>
                <w:sz w:val="21"/>
              </w:rPr>
            </w:pPr>
            <w:r>
              <w:rPr>
                <w:rFonts w:ascii="Times New Roman" w:eastAsia="Times New Roman"/>
                <w:sz w:val="21"/>
              </w:rPr>
              <w:t>d.</w:t>
            </w:r>
            <w:r>
              <w:rPr>
                <w:sz w:val="21"/>
              </w:rPr>
              <w:t>投标人对合同纠纷、事故处理办法未提出异议；</w:t>
            </w:r>
          </w:p>
          <w:p>
            <w:pPr>
              <w:pStyle w:val="21"/>
              <w:spacing w:before="91"/>
              <w:ind w:left="491"/>
              <w:rPr>
                <w:sz w:val="21"/>
              </w:rPr>
            </w:pPr>
            <w:r>
              <w:rPr>
                <w:rFonts w:ascii="Times New Roman" w:eastAsia="Times New Roman"/>
                <w:sz w:val="21"/>
              </w:rPr>
              <w:t>e.</w:t>
            </w:r>
            <w:r>
              <w:rPr>
                <w:sz w:val="21"/>
              </w:rPr>
              <w:t>投标人在投标活动中无欺诈行为；</w:t>
            </w:r>
          </w:p>
          <w:p>
            <w:pPr>
              <w:pStyle w:val="21"/>
              <w:spacing w:before="91"/>
              <w:ind w:left="491"/>
              <w:rPr>
                <w:sz w:val="21"/>
              </w:rPr>
            </w:pPr>
            <w:r>
              <w:rPr>
                <w:rFonts w:ascii="Times New Roman" w:eastAsia="Times New Roman"/>
                <w:sz w:val="21"/>
              </w:rPr>
              <w:t>f.</w:t>
            </w:r>
            <w:r>
              <w:rPr>
                <w:sz w:val="21"/>
              </w:rPr>
              <w:t>投标人未对合同条款有重要保留。</w:t>
            </w:r>
          </w:p>
          <w:p>
            <w:pPr>
              <w:pStyle w:val="21"/>
              <w:spacing w:before="91"/>
              <w:ind w:left="491"/>
              <w:rPr>
                <w:sz w:val="21"/>
              </w:rPr>
            </w:pPr>
            <w:r>
              <w:rPr>
                <w:sz w:val="21"/>
              </w:rPr>
              <w:t>（</w:t>
            </w:r>
            <w:r>
              <w:rPr>
                <w:rFonts w:ascii="Times New Roman" w:hAnsi="Times New Roman" w:eastAsia="Times New Roman"/>
                <w:sz w:val="21"/>
              </w:rPr>
              <w:t>14</w:t>
            </w:r>
            <w:r>
              <w:rPr>
                <w:sz w:val="21"/>
              </w:rPr>
              <w:t>）投标文件正、副本份数符合招标文件第二章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p>
          <w:p>
            <w:pPr>
              <w:pStyle w:val="21"/>
              <w:spacing w:before="91"/>
              <w:ind w:left="106"/>
              <w:rPr>
                <w:sz w:val="21"/>
              </w:rPr>
            </w:pPr>
            <w:r>
              <w:rPr>
                <w:rFonts w:ascii="Times New Roman" w:eastAsia="Times New Roman"/>
                <w:sz w:val="21"/>
              </w:rPr>
              <w:t xml:space="preserve">3.7.4 </w:t>
            </w:r>
            <w:r>
              <w:rPr>
                <w:sz w:val="21"/>
              </w:rPr>
              <w:t>项规定。</w:t>
            </w:r>
          </w:p>
          <w:p>
            <w:pPr>
              <w:pStyle w:val="21"/>
              <w:spacing w:before="115"/>
              <w:ind w:left="356"/>
              <w:rPr>
                <w:rFonts w:ascii="Times New Roman" w:hAnsi="Times New Roman"/>
                <w:sz w:val="21"/>
              </w:rPr>
            </w:pPr>
            <w:r>
              <w:rPr>
                <w:rFonts w:ascii="Times New Roman" w:hAnsi="Times New Roman"/>
                <w:sz w:val="21"/>
              </w:rPr>
              <w:t>……</w:t>
            </w:r>
          </w:p>
        </w:tc>
      </w:tr>
    </w:tbl>
    <w:p>
      <w:pPr>
        <w:rPr>
          <w:rFonts w:ascii="Times New Roman" w:hAnsi="Times New Roman"/>
          <w:sz w:val="21"/>
        </w:rPr>
        <w:sectPr>
          <w:headerReference r:id="rId31" w:type="default"/>
          <w:headerReference r:id="rId32" w:type="even"/>
          <w:pgSz w:w="11910" w:h="16850"/>
          <w:pgMar w:top="1480" w:right="1200" w:bottom="1280" w:left="1220" w:header="883" w:footer="1093" w:gutter="0"/>
          <w:cols w:space="720" w:num="1"/>
        </w:sectPr>
      </w:pPr>
    </w:p>
    <w:p>
      <w:pPr>
        <w:pStyle w:val="11"/>
        <w:spacing w:before="8"/>
        <w:rPr>
          <w:sz w:val="28"/>
        </w:rPr>
      </w:pPr>
    </w:p>
    <w:p>
      <w:pPr>
        <w:spacing w:before="71"/>
        <w:ind w:right="382"/>
        <w:jc w:val="right"/>
        <w:rPr>
          <w:sz w:val="21"/>
        </w:rPr>
      </w:pPr>
      <w:r>
        <w:rPr>
          <w:sz w:val="21"/>
        </w:rPr>
        <w:t>续上表</w:t>
      </w:r>
    </w:p>
    <w:tbl>
      <w:tblPr>
        <w:tblStyle w:val="19"/>
        <w:tblW w:w="889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63"/>
        <w:gridCol w:w="6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993" w:type="dxa"/>
            <w:gridSpan w:val="2"/>
          </w:tcPr>
          <w:p>
            <w:pPr>
              <w:pStyle w:val="21"/>
              <w:spacing w:before="90" w:line="250" w:lineRule="exact"/>
              <w:ind w:left="659" w:right="651"/>
              <w:jc w:val="center"/>
              <w:rPr>
                <w:b/>
                <w:sz w:val="21"/>
              </w:rPr>
            </w:pPr>
            <w:r>
              <w:rPr>
                <w:b/>
                <w:sz w:val="21"/>
              </w:rPr>
              <w:t>条款号</w:t>
            </w:r>
          </w:p>
        </w:tc>
        <w:tc>
          <w:tcPr>
            <w:tcW w:w="6902" w:type="dxa"/>
          </w:tcPr>
          <w:p>
            <w:pPr>
              <w:pStyle w:val="21"/>
              <w:spacing w:before="90" w:line="250" w:lineRule="exact"/>
              <w:ind w:left="89" w:right="85"/>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2" w:hRule="atLeast"/>
        </w:trPr>
        <w:tc>
          <w:tcPr>
            <w:tcW w:w="730" w:type="dxa"/>
          </w:tcPr>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rPr>
                <w:sz w:val="26"/>
              </w:rPr>
            </w:pPr>
          </w:p>
          <w:p>
            <w:pPr>
              <w:pStyle w:val="21"/>
              <w:ind w:left="153"/>
              <w:rPr>
                <w:rFonts w:ascii="Times New Roman"/>
                <w:sz w:val="21"/>
              </w:rPr>
            </w:pPr>
            <w:r>
              <w:rPr>
                <w:rFonts w:ascii="Times New Roman"/>
                <w:sz w:val="21"/>
              </w:rPr>
              <w:t>2.1.1</w:t>
            </w:r>
          </w:p>
          <w:p>
            <w:pPr>
              <w:pStyle w:val="21"/>
              <w:spacing w:before="119"/>
              <w:ind w:left="153"/>
              <w:rPr>
                <w:rFonts w:ascii="Times New Roman"/>
                <w:sz w:val="21"/>
              </w:rPr>
            </w:pPr>
            <w:r>
              <w:rPr>
                <w:rFonts w:ascii="Times New Roman"/>
                <w:sz w:val="21"/>
              </w:rPr>
              <w:t>2.1.3</w:t>
            </w:r>
          </w:p>
        </w:tc>
        <w:tc>
          <w:tcPr>
            <w:tcW w:w="1263" w:type="dxa"/>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spacing w:before="2"/>
              <w:rPr>
                <w:sz w:val="14"/>
              </w:rPr>
            </w:pPr>
          </w:p>
          <w:p>
            <w:pPr>
              <w:pStyle w:val="21"/>
              <w:spacing w:line="321" w:lineRule="auto"/>
              <w:ind w:left="210" w:right="198"/>
              <w:jc w:val="both"/>
              <w:rPr>
                <w:sz w:val="21"/>
              </w:rPr>
            </w:pPr>
            <w:r>
              <w:rPr>
                <w:sz w:val="21"/>
              </w:rPr>
              <w:t>形式评审与响应性评审标准</w:t>
            </w:r>
          </w:p>
        </w:tc>
        <w:tc>
          <w:tcPr>
            <w:tcW w:w="6902" w:type="dxa"/>
          </w:tcPr>
          <w:p>
            <w:pPr>
              <w:pStyle w:val="21"/>
              <w:spacing w:before="92"/>
              <w:ind w:left="493"/>
              <w:rPr>
                <w:b/>
                <w:sz w:val="21"/>
              </w:rPr>
            </w:pPr>
            <w:r>
              <w:rPr>
                <w:b/>
                <w:sz w:val="21"/>
              </w:rPr>
              <w:t>第二个信封（报价文件）评审标准：</w:t>
            </w:r>
          </w:p>
          <w:p>
            <w:pPr>
              <w:pStyle w:val="21"/>
              <w:spacing w:before="91"/>
              <w:ind w:left="491" w:right="-15"/>
              <w:rPr>
                <w:sz w:val="21"/>
              </w:rPr>
            </w:pPr>
            <w:r>
              <w:rPr>
                <w:sz w:val="21"/>
              </w:rPr>
              <w:t>（</w:t>
            </w:r>
            <w:r>
              <w:rPr>
                <w:rFonts w:ascii="Times New Roman" w:eastAsia="Times New Roman"/>
                <w:sz w:val="21"/>
              </w:rPr>
              <w:t>1</w:t>
            </w:r>
            <w:r>
              <w:rPr>
                <w:sz w:val="21"/>
              </w:rPr>
              <w:t>）</w:t>
            </w:r>
            <w:r>
              <w:rPr>
                <w:spacing w:val="-3"/>
                <w:sz w:val="21"/>
              </w:rPr>
              <w:t>投标文件按照招标文件规定的格式、内容填写，字迹清晰可辨：</w:t>
            </w:r>
          </w:p>
          <w:p>
            <w:pPr>
              <w:pStyle w:val="21"/>
              <w:spacing w:before="91" w:line="321" w:lineRule="auto"/>
              <w:ind w:left="106" w:right="95" w:firstLine="420"/>
              <w:rPr>
                <w:sz w:val="21"/>
              </w:rPr>
            </w:pPr>
            <w:r>
              <w:rPr>
                <w:rFonts w:ascii="Times New Roman" w:eastAsia="Times New Roman"/>
                <w:sz w:val="21"/>
              </w:rPr>
              <w:t>a.</w:t>
            </w:r>
            <w:r>
              <w:rPr>
                <w:spacing w:val="-2"/>
                <w:sz w:val="21"/>
              </w:rPr>
              <w:t>投标函按招标文件规定填报了项目名称、标段号、补遗书编号</w:t>
            </w:r>
            <w:r>
              <w:rPr>
                <w:sz w:val="21"/>
              </w:rPr>
              <w:t>（如有</w:t>
            </w:r>
            <w:r>
              <w:rPr>
                <w:spacing w:val="-106"/>
                <w:sz w:val="21"/>
              </w:rPr>
              <w:t>）</w:t>
            </w:r>
            <w:r>
              <w:rPr>
                <w:spacing w:val="-2"/>
                <w:sz w:val="21"/>
              </w:rPr>
              <w:t>、投标价</w:t>
            </w:r>
            <w:r>
              <w:rPr>
                <w:spacing w:val="-3"/>
                <w:sz w:val="21"/>
              </w:rPr>
              <w:t>（包括大写金额和小写金额</w:t>
            </w:r>
            <w:r>
              <w:rPr>
                <w:spacing w:val="-109"/>
                <w:sz w:val="21"/>
              </w:rPr>
              <w:t>）</w:t>
            </w:r>
            <w:r>
              <w:rPr>
                <w:sz w:val="21"/>
              </w:rPr>
              <w:t>；</w:t>
            </w:r>
          </w:p>
          <w:p>
            <w:pPr>
              <w:pStyle w:val="21"/>
              <w:spacing w:line="321" w:lineRule="auto"/>
              <w:ind w:left="106" w:right="95" w:firstLine="420"/>
              <w:rPr>
                <w:sz w:val="21"/>
              </w:rPr>
            </w:pPr>
            <w:r>
              <w:rPr>
                <w:rFonts w:ascii="Times New Roman" w:eastAsia="Times New Roman"/>
                <w:sz w:val="21"/>
              </w:rPr>
              <w:t>b.</w:t>
            </w:r>
            <w:r>
              <w:rPr>
                <w:sz w:val="21"/>
              </w:rPr>
              <w:t>已标价工程量清单说明文字与招标文件规定一致，未进行实质性修改和删减；</w:t>
            </w:r>
          </w:p>
          <w:p>
            <w:pPr>
              <w:pStyle w:val="21"/>
              <w:spacing w:line="269" w:lineRule="exact"/>
              <w:ind w:left="491"/>
              <w:rPr>
                <w:sz w:val="21"/>
              </w:rPr>
            </w:pPr>
            <w:r>
              <w:rPr>
                <w:rFonts w:ascii="Times New Roman" w:eastAsia="Times New Roman"/>
                <w:sz w:val="21"/>
              </w:rPr>
              <w:t>c.</w:t>
            </w:r>
            <w:r>
              <w:rPr>
                <w:sz w:val="21"/>
              </w:rPr>
              <w:t>投标文件组成齐全完整，内容均按规定填写。。</w:t>
            </w:r>
          </w:p>
          <w:p>
            <w:pPr>
              <w:pStyle w:val="21"/>
              <w:spacing w:before="90" w:line="321" w:lineRule="auto"/>
              <w:ind w:left="106" w:right="99" w:firstLine="420"/>
              <w:rPr>
                <w:sz w:val="21"/>
              </w:rPr>
            </w:pPr>
            <w:r>
              <w:rPr>
                <w:sz w:val="21"/>
              </w:rPr>
              <w:t>（</w:t>
            </w:r>
            <w:r>
              <w:rPr>
                <w:rFonts w:ascii="Times New Roman" w:eastAsia="Times New Roman"/>
                <w:sz w:val="21"/>
              </w:rPr>
              <w:t>2</w:t>
            </w:r>
            <w:r>
              <w:rPr>
                <w:sz w:val="21"/>
              </w:rPr>
              <w:t>）投标文件上法定代表人或其委托代理人的签字、投标人的单位章盖章齐全，符合招标文件规定。</w:t>
            </w:r>
          </w:p>
          <w:p>
            <w:pPr>
              <w:pStyle w:val="21"/>
              <w:spacing w:line="321" w:lineRule="auto"/>
              <w:ind w:left="106" w:right="102" w:firstLine="420"/>
              <w:rPr>
                <w:sz w:val="21"/>
              </w:rPr>
            </w:pPr>
            <w:r>
              <w:rPr>
                <w:sz w:val="21"/>
              </w:rPr>
              <w:t>（</w:t>
            </w:r>
            <w:r>
              <w:rPr>
                <w:rFonts w:ascii="Times New Roman" w:eastAsia="Times New Roman"/>
                <w:sz w:val="21"/>
              </w:rPr>
              <w:t>3</w:t>
            </w:r>
            <w:r>
              <w:rPr>
                <w:sz w:val="21"/>
              </w:rPr>
              <w:t>）投标报价或调价函中的报价未超过招标文件设定的最高投标限价（</w:t>
            </w:r>
            <w:r>
              <w:rPr>
                <w:spacing w:val="-2"/>
                <w:sz w:val="21"/>
              </w:rPr>
              <w:t>如有</w:t>
            </w:r>
            <w:r>
              <w:rPr>
                <w:spacing w:val="-108"/>
                <w:sz w:val="21"/>
              </w:rPr>
              <w:t>）</w:t>
            </w:r>
            <w:r>
              <w:rPr>
                <w:sz w:val="21"/>
              </w:rPr>
              <w:t>。</w:t>
            </w:r>
          </w:p>
          <w:p>
            <w:pPr>
              <w:pStyle w:val="21"/>
              <w:spacing w:line="268" w:lineRule="exact"/>
              <w:ind w:left="527"/>
              <w:rPr>
                <w:sz w:val="21"/>
              </w:rPr>
            </w:pPr>
            <w:r>
              <w:rPr>
                <w:sz w:val="21"/>
              </w:rPr>
              <w:t>（</w:t>
            </w:r>
            <w:r>
              <w:rPr>
                <w:rFonts w:ascii="Times New Roman" w:eastAsia="Times New Roman"/>
                <w:sz w:val="21"/>
              </w:rPr>
              <w:t>4</w:t>
            </w:r>
            <w:r>
              <w:rPr>
                <w:sz w:val="21"/>
              </w:rPr>
              <w:t>）投标报价或调价函中报价的大写金额能够确定具体数值。</w:t>
            </w:r>
          </w:p>
          <w:p>
            <w:pPr>
              <w:pStyle w:val="21"/>
              <w:spacing w:before="89" w:line="321" w:lineRule="auto"/>
              <w:ind w:left="106" w:right="101" w:firstLine="420"/>
              <w:rPr>
                <w:sz w:val="21"/>
              </w:rPr>
            </w:pPr>
            <w:r>
              <w:rPr>
                <w:sz w:val="21"/>
              </w:rPr>
              <w:t>（</w:t>
            </w:r>
            <w:r>
              <w:rPr>
                <w:rFonts w:ascii="Times New Roman" w:eastAsia="Times New Roman"/>
                <w:sz w:val="21"/>
              </w:rPr>
              <w:t>5</w:t>
            </w:r>
            <w:r>
              <w:rPr>
                <w:sz w:val="21"/>
              </w:rPr>
              <w:t>）同一投标人未提交两个以上不同的投标报价，但招标文件要求提交备选投标的除外。</w:t>
            </w:r>
          </w:p>
          <w:p>
            <w:pPr>
              <w:pStyle w:val="21"/>
              <w:spacing w:line="321" w:lineRule="auto"/>
              <w:ind w:left="106" w:right="102" w:firstLine="420"/>
              <w:rPr>
                <w:sz w:val="21"/>
              </w:rPr>
            </w:pPr>
            <w:r>
              <w:rPr>
                <w:sz w:val="21"/>
              </w:rPr>
              <w:t>（</w:t>
            </w:r>
            <w:r>
              <w:rPr>
                <w:rFonts w:ascii="Times New Roman" w:hAnsi="Times New Roman" w:eastAsia="Times New Roman"/>
                <w:sz w:val="21"/>
              </w:rPr>
              <w:t>6</w:t>
            </w:r>
            <w:r>
              <w:rPr>
                <w:sz w:val="21"/>
              </w:rPr>
              <w:t xml:space="preserve">）投标人若提交调价函，调价函符合招标文件第二章“投标人须知”第 </w:t>
            </w:r>
            <w:r>
              <w:rPr>
                <w:rFonts w:ascii="Times New Roman" w:hAnsi="Times New Roman" w:eastAsia="Times New Roman"/>
                <w:sz w:val="21"/>
              </w:rPr>
              <w:t xml:space="preserve">3.2.6 </w:t>
            </w:r>
            <w:r>
              <w:rPr>
                <w:sz w:val="21"/>
              </w:rPr>
              <w:t>项要求。</w:t>
            </w:r>
          </w:p>
          <w:p>
            <w:pPr>
              <w:pStyle w:val="21"/>
              <w:spacing w:line="321" w:lineRule="auto"/>
              <w:ind w:left="106" w:right="95" w:firstLine="420"/>
              <w:jc w:val="both"/>
              <w:rPr>
                <w:sz w:val="21"/>
              </w:rPr>
            </w:pPr>
            <w:r>
              <w:rPr>
                <w:sz w:val="21"/>
              </w:rPr>
              <w:t>（</w:t>
            </w:r>
            <w:r>
              <w:rPr>
                <w:rFonts w:ascii="Times New Roman" w:eastAsia="Times New Roman"/>
                <w:sz w:val="21"/>
              </w:rPr>
              <w:t>7</w:t>
            </w:r>
            <w:r>
              <w:rPr>
                <w:sz w:val="21"/>
              </w:rPr>
              <w:t>）投标人若填写工程量固化清单，填写完毕的工程量固化清单未</w:t>
            </w:r>
            <w:r>
              <w:rPr>
                <w:spacing w:val="-5"/>
                <w:sz w:val="21"/>
              </w:rPr>
              <w:t>对工程量固化清单电子文件中的数据、格式和运算定义进行修改；工程量</w:t>
            </w:r>
            <w:r>
              <w:rPr>
                <w:spacing w:val="-4"/>
                <w:sz w:val="21"/>
              </w:rPr>
              <w:t>固化清单中的投标报价和投标函大写金额报价一致。</w:t>
            </w:r>
          </w:p>
          <w:p>
            <w:pPr>
              <w:pStyle w:val="21"/>
              <w:spacing w:line="267" w:lineRule="exact"/>
              <w:ind w:left="491"/>
              <w:rPr>
                <w:rFonts w:ascii="Times New Roman" w:hAnsi="Times New Roman" w:eastAsia="Times New Roman"/>
                <w:sz w:val="21"/>
              </w:rPr>
            </w:pPr>
            <w:r>
              <w:rPr>
                <w:spacing w:val="-24"/>
                <w:sz w:val="21"/>
              </w:rPr>
              <w:t>（</w:t>
            </w:r>
            <w:r>
              <w:rPr>
                <w:rFonts w:ascii="Times New Roman" w:hAnsi="Times New Roman" w:eastAsia="Times New Roman"/>
                <w:spacing w:val="-24"/>
                <w:sz w:val="21"/>
              </w:rPr>
              <w:t>8</w:t>
            </w:r>
            <w:r>
              <w:rPr>
                <w:spacing w:val="-24"/>
                <w:sz w:val="21"/>
              </w:rPr>
              <w:t>）</w:t>
            </w:r>
            <w:r>
              <w:rPr>
                <w:spacing w:val="-10"/>
                <w:sz w:val="21"/>
              </w:rPr>
              <w:t>投标文件正、副本份数符合招标文件第二章</w:t>
            </w:r>
            <w:r>
              <w:rPr>
                <w:rFonts w:ascii="Times New Roman" w:hAnsi="Times New Roman" w:eastAsia="Times New Roman"/>
                <w:spacing w:val="-3"/>
                <w:sz w:val="21"/>
              </w:rPr>
              <w:t>“</w:t>
            </w:r>
            <w:r>
              <w:rPr>
                <w:spacing w:val="-3"/>
                <w:sz w:val="21"/>
              </w:rPr>
              <w:t>投标人须知</w:t>
            </w:r>
            <w:r>
              <w:rPr>
                <w:rFonts w:ascii="Times New Roman" w:hAnsi="Times New Roman" w:eastAsia="Times New Roman"/>
                <w:spacing w:val="-3"/>
                <w:sz w:val="21"/>
              </w:rPr>
              <w:t>”</w:t>
            </w:r>
            <w:r>
              <w:rPr>
                <w:spacing w:val="-22"/>
                <w:sz w:val="21"/>
              </w:rPr>
              <w:t xml:space="preserve">第 </w:t>
            </w:r>
            <w:r>
              <w:rPr>
                <w:rFonts w:ascii="Times New Roman" w:hAnsi="Times New Roman" w:eastAsia="Times New Roman"/>
                <w:sz w:val="21"/>
              </w:rPr>
              <w:t>3.7.4</w:t>
            </w:r>
          </w:p>
          <w:p>
            <w:pPr>
              <w:pStyle w:val="21"/>
              <w:spacing w:before="90"/>
              <w:ind w:left="89" w:right="5922"/>
              <w:jc w:val="center"/>
              <w:rPr>
                <w:sz w:val="21"/>
              </w:rPr>
            </w:pPr>
            <w:r>
              <w:rPr>
                <w:sz w:val="21"/>
              </w:rPr>
              <w:t>项规定。</w:t>
            </w:r>
          </w:p>
          <w:p>
            <w:pPr>
              <w:pStyle w:val="21"/>
              <w:spacing w:before="114" w:line="226" w:lineRule="exact"/>
              <w:ind w:left="89" w:right="5823"/>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730" w:type="dxa"/>
          </w:tcPr>
          <w:p>
            <w:pPr>
              <w:pStyle w:val="21"/>
            </w:pPr>
          </w:p>
          <w:p>
            <w:pPr>
              <w:pStyle w:val="21"/>
            </w:pPr>
          </w:p>
          <w:p>
            <w:pPr>
              <w:pStyle w:val="21"/>
            </w:pPr>
          </w:p>
          <w:p>
            <w:pPr>
              <w:pStyle w:val="21"/>
            </w:pPr>
          </w:p>
          <w:p>
            <w:pPr>
              <w:pStyle w:val="21"/>
            </w:pPr>
          </w:p>
          <w:p>
            <w:pPr>
              <w:pStyle w:val="21"/>
              <w:spacing w:before="4"/>
              <w:rPr>
                <w:sz w:val="25"/>
              </w:rPr>
            </w:pPr>
          </w:p>
          <w:p>
            <w:pPr>
              <w:pStyle w:val="21"/>
              <w:ind w:left="153"/>
              <w:rPr>
                <w:rFonts w:ascii="Times New Roman"/>
                <w:sz w:val="21"/>
              </w:rPr>
            </w:pPr>
            <w:r>
              <w:rPr>
                <w:rFonts w:ascii="Times New Roman"/>
                <w:sz w:val="21"/>
              </w:rPr>
              <w:t>2.1.2</w:t>
            </w:r>
          </w:p>
        </w:tc>
        <w:tc>
          <w:tcPr>
            <w:tcW w:w="1263" w:type="dxa"/>
          </w:tcPr>
          <w:p>
            <w:pPr>
              <w:pStyle w:val="21"/>
            </w:pPr>
          </w:p>
          <w:p>
            <w:pPr>
              <w:pStyle w:val="21"/>
            </w:pPr>
          </w:p>
          <w:p>
            <w:pPr>
              <w:pStyle w:val="21"/>
            </w:pPr>
          </w:p>
          <w:p>
            <w:pPr>
              <w:pStyle w:val="21"/>
            </w:pPr>
          </w:p>
          <w:p>
            <w:pPr>
              <w:pStyle w:val="21"/>
              <w:spacing w:before="5"/>
              <w:rPr>
                <w:sz w:val="31"/>
              </w:rPr>
            </w:pPr>
          </w:p>
          <w:p>
            <w:pPr>
              <w:pStyle w:val="21"/>
              <w:spacing w:line="321" w:lineRule="auto"/>
              <w:ind w:left="366" w:right="198" w:hanging="156"/>
              <w:rPr>
                <w:sz w:val="11"/>
              </w:rPr>
            </w:pPr>
            <w:r>
              <w:rPr>
                <w:sz w:val="21"/>
              </w:rPr>
              <w:t>资格评审标准</w:t>
            </w:r>
            <w:r>
              <w:rPr>
                <w:position w:val="10"/>
                <w:sz w:val="11"/>
              </w:rPr>
              <w:t>①</w:t>
            </w:r>
          </w:p>
        </w:tc>
        <w:tc>
          <w:tcPr>
            <w:tcW w:w="6902" w:type="dxa"/>
          </w:tcPr>
          <w:p>
            <w:pPr>
              <w:pStyle w:val="21"/>
              <w:spacing w:before="90" w:line="321" w:lineRule="auto"/>
              <w:ind w:left="106" w:right="97" w:firstLine="420"/>
              <w:rPr>
                <w:sz w:val="21"/>
              </w:rPr>
            </w:pPr>
            <w:r>
              <w:rPr>
                <w:sz w:val="21"/>
              </w:rPr>
              <w:t>（</w:t>
            </w:r>
            <w:r>
              <w:rPr>
                <w:rFonts w:ascii="Times New Roman" w:eastAsia="Times New Roman"/>
                <w:sz w:val="21"/>
              </w:rPr>
              <w:t>1</w:t>
            </w:r>
            <w:r>
              <w:rPr>
                <w:sz w:val="21"/>
              </w:rPr>
              <w:t>）投标人具备有效的营业执照、组织机构代码证、资质证书、安全生产许可证和基本账户开户许可证。</w:t>
            </w:r>
          </w:p>
          <w:p>
            <w:pPr>
              <w:pStyle w:val="21"/>
              <w:spacing w:line="269" w:lineRule="exact"/>
              <w:ind w:left="527"/>
              <w:rPr>
                <w:sz w:val="21"/>
              </w:rPr>
            </w:pPr>
            <w:r>
              <w:rPr>
                <w:sz w:val="21"/>
              </w:rPr>
              <w:t>（</w:t>
            </w:r>
            <w:r>
              <w:rPr>
                <w:rFonts w:ascii="Times New Roman" w:eastAsia="Times New Roman"/>
                <w:sz w:val="21"/>
              </w:rPr>
              <w:t>2</w:t>
            </w:r>
            <w:r>
              <w:rPr>
                <w:sz w:val="21"/>
              </w:rPr>
              <w:t>）投标人的资质等级符合招标文件规定。</w:t>
            </w:r>
          </w:p>
          <w:p>
            <w:pPr>
              <w:pStyle w:val="21"/>
              <w:spacing w:before="90"/>
              <w:ind w:left="527"/>
              <w:rPr>
                <w:sz w:val="21"/>
              </w:rPr>
            </w:pPr>
            <w:r>
              <w:rPr>
                <w:sz w:val="21"/>
              </w:rPr>
              <w:t>（</w:t>
            </w:r>
            <w:r>
              <w:rPr>
                <w:rFonts w:ascii="Times New Roman" w:eastAsia="Times New Roman"/>
                <w:sz w:val="21"/>
              </w:rPr>
              <w:t>3</w:t>
            </w:r>
            <w:r>
              <w:rPr>
                <w:sz w:val="21"/>
              </w:rPr>
              <w:t>）投标人的财务状况符合招标文件规定。</w:t>
            </w:r>
          </w:p>
          <w:p>
            <w:pPr>
              <w:pStyle w:val="21"/>
              <w:spacing w:before="91"/>
              <w:ind w:left="527"/>
              <w:rPr>
                <w:sz w:val="21"/>
              </w:rPr>
            </w:pPr>
            <w:r>
              <w:rPr>
                <w:sz w:val="21"/>
              </w:rPr>
              <w:t>（</w:t>
            </w:r>
            <w:r>
              <w:rPr>
                <w:rFonts w:ascii="Times New Roman" w:eastAsia="Times New Roman"/>
                <w:sz w:val="21"/>
              </w:rPr>
              <w:t>4</w:t>
            </w:r>
            <w:r>
              <w:rPr>
                <w:sz w:val="21"/>
              </w:rPr>
              <w:t>）投标人的类似项目业绩符合招标文件规定。</w:t>
            </w:r>
          </w:p>
          <w:p>
            <w:pPr>
              <w:pStyle w:val="21"/>
              <w:spacing w:before="91"/>
              <w:ind w:left="527"/>
              <w:rPr>
                <w:sz w:val="21"/>
              </w:rPr>
            </w:pPr>
            <w:r>
              <w:rPr>
                <w:sz w:val="21"/>
              </w:rPr>
              <w:t>（</w:t>
            </w:r>
            <w:r>
              <w:rPr>
                <w:rFonts w:ascii="Times New Roman" w:eastAsia="Times New Roman"/>
                <w:sz w:val="21"/>
              </w:rPr>
              <w:t>5</w:t>
            </w:r>
            <w:r>
              <w:rPr>
                <w:sz w:val="21"/>
              </w:rPr>
              <w:t>）投标人的信誉符合招标文件规定。</w:t>
            </w:r>
          </w:p>
          <w:p>
            <w:pPr>
              <w:pStyle w:val="21"/>
              <w:spacing w:before="91" w:line="321" w:lineRule="auto"/>
              <w:ind w:left="106" w:right="99" w:firstLine="420"/>
              <w:rPr>
                <w:sz w:val="21"/>
              </w:rPr>
            </w:pPr>
            <w:r>
              <w:rPr>
                <w:sz w:val="21"/>
              </w:rPr>
              <w:t>（</w:t>
            </w:r>
            <w:r>
              <w:rPr>
                <w:rFonts w:ascii="Times New Roman" w:eastAsia="Times New Roman"/>
                <w:sz w:val="21"/>
              </w:rPr>
              <w:t>6</w:t>
            </w:r>
            <w:r>
              <w:rPr>
                <w:sz w:val="21"/>
              </w:rPr>
              <w:t>）投标人的项目经理和项目总工资格、在岗情况符合招标文件规定。</w:t>
            </w:r>
          </w:p>
          <w:p>
            <w:pPr>
              <w:pStyle w:val="21"/>
              <w:spacing w:line="268" w:lineRule="exact"/>
              <w:ind w:left="527"/>
              <w:rPr>
                <w:sz w:val="21"/>
              </w:rPr>
            </w:pPr>
            <w:r>
              <w:rPr>
                <w:sz w:val="21"/>
              </w:rPr>
              <w:t>（</w:t>
            </w:r>
            <w:r>
              <w:rPr>
                <w:rFonts w:ascii="Times New Roman" w:eastAsia="Times New Roman"/>
                <w:sz w:val="21"/>
              </w:rPr>
              <w:t>7</w:t>
            </w:r>
            <w:r>
              <w:rPr>
                <w:sz w:val="21"/>
              </w:rPr>
              <w:t>）投标人的其他要求符合招标文件规定。</w:t>
            </w:r>
          </w:p>
          <w:p>
            <w:pPr>
              <w:pStyle w:val="21"/>
              <w:spacing w:before="92" w:line="250" w:lineRule="exact"/>
              <w:ind w:left="527"/>
              <w:rPr>
                <w:sz w:val="21"/>
              </w:rPr>
            </w:pPr>
            <w:r>
              <w:rPr>
                <w:sz w:val="21"/>
              </w:rPr>
              <w:t>（</w:t>
            </w:r>
            <w:r>
              <w:rPr>
                <w:rFonts w:ascii="Times New Roman" w:hAnsi="Times New Roman" w:eastAsia="Times New Roman"/>
                <w:sz w:val="21"/>
              </w:rPr>
              <w:t>8</w:t>
            </w:r>
            <w:r>
              <w:rPr>
                <w:sz w:val="21"/>
              </w:rPr>
              <w:t>）投标人不存在第二章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1.4.3 </w:t>
            </w:r>
            <w:r>
              <w:rPr>
                <w:sz w:val="21"/>
              </w:rPr>
              <w:t xml:space="preserve">项或第 </w:t>
            </w:r>
            <w:r>
              <w:rPr>
                <w:rFonts w:ascii="Times New Roman" w:hAnsi="Times New Roman" w:eastAsia="Times New Roman"/>
                <w:sz w:val="21"/>
              </w:rPr>
              <w:t xml:space="preserve">1.4.4 </w:t>
            </w:r>
            <w:r>
              <w:rPr>
                <w:sz w:val="21"/>
              </w:rPr>
              <w:t>项规定</w:t>
            </w:r>
          </w:p>
        </w:tc>
      </w:tr>
    </w:tbl>
    <w:p>
      <w:pPr>
        <w:pStyle w:val="11"/>
        <w:rPr>
          <w:sz w:val="20"/>
        </w:rPr>
      </w:pPr>
    </w:p>
    <w:p>
      <w:pPr>
        <w:pStyle w:val="11"/>
        <w:rPr>
          <w:sz w:val="20"/>
        </w:rPr>
      </w:pPr>
    </w:p>
    <w:p>
      <w:pPr>
        <w:pStyle w:val="11"/>
        <w:spacing w:before="10"/>
        <w:rPr>
          <w:sz w:val="23"/>
        </w:rPr>
      </w:pPr>
    </w:p>
    <w:p>
      <w:pPr>
        <w:rPr>
          <w:sz w:val="18"/>
        </w:rPr>
        <w:sectPr>
          <w:pgSz w:w="11910" w:h="16850"/>
          <w:pgMar w:top="1480" w:right="1200" w:bottom="1240" w:left="1220" w:header="876" w:footer="1060" w:gutter="0"/>
          <w:cols w:space="720" w:num="1"/>
        </w:sectPr>
      </w:pPr>
    </w:p>
    <w:p>
      <w:pPr>
        <w:pStyle w:val="11"/>
        <w:spacing w:before="11"/>
        <w:rPr>
          <w:sz w:val="9"/>
        </w:rPr>
      </w:pPr>
    </w:p>
    <w:p>
      <w:pPr>
        <w:spacing w:before="72"/>
        <w:ind w:left="8468"/>
        <w:rPr>
          <w:sz w:val="21"/>
        </w:rPr>
      </w:pPr>
      <w:r>
        <w:rPr>
          <w:sz w:val="21"/>
        </w:rPr>
        <w:t>续上表</w:t>
      </w:r>
    </w:p>
    <w:tbl>
      <w:tblPr>
        <w:tblStyle w:val="19"/>
        <w:tblW w:w="8897"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63"/>
        <w:gridCol w:w="1504"/>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993" w:type="dxa"/>
            <w:gridSpan w:val="2"/>
          </w:tcPr>
          <w:p>
            <w:pPr>
              <w:pStyle w:val="21"/>
              <w:spacing w:before="90" w:line="250" w:lineRule="exact"/>
              <w:ind w:left="659" w:right="651"/>
              <w:jc w:val="center"/>
              <w:rPr>
                <w:b/>
                <w:sz w:val="21"/>
              </w:rPr>
            </w:pPr>
            <w:r>
              <w:rPr>
                <w:b/>
                <w:sz w:val="21"/>
              </w:rPr>
              <w:t>条款号</w:t>
            </w:r>
          </w:p>
        </w:tc>
        <w:tc>
          <w:tcPr>
            <w:tcW w:w="6904" w:type="dxa"/>
            <w:gridSpan w:val="2"/>
          </w:tcPr>
          <w:p>
            <w:pPr>
              <w:pStyle w:val="21"/>
              <w:spacing w:before="90" w:line="250" w:lineRule="exact"/>
              <w:ind w:left="2479" w:right="2477"/>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730" w:type="dxa"/>
          </w:tcPr>
          <w:p>
            <w:pPr>
              <w:pStyle w:val="21"/>
              <w:rPr>
                <w:rFonts w:ascii="Times New Roman"/>
                <w:sz w:val="18"/>
              </w:rPr>
            </w:pPr>
          </w:p>
        </w:tc>
        <w:tc>
          <w:tcPr>
            <w:tcW w:w="1263" w:type="dxa"/>
          </w:tcPr>
          <w:p>
            <w:pPr>
              <w:pStyle w:val="21"/>
              <w:rPr>
                <w:rFonts w:ascii="Times New Roman"/>
                <w:sz w:val="18"/>
              </w:rPr>
            </w:pPr>
          </w:p>
        </w:tc>
        <w:tc>
          <w:tcPr>
            <w:tcW w:w="6904" w:type="dxa"/>
            <w:gridSpan w:val="2"/>
          </w:tcPr>
          <w:p>
            <w:pPr>
              <w:pStyle w:val="21"/>
              <w:spacing w:before="90"/>
              <w:ind w:left="106"/>
              <w:rPr>
                <w:sz w:val="21"/>
              </w:rPr>
            </w:pPr>
            <w:r>
              <w:rPr>
                <w:sz w:val="21"/>
              </w:rPr>
              <w:t>的任何一种情形。</w:t>
            </w:r>
          </w:p>
          <w:p>
            <w:pPr>
              <w:pStyle w:val="21"/>
              <w:spacing w:before="90"/>
              <w:ind w:left="527"/>
              <w:rPr>
                <w:sz w:val="11"/>
              </w:rPr>
            </w:pPr>
            <w:r>
              <w:rPr>
                <w:sz w:val="21"/>
              </w:rPr>
              <w:t>（</w:t>
            </w:r>
            <w:r>
              <w:rPr>
                <w:rFonts w:ascii="Times New Roman" w:hAnsi="Times New Roman" w:eastAsia="Times New Roman"/>
                <w:sz w:val="21"/>
              </w:rPr>
              <w:t>9</w:t>
            </w:r>
            <w:r>
              <w:rPr>
                <w:sz w:val="21"/>
              </w:rPr>
              <w:t>）投标人符合第二章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1.4.5 </w:t>
            </w:r>
            <w:r>
              <w:rPr>
                <w:sz w:val="21"/>
              </w:rPr>
              <w:t>项规定。</w:t>
            </w:r>
            <w:r>
              <w:rPr>
                <w:position w:val="10"/>
                <w:sz w:val="11"/>
              </w:rPr>
              <w:t>①</w:t>
            </w:r>
          </w:p>
          <w:p>
            <w:pPr>
              <w:pStyle w:val="21"/>
              <w:spacing w:before="91" w:line="321" w:lineRule="auto"/>
              <w:ind w:left="106" w:right="97" w:firstLine="420"/>
              <w:jc w:val="both"/>
              <w:rPr>
                <w:sz w:val="21"/>
              </w:rPr>
            </w:pPr>
            <w:r>
              <w:rPr>
                <w:spacing w:val="-6"/>
                <w:sz w:val="21"/>
              </w:rPr>
              <w:t>（</w:t>
            </w:r>
            <w:r>
              <w:rPr>
                <w:rFonts w:ascii="Times New Roman" w:eastAsia="Times New Roman"/>
                <w:spacing w:val="-6"/>
                <w:sz w:val="21"/>
              </w:rPr>
              <w:t>10</w:t>
            </w:r>
            <w:r>
              <w:rPr>
                <w:spacing w:val="-6"/>
                <w:sz w:val="21"/>
              </w:rPr>
              <w:t>）</w:t>
            </w:r>
            <w:r>
              <w:rPr>
                <w:spacing w:val="-5"/>
                <w:sz w:val="21"/>
              </w:rPr>
              <w:t>以联合体形式参与投标的，联合体各方均未再以自己名义单独</w:t>
            </w:r>
            <w:r>
              <w:rPr>
                <w:spacing w:val="-6"/>
                <w:sz w:val="21"/>
              </w:rPr>
              <w:t>或参加其他联合体在同一标段中投标；独立参与投标的，投标人未同时参</w:t>
            </w:r>
            <w:r>
              <w:rPr>
                <w:spacing w:val="-4"/>
                <w:sz w:val="21"/>
              </w:rPr>
              <w:t>加联合体在同一标段中投标。</w:t>
            </w:r>
          </w:p>
          <w:p>
            <w:pPr>
              <w:pStyle w:val="21"/>
              <w:spacing w:before="22" w:line="226" w:lineRule="exact"/>
              <w:ind w:left="527"/>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0" w:type="dxa"/>
          </w:tcPr>
          <w:p>
            <w:pPr>
              <w:pStyle w:val="21"/>
            </w:pPr>
          </w:p>
          <w:p>
            <w:pPr>
              <w:pStyle w:val="21"/>
              <w:spacing w:before="192"/>
              <w:ind w:left="134" w:right="125"/>
              <w:jc w:val="center"/>
              <w:rPr>
                <w:rFonts w:ascii="Times New Roman"/>
                <w:sz w:val="21"/>
              </w:rPr>
            </w:pPr>
            <w:r>
              <w:rPr>
                <w:rFonts w:ascii="Times New Roman"/>
                <w:sz w:val="21"/>
              </w:rPr>
              <w:t>2.1.4</w:t>
            </w:r>
          </w:p>
        </w:tc>
        <w:tc>
          <w:tcPr>
            <w:tcW w:w="1263" w:type="dxa"/>
          </w:tcPr>
          <w:p>
            <w:pPr>
              <w:pStyle w:val="21"/>
              <w:spacing w:before="12" w:line="360" w:lineRule="exact"/>
              <w:ind w:left="104" w:right="92"/>
              <w:jc w:val="both"/>
              <w:rPr>
                <w:sz w:val="21"/>
              </w:rPr>
            </w:pPr>
            <w:r>
              <w:rPr>
                <w:sz w:val="21"/>
              </w:rPr>
              <w:t>施工组织设计和主要人员评审标准</w:t>
            </w:r>
          </w:p>
        </w:tc>
        <w:tc>
          <w:tcPr>
            <w:tcW w:w="6904" w:type="dxa"/>
            <w:gridSpan w:val="2"/>
          </w:tcPr>
          <w:p>
            <w:pPr>
              <w:pStyle w:val="21"/>
              <w:rPr>
                <w:sz w:val="20"/>
              </w:rPr>
            </w:pPr>
          </w:p>
          <w:p>
            <w:pPr>
              <w:pStyle w:val="21"/>
              <w:spacing w:before="1"/>
              <w:rPr>
                <w:sz w:val="15"/>
              </w:rPr>
            </w:pPr>
          </w:p>
          <w:p>
            <w:pPr>
              <w:pStyle w:val="21"/>
              <w:spacing w:before="1"/>
              <w:ind w:left="106"/>
              <w:rPr>
                <w:sz w:val="21"/>
              </w:rPr>
            </w:pPr>
            <w:r>
              <w:rPr>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93" w:type="dxa"/>
            <w:gridSpan w:val="2"/>
          </w:tcPr>
          <w:p>
            <w:pPr>
              <w:pStyle w:val="21"/>
              <w:spacing w:before="78" w:line="250" w:lineRule="exact"/>
              <w:ind w:left="659" w:right="651"/>
              <w:jc w:val="center"/>
              <w:rPr>
                <w:b/>
                <w:sz w:val="21"/>
              </w:rPr>
            </w:pPr>
            <w:r>
              <w:rPr>
                <w:b/>
                <w:sz w:val="21"/>
              </w:rPr>
              <w:t>条款号</w:t>
            </w:r>
          </w:p>
        </w:tc>
        <w:tc>
          <w:tcPr>
            <w:tcW w:w="1504" w:type="dxa"/>
          </w:tcPr>
          <w:p>
            <w:pPr>
              <w:pStyle w:val="21"/>
              <w:spacing w:before="78" w:line="250" w:lineRule="exact"/>
              <w:ind w:left="203" w:right="196"/>
              <w:jc w:val="center"/>
              <w:rPr>
                <w:b/>
                <w:sz w:val="21"/>
              </w:rPr>
            </w:pPr>
            <w:r>
              <w:rPr>
                <w:b/>
                <w:sz w:val="21"/>
              </w:rPr>
              <w:t>量化因素</w:t>
            </w:r>
          </w:p>
        </w:tc>
        <w:tc>
          <w:tcPr>
            <w:tcW w:w="5400" w:type="dxa"/>
          </w:tcPr>
          <w:p>
            <w:pPr>
              <w:pStyle w:val="21"/>
              <w:spacing w:before="78" w:line="250" w:lineRule="exact"/>
              <w:ind w:left="2256" w:right="2250"/>
              <w:jc w:val="center"/>
              <w:rPr>
                <w:b/>
                <w:sz w:val="21"/>
              </w:rPr>
            </w:pPr>
            <w:r>
              <w:rPr>
                <w:b/>
                <w:sz w:val="21"/>
              </w:rPr>
              <w:t>量化标准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0" w:type="dxa"/>
          </w:tcPr>
          <w:p>
            <w:pPr>
              <w:pStyle w:val="21"/>
              <w:spacing w:before="11"/>
            </w:pPr>
          </w:p>
          <w:p>
            <w:pPr>
              <w:pStyle w:val="21"/>
              <w:ind w:left="134" w:right="125"/>
              <w:jc w:val="center"/>
              <w:rPr>
                <w:rFonts w:ascii="Times New Roman"/>
                <w:sz w:val="21"/>
              </w:rPr>
            </w:pPr>
            <w:r>
              <w:rPr>
                <w:rFonts w:ascii="Times New Roman"/>
                <w:sz w:val="21"/>
              </w:rPr>
              <w:t>2.2</w:t>
            </w:r>
          </w:p>
        </w:tc>
        <w:tc>
          <w:tcPr>
            <w:tcW w:w="1263" w:type="dxa"/>
          </w:tcPr>
          <w:p>
            <w:pPr>
              <w:pStyle w:val="21"/>
              <w:spacing w:before="11" w:line="360" w:lineRule="exact"/>
              <w:ind w:left="421" w:right="198" w:hanging="212"/>
              <w:rPr>
                <w:sz w:val="21"/>
              </w:rPr>
            </w:pPr>
            <w:r>
              <w:rPr>
                <w:sz w:val="21"/>
              </w:rPr>
              <w:t>详细评审标准</w:t>
            </w:r>
          </w:p>
        </w:tc>
        <w:tc>
          <w:tcPr>
            <w:tcW w:w="1504" w:type="dxa"/>
          </w:tcPr>
          <w:p>
            <w:pPr>
              <w:pStyle w:val="21"/>
              <w:rPr>
                <w:sz w:val="21"/>
              </w:rPr>
            </w:pPr>
          </w:p>
          <w:p>
            <w:pPr>
              <w:pStyle w:val="21"/>
              <w:ind w:left="203" w:right="200"/>
              <w:jc w:val="center"/>
              <w:rPr>
                <w:sz w:val="21"/>
              </w:rPr>
            </w:pPr>
            <w:r>
              <w:rPr>
                <w:sz w:val="21"/>
              </w:rPr>
              <w:t>评标价计算</w:t>
            </w:r>
          </w:p>
        </w:tc>
        <w:tc>
          <w:tcPr>
            <w:tcW w:w="5400" w:type="dxa"/>
          </w:tcPr>
          <w:p>
            <w:pPr>
              <w:pStyle w:val="21"/>
              <w:spacing w:before="11" w:line="360" w:lineRule="exact"/>
              <w:ind w:right="-15"/>
              <w:rPr>
                <w:sz w:val="11"/>
              </w:rPr>
            </w:pPr>
            <w:r>
              <w:rPr>
                <w:spacing w:val="-7"/>
                <w:sz w:val="21"/>
              </w:rPr>
              <w:t>经评审的投标价</w:t>
            </w:r>
            <w:r>
              <w:rPr>
                <w:spacing w:val="-3"/>
                <w:sz w:val="21"/>
              </w:rPr>
              <w:t>（评标价</w:t>
            </w:r>
            <w:r>
              <w:rPr>
                <w:spacing w:val="-18"/>
                <w:sz w:val="21"/>
              </w:rPr>
              <w:t>）＝</w:t>
            </w:r>
            <w:r>
              <w:rPr>
                <w:spacing w:val="-3"/>
                <w:sz w:val="21"/>
              </w:rPr>
              <w:t>修正后的投标报价－暂估价－ 暂列金额（不含计日工总额</w:t>
            </w:r>
            <w:r>
              <w:rPr>
                <w:sz w:val="21"/>
              </w:rPr>
              <w:t>）</w:t>
            </w:r>
            <w:r>
              <w:rPr>
                <w:position w:val="10"/>
                <w:sz w:val="11"/>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897" w:type="dxa"/>
            <w:gridSpan w:val="4"/>
          </w:tcPr>
          <w:p>
            <w:pPr>
              <w:pStyle w:val="21"/>
              <w:spacing w:before="81"/>
              <w:ind w:left="107"/>
              <w:rPr>
                <w:sz w:val="21"/>
              </w:rPr>
            </w:pPr>
            <w:r>
              <w:rPr>
                <w:sz w:val="21"/>
              </w:rPr>
              <w:t>需要补充的其他内容：</w:t>
            </w:r>
          </w:p>
          <w:p>
            <w:pPr>
              <w:pStyle w:val="21"/>
              <w:spacing w:before="114" w:line="226" w:lineRule="exact"/>
              <w:ind w:left="107"/>
              <w:rPr>
                <w:rFonts w:ascii="Times New Roman" w:hAnsi="Times New Roman"/>
                <w:sz w:val="21"/>
              </w:rPr>
            </w:pPr>
            <w:r>
              <w:rPr>
                <w:rFonts w:ascii="Times New Roman" w:hAnsi="Times New Roman"/>
                <w:sz w:val="21"/>
              </w:rPr>
              <w:t>……</w:t>
            </w:r>
          </w:p>
        </w:tc>
      </w:tr>
    </w:tbl>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6"/>
        <w:rPr>
          <w:sz w:val="12"/>
        </w:rPr>
      </w:pPr>
      <w:r>
        <mc:AlternateContent>
          <mc:Choice Requires="wps">
            <w:drawing>
              <wp:anchor distT="0" distB="0" distL="114300" distR="114300" simplePos="0" relativeHeight="251661312" behindDoc="0" locked="0" layoutInCell="1" allowOverlap="1">
                <wp:simplePos x="0" y="0"/>
                <wp:positionH relativeFrom="page">
                  <wp:posOffset>1043940</wp:posOffset>
                </wp:positionH>
                <wp:positionV relativeFrom="paragraph">
                  <wp:posOffset>129540</wp:posOffset>
                </wp:positionV>
                <wp:extent cx="1829435" cy="0"/>
                <wp:effectExtent l="0" t="0" r="0" b="0"/>
                <wp:wrapTopAndBottom/>
                <wp:docPr id="35" name="直线 50"/>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0" o:spid="_x0000_s1026" o:spt="20" style="position:absolute;left:0pt;margin-left:82.2pt;margin-top:10.2pt;height:0pt;width:144.05pt;mso-position-horizontal-relative:page;mso-wrap-distance-bottom:0pt;mso-wrap-distance-top:0pt;z-index:251661312;mso-width-relative:page;mso-height-relative:page;" filled="f" stroked="t" coordsize="21600,21600" o:gfxdata="UEsFBgAAAAAAAAAAAAAAAAAAAAAAAFBLAwQKAAAAAACHTuJAAAAAAAAAAAAAAAAABAAAAGRycy9Q&#10;SwMEFAAAAAgAh07iQHcJ4hLYAAAACQEAAA8AAABkcnMvZG93bnJldi54bWxNj81OwzAQhO9IvIO1&#10;SNyo3SgtIcTpAQRSDwj1R5zdeElC4nUUu0379iziAKfV7I5mvylWZ9eLE46h9aRhPlMgkCpvW6o1&#10;7HcvdxmIEA1Z03tCDRcMsCqvrwqTWz/RBk/bWAsOoZAbDU2MQy5lqBp0Jsz8gMS3Tz86E1mOtbSj&#10;mTjc9TJRaimdaYk/NGbApwarbnt0Gt4y+ezfu4/q8jXtXrNs3T3cr/da397M1SOIiOf4Z4YffEaH&#10;kpkO/kg2iJ71Mk3ZqiFRPNmQLpIFiMPvQpaF/N+g/AZQSwMEFAAAAAgAh07iQJJ9rkTOAQAAkgMA&#10;AA4AAABkcnMvZTJvRG9jLnhtbK1TS24bMQzdF+gdBO3rsd3GSAYeZ1E33RRtgKQHoPWZEaAfRNlj&#10;n6XX6KqbHifXKCUndj+bIOgsNJRIPT4+UsvrvbNspxKa4Ds+m0w5U14EaXzf8a/3N28uOcMMXoIN&#10;XnX8oJBfr16/Wo6xVfMwBCtVYgTisR1jx4ecY9s0KAblACchKk9OHZKDTNvUNzLBSOjONvPpdNGM&#10;IcmYglCIdLo+Ovmq4mutRP6iNarMbMeJW65rquumrM1qCW2fIA5GPNKAF7BwYDwlPUGtIQPbJvMP&#10;lDMiBQw6T0RwTdDaCFVroGpm07+quRsgqloLiYPxJBP+P1jxeXebmJEdf3vBmQdHPXr49v3hx092&#10;UdUZI7YUdBdvE2lVdkhmKXWvkyt/KoLtq6KHk6Jqn5mgw9nl/OpdQRZPvuZ8MSbMH1VwrBgdt8aX&#10;YqGF3SfMlIxCn0LKsfVs7PhierUgOKBZ0RYymS4Se/R9vYvBGnljrC03MPWb9zaxHZTu1680nHD/&#10;CCtJ1oDDMa66jnMxKJAfvGT5EEkWTwPMCwWnJGdW0bwXq05QBmOfE0mprScGZx2LtQnyQF3YxmT6&#10;gZTIaasq0eKkxlfKj0NaJuv3fQU7P6X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cJ4hLYAAAA&#10;CQEAAA8AAAAAAAAAAQAgAAAAOAAAAGRycy9kb3ducmV2LnhtbFBLAQIUABQAAAAIAIdO4kCSfa5E&#10;zgEAAJIDAAAOAAAAAAAAAAEAIAAAAD0BAABkcnMvZTJvRG9jLnhtbFBLBQYAAAAABgAGAFkBAAB9&#10;BQAAAAA=&#10;">
                <v:fill on="f" focussize="0,0"/>
                <v:stroke weight="0.48pt" color="#000000" joinstyle="round"/>
                <v:imagedata o:title=""/>
                <o:lock v:ext="edit" aspectratio="f"/>
                <w10:wrap type="topAndBottom"/>
              </v:line>
            </w:pict>
          </mc:Fallback>
        </mc:AlternateContent>
      </w:r>
    </w:p>
    <w:p>
      <w:pPr>
        <w:spacing w:before="129" w:line="312" w:lineRule="auto"/>
        <w:ind w:left="604" w:right="459" w:hanging="180"/>
        <w:rPr>
          <w:sz w:val="18"/>
        </w:rPr>
      </w:pPr>
      <w:r>
        <w:rPr>
          <w:position w:val="8"/>
          <w:sz w:val="9"/>
        </w:rPr>
        <w:t xml:space="preserve">① </w:t>
      </w:r>
      <w:r>
        <w:rPr>
          <w:sz w:val="18"/>
        </w:rPr>
        <w:t>本款规定仅适用于根据《关于发布公路工程从业企业资质名录的通知》（厅公路字〔</w:t>
      </w:r>
      <w:r>
        <w:rPr>
          <w:rFonts w:ascii="Times New Roman" w:hAnsi="Times New Roman" w:eastAsia="Times New Roman"/>
          <w:sz w:val="18"/>
        </w:rPr>
        <w:t>2011</w:t>
      </w:r>
      <w:r>
        <w:rPr>
          <w:sz w:val="18"/>
        </w:rPr>
        <w:t>〕</w:t>
      </w:r>
      <w:r>
        <w:rPr>
          <w:rFonts w:ascii="Times New Roman" w:hAnsi="Times New Roman" w:eastAsia="Times New Roman"/>
          <w:sz w:val="18"/>
        </w:rPr>
        <w:t xml:space="preserve">114 </w:t>
      </w:r>
      <w:r>
        <w:rPr>
          <w:sz w:val="18"/>
        </w:rPr>
        <w:t>号）要求， 招标人应通过名录对投标人资质条件进行审核的公路施工企业。</w:t>
      </w:r>
    </w:p>
    <w:p>
      <w:pPr>
        <w:spacing w:before="1"/>
        <w:ind w:left="424"/>
        <w:rPr>
          <w:rFonts w:ascii="Times New Roman" w:hAnsi="Times New Roman" w:eastAsia="Times New Roman"/>
          <w:sz w:val="18"/>
        </w:rPr>
      </w:pPr>
      <w:r>
        <w:rPr>
          <w:position w:val="8"/>
          <w:sz w:val="9"/>
        </w:rPr>
        <w:t xml:space="preserve">② </w:t>
      </w:r>
      <w:r>
        <w:rPr>
          <w:sz w:val="18"/>
        </w:rPr>
        <w:t xml:space="preserve">如本项目招标由投标人按照招标人提供的工程量固化清单电子文件填写工程量清单，无须按照本章第 </w:t>
      </w:r>
      <w:r>
        <w:rPr>
          <w:rFonts w:ascii="Times New Roman" w:hAnsi="Times New Roman" w:eastAsia="Times New Roman"/>
          <w:sz w:val="18"/>
        </w:rPr>
        <w:t>3.3.2</w:t>
      </w:r>
    </w:p>
    <w:p>
      <w:pPr>
        <w:spacing w:before="69" w:line="312" w:lineRule="auto"/>
        <w:ind w:left="604" w:right="382"/>
        <w:rPr>
          <w:sz w:val="18"/>
        </w:rPr>
      </w:pPr>
      <w:r>
        <w:rPr>
          <w:spacing w:val="-12"/>
          <w:sz w:val="18"/>
        </w:rPr>
        <w:t xml:space="preserve">项和第 </w:t>
      </w:r>
      <w:r>
        <w:rPr>
          <w:rFonts w:ascii="Times New Roman" w:eastAsia="Times New Roman"/>
          <w:sz w:val="18"/>
        </w:rPr>
        <w:t xml:space="preserve">3.3.3 </w:t>
      </w:r>
      <w:r>
        <w:rPr>
          <w:spacing w:val="-3"/>
          <w:sz w:val="18"/>
        </w:rPr>
        <w:t>项的规定对投标报价进行修正，经评审的投标价</w:t>
      </w:r>
      <w:r>
        <w:rPr>
          <w:sz w:val="18"/>
        </w:rPr>
        <w:t>（评标价</w:t>
      </w:r>
      <w:r>
        <w:rPr>
          <w:spacing w:val="-14"/>
          <w:sz w:val="18"/>
        </w:rPr>
        <w:t>）＝</w:t>
      </w:r>
      <w:r>
        <w:rPr>
          <w:sz w:val="18"/>
        </w:rPr>
        <w:t>投标函文字报价－暂估价－暂列金额（不含计日工总额）。</w:t>
      </w:r>
    </w:p>
    <w:p>
      <w:pPr>
        <w:spacing w:line="312" w:lineRule="auto"/>
        <w:rPr>
          <w:sz w:val="18"/>
        </w:rPr>
        <w:sectPr>
          <w:pgSz w:w="11910" w:h="16850"/>
          <w:pgMar w:top="1480" w:right="1200" w:bottom="1280" w:left="1220" w:header="883" w:footer="1093" w:gutter="0"/>
          <w:cols w:space="720" w:num="1"/>
        </w:sectPr>
      </w:pPr>
    </w:p>
    <w:p>
      <w:pPr>
        <w:pStyle w:val="11"/>
        <w:spacing w:before="5"/>
        <w:rPr>
          <w:sz w:val="22"/>
        </w:rPr>
      </w:pPr>
    </w:p>
    <w:p>
      <w:pPr>
        <w:numPr>
          <w:ilvl w:val="0"/>
          <w:numId w:val="13"/>
        </w:numPr>
        <w:tabs>
          <w:tab w:val="left" w:pos="845"/>
        </w:tabs>
        <w:spacing w:before="62"/>
        <w:rPr>
          <w:rFonts w:ascii="黑体" w:eastAsia="黑体"/>
          <w:sz w:val="28"/>
        </w:rPr>
      </w:pPr>
      <w:bookmarkStart w:id="130" w:name="_bookmark142"/>
      <w:bookmarkEnd w:id="130"/>
      <w:r>
        <w:rPr>
          <w:rFonts w:hint="eastAsia" w:ascii="黑体" w:eastAsia="黑体"/>
          <w:sz w:val="28"/>
        </w:rPr>
        <w:t>评标方法</w:t>
      </w:r>
    </w:p>
    <w:p>
      <w:pPr>
        <w:pStyle w:val="11"/>
        <w:spacing w:before="11"/>
        <w:rPr>
          <w:rFonts w:ascii="黑体"/>
          <w:sz w:val="25"/>
        </w:rPr>
      </w:pPr>
    </w:p>
    <w:p>
      <w:pPr>
        <w:pStyle w:val="11"/>
        <w:spacing w:line="312" w:lineRule="auto"/>
        <w:ind w:left="424" w:right="263" w:firstLine="479"/>
      </w:pPr>
      <w:r>
        <w:t>本次评标采用经评审的最低投标价法。评标委员会对满足招标文件实质性要求</w:t>
      </w:r>
      <w:r>
        <w:rPr>
          <w:spacing w:val="-1"/>
        </w:rPr>
        <w:t xml:space="preserve">的投标文件，根据本章第 </w:t>
      </w:r>
      <w:r>
        <w:rPr>
          <w:rFonts w:ascii="Times New Roman" w:eastAsia="Times New Roman"/>
        </w:rPr>
        <w:t xml:space="preserve">2.2 </w:t>
      </w:r>
      <w:r>
        <w:t>款规定的量化因素及量化标准进行价格折算，按照经</w:t>
      </w:r>
      <w:r>
        <w:rPr>
          <w:spacing w:val="-4"/>
        </w:rPr>
        <w:t>评审的投标价由低到高的顺序推荐中标候选人，或根据招标人授权直接确定中标人， 但投标报价低于其成本的除外。经评审的投标价相等时，评标委员会应按照评标办法前附表规定的优先次序推荐中标候选人或确定中标人。</w:t>
      </w:r>
    </w:p>
    <w:p>
      <w:pPr>
        <w:pStyle w:val="11"/>
        <w:spacing w:before="4"/>
        <w:rPr>
          <w:sz w:val="21"/>
        </w:rPr>
      </w:pPr>
    </w:p>
    <w:p>
      <w:pPr>
        <w:numPr>
          <w:ilvl w:val="0"/>
          <w:numId w:val="13"/>
        </w:numPr>
        <w:tabs>
          <w:tab w:val="left" w:pos="845"/>
        </w:tabs>
        <w:rPr>
          <w:rFonts w:ascii="黑体" w:eastAsia="黑体"/>
          <w:sz w:val="28"/>
        </w:rPr>
      </w:pPr>
      <w:bookmarkStart w:id="131" w:name="_bookmark143"/>
      <w:bookmarkEnd w:id="131"/>
      <w:r>
        <w:rPr>
          <w:rFonts w:hint="eastAsia" w:ascii="黑体" w:eastAsia="黑体"/>
          <w:sz w:val="28"/>
        </w:rPr>
        <w:t>评审标准</w:t>
      </w:r>
    </w:p>
    <w:p>
      <w:pPr>
        <w:pStyle w:val="20"/>
        <w:numPr>
          <w:ilvl w:val="1"/>
          <w:numId w:val="13"/>
        </w:numPr>
        <w:tabs>
          <w:tab w:val="left" w:pos="905"/>
        </w:tabs>
        <w:spacing w:before="246"/>
        <w:rPr>
          <w:rFonts w:ascii="黑体" w:eastAsia="黑体"/>
          <w:sz w:val="24"/>
        </w:rPr>
      </w:pPr>
      <w:bookmarkStart w:id="132" w:name="_bookmark144"/>
      <w:bookmarkEnd w:id="132"/>
      <w:r>
        <w:rPr>
          <w:rFonts w:hint="eastAsia" w:ascii="黑体" w:eastAsia="黑体"/>
          <w:sz w:val="24"/>
        </w:rPr>
        <w:t>初步评审标准</w:t>
      </w:r>
    </w:p>
    <w:p>
      <w:pPr>
        <w:pStyle w:val="11"/>
        <w:spacing w:before="12"/>
        <w:rPr>
          <w:rFonts w:ascii="黑体"/>
          <w:sz w:val="27"/>
        </w:rPr>
      </w:pPr>
    </w:p>
    <w:p>
      <w:pPr>
        <w:pStyle w:val="11"/>
        <w:ind w:left="904"/>
        <w:rPr>
          <w:rFonts w:ascii="Times New Roman"/>
        </w:rPr>
      </w:pPr>
      <w:r>
        <w:rPr>
          <w:rFonts w:ascii="Times New Roman"/>
        </w:rPr>
        <w:t>2.1.1</w:t>
      </w:r>
    </w:p>
    <w:p>
      <w:pPr>
        <w:pStyle w:val="11"/>
        <w:spacing w:before="125"/>
        <w:ind w:left="904"/>
        <w:rPr>
          <w:rFonts w:ascii="Times New Roman"/>
        </w:rPr>
      </w:pPr>
      <w:r>
        <w:rPr>
          <w:rFonts w:ascii="Times New Roman"/>
        </w:rPr>
        <w:t>2.1.2</w:t>
      </w:r>
    </w:p>
    <w:p>
      <w:pPr>
        <w:pStyle w:val="11"/>
        <w:spacing w:before="97" w:line="312" w:lineRule="auto"/>
        <w:ind w:left="424" w:right="382" w:firstLine="479"/>
      </w:pPr>
      <w:r>
        <w:rPr>
          <w:rFonts w:ascii="Times New Roman" w:hAnsi="Times New Roman" w:eastAsia="Times New Roman"/>
        </w:rPr>
        <w:t xml:space="preserve">2.1.2 </w:t>
      </w:r>
      <w:r>
        <w:rPr>
          <w:spacing w:val="-5"/>
        </w:rPr>
        <w:t>资格评审标准：见资格预审文件第三章</w:t>
      </w:r>
      <w:r>
        <w:rPr>
          <w:rFonts w:ascii="Times New Roman" w:hAnsi="Times New Roman" w:eastAsia="Times New Roman"/>
        </w:rPr>
        <w:t>“</w:t>
      </w:r>
      <w:r>
        <w:t>资格审查办法</w:t>
      </w:r>
      <w:r>
        <w:rPr>
          <w:rFonts w:ascii="Times New Roman" w:hAnsi="Times New Roman" w:eastAsia="Times New Roman"/>
        </w:rPr>
        <w:t>”</w:t>
      </w:r>
      <w:r>
        <w:rPr>
          <w:spacing w:val="-5"/>
        </w:rPr>
        <w:t>详细审查标准</w:t>
      </w:r>
      <w:r>
        <w:t>（适用于已进行资格预审的</w:t>
      </w:r>
      <w:r>
        <w:rPr>
          <w:spacing w:val="-120"/>
        </w:rPr>
        <w:t>）</w:t>
      </w:r>
      <w:r>
        <w:t>。</w:t>
      </w:r>
    </w:p>
    <w:p>
      <w:pPr>
        <w:pStyle w:val="11"/>
        <w:spacing w:before="28"/>
        <w:ind w:left="904"/>
        <w:rPr>
          <w:rFonts w:ascii="Times New Roman"/>
        </w:rPr>
      </w:pPr>
      <w:r>
        <w:rPr>
          <w:rFonts w:ascii="Times New Roman"/>
        </w:rPr>
        <w:t>2.1.3</w:t>
      </w:r>
    </w:p>
    <w:p>
      <w:pPr>
        <w:pStyle w:val="11"/>
        <w:spacing w:before="97"/>
        <w:ind w:left="904"/>
      </w:pPr>
      <w:r>
        <w:rPr>
          <w:rFonts w:ascii="Times New Roman" w:eastAsia="Times New Roman"/>
        </w:rPr>
        <w:t xml:space="preserve">2.1.4 </w:t>
      </w:r>
      <w:r>
        <w:t>施工组织设计和主要人员评审标准：见评标办法前附表。</w:t>
      </w:r>
    </w:p>
    <w:p>
      <w:pPr>
        <w:pStyle w:val="11"/>
        <w:spacing w:before="11"/>
        <w:rPr>
          <w:sz w:val="18"/>
        </w:rPr>
      </w:pPr>
    </w:p>
    <w:p>
      <w:pPr>
        <w:pStyle w:val="20"/>
        <w:numPr>
          <w:ilvl w:val="1"/>
          <w:numId w:val="13"/>
        </w:numPr>
        <w:tabs>
          <w:tab w:val="left" w:pos="905"/>
        </w:tabs>
        <w:spacing w:before="1"/>
        <w:rPr>
          <w:rFonts w:ascii="黑体" w:eastAsia="黑体"/>
          <w:sz w:val="24"/>
        </w:rPr>
      </w:pPr>
      <w:bookmarkStart w:id="133" w:name="_bookmark145"/>
      <w:bookmarkEnd w:id="133"/>
      <w:r>
        <w:rPr>
          <w:rFonts w:hint="eastAsia" w:ascii="黑体" w:eastAsia="黑体"/>
          <w:sz w:val="24"/>
        </w:rPr>
        <w:t>详细评审标准</w:t>
      </w:r>
    </w:p>
    <w:p>
      <w:pPr>
        <w:pStyle w:val="11"/>
        <w:spacing w:before="6"/>
        <w:rPr>
          <w:rFonts w:ascii="黑体"/>
          <w:sz w:val="28"/>
        </w:rPr>
      </w:pPr>
    </w:p>
    <w:p>
      <w:pPr>
        <w:numPr>
          <w:ilvl w:val="0"/>
          <w:numId w:val="13"/>
        </w:numPr>
        <w:tabs>
          <w:tab w:val="left" w:pos="845"/>
        </w:tabs>
        <w:rPr>
          <w:rFonts w:ascii="黑体" w:eastAsia="黑体"/>
          <w:sz w:val="28"/>
        </w:rPr>
      </w:pPr>
      <w:bookmarkStart w:id="134" w:name="_bookmark146"/>
      <w:bookmarkEnd w:id="134"/>
      <w:r>
        <w:rPr>
          <w:rFonts w:hint="eastAsia" w:ascii="黑体" w:eastAsia="黑体"/>
          <w:sz w:val="28"/>
        </w:rPr>
        <w:t>评标程序</w:t>
      </w:r>
    </w:p>
    <w:p>
      <w:pPr>
        <w:pStyle w:val="20"/>
        <w:numPr>
          <w:ilvl w:val="1"/>
          <w:numId w:val="13"/>
        </w:numPr>
        <w:tabs>
          <w:tab w:val="left" w:pos="905"/>
        </w:tabs>
        <w:spacing w:before="243"/>
        <w:rPr>
          <w:rFonts w:ascii="黑体" w:eastAsia="黑体"/>
          <w:sz w:val="24"/>
        </w:rPr>
      </w:pPr>
      <w:bookmarkStart w:id="135" w:name="_bookmark147"/>
      <w:bookmarkEnd w:id="135"/>
      <w:r>
        <w:rPr>
          <w:rFonts w:hint="eastAsia" w:ascii="黑体" w:eastAsia="黑体"/>
          <w:sz w:val="24"/>
        </w:rPr>
        <w:t>第一个信封初步评审</w:t>
      </w:r>
    </w:p>
    <w:p>
      <w:pPr>
        <w:pStyle w:val="11"/>
        <w:rPr>
          <w:rFonts w:ascii="黑体"/>
          <w:sz w:val="26"/>
        </w:rPr>
      </w:pPr>
    </w:p>
    <w:p>
      <w:pPr>
        <w:pStyle w:val="20"/>
        <w:numPr>
          <w:ilvl w:val="2"/>
          <w:numId w:val="13"/>
        </w:numPr>
        <w:tabs>
          <w:tab w:val="left" w:pos="1505"/>
        </w:tabs>
        <w:spacing w:line="312" w:lineRule="auto"/>
        <w:ind w:right="382" w:firstLine="480"/>
        <w:jc w:val="both"/>
        <w:rPr>
          <w:sz w:val="24"/>
        </w:rPr>
      </w:pPr>
      <w:r>
        <w:rPr>
          <w:sz w:val="24"/>
        </w:rPr>
        <w:t>评标委员会可以要求投标人提交第二章</w:t>
      </w:r>
      <w:r>
        <w:rPr>
          <w:rFonts w:ascii="Times New Roman" w:hAnsi="Times New Roman" w:eastAsia="Times New Roman"/>
          <w:sz w:val="24"/>
        </w:rPr>
        <w:t>“</w:t>
      </w:r>
      <w:r>
        <w:rPr>
          <w:sz w:val="24"/>
        </w:rPr>
        <w:t>投标人须知</w:t>
      </w:r>
      <w:r>
        <w:rPr>
          <w:rFonts w:ascii="Times New Roman" w:hAnsi="Times New Roman" w:eastAsia="Times New Roman"/>
          <w:sz w:val="24"/>
        </w:rPr>
        <w:t>”</w:t>
      </w:r>
      <w:r>
        <w:rPr>
          <w:spacing w:val="-31"/>
          <w:sz w:val="24"/>
        </w:rPr>
        <w:t xml:space="preserve">第 </w:t>
      </w:r>
      <w:r>
        <w:rPr>
          <w:rFonts w:ascii="Times New Roman" w:hAnsi="Times New Roman" w:eastAsia="Times New Roman"/>
          <w:sz w:val="24"/>
        </w:rPr>
        <w:t>3.5.1</w:t>
      </w:r>
      <w:r>
        <w:rPr>
          <w:rFonts w:ascii="Times New Roman" w:hAnsi="Times New Roman" w:eastAsia="Times New Roman"/>
          <w:spacing w:val="1"/>
          <w:sz w:val="24"/>
        </w:rPr>
        <w:t xml:space="preserve"> </w:t>
      </w:r>
      <w:r>
        <w:rPr>
          <w:spacing w:val="-16"/>
          <w:sz w:val="24"/>
        </w:rPr>
        <w:t xml:space="preserve">项至第 </w:t>
      </w:r>
      <w:r>
        <w:rPr>
          <w:rFonts w:ascii="Times New Roman" w:hAnsi="Times New Roman" w:eastAsia="Times New Roman"/>
          <w:sz w:val="24"/>
        </w:rPr>
        <w:t xml:space="preserve">3.5.6 </w:t>
      </w:r>
      <w:r>
        <w:rPr>
          <w:spacing w:val="-1"/>
          <w:sz w:val="24"/>
        </w:rPr>
        <w:t xml:space="preserve">项规定的有关证明和证件的原件，以便核验。评标委员会依据本章第 </w:t>
      </w:r>
      <w:r>
        <w:rPr>
          <w:rFonts w:ascii="Times New Roman" w:hAnsi="Times New Roman" w:eastAsia="Times New Roman"/>
          <w:sz w:val="24"/>
        </w:rPr>
        <w:t>2.1</w:t>
      </w:r>
      <w:r>
        <w:rPr>
          <w:rFonts w:ascii="Times New Roman" w:hAnsi="Times New Roman" w:eastAsia="Times New Roman"/>
          <w:spacing w:val="47"/>
          <w:sz w:val="24"/>
        </w:rPr>
        <w:t xml:space="preserve"> </w:t>
      </w:r>
      <w:r>
        <w:rPr>
          <w:sz w:val="24"/>
        </w:rPr>
        <w:t>款规定的标准对投标文件第一个信封（商务及技术文件）进行初步评审。有一项不符合评审</w:t>
      </w:r>
      <w:r>
        <w:rPr>
          <w:spacing w:val="-8"/>
          <w:sz w:val="24"/>
        </w:rPr>
        <w:t>标准的，评标委员会应否决其投标。</w:t>
      </w:r>
      <w:r>
        <w:rPr>
          <w:sz w:val="24"/>
        </w:rPr>
        <w:t>（适用于未进行资格预审的）</w:t>
      </w:r>
    </w:p>
    <w:p>
      <w:pPr>
        <w:pStyle w:val="11"/>
        <w:spacing w:before="2" w:line="312" w:lineRule="auto"/>
        <w:ind w:left="424" w:right="265" w:firstLine="479"/>
      </w:pPr>
      <w:r>
        <w:rPr>
          <w:rFonts w:ascii="Times New Roman" w:eastAsia="Times New Roman"/>
        </w:rPr>
        <w:t xml:space="preserve">3.1.1 </w:t>
      </w:r>
      <w:r>
        <w:rPr>
          <w:spacing w:val="-5"/>
        </w:rPr>
        <w:t xml:space="preserve">评标委员会依据本章第 </w:t>
      </w:r>
      <w:r>
        <w:rPr>
          <w:rFonts w:ascii="Times New Roman" w:eastAsia="Times New Roman"/>
        </w:rPr>
        <w:t>2.1.1</w:t>
      </w:r>
      <w:r>
        <w:rPr>
          <w:rFonts w:ascii="Times New Roman" w:eastAsia="Times New Roman"/>
          <w:spacing w:val="3"/>
        </w:rPr>
        <w:t xml:space="preserve"> </w:t>
      </w:r>
      <w:r>
        <w:rPr>
          <w:spacing w:val="-14"/>
        </w:rPr>
        <w:t xml:space="preserve">项、第 </w:t>
      </w:r>
      <w:r>
        <w:rPr>
          <w:rFonts w:ascii="Times New Roman" w:eastAsia="Times New Roman"/>
        </w:rPr>
        <w:t>2.1.3</w:t>
      </w:r>
      <w:r>
        <w:rPr>
          <w:rFonts w:ascii="Times New Roman" w:eastAsia="Times New Roman"/>
          <w:spacing w:val="5"/>
        </w:rPr>
        <w:t xml:space="preserve"> </w:t>
      </w:r>
      <w:r>
        <w:rPr>
          <w:spacing w:val="-14"/>
        </w:rPr>
        <w:t xml:space="preserve">项、第 </w:t>
      </w:r>
      <w:r>
        <w:rPr>
          <w:rFonts w:ascii="Times New Roman" w:eastAsia="Times New Roman"/>
        </w:rPr>
        <w:t>2.1.4</w:t>
      </w:r>
      <w:r>
        <w:rPr>
          <w:rFonts w:ascii="Times New Roman" w:eastAsia="Times New Roman"/>
          <w:spacing w:val="3"/>
        </w:rPr>
        <w:t xml:space="preserve"> </w:t>
      </w:r>
      <w:r>
        <w:t>项规定的评审标准对投标文件第一个信封（商务及技术文件）进行初步评审。有一项不符合评审标准</w:t>
      </w:r>
      <w:r>
        <w:rPr>
          <w:spacing w:val="-10"/>
        </w:rPr>
        <w:t xml:space="preserve">的，评标委员会应否决其投标。当投标人资格预审申请文件的内容发生重大变化时， </w:t>
      </w:r>
      <w:r>
        <w:rPr>
          <w:spacing w:val="-13"/>
        </w:rPr>
        <w:t xml:space="preserve">评标委员会依据本章第 </w:t>
      </w:r>
      <w:r>
        <w:rPr>
          <w:rFonts w:ascii="Times New Roman" w:eastAsia="Times New Roman"/>
        </w:rPr>
        <w:t>2.1.2</w:t>
      </w:r>
      <w:r>
        <w:rPr>
          <w:rFonts w:ascii="Times New Roman" w:eastAsia="Times New Roman"/>
          <w:spacing w:val="15"/>
        </w:rPr>
        <w:t xml:space="preserve"> </w:t>
      </w:r>
      <w:r>
        <w:rPr>
          <w:spacing w:val="-8"/>
        </w:rPr>
        <w:t>项规定的标准对其更新资料进行评审。</w:t>
      </w:r>
      <w:r>
        <w:t>（适用于已进行资格预审的）</w:t>
      </w:r>
    </w:p>
    <w:p>
      <w:pPr>
        <w:pStyle w:val="20"/>
        <w:numPr>
          <w:ilvl w:val="1"/>
          <w:numId w:val="13"/>
        </w:numPr>
        <w:tabs>
          <w:tab w:val="left" w:pos="905"/>
        </w:tabs>
        <w:spacing w:before="153"/>
        <w:rPr>
          <w:rFonts w:ascii="黑体" w:eastAsia="黑体"/>
          <w:sz w:val="24"/>
        </w:rPr>
      </w:pPr>
      <w:bookmarkStart w:id="136" w:name="_bookmark148"/>
      <w:bookmarkEnd w:id="136"/>
      <w:r>
        <w:rPr>
          <w:rFonts w:hint="eastAsia" w:ascii="黑体" w:eastAsia="黑体"/>
          <w:sz w:val="24"/>
        </w:rPr>
        <w:t>第二个信封开标</w:t>
      </w:r>
    </w:p>
    <w:p>
      <w:pPr>
        <w:pStyle w:val="11"/>
        <w:rPr>
          <w:rFonts w:ascii="黑体"/>
          <w:sz w:val="26"/>
        </w:rPr>
      </w:pPr>
    </w:p>
    <w:p>
      <w:pPr>
        <w:pStyle w:val="11"/>
        <w:ind w:left="904"/>
        <w:rPr>
          <w:rFonts w:ascii="Times New Roman" w:hAnsi="Times New Roman" w:eastAsia="Times New Roman"/>
        </w:rPr>
      </w:pPr>
      <w:r>
        <w:rPr>
          <w:spacing w:val="-12"/>
        </w:rPr>
        <w:t>第一个信封</w:t>
      </w:r>
      <w:r>
        <w:t>（商务及技术文件</w:t>
      </w:r>
      <w:r>
        <w:rPr>
          <w:spacing w:val="-60"/>
        </w:rPr>
        <w:t>）</w:t>
      </w:r>
      <w:r>
        <w:rPr>
          <w:spacing w:val="-8"/>
        </w:rPr>
        <w:t>评审结束后，招标人将按照第二章</w:t>
      </w:r>
      <w:r>
        <w:rPr>
          <w:rFonts w:ascii="Times New Roman" w:hAnsi="Times New Roman" w:eastAsia="Times New Roman"/>
        </w:rPr>
        <w:t>“</w:t>
      </w:r>
      <w:r>
        <w:t>投标人须知</w:t>
      </w:r>
      <w:r>
        <w:rPr>
          <w:rFonts w:ascii="Times New Roman" w:hAnsi="Times New Roman" w:eastAsia="Times New Roman"/>
        </w:rPr>
        <w:t>”</w:t>
      </w:r>
    </w:p>
    <w:p>
      <w:pPr>
        <w:rPr>
          <w:rFonts w:ascii="Times New Roman" w:hAnsi="Times New Roman" w:eastAsia="Times New Roman"/>
        </w:rPr>
        <w:sectPr>
          <w:pgSz w:w="11910" w:h="16850"/>
          <w:pgMar w:top="1480" w:right="1200" w:bottom="1240" w:left="1220" w:header="876" w:footer="1060" w:gutter="0"/>
          <w:cols w:space="720" w:num="1"/>
        </w:sectPr>
      </w:pPr>
    </w:p>
    <w:p>
      <w:pPr>
        <w:pStyle w:val="11"/>
        <w:spacing w:before="8"/>
        <w:rPr>
          <w:rFonts w:ascii="Times New Roman"/>
          <w:sz w:val="10"/>
        </w:rPr>
      </w:pPr>
    </w:p>
    <w:p>
      <w:pPr>
        <w:pStyle w:val="11"/>
        <w:spacing w:before="74" w:line="312" w:lineRule="auto"/>
        <w:ind w:left="424" w:right="384"/>
      </w:pPr>
      <w:r>
        <w:t xml:space="preserve">第 </w:t>
      </w:r>
      <w:r>
        <w:rPr>
          <w:rFonts w:ascii="Times New Roman" w:eastAsia="Times New Roman"/>
        </w:rPr>
        <w:t xml:space="preserve">5.1 </w:t>
      </w:r>
      <w:r>
        <w:t>款规定的时间和地点对通过投标文件第一个信封（商务及技术文件）评审的投标文件第二个信封（报价文件）进行开标。</w:t>
      </w:r>
    </w:p>
    <w:p>
      <w:pPr>
        <w:pStyle w:val="20"/>
        <w:numPr>
          <w:ilvl w:val="1"/>
          <w:numId w:val="13"/>
        </w:numPr>
        <w:tabs>
          <w:tab w:val="left" w:pos="905"/>
        </w:tabs>
        <w:spacing w:before="151"/>
        <w:rPr>
          <w:rFonts w:ascii="黑体" w:eastAsia="黑体"/>
          <w:sz w:val="24"/>
        </w:rPr>
      </w:pPr>
      <w:bookmarkStart w:id="137" w:name="_bookmark149"/>
      <w:bookmarkEnd w:id="137"/>
      <w:r>
        <w:rPr>
          <w:rFonts w:hint="eastAsia" w:ascii="黑体" w:eastAsia="黑体"/>
          <w:sz w:val="24"/>
        </w:rPr>
        <w:t>第二个信封初步评审</w:t>
      </w:r>
    </w:p>
    <w:p>
      <w:pPr>
        <w:pStyle w:val="11"/>
        <w:rPr>
          <w:rFonts w:ascii="黑体"/>
          <w:sz w:val="26"/>
        </w:rPr>
      </w:pPr>
    </w:p>
    <w:p>
      <w:pPr>
        <w:pStyle w:val="20"/>
        <w:tabs>
          <w:tab w:val="left" w:pos="1505"/>
        </w:tabs>
        <w:spacing w:line="312" w:lineRule="auto"/>
        <w:ind w:left="440" w:right="382" w:firstLine="750" w:firstLineChars="329"/>
        <w:jc w:val="both"/>
        <w:rPr>
          <w:sz w:val="24"/>
        </w:rPr>
      </w:pPr>
      <w:r>
        <w:rPr>
          <w:rFonts w:hint="eastAsia"/>
          <w:spacing w:val="-6"/>
          <w:sz w:val="24"/>
          <w:lang w:val="en-US"/>
        </w:rPr>
        <w:t xml:space="preserve">3.3.1  </w:t>
      </w:r>
      <w:r>
        <w:rPr>
          <w:spacing w:val="-6"/>
          <w:sz w:val="24"/>
        </w:rPr>
        <w:t xml:space="preserve">评标委员会依据本章第 </w:t>
      </w:r>
      <w:r>
        <w:rPr>
          <w:rFonts w:ascii="Times New Roman" w:eastAsia="Times New Roman"/>
          <w:sz w:val="24"/>
        </w:rPr>
        <w:t xml:space="preserve">2.1.1 </w:t>
      </w:r>
      <w:r>
        <w:rPr>
          <w:spacing w:val="-36"/>
          <w:sz w:val="24"/>
        </w:rPr>
        <w:t xml:space="preserve">项、第 </w:t>
      </w:r>
      <w:r>
        <w:rPr>
          <w:rFonts w:ascii="Times New Roman" w:eastAsia="Times New Roman"/>
          <w:sz w:val="24"/>
        </w:rPr>
        <w:t xml:space="preserve">2.1.3 </w:t>
      </w:r>
      <w:r>
        <w:rPr>
          <w:sz w:val="24"/>
        </w:rPr>
        <w:t>项规定的评审标准对投标文件第二个信封（报价文件）进行初步评审。有一项不符合评审标准的，评标委员会应否决其投标。</w:t>
      </w:r>
    </w:p>
    <w:p>
      <w:pPr>
        <w:pStyle w:val="20"/>
        <w:tabs>
          <w:tab w:val="left" w:pos="1386"/>
        </w:tabs>
        <w:spacing w:before="1" w:line="312" w:lineRule="auto"/>
        <w:ind w:left="440" w:right="387" w:firstLine="789" w:firstLineChars="329"/>
        <w:jc w:val="both"/>
        <w:rPr>
          <w:sz w:val="24"/>
        </w:rPr>
      </w:pPr>
      <w:r>
        <w:rPr>
          <w:rFonts w:hint="eastAsia"/>
          <w:sz w:val="24"/>
          <w:lang w:val="en-US"/>
        </w:rPr>
        <w:t>3.3.2</w:t>
      </w:r>
      <w:r>
        <w:rPr>
          <w:sz w:val="24"/>
        </w:rPr>
        <w:t>投标报价有算术错误的，评标委员会按以下原则对投标报价进行修正， 修正的价格经投标人书面确认后具有约束力。投标人不接受修正价格的，评标委员会应否决其投标。</w:t>
      </w:r>
    </w:p>
    <w:p>
      <w:pPr>
        <w:pStyle w:val="11"/>
        <w:spacing w:before="1"/>
        <w:ind w:left="904"/>
      </w:pPr>
      <w:r>
        <w:t>（</w:t>
      </w:r>
      <w:r>
        <w:rPr>
          <w:rFonts w:ascii="Times New Roman" w:eastAsia="Times New Roman"/>
        </w:rPr>
        <w:t>1</w:t>
      </w:r>
      <w:r>
        <w:t>）投标文件中的大写金额与小写金额不一致的，以大写金额为准；</w:t>
      </w:r>
    </w:p>
    <w:p>
      <w:pPr>
        <w:pStyle w:val="11"/>
        <w:spacing w:before="91" w:line="312" w:lineRule="auto"/>
        <w:ind w:left="424" w:right="299" w:firstLine="479"/>
        <w:jc w:val="both"/>
        <w:rPr>
          <w:rFonts w:ascii="Times New Roman" w:eastAsia="Times New Roman"/>
        </w:rPr>
      </w:pPr>
      <w:r>
        <w:t>（</w:t>
      </w:r>
      <w:r>
        <w:rPr>
          <w:rFonts w:ascii="Times New Roman" w:eastAsia="Times New Roman"/>
        </w:rPr>
        <w:t>2</w:t>
      </w:r>
      <w:r>
        <w:t>）总价金额与依据单价计算出的结果不一致的，以单价金额为准修正总价， 但单价金额小数点有明显错误的除外</w:t>
      </w:r>
      <w:r>
        <w:rPr>
          <w:rFonts w:ascii="Times New Roman" w:eastAsia="Times New Roman"/>
        </w:rPr>
        <w:t>;</w:t>
      </w:r>
    </w:p>
    <w:p>
      <w:pPr>
        <w:pStyle w:val="11"/>
        <w:spacing w:before="2" w:line="312" w:lineRule="auto"/>
        <w:ind w:left="424" w:right="386" w:firstLine="479"/>
        <w:jc w:val="both"/>
      </w:pPr>
      <w:r>
        <w:rPr>
          <w:spacing w:val="-10"/>
        </w:rPr>
        <w:t>（</w:t>
      </w:r>
      <w:r>
        <w:rPr>
          <w:rFonts w:ascii="Times New Roman" w:eastAsia="Times New Roman"/>
          <w:spacing w:val="-10"/>
        </w:rPr>
        <w:t>3</w:t>
      </w:r>
      <w:r>
        <w:rPr>
          <w:spacing w:val="-10"/>
        </w:rPr>
        <w:t>）</w:t>
      </w:r>
      <w:r>
        <w:rPr>
          <w:spacing w:val="-4"/>
        </w:rPr>
        <w:t>当单价与数量相乘不等于合价时，以单价计算为准，如果单价有明显的小数点位置差错，应以标出的合价为准，同时对单价予以修正；</w:t>
      </w:r>
    </w:p>
    <w:p>
      <w:pPr>
        <w:pStyle w:val="11"/>
        <w:spacing w:line="312" w:lineRule="auto"/>
        <w:ind w:left="424" w:right="386" w:firstLine="479"/>
        <w:jc w:val="both"/>
      </w:pPr>
      <w:r>
        <w:rPr>
          <w:spacing w:val="-10"/>
        </w:rPr>
        <w:t>（</w:t>
      </w:r>
      <w:r>
        <w:rPr>
          <w:rFonts w:ascii="Times New Roman" w:eastAsia="Times New Roman"/>
          <w:spacing w:val="-10"/>
        </w:rPr>
        <w:t>4</w:t>
      </w:r>
      <w:r>
        <w:rPr>
          <w:spacing w:val="-10"/>
        </w:rPr>
        <w:t>）</w:t>
      </w:r>
      <w:r>
        <w:rPr>
          <w:spacing w:val="-3"/>
        </w:rPr>
        <w:t>当各子目的合价累计不等于总价时，应以各子目合价累计数为准，修正总价。</w:t>
      </w:r>
    </w:p>
    <w:p>
      <w:pPr>
        <w:pStyle w:val="20"/>
        <w:tabs>
          <w:tab w:val="left" w:pos="1505"/>
        </w:tabs>
        <w:spacing w:line="312" w:lineRule="auto"/>
        <w:ind w:left="444" w:right="385" w:firstLine="526" w:firstLineChars="229"/>
        <w:jc w:val="both"/>
        <w:rPr>
          <w:sz w:val="24"/>
        </w:rPr>
      </w:pPr>
      <w:r>
        <w:rPr>
          <w:rFonts w:hint="eastAsia"/>
          <w:spacing w:val="-5"/>
          <w:sz w:val="24"/>
          <w:lang w:val="en-US"/>
        </w:rPr>
        <w:t xml:space="preserve">3.3.3  </w:t>
      </w:r>
      <w:r>
        <w:rPr>
          <w:spacing w:val="-5"/>
          <w:sz w:val="24"/>
        </w:rPr>
        <w:t>工程量清单中的投标报价有其他错误的，评标委员会按以下原则对投标报价进行修正，修正的价格经投标人书面确认后具有约束力。投标人不接受修正价格的，评标委员会应否决其投标。</w:t>
      </w:r>
    </w:p>
    <w:p>
      <w:pPr>
        <w:pStyle w:val="11"/>
        <w:spacing w:before="1" w:line="312" w:lineRule="auto"/>
        <w:ind w:left="424" w:right="266" w:firstLine="479"/>
      </w:pPr>
      <w:r>
        <w:t>（</w:t>
      </w:r>
      <w:r>
        <w:rPr>
          <w:rFonts w:ascii="Times New Roman" w:eastAsia="Times New Roman"/>
        </w:rPr>
        <w:t>1</w:t>
      </w:r>
      <w:r>
        <w:rPr>
          <w:spacing w:val="-104"/>
        </w:rPr>
        <w:t>）</w:t>
      </w:r>
      <w:r>
        <w:rPr>
          <w:spacing w:val="-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11"/>
        <w:spacing w:before="2" w:line="312" w:lineRule="auto"/>
        <w:ind w:left="424" w:right="266" w:firstLine="479"/>
      </w:pPr>
      <w:r>
        <w:t>（</w:t>
      </w:r>
      <w:r>
        <w:rPr>
          <w:rFonts w:ascii="Times New Roman" w:eastAsia="Times New Roman"/>
        </w:rPr>
        <w:t>2</w:t>
      </w:r>
      <w:r>
        <w:rPr>
          <w:spacing w:val="-104"/>
        </w:rPr>
        <w:t>）</w:t>
      </w:r>
      <w:r>
        <w:rPr>
          <w:spacing w:val="-4"/>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11"/>
        <w:spacing w:before="1" w:line="312" w:lineRule="auto"/>
        <w:ind w:left="424" w:right="385" w:firstLine="479"/>
        <w:jc w:val="both"/>
      </w:pPr>
      <w:r>
        <w:rPr>
          <w:spacing w:val="-8"/>
        </w:rPr>
        <w:t>（</w:t>
      </w:r>
      <w:r>
        <w:rPr>
          <w:rFonts w:ascii="Times New Roman" w:eastAsia="Times New Roman"/>
          <w:spacing w:val="-8"/>
        </w:rPr>
        <w:t>3</w:t>
      </w:r>
      <w:r>
        <w:rPr>
          <w:spacing w:val="-8"/>
        </w:rPr>
        <w:t>）</w:t>
      </w:r>
      <w:r>
        <w:rPr>
          <w:spacing w:val="-2"/>
        </w:rPr>
        <w:t>当单价与数量的乘积与合价</w:t>
      </w:r>
      <w:r>
        <w:t>（金额</w:t>
      </w:r>
      <w:r>
        <w:rPr>
          <w:spacing w:val="-22"/>
        </w:rPr>
        <w:t>）</w:t>
      </w:r>
      <w:r>
        <w:rPr>
          <w:spacing w:val="-5"/>
        </w:rPr>
        <w:t>虽然一致，但投标人修改了该子目的工程数量，则其合价按招标人给定的工程数量乘以投标人所报单价予以修正。</w:t>
      </w:r>
    </w:p>
    <w:p>
      <w:pPr>
        <w:pStyle w:val="11"/>
        <w:spacing w:before="6"/>
        <w:rPr>
          <w:sz w:val="29"/>
        </w:rPr>
      </w:pPr>
      <w:r>
        <mc:AlternateContent>
          <mc:Choice Requires="wps">
            <w:drawing>
              <wp:anchor distT="0" distB="0" distL="114300" distR="114300" simplePos="0" relativeHeight="251662336" behindDoc="0" locked="0" layoutInCell="1" allowOverlap="1">
                <wp:simplePos x="0" y="0"/>
                <wp:positionH relativeFrom="page">
                  <wp:posOffset>1043940</wp:posOffset>
                </wp:positionH>
                <wp:positionV relativeFrom="paragraph">
                  <wp:posOffset>267970</wp:posOffset>
                </wp:positionV>
                <wp:extent cx="1829435" cy="0"/>
                <wp:effectExtent l="0" t="0" r="0" b="0"/>
                <wp:wrapTopAndBottom/>
                <wp:docPr id="36" name="直线 49"/>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9" o:spid="_x0000_s1026" o:spt="20" style="position:absolute;left:0pt;margin-left:82.2pt;margin-top:21.1pt;height:0pt;width:144.05pt;mso-position-horizontal-relative:page;mso-wrap-distance-bottom:0pt;mso-wrap-distance-top:0pt;z-index:251662336;mso-width-relative:page;mso-height-relative:page;" filled="f" stroked="t" coordsize="21600,21600" o:gfxdata="UEsFBgAAAAAAAAAAAAAAAAAAAAAAAFBLAwQKAAAAAACHTuJAAAAAAAAAAAAAAAAABAAAAGRycy9Q&#10;SwMEFAAAAAgAh07iQGOuTDvYAAAACQEAAA8AAABkcnMvZG93bnJldi54bWxNj01PwzAMhu9I/IfI&#10;k7ixdFW3ldJ0BxBIOyC0D3HOGtN2bZyqydbt32PEgR1f+9Hrx/nqYjtxxsE3jhTMphEIpNKZhioF&#10;+93bYwrCB01Gd45QwRU9rIr7u1xnxo20wfM2VIJLyGdaQR1Cn0npyxqt9lPXI/Hu2w1WB45DJc2g&#10;Ry63nYyjaCGtbogv1LrHlxrLdnuyCj5S+eo+26/yehx372m6bp+W671SD5NZ9Awi4CX8w/Crz+pQ&#10;sNPBnch40XFeJAmjCpI4BsFAMo/nIA5/A1nk8vaD4gdQSwMEFAAAAAgAh07iQDBXBorRAQAAkgMA&#10;AA4AAABkcnMvZTJvRG9jLnhtbK1TS44TMRDdI3EHy3vSSWaIJq10ZkEYNghGGjhAxZ9uS/7J5aST&#10;s3ANVmw4zlyDspPJ8NkgRBZO2VV+9d5z9er24Czbq4Qm+I7PJlPOlBdBGt93/POnu1c3nGEGL8EG&#10;rzp+VMhv1y9frMbYqnkYgpUqMQLx2I6x40POsW0aFINygJMQlaekDslBpm3qG5lgJHRnm/l0umjG&#10;kGRMQShEOt2cknxd8bVWIn/UGlVmtuPELdc11XVb1ma9grZPEAcjzjTgH1g4MJ6aXqA2kIHtkvkD&#10;yhmRAgadJyK4JmhthKoaSM1s+puahwGiqlrIHIwXm/D/wYoP+/vEjOz41YIzD47e6PHL18dv39n1&#10;srgzRmyp6CHep/MOKSxSDzq58k8i2KE6erw4qg6ZCTqc3cyX11evORNPueb5YkyY36ngWAk6bo0v&#10;YqGF/XvM1IxKn0rKsfVs7PhiuiSiAmhWtIVMoYvEHn1f72KwRt4Za8sNTP32jU1sD+X1669IItxf&#10;ykqTDeBwqqup01wMCuRbL1k+RrLF0wDzQsEpyZlVNO8lIkBoMxj7N5XU2npiUFw9+ViibZBHeoVd&#10;TKYfyImcdqoSLUl6+Er5PKRlsn7eV7DnT2n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OuTDvY&#10;AAAACQEAAA8AAAAAAAAAAQAgAAAAOAAAAGRycy9kb3ducmV2LnhtbFBLAQIUABQAAAAIAIdO4kAw&#10;VwaK0QEAAJIDAAAOAAAAAAAAAAEAIAAAAD0BAABkcnMvZTJvRG9jLnhtbFBLBQYAAAAABgAGAFkB&#10;AACABQAAAAA=&#10;">
                <v:fill on="f" focussize="0,0"/>
                <v:stroke weight="0.48pt" color="#000000" joinstyle="round"/>
                <v:imagedata o:title=""/>
                <o:lock v:ext="edit" aspectratio="f"/>
                <w10:wrap type="topAndBottom"/>
              </v:line>
            </w:pict>
          </mc:Fallback>
        </mc:AlternateContent>
      </w:r>
    </w:p>
    <w:p>
      <w:pPr>
        <w:pStyle w:val="11"/>
        <w:spacing w:before="7"/>
        <w:rPr>
          <w:sz w:val="5"/>
        </w:rPr>
      </w:pPr>
    </w:p>
    <w:p>
      <w:pPr>
        <w:spacing w:before="77" w:line="333" w:lineRule="auto"/>
        <w:ind w:left="604" w:right="416" w:hanging="180"/>
        <w:rPr>
          <w:sz w:val="18"/>
        </w:rPr>
      </w:pPr>
      <w:r>
        <w:rPr>
          <w:position w:val="8"/>
          <w:sz w:val="9"/>
        </w:rPr>
        <w:t xml:space="preserve">① </w:t>
      </w:r>
      <w:r>
        <w:rPr>
          <w:sz w:val="18"/>
        </w:rPr>
        <w:t>如本项目招标由投标人按照招标人提供的书面工程量清单填写本合同各工程子目的单价、合价和总额价，则</w:t>
      </w:r>
      <w:r>
        <w:rPr>
          <w:spacing w:val="-5"/>
          <w:sz w:val="18"/>
        </w:rPr>
        <w:t xml:space="preserve">评标委员会按照本章第 </w:t>
      </w:r>
      <w:r>
        <w:rPr>
          <w:rFonts w:ascii="Times New Roman" w:hAnsi="Times New Roman" w:eastAsia="Times New Roman"/>
          <w:sz w:val="18"/>
        </w:rPr>
        <w:t xml:space="preserve">3.3.2 </w:t>
      </w:r>
      <w:r>
        <w:rPr>
          <w:spacing w:val="-13"/>
          <w:sz w:val="18"/>
        </w:rPr>
        <w:t xml:space="preserve">项和第 </w:t>
      </w:r>
      <w:r>
        <w:rPr>
          <w:rFonts w:ascii="Times New Roman" w:hAnsi="Times New Roman" w:eastAsia="Times New Roman"/>
          <w:sz w:val="18"/>
        </w:rPr>
        <w:t xml:space="preserve">3.3.3 </w:t>
      </w:r>
      <w:r>
        <w:rPr>
          <w:spacing w:val="-1"/>
          <w:sz w:val="18"/>
        </w:rPr>
        <w:t>项的规定对投标人的投标报价进行修正。如本项目招标由投标人按</w:t>
      </w:r>
    </w:p>
    <w:p>
      <w:pPr>
        <w:spacing w:line="230" w:lineRule="exact"/>
        <w:ind w:left="604"/>
        <w:rPr>
          <w:sz w:val="18"/>
        </w:rPr>
      </w:pPr>
      <w:r>
        <w:rPr>
          <w:sz w:val="18"/>
        </w:rPr>
        <w:t xml:space="preserve">照招标人提供的工程量固化清单电子文件填写工程量清单，无须按照本章第 </w:t>
      </w:r>
      <w:r>
        <w:rPr>
          <w:rFonts w:ascii="Times New Roman" w:eastAsia="Times New Roman"/>
          <w:sz w:val="18"/>
        </w:rPr>
        <w:t xml:space="preserve">3.3.2 </w:t>
      </w:r>
      <w:r>
        <w:rPr>
          <w:sz w:val="18"/>
        </w:rPr>
        <w:t xml:space="preserve">项和第 </w:t>
      </w:r>
      <w:r>
        <w:rPr>
          <w:rFonts w:ascii="Times New Roman" w:eastAsia="Times New Roman"/>
          <w:sz w:val="18"/>
        </w:rPr>
        <w:t xml:space="preserve">3.3.3 </w:t>
      </w:r>
      <w:r>
        <w:rPr>
          <w:sz w:val="18"/>
        </w:rPr>
        <w:t>项的规定对投</w:t>
      </w:r>
    </w:p>
    <w:p>
      <w:pPr>
        <w:spacing w:before="89"/>
        <w:ind w:left="604"/>
        <w:rPr>
          <w:sz w:val="18"/>
        </w:rPr>
      </w:pPr>
      <w:r>
        <w:rPr>
          <w:sz w:val="18"/>
        </w:rPr>
        <w:t xml:space="preserve">标报价进行修正，第 </w:t>
      </w:r>
      <w:r>
        <w:rPr>
          <w:rFonts w:ascii="Times New Roman" w:eastAsia="Times New Roman"/>
          <w:sz w:val="18"/>
        </w:rPr>
        <w:t xml:space="preserve">3.3.2 </w:t>
      </w:r>
      <w:r>
        <w:rPr>
          <w:sz w:val="18"/>
        </w:rPr>
        <w:t xml:space="preserve">项至第 </w:t>
      </w:r>
      <w:r>
        <w:rPr>
          <w:rFonts w:ascii="Times New Roman" w:eastAsia="Times New Roman"/>
          <w:sz w:val="18"/>
        </w:rPr>
        <w:t xml:space="preserve">3.3.4 </w:t>
      </w:r>
      <w:r>
        <w:rPr>
          <w:sz w:val="18"/>
        </w:rPr>
        <w:t>项内容不适用。</w:t>
      </w:r>
    </w:p>
    <w:p>
      <w:pPr>
        <w:rPr>
          <w:sz w:val="18"/>
        </w:rPr>
        <w:sectPr>
          <w:footerReference r:id="rId33" w:type="default"/>
          <w:footerReference r:id="rId34" w:type="even"/>
          <w:pgSz w:w="11910" w:h="16850"/>
          <w:pgMar w:top="1480" w:right="1200" w:bottom="1280" w:left="1220" w:header="883" w:footer="1093" w:gutter="0"/>
          <w:pgNumType w:start="107"/>
          <w:cols w:space="720" w:num="1"/>
        </w:sectPr>
      </w:pPr>
    </w:p>
    <w:p>
      <w:pPr>
        <w:pStyle w:val="11"/>
        <w:spacing w:before="7"/>
        <w:rPr>
          <w:sz w:val="9"/>
        </w:rPr>
      </w:pPr>
    </w:p>
    <w:p>
      <w:pPr>
        <w:pStyle w:val="20"/>
        <w:tabs>
          <w:tab w:val="left" w:pos="1505"/>
        </w:tabs>
        <w:spacing w:before="74" w:line="312" w:lineRule="auto"/>
        <w:ind w:left="440" w:right="386" w:firstLine="439" w:firstLineChars="183"/>
        <w:rPr>
          <w:sz w:val="24"/>
        </w:rPr>
      </w:pPr>
      <w:r>
        <w:rPr>
          <w:rFonts w:hint="eastAsia"/>
          <w:sz w:val="24"/>
          <w:lang w:val="en-US"/>
        </w:rPr>
        <w:t xml:space="preserve">3.3.4  </w:t>
      </w:r>
      <w:r>
        <w:rPr>
          <w:sz w:val="24"/>
        </w:rPr>
        <w:t>修正后的最终投标报价若超过最高投标限价</w:t>
      </w:r>
      <w:r>
        <w:rPr>
          <w:spacing w:val="1"/>
          <w:sz w:val="24"/>
        </w:rPr>
        <w:t>（</w:t>
      </w:r>
      <w:r>
        <w:rPr>
          <w:sz w:val="24"/>
        </w:rPr>
        <w:t>如有</w:t>
      </w:r>
      <w:r>
        <w:rPr>
          <w:spacing w:val="-120"/>
          <w:sz w:val="24"/>
        </w:rPr>
        <w:t>）</w:t>
      </w:r>
      <w:r>
        <w:rPr>
          <w:sz w:val="24"/>
        </w:rPr>
        <w:t>，评标委员会应否决其投标。</w:t>
      </w:r>
    </w:p>
    <w:p>
      <w:pPr>
        <w:pStyle w:val="20"/>
        <w:numPr>
          <w:ilvl w:val="1"/>
          <w:numId w:val="13"/>
        </w:numPr>
        <w:tabs>
          <w:tab w:val="left" w:pos="905"/>
        </w:tabs>
        <w:spacing w:before="151"/>
        <w:rPr>
          <w:rFonts w:ascii="黑体" w:eastAsia="黑体"/>
          <w:sz w:val="24"/>
        </w:rPr>
      </w:pPr>
      <w:bookmarkStart w:id="138" w:name="_bookmark150"/>
      <w:bookmarkEnd w:id="138"/>
      <w:r>
        <w:rPr>
          <w:rFonts w:hint="eastAsia" w:ascii="黑体" w:eastAsia="黑体"/>
          <w:sz w:val="24"/>
        </w:rPr>
        <w:t>第二个信封详细评审</w:t>
      </w:r>
    </w:p>
    <w:p>
      <w:pPr>
        <w:pStyle w:val="11"/>
        <w:rPr>
          <w:rFonts w:ascii="黑体"/>
          <w:sz w:val="26"/>
        </w:rPr>
      </w:pPr>
    </w:p>
    <w:p>
      <w:pPr>
        <w:pStyle w:val="20"/>
        <w:tabs>
          <w:tab w:val="left" w:pos="1505"/>
        </w:tabs>
        <w:spacing w:before="1" w:line="312" w:lineRule="auto"/>
        <w:ind w:left="440" w:leftChars="200" w:right="383" w:firstLine="501" w:firstLineChars="220"/>
        <w:rPr>
          <w:sz w:val="24"/>
        </w:rPr>
      </w:pPr>
      <w:r>
        <w:rPr>
          <w:rFonts w:hint="eastAsia"/>
          <w:spacing w:val="-6"/>
          <w:sz w:val="24"/>
          <w:lang w:val="en-US"/>
        </w:rPr>
        <w:t xml:space="preserve">3.4.1  </w:t>
      </w:r>
      <w:r>
        <w:rPr>
          <w:spacing w:val="-6"/>
          <w:sz w:val="24"/>
        </w:rPr>
        <w:t xml:space="preserve">评标委员会按本章第 </w:t>
      </w:r>
      <w:r>
        <w:rPr>
          <w:rFonts w:ascii="Times New Roman" w:eastAsia="Times New Roman"/>
          <w:sz w:val="24"/>
        </w:rPr>
        <w:t xml:space="preserve">2.2 </w:t>
      </w:r>
      <w:r>
        <w:rPr>
          <w:spacing w:val="-2"/>
          <w:sz w:val="24"/>
        </w:rPr>
        <w:t>款规定的量化因素和标准进行价格折算，计算出经评审的投标价</w:t>
      </w:r>
      <w:r>
        <w:rPr>
          <w:sz w:val="24"/>
        </w:rPr>
        <w:t>（即评标价</w:t>
      </w:r>
      <w:r>
        <w:rPr>
          <w:spacing w:val="-120"/>
          <w:sz w:val="24"/>
        </w:rPr>
        <w:t>）</w:t>
      </w:r>
      <w:r>
        <w:rPr>
          <w:sz w:val="24"/>
        </w:rPr>
        <w:t>，并编制价格比较一览表。</w:t>
      </w:r>
    </w:p>
    <w:p>
      <w:pPr>
        <w:pStyle w:val="20"/>
        <w:tabs>
          <w:tab w:val="left" w:pos="1505"/>
        </w:tabs>
        <w:spacing w:line="312" w:lineRule="auto"/>
        <w:ind w:left="440" w:leftChars="200" w:right="385" w:firstLine="510" w:firstLineChars="220"/>
        <w:jc w:val="both"/>
        <w:rPr>
          <w:sz w:val="24"/>
        </w:rPr>
      </w:pPr>
      <w:r>
        <w:rPr>
          <w:rFonts w:hint="eastAsia"/>
          <w:spacing w:val="-4"/>
          <w:sz w:val="24"/>
          <w:lang w:val="en-US"/>
        </w:rPr>
        <w:t xml:space="preserve">3.4.2  </w:t>
      </w:r>
      <w:r>
        <w:rPr>
          <w:spacing w:val="-4"/>
          <w:sz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20"/>
        <w:numPr>
          <w:ilvl w:val="1"/>
          <w:numId w:val="13"/>
        </w:numPr>
        <w:tabs>
          <w:tab w:val="left" w:pos="905"/>
        </w:tabs>
        <w:spacing w:before="153"/>
        <w:ind w:left="440" w:leftChars="200" w:firstLine="0"/>
        <w:rPr>
          <w:rFonts w:ascii="黑体" w:eastAsia="黑体"/>
          <w:sz w:val="24"/>
        </w:rPr>
      </w:pPr>
      <w:bookmarkStart w:id="139" w:name="_bookmark151"/>
      <w:bookmarkEnd w:id="139"/>
      <w:r>
        <w:rPr>
          <w:rFonts w:hint="eastAsia" w:ascii="黑体" w:eastAsia="黑体"/>
          <w:sz w:val="24"/>
        </w:rPr>
        <w:t>投标文件相关信息的核查</w:t>
      </w:r>
    </w:p>
    <w:p>
      <w:pPr>
        <w:pStyle w:val="11"/>
        <w:spacing w:before="10"/>
        <w:ind w:left="440" w:leftChars="200" w:firstLine="550" w:firstLineChars="220"/>
        <w:rPr>
          <w:rFonts w:ascii="黑体"/>
          <w:sz w:val="25"/>
        </w:rPr>
      </w:pPr>
    </w:p>
    <w:p>
      <w:pPr>
        <w:pStyle w:val="20"/>
        <w:tabs>
          <w:tab w:val="left" w:pos="1505"/>
        </w:tabs>
        <w:spacing w:line="312" w:lineRule="auto"/>
        <w:ind w:left="440" w:leftChars="200" w:right="385" w:firstLine="488" w:firstLineChars="220"/>
        <w:jc w:val="both"/>
        <w:rPr>
          <w:sz w:val="24"/>
        </w:rPr>
      </w:pPr>
      <w:r>
        <w:rPr>
          <w:rFonts w:hint="eastAsia"/>
          <w:spacing w:val="-9"/>
          <w:sz w:val="24"/>
          <w:lang w:val="en-US"/>
        </w:rPr>
        <w:t xml:space="preserve">3.5.1  </w:t>
      </w:r>
      <w:r>
        <w:rPr>
          <w:spacing w:val="-9"/>
          <w:sz w:val="24"/>
        </w:rPr>
        <w:t>在评标过程中，评标委员会应查询交通运输主管部门“公路建设市场信用</w:t>
      </w:r>
      <w:r>
        <w:rPr>
          <w:spacing w:val="-18"/>
          <w:sz w:val="24"/>
        </w:rPr>
        <w:t>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20"/>
        <w:tabs>
          <w:tab w:val="left" w:pos="1505"/>
        </w:tabs>
        <w:spacing w:before="4" w:line="312" w:lineRule="auto"/>
        <w:ind w:left="904" w:right="385" w:firstLine="0"/>
        <w:jc w:val="both"/>
        <w:rPr>
          <w:sz w:val="24"/>
        </w:rPr>
      </w:pPr>
      <w:r>
        <w:rPr>
          <w:rFonts w:hint="eastAsia"/>
          <w:spacing w:val="-4"/>
          <w:sz w:val="24"/>
          <w:lang w:val="en-US"/>
        </w:rPr>
        <w:t xml:space="preserve">3.5.2  </w:t>
      </w:r>
      <w:r>
        <w:rPr>
          <w:spacing w:val="-4"/>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1"/>
        <w:ind w:left="904"/>
      </w:pPr>
      <w:r>
        <w:t>（</w:t>
      </w:r>
      <w:r>
        <w:rPr>
          <w:rFonts w:ascii="Times New Roman" w:eastAsia="Times New Roman"/>
        </w:rPr>
        <w:t>1</w:t>
      </w:r>
      <w:r>
        <w:t>）有下列情形之一的，属于投标人相互串通投标：</w:t>
      </w:r>
    </w:p>
    <w:p>
      <w:pPr>
        <w:pStyle w:val="11"/>
        <w:spacing w:before="91"/>
        <w:ind w:left="904"/>
      </w:pPr>
      <w:r>
        <w:rPr>
          <w:rFonts w:ascii="Times New Roman" w:eastAsia="Times New Roman"/>
        </w:rPr>
        <w:t>a.</w:t>
      </w:r>
      <w:r>
        <w:t>投标人之间协商投标报价等投标文件的实质性内容；</w:t>
      </w:r>
    </w:p>
    <w:p>
      <w:pPr>
        <w:pStyle w:val="11"/>
        <w:spacing w:before="94"/>
        <w:ind w:left="904"/>
      </w:pPr>
      <w:r>
        <w:rPr>
          <w:rFonts w:ascii="Times New Roman" w:eastAsia="Times New Roman"/>
        </w:rPr>
        <w:t>b.</w:t>
      </w:r>
      <w:r>
        <w:t>投标人之间约定中标人；</w:t>
      </w:r>
    </w:p>
    <w:p>
      <w:pPr>
        <w:pStyle w:val="11"/>
        <w:spacing w:before="94"/>
        <w:ind w:left="904"/>
      </w:pPr>
      <w:r>
        <w:rPr>
          <w:rFonts w:ascii="Times New Roman" w:eastAsia="Times New Roman"/>
        </w:rPr>
        <w:t>c.</w:t>
      </w:r>
      <w:r>
        <w:t>投标人之间约定部分投标人放弃投标或中标；</w:t>
      </w:r>
    </w:p>
    <w:p>
      <w:pPr>
        <w:pStyle w:val="11"/>
        <w:spacing w:before="90"/>
        <w:ind w:left="904"/>
      </w:pPr>
      <w:r>
        <w:rPr>
          <w:rFonts w:ascii="Times New Roman" w:eastAsia="Times New Roman"/>
        </w:rPr>
        <w:t>d.</w:t>
      </w:r>
      <w:r>
        <w:t>属于同一集团、协会、商会等组织成员的投标人按照该组织要求协同投标；</w:t>
      </w:r>
    </w:p>
    <w:p>
      <w:pPr>
        <w:pStyle w:val="11"/>
        <w:spacing w:before="94"/>
        <w:ind w:left="904"/>
      </w:pPr>
      <w:r>
        <w:rPr>
          <w:rFonts w:ascii="Times New Roman" w:eastAsia="Times New Roman"/>
        </w:rPr>
        <w:t>e.</w:t>
      </w:r>
      <w:r>
        <w:t>投标人之间为谋取中标或排斥特定投标人而采取的其他联合行动。</w:t>
      </w:r>
    </w:p>
    <w:p>
      <w:pPr>
        <w:pStyle w:val="11"/>
        <w:spacing w:before="93"/>
        <w:ind w:left="904"/>
      </w:pPr>
      <w:r>
        <w:t>（</w:t>
      </w:r>
      <w:r>
        <w:rPr>
          <w:rFonts w:ascii="Times New Roman" w:eastAsia="Times New Roman"/>
        </w:rPr>
        <w:t>2</w:t>
      </w:r>
      <w:r>
        <w:t>）有下列情形之一的，视为投标人相互串通投标：</w:t>
      </w:r>
    </w:p>
    <w:p>
      <w:pPr>
        <w:pStyle w:val="11"/>
        <w:spacing w:before="91"/>
        <w:ind w:left="904"/>
      </w:pPr>
      <w:r>
        <w:rPr>
          <w:rFonts w:ascii="Times New Roman" w:eastAsia="Times New Roman"/>
        </w:rPr>
        <w:t>a.</w:t>
      </w:r>
      <w:r>
        <w:t>不同投标人的投标文件由同一单位或个人编制；</w:t>
      </w:r>
    </w:p>
    <w:p>
      <w:pPr>
        <w:pStyle w:val="11"/>
        <w:spacing w:before="93"/>
        <w:ind w:left="904"/>
      </w:pPr>
      <w:r>
        <w:rPr>
          <w:rFonts w:ascii="Times New Roman" w:eastAsia="Times New Roman"/>
        </w:rPr>
        <w:t>b.</w:t>
      </w:r>
      <w:r>
        <w:t>不同投标人委托同一单位或个人办理投标事宜；</w:t>
      </w:r>
    </w:p>
    <w:p>
      <w:pPr>
        <w:pStyle w:val="11"/>
        <w:spacing w:before="94"/>
        <w:ind w:left="904"/>
      </w:pPr>
      <w:r>
        <w:rPr>
          <w:rFonts w:ascii="Times New Roman" w:eastAsia="Times New Roman"/>
        </w:rPr>
        <w:t>c.</w:t>
      </w:r>
      <w:r>
        <w:t>不同投标人的投标文件载明的项目管理成员为同一人；</w:t>
      </w:r>
    </w:p>
    <w:p>
      <w:pPr>
        <w:pStyle w:val="11"/>
        <w:spacing w:before="90"/>
        <w:ind w:left="904"/>
      </w:pPr>
      <w:r>
        <w:rPr>
          <w:rFonts w:ascii="Times New Roman" w:eastAsia="Times New Roman"/>
        </w:rPr>
        <w:t>d.</w:t>
      </w:r>
      <w:r>
        <w:t>不同投标人的投标文件异常一致或投标报价呈规律性差异；</w:t>
      </w:r>
    </w:p>
    <w:p>
      <w:pPr>
        <w:pStyle w:val="11"/>
        <w:spacing w:before="94"/>
        <w:ind w:left="904"/>
      </w:pPr>
      <w:r>
        <w:rPr>
          <w:rFonts w:ascii="Times New Roman" w:eastAsia="Times New Roman"/>
        </w:rPr>
        <w:t>e.</w:t>
      </w:r>
      <w:r>
        <w:t>不同投标人的投标文件相互混装；</w:t>
      </w:r>
    </w:p>
    <w:p>
      <w:pPr>
        <w:pStyle w:val="11"/>
        <w:spacing w:before="93"/>
        <w:ind w:left="904"/>
      </w:pPr>
      <w:r>
        <w:rPr>
          <w:rFonts w:ascii="Times New Roman" w:eastAsia="Times New Roman"/>
        </w:rPr>
        <w:t>f.</w:t>
      </w:r>
      <w:r>
        <w:t>不同投标人的投标保证金从同一单位或个人的账户转出。</w:t>
      </w:r>
    </w:p>
    <w:p>
      <w:pPr>
        <w:pStyle w:val="11"/>
        <w:spacing w:before="91"/>
        <w:ind w:left="904"/>
      </w:pPr>
      <w:r>
        <w:t>（</w:t>
      </w:r>
      <w:r>
        <w:rPr>
          <w:rFonts w:ascii="Times New Roman" w:eastAsia="Times New Roman"/>
        </w:rPr>
        <w:t>3</w:t>
      </w:r>
      <w:r>
        <w:t>）有下列情形之一的，属于招标人与投标人串通投标：</w:t>
      </w:r>
    </w:p>
    <w:p>
      <w:pPr>
        <w:sectPr>
          <w:pgSz w:w="11910" w:h="16850"/>
          <w:pgMar w:top="1480" w:right="1200" w:bottom="1240" w:left="1220" w:header="876" w:footer="1060" w:gutter="0"/>
          <w:cols w:space="720" w:num="1"/>
        </w:sectPr>
      </w:pPr>
    </w:p>
    <w:p>
      <w:pPr>
        <w:pStyle w:val="11"/>
        <w:spacing w:before="7"/>
        <w:rPr>
          <w:sz w:val="9"/>
        </w:rPr>
      </w:pPr>
    </w:p>
    <w:p>
      <w:pPr>
        <w:pStyle w:val="11"/>
        <w:numPr>
          <w:ilvl w:val="0"/>
          <w:numId w:val="14"/>
        </w:numPr>
        <w:spacing w:before="74" w:line="312" w:lineRule="auto"/>
        <w:ind w:left="904" w:right="1681"/>
        <w:rPr>
          <w:rFonts w:ascii="Times New Roman" w:eastAsia="Times New Roman"/>
        </w:rPr>
      </w:pPr>
      <w:r>
        <w:t>招标人在开标前开启投标文件并将有关信息泄露给其他投人</w:t>
      </w:r>
      <w:r>
        <w:rPr>
          <w:rFonts w:ascii="Times New Roman" w:eastAsia="Times New Roman"/>
        </w:rPr>
        <w:t xml:space="preserve">; </w:t>
      </w:r>
    </w:p>
    <w:p>
      <w:pPr>
        <w:pStyle w:val="11"/>
        <w:numPr>
          <w:ilvl w:val="0"/>
          <w:numId w:val="14"/>
        </w:numPr>
        <w:spacing w:before="74" w:line="312" w:lineRule="auto"/>
        <w:ind w:left="904" w:right="1681"/>
      </w:pPr>
      <w:r>
        <w:rPr>
          <w:rFonts w:ascii="Times New Roman" w:eastAsia="Times New Roman"/>
        </w:rPr>
        <w:t>b.</w:t>
      </w:r>
      <w:r>
        <w:t xml:space="preserve">招标人直接或间接向投标人泄露标底、评标委员会成员等信息； </w:t>
      </w:r>
      <w:r>
        <w:rPr>
          <w:rFonts w:ascii="Times New Roman" w:eastAsia="Times New Roman"/>
        </w:rPr>
        <w:t>c.</w:t>
      </w:r>
      <w:r>
        <w:t>招标人明示或暗示投标人压低或抬高投标报价；</w:t>
      </w:r>
    </w:p>
    <w:p>
      <w:pPr>
        <w:pStyle w:val="11"/>
        <w:spacing w:before="1"/>
        <w:ind w:left="904"/>
      </w:pPr>
      <w:r>
        <w:rPr>
          <w:rFonts w:ascii="Times New Roman" w:eastAsia="Times New Roman"/>
        </w:rPr>
        <w:t>d.</w:t>
      </w:r>
      <w:r>
        <w:t>招标人授意投标人撤换、修改投标文件；</w:t>
      </w:r>
    </w:p>
    <w:p>
      <w:pPr>
        <w:pStyle w:val="11"/>
        <w:spacing w:before="91"/>
        <w:ind w:left="904"/>
      </w:pPr>
      <w:r>
        <w:rPr>
          <w:rFonts w:ascii="Times New Roman" w:eastAsia="Times New Roman"/>
        </w:rPr>
        <w:t>e.</w:t>
      </w:r>
      <w:r>
        <w:t>招标人明示或暗示投标人为特定投标人中标提供方便；</w:t>
      </w:r>
    </w:p>
    <w:p>
      <w:pPr>
        <w:pStyle w:val="11"/>
        <w:spacing w:before="93"/>
        <w:ind w:left="904"/>
      </w:pPr>
      <w:r>
        <w:rPr>
          <w:rFonts w:ascii="Times New Roman" w:eastAsia="Times New Roman"/>
        </w:rPr>
        <w:t>f.</w:t>
      </w:r>
      <w:r>
        <w:t>招标人与投标人为谋求特定投标人中标而采取的其他串通行为。</w:t>
      </w:r>
    </w:p>
    <w:p>
      <w:pPr>
        <w:pStyle w:val="11"/>
        <w:spacing w:before="94"/>
        <w:ind w:left="904"/>
      </w:pPr>
      <w:r>
        <w:t>（</w:t>
      </w:r>
      <w:r>
        <w:rPr>
          <w:rFonts w:ascii="Times New Roman" w:eastAsia="Times New Roman"/>
        </w:rPr>
        <w:t>4</w:t>
      </w:r>
      <w:r>
        <w:t>）投标人有下列情形之一的，属于弄虚作假的行为：</w:t>
      </w:r>
    </w:p>
    <w:p>
      <w:pPr>
        <w:pStyle w:val="11"/>
        <w:spacing w:before="91"/>
        <w:ind w:left="904"/>
      </w:pPr>
      <w:r>
        <w:rPr>
          <w:rFonts w:ascii="Times New Roman" w:eastAsia="Times New Roman"/>
        </w:rPr>
        <w:t>a.</w:t>
      </w:r>
      <w:r>
        <w:t>使用通过受让或租借等方式获取的资格、资质证书投标；</w:t>
      </w:r>
    </w:p>
    <w:p>
      <w:pPr>
        <w:pStyle w:val="11"/>
        <w:spacing w:before="94"/>
        <w:ind w:left="904"/>
      </w:pPr>
      <w:r>
        <w:rPr>
          <w:rFonts w:ascii="Times New Roman" w:eastAsia="Times New Roman"/>
        </w:rPr>
        <w:t>b.</w:t>
      </w:r>
      <w:r>
        <w:t>使用伪造、变造的许可证件；</w:t>
      </w:r>
    </w:p>
    <w:p>
      <w:pPr>
        <w:pStyle w:val="11"/>
        <w:spacing w:before="93"/>
        <w:ind w:left="904"/>
      </w:pPr>
      <w:r>
        <w:rPr>
          <w:rFonts w:ascii="Times New Roman" w:eastAsia="Times New Roman"/>
        </w:rPr>
        <w:t>c.</w:t>
      </w:r>
      <w:r>
        <w:t>提供虚假的财务状况或业绩；</w:t>
      </w:r>
    </w:p>
    <w:p>
      <w:pPr>
        <w:pStyle w:val="11"/>
        <w:spacing w:before="91"/>
        <w:ind w:left="904"/>
      </w:pPr>
      <w:r>
        <w:rPr>
          <w:rFonts w:ascii="Times New Roman" w:eastAsia="Times New Roman"/>
        </w:rPr>
        <w:t>d.</w:t>
      </w:r>
      <w:r>
        <w:t>提供虚假的项目负责人或主要技术人员简历、劳动关系证明；</w:t>
      </w:r>
    </w:p>
    <w:p>
      <w:pPr>
        <w:pStyle w:val="11"/>
        <w:spacing w:before="93"/>
        <w:ind w:left="904"/>
      </w:pPr>
      <w:r>
        <w:rPr>
          <w:rFonts w:ascii="Times New Roman" w:eastAsia="Times New Roman"/>
        </w:rPr>
        <w:t>e.</w:t>
      </w:r>
      <w:r>
        <w:t>提供虚假的信用状况；</w:t>
      </w:r>
    </w:p>
    <w:p>
      <w:pPr>
        <w:pStyle w:val="11"/>
        <w:spacing w:before="93"/>
        <w:ind w:left="904"/>
      </w:pPr>
      <w:r>
        <w:rPr>
          <w:rFonts w:ascii="Times New Roman" w:eastAsia="Times New Roman"/>
        </w:rPr>
        <w:t>f.</w:t>
      </w:r>
      <w:r>
        <w:t>其他弄虚作假的行为。</w:t>
      </w:r>
    </w:p>
    <w:p>
      <w:pPr>
        <w:pStyle w:val="11"/>
        <w:spacing w:before="11"/>
        <w:rPr>
          <w:sz w:val="25"/>
        </w:rPr>
      </w:pPr>
    </w:p>
    <w:p>
      <w:pPr>
        <w:pStyle w:val="20"/>
        <w:numPr>
          <w:ilvl w:val="1"/>
          <w:numId w:val="13"/>
        </w:numPr>
        <w:tabs>
          <w:tab w:val="left" w:pos="905"/>
        </w:tabs>
        <w:rPr>
          <w:rFonts w:ascii="黑体" w:eastAsia="黑体"/>
          <w:sz w:val="24"/>
        </w:rPr>
      </w:pPr>
      <w:bookmarkStart w:id="140" w:name="_bookmark152"/>
      <w:bookmarkEnd w:id="140"/>
      <w:r>
        <w:rPr>
          <w:rFonts w:hint="eastAsia" w:ascii="黑体" w:eastAsia="黑体"/>
          <w:sz w:val="24"/>
        </w:rPr>
        <w:t>投标文件的澄清和说明</w:t>
      </w:r>
    </w:p>
    <w:p>
      <w:pPr>
        <w:pStyle w:val="11"/>
        <w:rPr>
          <w:rFonts w:ascii="黑体"/>
          <w:sz w:val="26"/>
        </w:rPr>
      </w:pPr>
    </w:p>
    <w:p>
      <w:pPr>
        <w:pStyle w:val="20"/>
        <w:tabs>
          <w:tab w:val="left" w:pos="1505"/>
        </w:tabs>
        <w:spacing w:line="312" w:lineRule="auto"/>
        <w:ind w:left="440" w:right="382" w:firstLine="488" w:firstLineChars="220"/>
        <w:jc w:val="both"/>
        <w:rPr>
          <w:sz w:val="24"/>
        </w:rPr>
      </w:pPr>
      <w:r>
        <w:rPr>
          <w:rFonts w:hint="eastAsia"/>
          <w:spacing w:val="-9"/>
          <w:sz w:val="24"/>
          <w:lang w:val="en-US"/>
        </w:rPr>
        <w:t xml:space="preserve">3.6.1  </w:t>
      </w:r>
      <w:r>
        <w:rPr>
          <w:spacing w:val="-9"/>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20"/>
        <w:tabs>
          <w:tab w:val="left" w:pos="1505"/>
        </w:tabs>
        <w:spacing w:before="2" w:line="312" w:lineRule="auto"/>
        <w:ind w:left="440" w:right="382" w:firstLine="514" w:firstLineChars="220"/>
        <w:rPr>
          <w:sz w:val="24"/>
        </w:rPr>
      </w:pPr>
      <w:r>
        <w:rPr>
          <w:rFonts w:hint="eastAsia"/>
          <w:spacing w:val="-3"/>
          <w:sz w:val="24"/>
          <w:lang w:val="en-US"/>
        </w:rPr>
        <w:t xml:space="preserve">3.6.2  </w:t>
      </w:r>
      <w:r>
        <w:rPr>
          <w:spacing w:val="-3"/>
          <w:sz w:val="24"/>
        </w:rPr>
        <w:t>澄清和说明不得超出投标文件的范围或改变投标文件的实质性内容</w:t>
      </w:r>
      <w:r>
        <w:rPr>
          <w:sz w:val="24"/>
        </w:rPr>
        <w:t>（算术性错误的修正除外</w:t>
      </w:r>
      <w:r>
        <w:rPr>
          <w:spacing w:val="-120"/>
          <w:sz w:val="24"/>
        </w:rPr>
        <w:t>）</w:t>
      </w:r>
      <w:r>
        <w:rPr>
          <w:sz w:val="24"/>
        </w:rPr>
        <w:t>。投标人的书面澄清、说明属于投标文件的组成部分。</w:t>
      </w:r>
    </w:p>
    <w:p>
      <w:pPr>
        <w:pStyle w:val="20"/>
        <w:tabs>
          <w:tab w:val="left" w:pos="1505"/>
        </w:tabs>
        <w:spacing w:line="312" w:lineRule="auto"/>
        <w:ind w:left="440" w:right="263" w:firstLine="479" w:firstLineChars="220"/>
        <w:rPr>
          <w:sz w:val="24"/>
        </w:rPr>
      </w:pPr>
      <w:r>
        <w:rPr>
          <w:rFonts w:hint="eastAsia"/>
          <w:spacing w:val="-11"/>
          <w:sz w:val="24"/>
          <w:lang w:val="en-US"/>
        </w:rPr>
        <w:t xml:space="preserve">3.6.3  </w:t>
      </w:r>
      <w:r>
        <w:rPr>
          <w:spacing w:val="-11"/>
          <w:sz w:val="24"/>
        </w:rPr>
        <w:t>评标委员会不得暗示或诱导投标人作出澄清、说明，对投标人提交的澄清、说明有疑问的，可以要求投标人进一步澄清或说明，直至满足评标委员会的要求。</w:t>
      </w:r>
    </w:p>
    <w:p>
      <w:pPr>
        <w:pStyle w:val="20"/>
        <w:tabs>
          <w:tab w:val="left" w:pos="1505"/>
        </w:tabs>
        <w:spacing w:line="312" w:lineRule="auto"/>
        <w:ind w:left="440" w:right="385" w:firstLine="514" w:firstLineChars="220"/>
        <w:rPr>
          <w:sz w:val="24"/>
        </w:rPr>
      </w:pPr>
      <w:r>
        <w:rPr>
          <w:rFonts w:hint="eastAsia"/>
          <w:spacing w:val="-3"/>
          <w:sz w:val="24"/>
          <w:lang w:val="en-US"/>
        </w:rPr>
        <w:t xml:space="preserve">3.6.4  </w:t>
      </w:r>
      <w:r>
        <w:rPr>
          <w:spacing w:val="-3"/>
          <w:sz w:val="24"/>
        </w:rPr>
        <w:t>凡超出招标文件规定的或给发包人带来未曾要求的利益的变化、偏差或其他因素在评标时不予考虑。</w:t>
      </w:r>
    </w:p>
    <w:p>
      <w:pPr>
        <w:pStyle w:val="11"/>
        <w:spacing w:before="12"/>
        <w:rPr>
          <w:sz w:val="18"/>
        </w:rPr>
      </w:pPr>
    </w:p>
    <w:p>
      <w:pPr>
        <w:pStyle w:val="20"/>
        <w:numPr>
          <w:ilvl w:val="1"/>
          <w:numId w:val="13"/>
        </w:numPr>
        <w:tabs>
          <w:tab w:val="left" w:pos="905"/>
        </w:tabs>
        <w:rPr>
          <w:rFonts w:ascii="黑体" w:eastAsia="黑体"/>
          <w:sz w:val="24"/>
        </w:rPr>
      </w:pPr>
      <w:bookmarkStart w:id="141" w:name="_bookmark153"/>
      <w:bookmarkEnd w:id="141"/>
      <w:r>
        <w:rPr>
          <w:rFonts w:hint="eastAsia" w:ascii="黑体" w:eastAsia="黑体"/>
          <w:sz w:val="24"/>
        </w:rPr>
        <w:t>不得否决投标的情形</w:t>
      </w:r>
    </w:p>
    <w:p>
      <w:pPr>
        <w:pStyle w:val="11"/>
        <w:spacing w:before="10"/>
        <w:rPr>
          <w:rFonts w:ascii="黑体"/>
          <w:sz w:val="25"/>
        </w:rPr>
      </w:pPr>
    </w:p>
    <w:p>
      <w:pPr>
        <w:pStyle w:val="11"/>
        <w:ind w:left="904"/>
      </w:pPr>
      <w:r>
        <w:t xml:space="preserve">投标文件存在第二章“投标人须知”第 </w:t>
      </w:r>
      <w:r>
        <w:rPr>
          <w:rFonts w:ascii="Times New Roman" w:hAnsi="Times New Roman" w:eastAsia="Times New Roman"/>
        </w:rPr>
        <w:t xml:space="preserve">1.12.3 </w:t>
      </w:r>
      <w:r>
        <w:t>项所列情形的，均视为细微偏差，</w:t>
      </w:r>
    </w:p>
    <w:p>
      <w:pPr>
        <w:pStyle w:val="11"/>
        <w:spacing w:before="94" w:line="312" w:lineRule="auto"/>
        <w:ind w:left="424" w:right="334"/>
      </w:pPr>
      <w:r>
        <w:t xml:space="preserve">评标委员会不得否决投标人的投标，应按照第二章“投标人须知”第 </w:t>
      </w:r>
      <w:r>
        <w:rPr>
          <w:rFonts w:ascii="Times New Roman" w:hAnsi="Times New Roman" w:eastAsia="Times New Roman"/>
        </w:rPr>
        <w:t xml:space="preserve">1.12.4 </w:t>
      </w:r>
      <w:r>
        <w:t>项规定的原则处理。</w:t>
      </w:r>
    </w:p>
    <w:p>
      <w:pPr>
        <w:pStyle w:val="20"/>
        <w:numPr>
          <w:ilvl w:val="1"/>
          <w:numId w:val="13"/>
        </w:numPr>
        <w:tabs>
          <w:tab w:val="left" w:pos="905"/>
        </w:tabs>
        <w:spacing w:before="151"/>
        <w:rPr>
          <w:rFonts w:ascii="黑体" w:eastAsia="黑体"/>
          <w:sz w:val="24"/>
        </w:rPr>
      </w:pPr>
      <w:bookmarkStart w:id="142" w:name="_bookmark154"/>
      <w:bookmarkEnd w:id="142"/>
      <w:r>
        <w:rPr>
          <w:rFonts w:hint="eastAsia" w:ascii="黑体" w:eastAsia="黑体"/>
          <w:sz w:val="24"/>
        </w:rPr>
        <w:t>评标结果</w:t>
      </w:r>
    </w:p>
    <w:p>
      <w:pPr>
        <w:pStyle w:val="11"/>
        <w:rPr>
          <w:rFonts w:ascii="黑体"/>
          <w:sz w:val="26"/>
        </w:rPr>
      </w:pPr>
    </w:p>
    <w:p>
      <w:pPr>
        <w:pStyle w:val="20"/>
        <w:tabs>
          <w:tab w:val="left" w:pos="1505"/>
        </w:tabs>
        <w:spacing w:line="312" w:lineRule="auto"/>
        <w:ind w:left="440" w:right="385" w:firstLine="439" w:firstLineChars="183"/>
        <w:rPr>
          <w:sz w:val="24"/>
        </w:rPr>
      </w:pPr>
      <w:r>
        <w:rPr>
          <w:rFonts w:hint="eastAsia"/>
          <w:sz w:val="24"/>
          <w:lang w:val="en-US"/>
        </w:rPr>
        <w:t xml:space="preserve">3.8.1  </w:t>
      </w:r>
      <w:r>
        <w:rPr>
          <w:sz w:val="24"/>
        </w:rPr>
        <w:t>除第二章</w:t>
      </w:r>
      <w:r>
        <w:rPr>
          <w:rFonts w:ascii="Times New Roman" w:hAnsi="Times New Roman" w:eastAsia="Times New Roman"/>
          <w:sz w:val="24"/>
        </w:rPr>
        <w:t>“</w:t>
      </w:r>
      <w:r>
        <w:rPr>
          <w:sz w:val="24"/>
        </w:rPr>
        <w:t>投标人须知</w:t>
      </w:r>
      <w:r>
        <w:rPr>
          <w:rFonts w:ascii="Times New Roman" w:hAnsi="Times New Roman" w:eastAsia="Times New Roman"/>
          <w:sz w:val="24"/>
        </w:rPr>
        <w:t>”</w:t>
      </w:r>
      <w:r>
        <w:rPr>
          <w:spacing w:val="-5"/>
          <w:sz w:val="24"/>
        </w:rPr>
        <w:t>前附表授权直接确定中标人外，评标委员会按照经评审的价格由低到高的顺序推荐中标候选人，并标明排序。</w:t>
      </w:r>
    </w:p>
    <w:p>
      <w:pPr>
        <w:spacing w:line="312" w:lineRule="auto"/>
        <w:rPr>
          <w:sz w:val="24"/>
        </w:rPr>
        <w:sectPr>
          <w:pgSz w:w="11910" w:h="16850"/>
          <w:pgMar w:top="1480" w:right="1200" w:bottom="1280" w:left="1220" w:header="883" w:footer="1093" w:gutter="0"/>
          <w:cols w:space="720" w:num="1"/>
        </w:sectPr>
      </w:pPr>
    </w:p>
    <w:p>
      <w:pPr>
        <w:pStyle w:val="11"/>
        <w:spacing w:before="7"/>
        <w:rPr>
          <w:sz w:val="9"/>
        </w:rPr>
      </w:pPr>
    </w:p>
    <w:p>
      <w:pPr>
        <w:pStyle w:val="20"/>
        <w:tabs>
          <w:tab w:val="left" w:pos="1505"/>
        </w:tabs>
        <w:spacing w:before="74"/>
        <w:ind w:left="904" w:firstLine="0"/>
        <w:rPr>
          <w:sz w:val="24"/>
        </w:rPr>
      </w:pPr>
      <w:r>
        <w:rPr>
          <w:rFonts w:hint="eastAsia"/>
          <w:sz w:val="24"/>
          <w:lang w:val="en-US"/>
        </w:rPr>
        <w:t xml:space="preserve">3.8.2  </w:t>
      </w:r>
      <w:r>
        <w:rPr>
          <w:sz w:val="24"/>
        </w:rPr>
        <w:t>评标委员会完成评标后，应向招标人提交书面评标报告。</w:t>
      </w:r>
    </w:p>
    <w:p>
      <w:pPr>
        <w:rPr>
          <w:sz w:val="24"/>
        </w:rPr>
        <w:sectPr>
          <w:footerReference r:id="rId35" w:type="default"/>
          <w:footerReference r:id="rId36" w:type="even"/>
          <w:pgSz w:w="11910" w:h="16850"/>
          <w:pgMar w:top="1480" w:right="1200" w:bottom="1240" w:left="1220" w:header="876" w:footer="1060" w:gutter="0"/>
          <w:pgNumType w:start="110"/>
          <w:cols w:space="720" w:num="1"/>
        </w:sect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4"/>
        <w:rPr>
          <w:sz w:val="23"/>
        </w:rPr>
      </w:pPr>
    </w:p>
    <w:p>
      <w:pPr>
        <w:pStyle w:val="2"/>
        <w:tabs>
          <w:tab w:val="left" w:pos="3921"/>
        </w:tabs>
        <w:spacing w:before="21"/>
        <w:ind w:left="1682"/>
      </w:pPr>
      <w:bookmarkStart w:id="143" w:name="_bookmark155"/>
      <w:bookmarkEnd w:id="143"/>
      <w:r>
        <w:t>第四章</w:t>
      </w:r>
      <w:r>
        <w:tab/>
      </w:r>
      <w:r>
        <w:t>合同条款及格式</w:t>
      </w:r>
    </w:p>
    <w:p>
      <w:pPr>
        <w:sectPr>
          <w:headerReference r:id="rId37" w:type="default"/>
          <w:headerReference r:id="rId38" w:type="even"/>
          <w:pgSz w:w="11910" w:h="16850"/>
          <w:pgMar w:top="1480" w:right="1200" w:bottom="1080" w:left="1220" w:header="883" w:footer="884" w:gutter="0"/>
          <w:cols w:space="720" w:num="1"/>
        </w:sectPr>
      </w:pPr>
    </w:p>
    <w:p>
      <w:pPr>
        <w:pStyle w:val="11"/>
        <w:spacing w:before="12"/>
        <w:rPr>
          <w:rFonts w:ascii="黑体"/>
          <w:sz w:val="23"/>
        </w:rPr>
      </w:pPr>
    </w:p>
    <w:p>
      <w:pPr>
        <w:pStyle w:val="3"/>
        <w:tabs>
          <w:tab w:val="left" w:pos="4341"/>
        </w:tabs>
      </w:pPr>
      <w:bookmarkStart w:id="144" w:name="_bookmark156"/>
      <w:bookmarkEnd w:id="144"/>
      <w:r>
        <w:t>第一节</w:t>
      </w:r>
      <w:r>
        <w:tab/>
      </w:r>
      <w:r>
        <w:t>通用合同条款</w:t>
      </w:r>
    </w:p>
    <w:p>
      <w:pPr>
        <w:pStyle w:val="11"/>
        <w:rPr>
          <w:rFonts w:ascii="黑体"/>
          <w:sz w:val="20"/>
        </w:rPr>
      </w:pPr>
    </w:p>
    <w:p>
      <w:pPr>
        <w:pStyle w:val="11"/>
        <w:rPr>
          <w:rFonts w:ascii="黑体"/>
          <w:sz w:val="20"/>
        </w:rPr>
      </w:pPr>
    </w:p>
    <w:p>
      <w:pPr>
        <w:pStyle w:val="11"/>
        <w:spacing w:before="11"/>
        <w:rPr>
          <w:rFonts w:ascii="黑体"/>
          <w:sz w:val="28"/>
        </w:rPr>
      </w:pPr>
    </w:p>
    <w:p>
      <w:pPr>
        <w:spacing w:before="62"/>
        <w:ind w:left="633"/>
        <w:rPr>
          <w:rFonts w:ascii="黑体" w:hAnsi="黑体" w:eastAsia="黑体"/>
          <w:sz w:val="28"/>
        </w:rPr>
      </w:pPr>
      <w:r>
        <w:rPr>
          <w:rFonts w:hint="eastAsia" w:ascii="黑体" w:hAnsi="黑体" w:eastAsia="黑体"/>
          <w:sz w:val="28"/>
        </w:rPr>
        <w:t>“通用合同条款”采用《标准施工招标文件（</w:t>
      </w:r>
      <w:r>
        <w:rPr>
          <w:rFonts w:hint="eastAsia" w:ascii="黑体" w:hAnsi="黑体" w:eastAsia="黑体"/>
          <w:sz w:val="28"/>
          <w:lang w:val="en-US"/>
        </w:rPr>
        <w:t>2018年</w:t>
      </w:r>
      <w:r>
        <w:rPr>
          <w:rFonts w:hint="eastAsia" w:ascii="黑体" w:hAnsi="黑体" w:eastAsia="黑体"/>
          <w:sz w:val="28"/>
        </w:rPr>
        <w:t>）》的“通用合同条款”。</w:t>
      </w:r>
    </w:p>
    <w:p>
      <w:pPr>
        <w:rPr>
          <w:rFonts w:ascii="黑体" w:hAnsi="黑体" w:eastAsia="黑体"/>
          <w:sz w:val="28"/>
        </w:rPr>
        <w:sectPr>
          <w:footerReference r:id="rId39" w:type="default"/>
          <w:pgSz w:w="11910" w:h="16850"/>
          <w:pgMar w:top="1480" w:right="1200" w:bottom="1080" w:left="1220" w:header="883" w:footer="884" w:gutter="0"/>
          <w:cols w:space="720" w:num="1"/>
        </w:sectPr>
      </w:pPr>
    </w:p>
    <w:p>
      <w:pPr>
        <w:pStyle w:val="3"/>
        <w:tabs>
          <w:tab w:val="left" w:pos="4341"/>
        </w:tabs>
        <w:spacing w:before="108"/>
      </w:pPr>
      <w:bookmarkStart w:id="145" w:name="_bookmark157"/>
      <w:bookmarkEnd w:id="145"/>
      <w:r>
        <w:t>第二节</w:t>
      </w:r>
      <w:r>
        <w:tab/>
      </w:r>
      <w:r>
        <w:t>专用合同条款</w:t>
      </w:r>
    </w:p>
    <w:p>
      <w:pPr>
        <w:sectPr>
          <w:pgSz w:w="11910" w:h="16850"/>
          <w:pgMar w:top="1480" w:right="1200" w:bottom="1040" w:left="1220" w:header="876" w:footer="853" w:gutter="0"/>
          <w:cols w:space="720" w:num="1"/>
        </w:sectPr>
      </w:pPr>
    </w:p>
    <w:p>
      <w:pPr>
        <w:pStyle w:val="7"/>
        <w:numPr>
          <w:ilvl w:val="3"/>
          <w:numId w:val="13"/>
        </w:numPr>
        <w:tabs>
          <w:tab w:val="left" w:pos="3397"/>
        </w:tabs>
        <w:spacing w:before="107"/>
      </w:pPr>
      <w:bookmarkStart w:id="146" w:name="_bookmark158"/>
      <w:bookmarkEnd w:id="146"/>
      <w:r>
        <w:t>公路工程专用合同条款</w:t>
      </w:r>
    </w:p>
    <w:p>
      <w:pPr>
        <w:pStyle w:val="11"/>
        <w:rPr>
          <w:rFonts w:ascii="黑体"/>
          <w:sz w:val="20"/>
        </w:rPr>
      </w:pPr>
    </w:p>
    <w:p>
      <w:pPr>
        <w:pStyle w:val="11"/>
        <w:rPr>
          <w:rFonts w:ascii="黑体"/>
          <w:sz w:val="20"/>
        </w:rPr>
      </w:pPr>
    </w:p>
    <w:p>
      <w:pPr>
        <w:pStyle w:val="11"/>
        <w:spacing w:before="5"/>
        <w:rPr>
          <w:rFonts w:ascii="黑体"/>
          <w:sz w:val="23"/>
        </w:rPr>
      </w:pPr>
    </w:p>
    <w:p>
      <w:pPr>
        <w:numPr>
          <w:ilvl w:val="0"/>
          <w:numId w:val="15"/>
        </w:numPr>
        <w:tabs>
          <w:tab w:val="left" w:pos="775"/>
        </w:tabs>
        <w:spacing w:before="71"/>
        <w:ind w:hanging="350"/>
        <w:rPr>
          <w:rFonts w:ascii="黑体" w:eastAsia="黑体"/>
          <w:sz w:val="28"/>
        </w:rPr>
      </w:pPr>
      <w:bookmarkStart w:id="147" w:name="_bookmark159"/>
      <w:bookmarkEnd w:id="147"/>
      <w:r>
        <w:rPr>
          <w:rFonts w:hint="eastAsia" w:ascii="黑体" w:eastAsia="黑体"/>
          <w:sz w:val="28"/>
        </w:rPr>
        <w:t>一般约定</w:t>
      </w:r>
    </w:p>
    <w:p>
      <w:pPr>
        <w:pStyle w:val="11"/>
        <w:spacing w:before="5"/>
        <w:rPr>
          <w:rFonts w:ascii="黑体"/>
        </w:rPr>
      </w:pPr>
    </w:p>
    <w:p>
      <w:pPr>
        <w:pStyle w:val="20"/>
        <w:numPr>
          <w:ilvl w:val="1"/>
          <w:numId w:val="15"/>
        </w:numPr>
        <w:tabs>
          <w:tab w:val="left" w:pos="845"/>
        </w:tabs>
        <w:rPr>
          <w:rFonts w:ascii="黑体" w:eastAsia="黑体"/>
          <w:sz w:val="24"/>
        </w:rPr>
      </w:pPr>
      <w:bookmarkStart w:id="148" w:name="_bookmark160"/>
      <w:bookmarkEnd w:id="148"/>
      <w:r>
        <w:rPr>
          <w:rFonts w:hint="eastAsia" w:ascii="黑体" w:eastAsia="黑体"/>
          <w:sz w:val="24"/>
        </w:rPr>
        <w:t>词语定义</w:t>
      </w:r>
    </w:p>
    <w:p>
      <w:pPr>
        <w:pStyle w:val="11"/>
        <w:rPr>
          <w:rFonts w:ascii="黑体"/>
          <w:sz w:val="26"/>
        </w:rPr>
      </w:pPr>
    </w:p>
    <w:p>
      <w:pPr>
        <w:pStyle w:val="11"/>
        <w:ind w:left="424"/>
        <w:rPr>
          <w:rFonts w:ascii="黑体" w:eastAsia="黑体"/>
        </w:rPr>
      </w:pPr>
      <w:r>
        <w:t xml:space="preserve">    </w:t>
      </w:r>
      <w:r>
        <w:rPr>
          <w:rFonts w:ascii="Times New Roman" w:eastAsia="Times New Roman"/>
        </w:rPr>
        <w:t xml:space="preserve">1.1.1 </w:t>
      </w:r>
      <w:r>
        <w:rPr>
          <w:rFonts w:hint="eastAsia" w:ascii="黑体" w:eastAsia="黑体"/>
        </w:rPr>
        <w:t>合同</w:t>
      </w:r>
    </w:p>
    <w:p>
      <w:pPr>
        <w:pStyle w:val="11"/>
        <w:spacing w:before="91"/>
        <w:ind w:left="1144"/>
      </w:pPr>
      <w:r>
        <w:t xml:space="preserve">第 </w:t>
      </w:r>
      <w:r>
        <w:rPr>
          <w:rFonts w:ascii="Times New Roman" w:eastAsia="Times New Roman"/>
        </w:rPr>
        <w:t xml:space="preserve">1.1.1.6 </w:t>
      </w:r>
      <w:r>
        <w:t>目细化为：</w:t>
      </w:r>
    </w:p>
    <w:p>
      <w:pPr>
        <w:pStyle w:val="11"/>
        <w:spacing w:before="94" w:line="312" w:lineRule="auto"/>
        <w:ind w:left="424" w:right="384" w:firstLine="719"/>
      </w:pPr>
      <w:r>
        <w:t>技术规范：指本合同所约定的技术标准和要求，是合同文件的组成部分。通用合同条款中</w:t>
      </w:r>
      <w:r>
        <w:rPr>
          <w:rFonts w:ascii="Times New Roman" w:hAnsi="Times New Roman" w:eastAsia="Times New Roman"/>
        </w:rPr>
        <w:t>“</w:t>
      </w:r>
      <w:r>
        <w:t>技术标准和要求</w:t>
      </w:r>
      <w:r>
        <w:rPr>
          <w:rFonts w:ascii="Times New Roman" w:hAnsi="Times New Roman" w:eastAsia="Times New Roman"/>
        </w:rPr>
        <w:t>”</w:t>
      </w:r>
      <w:r>
        <w:t>一词具有相同含义。</w:t>
      </w:r>
    </w:p>
    <w:p>
      <w:pPr>
        <w:pStyle w:val="11"/>
        <w:spacing w:line="307" w:lineRule="exact"/>
        <w:ind w:left="1144"/>
      </w:pPr>
      <w:r>
        <w:t xml:space="preserve">第 </w:t>
      </w:r>
      <w:r>
        <w:rPr>
          <w:rFonts w:ascii="Times New Roman" w:eastAsia="Times New Roman"/>
        </w:rPr>
        <w:t xml:space="preserve">1.1.1.8 </w:t>
      </w:r>
      <w:r>
        <w:t>目细化为：</w:t>
      </w:r>
    </w:p>
    <w:p>
      <w:pPr>
        <w:pStyle w:val="11"/>
        <w:spacing w:before="93" w:line="312" w:lineRule="auto"/>
        <w:ind w:left="424" w:right="382" w:firstLine="719"/>
        <w:jc w:val="both"/>
      </w:pPr>
      <w: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w:t>
      </w:r>
      <w:r>
        <w:rPr>
          <w:spacing w:val="-21"/>
        </w:rPr>
        <w:t xml:space="preserve">单表 </w:t>
      </w:r>
      <w:r>
        <w:rPr>
          <w:rFonts w:ascii="Times New Roman" w:eastAsia="Times New Roman"/>
        </w:rPr>
        <w:t>5.1</w:t>
      </w:r>
      <w:r>
        <w:t>～</w:t>
      </w:r>
      <w:r>
        <w:rPr>
          <w:spacing w:val="-30"/>
        </w:rPr>
        <w:t xml:space="preserve">表 </w:t>
      </w:r>
      <w:r>
        <w:rPr>
          <w:rFonts w:ascii="Times New Roman" w:eastAsia="Times New Roman"/>
        </w:rPr>
        <w:t>5.5</w:t>
      </w:r>
      <w:r>
        <w:rPr>
          <w:spacing w:val="-120"/>
        </w:rPr>
        <w:t>）</w:t>
      </w:r>
      <w:r>
        <w:t>。</w:t>
      </w:r>
    </w:p>
    <w:p>
      <w:pPr>
        <w:pStyle w:val="11"/>
        <w:spacing w:before="2"/>
        <w:ind w:left="1144"/>
      </w:pPr>
      <w:r>
        <w:t xml:space="preserve">本项补充第 </w:t>
      </w:r>
      <w:r>
        <w:rPr>
          <w:rFonts w:ascii="Times New Roman" w:eastAsia="Times New Roman"/>
        </w:rPr>
        <w:t xml:space="preserve">1.1.1.10 </w:t>
      </w:r>
      <w:r>
        <w:t>目：</w:t>
      </w:r>
    </w:p>
    <w:p>
      <w:pPr>
        <w:pStyle w:val="11"/>
        <w:spacing w:before="91" w:line="312" w:lineRule="auto"/>
        <w:ind w:left="424" w:right="390" w:firstLine="719"/>
      </w:pPr>
      <w:r>
        <w:rPr>
          <w:rFonts w:ascii="Times New Roman" w:eastAsia="Times New Roman"/>
        </w:rPr>
        <w:t xml:space="preserve">1.1.1.10 </w:t>
      </w:r>
      <w:r>
        <w:t>补遗书：指发出招标文件之后由招标人向已取得招标文件的投标人发出的、编号的对招标文件所作的澄清、修改书。</w:t>
      </w:r>
    </w:p>
    <w:p>
      <w:pPr>
        <w:pStyle w:val="20"/>
        <w:numPr>
          <w:ilvl w:val="2"/>
          <w:numId w:val="15"/>
        </w:numPr>
        <w:tabs>
          <w:tab w:val="left" w:pos="1505"/>
        </w:tabs>
        <w:spacing w:before="2"/>
        <w:rPr>
          <w:rFonts w:ascii="黑体" w:eastAsia="黑体"/>
          <w:sz w:val="24"/>
        </w:rPr>
      </w:pPr>
      <w:r>
        <w:rPr>
          <w:rFonts w:hint="eastAsia" w:ascii="黑体" w:eastAsia="黑体"/>
          <w:sz w:val="24"/>
        </w:rPr>
        <w:t>合同当事人和人员</w:t>
      </w:r>
    </w:p>
    <w:p>
      <w:pPr>
        <w:pStyle w:val="11"/>
        <w:spacing w:before="91"/>
        <w:ind w:left="1144"/>
      </w:pPr>
      <w:r>
        <w:t xml:space="preserve">本项补充第 </w:t>
      </w:r>
      <w:r>
        <w:rPr>
          <w:rFonts w:ascii="Times New Roman" w:eastAsia="Times New Roman"/>
        </w:rPr>
        <w:t xml:space="preserve">1.1.2.8 </w:t>
      </w:r>
      <w:r>
        <w:t>目：</w:t>
      </w:r>
    </w:p>
    <w:p>
      <w:pPr>
        <w:pStyle w:val="11"/>
        <w:spacing w:before="93" w:line="312" w:lineRule="auto"/>
        <w:ind w:left="424" w:right="383" w:firstLine="719"/>
      </w:pPr>
      <w:r>
        <w:rPr>
          <w:rFonts w:ascii="Times New Roman" w:eastAsia="Times New Roman"/>
        </w:rPr>
        <w:t xml:space="preserve">1.1.2.8 </w:t>
      </w:r>
      <w:r>
        <w:t>承包人项目总工：指由承包人书面委派常驻现场负责管理本合同工程的总工程师或技术总负责人。</w:t>
      </w:r>
    </w:p>
    <w:p>
      <w:pPr>
        <w:pStyle w:val="20"/>
        <w:numPr>
          <w:ilvl w:val="2"/>
          <w:numId w:val="15"/>
        </w:numPr>
        <w:tabs>
          <w:tab w:val="left" w:pos="1505"/>
        </w:tabs>
        <w:spacing w:before="1"/>
        <w:rPr>
          <w:rFonts w:ascii="黑体" w:eastAsia="黑体"/>
          <w:sz w:val="24"/>
        </w:rPr>
      </w:pPr>
      <w:r>
        <w:rPr>
          <w:rFonts w:hint="eastAsia" w:ascii="黑体" w:eastAsia="黑体"/>
          <w:sz w:val="24"/>
        </w:rPr>
        <w:t>工程和设备</w:t>
      </w:r>
    </w:p>
    <w:p>
      <w:pPr>
        <w:pStyle w:val="11"/>
        <w:spacing w:before="93"/>
        <w:ind w:left="1144"/>
      </w:pPr>
      <w:r>
        <w:t xml:space="preserve">第 </w:t>
      </w:r>
      <w:r>
        <w:rPr>
          <w:rFonts w:ascii="Times New Roman" w:eastAsia="Times New Roman"/>
        </w:rPr>
        <w:t xml:space="preserve">1.1.3.4 </w:t>
      </w:r>
      <w:r>
        <w:t>目细化为：</w:t>
      </w:r>
    </w:p>
    <w:p>
      <w:pPr>
        <w:pStyle w:val="11"/>
        <w:spacing w:before="93" w:line="312" w:lineRule="auto"/>
        <w:ind w:left="1144" w:right="418"/>
      </w:pPr>
      <w:r>
        <w:t xml:space="preserve">单位工程：指在建设项目中，根据签订的合同，具有独立施工条件的工程。第 </w:t>
      </w:r>
      <w:r>
        <w:rPr>
          <w:rFonts w:ascii="Times New Roman" w:eastAsia="Times New Roman"/>
        </w:rPr>
        <w:t xml:space="preserve">1.1.3.10 </w:t>
      </w:r>
      <w:r>
        <w:t>目细化为：</w:t>
      </w:r>
    </w:p>
    <w:p>
      <w:pPr>
        <w:pStyle w:val="11"/>
        <w:spacing w:line="312" w:lineRule="auto"/>
        <w:ind w:left="424" w:right="384" w:firstLine="719"/>
      </w:pPr>
      <w:r>
        <w:t>永久占地：指为实施本合同工程而需要的一切永久占用的土地，包括公路两侧路权范围内的用地。</w:t>
      </w:r>
    </w:p>
    <w:p>
      <w:pPr>
        <w:pStyle w:val="11"/>
        <w:spacing w:line="307" w:lineRule="exact"/>
        <w:ind w:left="1144"/>
      </w:pPr>
      <w:r>
        <w:t xml:space="preserve">第 </w:t>
      </w:r>
      <w:r>
        <w:rPr>
          <w:rFonts w:ascii="Times New Roman" w:eastAsia="Times New Roman"/>
        </w:rPr>
        <w:t xml:space="preserve">1.1.3.11 </w:t>
      </w:r>
      <w:r>
        <w:t>目细化为：</w:t>
      </w:r>
    </w:p>
    <w:p>
      <w:pPr>
        <w:pStyle w:val="11"/>
        <w:spacing w:before="93" w:line="312" w:lineRule="auto"/>
        <w:ind w:left="424" w:right="382" w:firstLine="719"/>
        <w:jc w:val="both"/>
      </w:pPr>
      <w:r>
        <w:t>临时占地：指为实施本合同工程而需要的一切临时占用的土地，包括施工所</w:t>
      </w:r>
      <w:r>
        <w:rPr>
          <w:spacing w:val="-7"/>
        </w:rPr>
        <w:t>用的临时支线、便道、便桥和现场的临时出入通道，以及生产</w:t>
      </w:r>
      <w:r>
        <w:t>（办公</w:t>
      </w:r>
      <w:r>
        <w:rPr>
          <w:spacing w:val="-120"/>
        </w:rPr>
        <w:t>）</w:t>
      </w:r>
      <w:r>
        <w:rPr>
          <w:spacing w:val="-4"/>
        </w:rPr>
        <w:t>、生活等临时设施用地等。</w:t>
      </w:r>
    </w:p>
    <w:p>
      <w:pPr>
        <w:pStyle w:val="11"/>
        <w:spacing w:before="1"/>
        <w:ind w:left="1144"/>
      </w:pPr>
      <w:r>
        <w:t xml:space="preserve">本项补充第 </w:t>
      </w:r>
      <w:r>
        <w:rPr>
          <w:rFonts w:ascii="Times New Roman" w:eastAsia="Times New Roman"/>
        </w:rPr>
        <w:t xml:space="preserve">1.1.3.12 </w:t>
      </w:r>
      <w:r>
        <w:t xml:space="preserve">目、第 </w:t>
      </w:r>
      <w:r>
        <w:rPr>
          <w:rFonts w:ascii="Times New Roman" w:eastAsia="Times New Roman"/>
        </w:rPr>
        <w:t xml:space="preserve">1.1.3.13 </w:t>
      </w:r>
      <w:r>
        <w:t>目：</w:t>
      </w:r>
    </w:p>
    <w:p>
      <w:pPr>
        <w:pStyle w:val="20"/>
        <w:numPr>
          <w:ilvl w:val="3"/>
          <w:numId w:val="15"/>
        </w:numPr>
        <w:tabs>
          <w:tab w:val="left" w:pos="2047"/>
        </w:tabs>
        <w:spacing w:before="94"/>
        <w:ind w:firstLine="720"/>
        <w:rPr>
          <w:sz w:val="24"/>
        </w:rPr>
      </w:pPr>
      <w:r>
        <w:rPr>
          <w:sz w:val="24"/>
        </w:rPr>
        <w:t>分部工程：指在单位工程中，按结构部位、路段长度及施工特点或</w:t>
      </w:r>
    </w:p>
    <w:p>
      <w:pPr>
        <w:rPr>
          <w:sz w:val="24"/>
        </w:rPr>
        <w:sectPr>
          <w:pgSz w:w="11910" w:h="16850"/>
          <w:pgMar w:top="1480" w:right="1200" w:bottom="1080" w:left="1220" w:header="883" w:footer="884" w:gutter="0"/>
          <w:cols w:space="720" w:num="1"/>
        </w:sectPr>
      </w:pPr>
    </w:p>
    <w:p>
      <w:pPr>
        <w:pStyle w:val="11"/>
        <w:spacing w:before="2"/>
        <w:rPr>
          <w:sz w:val="10"/>
        </w:rPr>
      </w:pPr>
    </w:p>
    <w:p>
      <w:pPr>
        <w:pStyle w:val="11"/>
        <w:spacing w:before="67"/>
        <w:ind w:left="424"/>
      </w:pPr>
      <w:r>
        <w:t>施工任务划分的若干个工程。</w:t>
      </w:r>
    </w:p>
    <w:p>
      <w:pPr>
        <w:pStyle w:val="20"/>
        <w:numPr>
          <w:ilvl w:val="3"/>
          <w:numId w:val="15"/>
        </w:numPr>
        <w:tabs>
          <w:tab w:val="left" w:pos="2047"/>
        </w:tabs>
        <w:spacing w:before="91" w:line="312" w:lineRule="auto"/>
        <w:ind w:right="390" w:firstLine="720"/>
        <w:rPr>
          <w:sz w:val="24"/>
        </w:rPr>
      </w:pPr>
      <w:r>
        <w:rPr>
          <w:sz w:val="24"/>
        </w:rPr>
        <w:t>分项工程：指在分部工程中，按不同的施工方法、材料、工序及路段长度等划分的若干个工程。</w:t>
      </w:r>
    </w:p>
    <w:p>
      <w:pPr>
        <w:pStyle w:val="20"/>
        <w:numPr>
          <w:ilvl w:val="2"/>
          <w:numId w:val="16"/>
        </w:numPr>
        <w:tabs>
          <w:tab w:val="left" w:pos="1495"/>
        </w:tabs>
        <w:spacing w:before="2"/>
        <w:rPr>
          <w:rFonts w:ascii="黑体" w:eastAsia="黑体"/>
          <w:sz w:val="24"/>
        </w:rPr>
      </w:pPr>
      <w:r>
        <w:rPr>
          <w:rFonts w:hint="eastAsia" w:ascii="黑体" w:eastAsia="黑体"/>
          <w:sz w:val="24"/>
        </w:rPr>
        <w:t>其他</w:t>
      </w:r>
    </w:p>
    <w:p>
      <w:pPr>
        <w:pStyle w:val="11"/>
        <w:spacing w:before="91"/>
        <w:ind w:left="1144"/>
      </w:pPr>
      <w:r>
        <w:t xml:space="preserve">本项补充第 </w:t>
      </w:r>
      <w:r>
        <w:rPr>
          <w:rFonts w:ascii="Times New Roman" w:eastAsia="Times New Roman"/>
        </w:rPr>
        <w:t xml:space="preserve">1.1.6.2 </w:t>
      </w:r>
      <w:r>
        <w:t xml:space="preserve">目～第 </w:t>
      </w:r>
      <w:r>
        <w:rPr>
          <w:rFonts w:ascii="Times New Roman" w:eastAsia="Times New Roman"/>
        </w:rPr>
        <w:t xml:space="preserve">1.1.6.9 </w:t>
      </w:r>
      <w:r>
        <w:t>目：</w:t>
      </w:r>
    </w:p>
    <w:p>
      <w:pPr>
        <w:pStyle w:val="20"/>
        <w:numPr>
          <w:ilvl w:val="3"/>
          <w:numId w:val="16"/>
        </w:numPr>
        <w:tabs>
          <w:tab w:val="left" w:pos="1925"/>
        </w:tabs>
        <w:spacing w:before="93" w:line="312" w:lineRule="auto"/>
        <w:ind w:right="383" w:firstLine="720"/>
        <w:rPr>
          <w:sz w:val="24"/>
        </w:rPr>
      </w:pPr>
      <w:r>
        <w:rPr>
          <w:spacing w:val="-3"/>
          <w:sz w:val="24"/>
        </w:rPr>
        <w:t>竣工验收：指《公路工程竣</w:t>
      </w:r>
      <w:r>
        <w:rPr>
          <w:sz w:val="24"/>
        </w:rPr>
        <w:t>（交</w:t>
      </w:r>
      <w:r>
        <w:rPr>
          <w:spacing w:val="-5"/>
          <w:sz w:val="24"/>
        </w:rPr>
        <w:t>）</w:t>
      </w:r>
      <w:r>
        <w:rPr>
          <w:spacing w:val="-2"/>
          <w:sz w:val="24"/>
        </w:rPr>
        <w:t>工验收办法》中的竣工验收。通用合同条款中</w:t>
      </w:r>
      <w:r>
        <w:rPr>
          <w:rFonts w:ascii="Times New Roman" w:hAnsi="Times New Roman" w:eastAsia="Times New Roman"/>
          <w:spacing w:val="-2"/>
          <w:sz w:val="24"/>
        </w:rPr>
        <w:t>“</w:t>
      </w:r>
      <w:r>
        <w:rPr>
          <w:spacing w:val="-2"/>
          <w:sz w:val="24"/>
        </w:rPr>
        <w:t>国家验收</w:t>
      </w:r>
      <w:r>
        <w:rPr>
          <w:rFonts w:ascii="Times New Roman" w:hAnsi="Times New Roman" w:eastAsia="Times New Roman"/>
          <w:spacing w:val="-2"/>
          <w:sz w:val="24"/>
        </w:rPr>
        <w:t>”</w:t>
      </w:r>
      <w:r>
        <w:rPr>
          <w:spacing w:val="-2"/>
          <w:sz w:val="24"/>
        </w:rPr>
        <w:t>一词具有相同含义。</w:t>
      </w:r>
    </w:p>
    <w:p>
      <w:pPr>
        <w:pStyle w:val="20"/>
        <w:numPr>
          <w:ilvl w:val="3"/>
          <w:numId w:val="16"/>
        </w:numPr>
        <w:tabs>
          <w:tab w:val="left" w:pos="1901"/>
        </w:tabs>
        <w:spacing w:line="312" w:lineRule="auto"/>
        <w:ind w:right="382" w:firstLine="720"/>
        <w:rPr>
          <w:sz w:val="24"/>
        </w:rPr>
      </w:pPr>
      <w:r>
        <w:rPr>
          <w:sz w:val="24"/>
        </w:rPr>
        <w:t>交工：指《公路工程竣（交）工验收办法》中的交工。通用合同条款中</w:t>
      </w:r>
      <w:r>
        <w:rPr>
          <w:rFonts w:ascii="Times New Roman" w:hAnsi="Times New Roman" w:eastAsia="Times New Roman"/>
          <w:sz w:val="24"/>
        </w:rPr>
        <w:t>“</w:t>
      </w:r>
      <w:r>
        <w:rPr>
          <w:sz w:val="24"/>
        </w:rPr>
        <w:t>竣工</w:t>
      </w:r>
      <w:r>
        <w:rPr>
          <w:rFonts w:ascii="Times New Roman" w:hAnsi="Times New Roman" w:eastAsia="Times New Roman"/>
          <w:sz w:val="24"/>
        </w:rPr>
        <w:t>”</w:t>
      </w:r>
      <w:r>
        <w:rPr>
          <w:sz w:val="24"/>
        </w:rPr>
        <w:t>一词具有相同含义。</w:t>
      </w:r>
    </w:p>
    <w:p>
      <w:pPr>
        <w:pStyle w:val="20"/>
        <w:numPr>
          <w:ilvl w:val="3"/>
          <w:numId w:val="16"/>
        </w:numPr>
        <w:tabs>
          <w:tab w:val="left" w:pos="1901"/>
        </w:tabs>
        <w:spacing w:before="2" w:line="312" w:lineRule="auto"/>
        <w:ind w:right="384" w:firstLine="720"/>
        <w:rPr>
          <w:sz w:val="24"/>
        </w:rPr>
      </w:pPr>
      <w:r>
        <w:rPr>
          <w:sz w:val="24"/>
        </w:rPr>
        <w:t>交工验收：指《公路工程竣（交）工验收办法》中的交工验收。通用合同条款中</w:t>
      </w:r>
      <w:r>
        <w:rPr>
          <w:rFonts w:ascii="Times New Roman" w:hAnsi="Times New Roman" w:eastAsia="Times New Roman"/>
          <w:sz w:val="24"/>
        </w:rPr>
        <w:t>“</w:t>
      </w:r>
      <w:r>
        <w:rPr>
          <w:sz w:val="24"/>
        </w:rPr>
        <w:t>竣工验收</w:t>
      </w:r>
      <w:r>
        <w:rPr>
          <w:rFonts w:ascii="Times New Roman" w:hAnsi="Times New Roman" w:eastAsia="Times New Roman"/>
          <w:sz w:val="24"/>
        </w:rPr>
        <w:t>”</w:t>
      </w:r>
      <w:r>
        <w:rPr>
          <w:sz w:val="24"/>
        </w:rPr>
        <w:t>一词具有相同含义。</w:t>
      </w:r>
    </w:p>
    <w:p>
      <w:pPr>
        <w:pStyle w:val="20"/>
        <w:numPr>
          <w:ilvl w:val="3"/>
          <w:numId w:val="16"/>
        </w:numPr>
        <w:tabs>
          <w:tab w:val="left" w:pos="1901"/>
        </w:tabs>
        <w:spacing w:line="312" w:lineRule="auto"/>
        <w:ind w:right="384" w:firstLine="720"/>
        <w:rPr>
          <w:sz w:val="24"/>
        </w:rPr>
      </w:pPr>
      <w:r>
        <w:rPr>
          <w:sz w:val="24"/>
        </w:rPr>
        <w:t>交工验收证书：指《公路工程竣（交）工验收办法》中的交工验收证书。通用合同条款中</w:t>
      </w:r>
      <w:r>
        <w:rPr>
          <w:rFonts w:ascii="Times New Roman" w:hAnsi="Times New Roman" w:eastAsia="Times New Roman"/>
          <w:sz w:val="24"/>
        </w:rPr>
        <w:t>“</w:t>
      </w:r>
      <w:r>
        <w:rPr>
          <w:sz w:val="24"/>
        </w:rPr>
        <w:t>工程接收证书</w:t>
      </w:r>
      <w:r>
        <w:rPr>
          <w:rFonts w:ascii="Times New Roman" w:hAnsi="Times New Roman" w:eastAsia="Times New Roman"/>
          <w:sz w:val="24"/>
        </w:rPr>
        <w:t>”</w:t>
      </w:r>
      <w:r>
        <w:rPr>
          <w:sz w:val="24"/>
        </w:rPr>
        <w:t>一词具有相同含义。</w:t>
      </w:r>
    </w:p>
    <w:p>
      <w:pPr>
        <w:pStyle w:val="20"/>
        <w:numPr>
          <w:ilvl w:val="3"/>
          <w:numId w:val="16"/>
        </w:numPr>
        <w:tabs>
          <w:tab w:val="left" w:pos="1901"/>
        </w:tabs>
        <w:spacing w:line="312" w:lineRule="auto"/>
        <w:ind w:right="383" w:firstLine="720"/>
        <w:jc w:val="both"/>
        <w:rPr>
          <w:sz w:val="24"/>
        </w:rPr>
      </w:pPr>
      <w:r>
        <w:rPr>
          <w:sz w:val="24"/>
        </w:rPr>
        <w:t>转包：指承包人违反法律和不履行合同规定的责任和义务，将中标工程全部委托或以专业分包的名义将中标工程肢解后全部委托给其他施工企业施工的行为。</w:t>
      </w:r>
    </w:p>
    <w:p>
      <w:pPr>
        <w:pStyle w:val="20"/>
        <w:numPr>
          <w:ilvl w:val="3"/>
          <w:numId w:val="16"/>
        </w:numPr>
        <w:tabs>
          <w:tab w:val="left" w:pos="1901"/>
        </w:tabs>
        <w:spacing w:before="1" w:line="312" w:lineRule="auto"/>
        <w:ind w:right="262" w:firstLine="720"/>
        <w:rPr>
          <w:sz w:val="24"/>
        </w:rPr>
      </w:pPr>
      <w:r>
        <w:rPr>
          <w:sz w:val="24"/>
        </w:rPr>
        <w:t xml:space="preserve">专业分包：指承包人与具有相应资格的施工企业签订专业分包合同， </w:t>
      </w:r>
      <w:r>
        <w:rPr>
          <w:spacing w:val="-5"/>
          <w:sz w:val="24"/>
        </w:rPr>
        <w:t>由分包人承担承包人委托的分部工程、分项工程或适合专业化队伍施工的其他工程， 整体结算，并能独立控制工程质量、施工进度、材料采购、生产安全的施工行为。</w:t>
      </w:r>
    </w:p>
    <w:p>
      <w:pPr>
        <w:pStyle w:val="20"/>
        <w:numPr>
          <w:ilvl w:val="3"/>
          <w:numId w:val="16"/>
        </w:numPr>
        <w:tabs>
          <w:tab w:val="left" w:pos="1901"/>
        </w:tabs>
        <w:spacing w:before="1" w:line="312" w:lineRule="auto"/>
        <w:ind w:right="265" w:firstLine="720"/>
        <w:rPr>
          <w:sz w:val="24"/>
        </w:rPr>
      </w:pPr>
      <w:r>
        <w:rPr>
          <w:sz w:val="24"/>
        </w:rPr>
        <w:t>劳务分包：指承包人与具有施工劳务资质的劳务企业签订劳务分包合</w:t>
      </w:r>
      <w:r>
        <w:rPr>
          <w:spacing w:val="-9"/>
          <w:sz w:val="24"/>
        </w:rPr>
        <w:t>同，由劳务企业提供劳务人员及机具，由承包人统一组织施工、统一控制工程质量、施工进度、材料采购、生产安全的施工行为。</w:t>
      </w:r>
    </w:p>
    <w:p>
      <w:pPr>
        <w:pStyle w:val="20"/>
        <w:numPr>
          <w:ilvl w:val="3"/>
          <w:numId w:val="16"/>
        </w:numPr>
        <w:tabs>
          <w:tab w:val="left" w:pos="1901"/>
        </w:tabs>
        <w:spacing w:line="314" w:lineRule="auto"/>
        <w:ind w:right="383" w:firstLine="720"/>
        <w:rPr>
          <w:sz w:val="24"/>
        </w:rPr>
      </w:pPr>
      <w:r>
        <w:rPr>
          <w:sz w:val="24"/>
        </w:rPr>
        <w:t>雇用民工：指承包人与具有相应劳动能力的自然人签订劳动合同，由承包人统一组织管理，从事分项工程施工或配套工程施工的行为。</w:t>
      </w:r>
    </w:p>
    <w:p>
      <w:pPr>
        <w:pStyle w:val="11"/>
        <w:rPr>
          <w:sz w:val="17"/>
        </w:rPr>
      </w:pPr>
    </w:p>
    <w:p>
      <w:pPr>
        <w:pStyle w:val="20"/>
        <w:numPr>
          <w:ilvl w:val="1"/>
          <w:numId w:val="17"/>
        </w:numPr>
        <w:tabs>
          <w:tab w:val="left" w:pos="845"/>
        </w:tabs>
        <w:rPr>
          <w:rFonts w:ascii="黑体" w:eastAsia="黑体"/>
          <w:sz w:val="24"/>
        </w:rPr>
      </w:pPr>
      <w:bookmarkStart w:id="149" w:name="_bookmark161"/>
      <w:bookmarkEnd w:id="149"/>
      <w:r>
        <w:rPr>
          <w:rFonts w:hint="eastAsia" w:ascii="黑体" w:eastAsia="黑体"/>
          <w:sz w:val="24"/>
        </w:rPr>
        <w:t>合同文件的优先顺序</w:t>
      </w:r>
    </w:p>
    <w:p>
      <w:pPr>
        <w:pStyle w:val="11"/>
        <w:spacing w:before="10"/>
        <w:rPr>
          <w:rFonts w:ascii="黑体"/>
          <w:sz w:val="25"/>
        </w:rPr>
      </w:pPr>
    </w:p>
    <w:p>
      <w:pPr>
        <w:pStyle w:val="11"/>
        <w:ind w:left="815"/>
      </w:pPr>
      <w:r>
        <w:t>本款约定为：</w:t>
      </w:r>
    </w:p>
    <w:p>
      <w:pPr>
        <w:pStyle w:val="11"/>
        <w:spacing w:before="94" w:line="312" w:lineRule="auto"/>
        <w:ind w:left="424" w:right="267" w:firstLine="391"/>
      </w:pPr>
      <w:r>
        <w:t>组成合同的各项文件应互相解释，互为说明。除项目专用合同条款另有约定外， 解释合同文件的优先顺序如下：</w:t>
      </w:r>
    </w:p>
    <w:p>
      <w:pPr>
        <w:pStyle w:val="11"/>
        <w:spacing w:line="312" w:lineRule="auto"/>
        <w:ind w:left="424" w:right="338"/>
      </w:pPr>
      <w:r>
        <w:t xml:space="preserve">    </w:t>
      </w:r>
      <w:r>
        <w:rPr>
          <w:spacing w:val="-10"/>
        </w:rPr>
        <w:t>（</w:t>
      </w:r>
      <w:r>
        <w:rPr>
          <w:rFonts w:ascii="Times New Roman" w:eastAsia="Times New Roman"/>
          <w:spacing w:val="-10"/>
        </w:rPr>
        <w:t>1</w:t>
      </w:r>
      <w:r>
        <w:rPr>
          <w:spacing w:val="-10"/>
        </w:rPr>
        <w:t>）</w:t>
      </w:r>
      <w:r>
        <w:rPr>
          <w:spacing w:val="-3"/>
        </w:rPr>
        <w:t>合同协议书及各种合同附件</w:t>
      </w:r>
      <w:r>
        <w:t>（含评标期间和合同谈判过程中的澄清文件和</w:t>
      </w:r>
      <w:r>
        <w:rPr>
          <w:spacing w:val="-1"/>
        </w:rPr>
        <w:t>补充资料</w:t>
      </w:r>
      <w:r>
        <w:rPr>
          <w:spacing w:val="-120"/>
        </w:rPr>
        <w:t>）</w:t>
      </w:r>
      <w:r>
        <w:t>；</w:t>
      </w:r>
    </w:p>
    <w:p>
      <w:pPr>
        <w:pStyle w:val="11"/>
        <w:ind w:left="424"/>
      </w:pPr>
      <w:r>
        <w:t xml:space="preserve">    （</w:t>
      </w:r>
      <w:r>
        <w:rPr>
          <w:rFonts w:ascii="Times New Roman" w:eastAsia="Times New Roman"/>
        </w:rPr>
        <w:t>2</w:t>
      </w:r>
      <w:r>
        <w:t>）中标通知书；</w:t>
      </w:r>
    </w:p>
    <w:p>
      <w:pPr>
        <w:pStyle w:val="11"/>
        <w:spacing w:before="93"/>
        <w:ind w:left="424"/>
      </w:pPr>
      <w:r>
        <w:t xml:space="preserve">    （</w:t>
      </w:r>
      <w:r>
        <w:rPr>
          <w:rFonts w:ascii="Times New Roman" w:eastAsia="Times New Roman"/>
        </w:rPr>
        <w:t>3</w:t>
      </w:r>
      <w:r>
        <w:t>）投标函及投标函附录；</w:t>
      </w:r>
    </w:p>
    <w:p>
      <w:pPr>
        <w:pStyle w:val="11"/>
        <w:spacing w:before="93"/>
        <w:ind w:left="424"/>
      </w:pPr>
      <w:r>
        <w:t xml:space="preserve">    （</w:t>
      </w:r>
      <w:r>
        <w:rPr>
          <w:rFonts w:ascii="Times New Roman" w:eastAsia="Times New Roman"/>
        </w:rPr>
        <w:t>4</w:t>
      </w:r>
      <w:r>
        <w:t>）项目专用合同条款；</w:t>
      </w:r>
    </w:p>
    <w:p>
      <w:pPr>
        <w:sectPr>
          <w:pgSz w:w="11910" w:h="16850"/>
          <w:pgMar w:top="1480" w:right="1200" w:bottom="1040" w:left="1220" w:header="876" w:footer="853" w:gutter="0"/>
          <w:cols w:space="720" w:num="1"/>
        </w:sectPr>
      </w:pPr>
    </w:p>
    <w:p>
      <w:pPr>
        <w:pStyle w:val="11"/>
        <w:spacing w:before="7"/>
        <w:rPr>
          <w:sz w:val="9"/>
        </w:rPr>
      </w:pPr>
    </w:p>
    <w:p>
      <w:pPr>
        <w:pStyle w:val="11"/>
        <w:spacing w:before="74"/>
        <w:ind w:left="424"/>
        <w:jc w:val="both"/>
      </w:pPr>
      <w:r>
        <w:t xml:space="preserve">    （</w:t>
      </w:r>
      <w:r>
        <w:rPr>
          <w:rFonts w:ascii="Times New Roman" w:eastAsia="Times New Roman"/>
        </w:rPr>
        <w:t>5</w:t>
      </w:r>
      <w:r>
        <w:t>）公路工程专用合同条款；</w:t>
      </w:r>
    </w:p>
    <w:p>
      <w:pPr>
        <w:pStyle w:val="11"/>
        <w:spacing w:before="91"/>
        <w:ind w:left="904"/>
      </w:pPr>
      <w:r>
        <w:t>（</w:t>
      </w:r>
      <w:r>
        <w:rPr>
          <w:rFonts w:ascii="Times New Roman" w:eastAsia="Times New Roman"/>
        </w:rPr>
        <w:t>6</w:t>
      </w:r>
      <w:r>
        <w:t>）通用合同条款；</w:t>
      </w:r>
    </w:p>
    <w:p>
      <w:pPr>
        <w:pStyle w:val="11"/>
        <w:spacing w:before="94"/>
        <w:ind w:left="904"/>
      </w:pPr>
      <w:r>
        <w:t>（</w:t>
      </w:r>
      <w:r>
        <w:rPr>
          <w:rFonts w:ascii="Times New Roman" w:eastAsia="Times New Roman"/>
        </w:rPr>
        <w:t>7</w:t>
      </w:r>
      <w:r>
        <w:t>）工程量清单计量规则；</w:t>
      </w:r>
    </w:p>
    <w:p>
      <w:pPr>
        <w:pStyle w:val="11"/>
        <w:spacing w:before="93"/>
        <w:ind w:left="424"/>
        <w:jc w:val="both"/>
      </w:pPr>
      <w:r>
        <w:t xml:space="preserve">    （</w:t>
      </w:r>
      <w:r>
        <w:rPr>
          <w:rFonts w:ascii="Times New Roman" w:eastAsia="Times New Roman"/>
        </w:rPr>
        <w:t>8</w:t>
      </w:r>
      <w:r>
        <w:t>）技术规范；</w:t>
      </w:r>
    </w:p>
    <w:p>
      <w:pPr>
        <w:pStyle w:val="11"/>
        <w:spacing w:before="91"/>
        <w:ind w:left="424"/>
        <w:jc w:val="both"/>
      </w:pPr>
      <w:r>
        <w:t xml:space="preserve">    （</w:t>
      </w:r>
      <w:r>
        <w:rPr>
          <w:rFonts w:ascii="Times New Roman" w:eastAsia="Times New Roman"/>
        </w:rPr>
        <w:t>9</w:t>
      </w:r>
      <w:r>
        <w:t>）图纸；</w:t>
      </w:r>
    </w:p>
    <w:p>
      <w:pPr>
        <w:pStyle w:val="11"/>
        <w:spacing w:before="93"/>
        <w:ind w:left="424"/>
        <w:jc w:val="both"/>
      </w:pPr>
      <w:r>
        <w:t xml:space="preserve">    （</w:t>
      </w:r>
      <w:r>
        <w:rPr>
          <w:rFonts w:ascii="Times New Roman" w:eastAsia="Times New Roman"/>
        </w:rPr>
        <w:t>10</w:t>
      </w:r>
      <w:r>
        <w:t>）已标价工程量清单；</w:t>
      </w:r>
    </w:p>
    <w:p>
      <w:pPr>
        <w:pStyle w:val="11"/>
        <w:spacing w:before="93"/>
        <w:ind w:left="424"/>
        <w:jc w:val="both"/>
      </w:pPr>
      <w:r>
        <w:t xml:space="preserve">    （</w:t>
      </w:r>
      <w:r>
        <w:rPr>
          <w:rFonts w:ascii="Times New Roman" w:eastAsia="Times New Roman"/>
        </w:rPr>
        <w:t>11</w:t>
      </w:r>
      <w:r>
        <w:t>）承包人有关人员、设备投入的承诺及投标文件中的施工组织设计；</w:t>
      </w:r>
    </w:p>
    <w:p>
      <w:pPr>
        <w:pStyle w:val="11"/>
        <w:spacing w:before="92"/>
        <w:ind w:left="424"/>
        <w:jc w:val="both"/>
      </w:pPr>
      <w:r>
        <w:t xml:space="preserve">    （</w:t>
      </w:r>
      <w:r>
        <w:rPr>
          <w:rFonts w:ascii="Times New Roman" w:eastAsia="Times New Roman"/>
        </w:rPr>
        <w:t>12</w:t>
      </w:r>
      <w:r>
        <w:t>）其他合同文件。</w:t>
      </w:r>
    </w:p>
    <w:p>
      <w:pPr>
        <w:pStyle w:val="11"/>
        <w:spacing w:before="6"/>
      </w:pPr>
    </w:p>
    <w:p>
      <w:pPr>
        <w:pStyle w:val="20"/>
        <w:numPr>
          <w:ilvl w:val="1"/>
          <w:numId w:val="17"/>
        </w:numPr>
        <w:tabs>
          <w:tab w:val="left" w:pos="845"/>
        </w:tabs>
        <w:spacing w:before="1"/>
        <w:jc w:val="both"/>
        <w:rPr>
          <w:rFonts w:ascii="黑体" w:eastAsia="黑体"/>
          <w:sz w:val="24"/>
        </w:rPr>
      </w:pPr>
      <w:bookmarkStart w:id="150" w:name="_bookmark162"/>
      <w:bookmarkEnd w:id="150"/>
      <w:r>
        <w:rPr>
          <w:rFonts w:hint="eastAsia" w:ascii="黑体" w:eastAsia="黑体"/>
          <w:sz w:val="24"/>
        </w:rPr>
        <w:t>合同协议书</w:t>
      </w:r>
    </w:p>
    <w:p>
      <w:pPr>
        <w:pStyle w:val="11"/>
        <w:spacing w:before="10"/>
        <w:rPr>
          <w:rFonts w:ascii="黑体"/>
          <w:sz w:val="25"/>
        </w:rPr>
      </w:pPr>
    </w:p>
    <w:p>
      <w:pPr>
        <w:pStyle w:val="11"/>
        <w:ind w:left="815"/>
      </w:pPr>
      <w:r>
        <w:t>本款补充：</w:t>
      </w:r>
    </w:p>
    <w:p>
      <w:pPr>
        <w:pStyle w:val="11"/>
        <w:spacing w:before="93" w:line="312" w:lineRule="auto"/>
        <w:ind w:left="424" w:right="385" w:firstLine="391"/>
      </w:pPr>
      <w:r>
        <w:rPr>
          <w:spacing w:val="-6"/>
        </w:rPr>
        <w:t>制备本合同文件的费用由发包人承担。在合同协议书签订并生效之前，投标函和中标通知书将对双方具有约束力。</w:t>
      </w:r>
    </w:p>
    <w:p>
      <w:pPr>
        <w:pStyle w:val="11"/>
        <w:spacing w:before="3"/>
        <w:rPr>
          <w:sz w:val="17"/>
        </w:rPr>
      </w:pPr>
    </w:p>
    <w:p>
      <w:pPr>
        <w:pStyle w:val="20"/>
        <w:numPr>
          <w:ilvl w:val="1"/>
          <w:numId w:val="17"/>
        </w:numPr>
        <w:tabs>
          <w:tab w:val="left" w:pos="845"/>
        </w:tabs>
        <w:jc w:val="both"/>
        <w:rPr>
          <w:rFonts w:ascii="黑体" w:eastAsia="黑体"/>
          <w:sz w:val="24"/>
        </w:rPr>
      </w:pPr>
      <w:bookmarkStart w:id="151" w:name="_bookmark163"/>
      <w:bookmarkEnd w:id="151"/>
      <w:r>
        <w:rPr>
          <w:rFonts w:hint="eastAsia" w:ascii="黑体" w:eastAsia="黑体"/>
          <w:sz w:val="24"/>
        </w:rPr>
        <w:t>图纸和承包人文件</w:t>
      </w:r>
    </w:p>
    <w:p>
      <w:pPr>
        <w:pStyle w:val="11"/>
        <w:spacing w:before="1"/>
        <w:rPr>
          <w:rFonts w:ascii="黑体"/>
          <w:sz w:val="26"/>
        </w:rPr>
      </w:pPr>
    </w:p>
    <w:p>
      <w:pPr>
        <w:pStyle w:val="20"/>
        <w:numPr>
          <w:ilvl w:val="2"/>
          <w:numId w:val="17"/>
        </w:numPr>
        <w:tabs>
          <w:tab w:val="left" w:pos="1505"/>
        </w:tabs>
        <w:rPr>
          <w:rFonts w:ascii="黑体" w:eastAsia="黑体"/>
          <w:sz w:val="24"/>
        </w:rPr>
      </w:pPr>
      <w:r>
        <w:rPr>
          <w:rFonts w:hint="eastAsia" w:ascii="黑体" w:eastAsia="黑体"/>
          <w:sz w:val="24"/>
        </w:rPr>
        <w:t>图纸的提供</w:t>
      </w:r>
    </w:p>
    <w:p>
      <w:pPr>
        <w:pStyle w:val="11"/>
        <w:spacing w:before="91"/>
        <w:ind w:left="815"/>
      </w:pPr>
      <w:r>
        <w:t>本项细化为：</w:t>
      </w:r>
    </w:p>
    <w:p>
      <w:pPr>
        <w:pStyle w:val="11"/>
        <w:spacing w:before="93"/>
        <w:ind w:left="815"/>
      </w:pPr>
      <w:r>
        <w:t xml:space="preserve">监理人应在发出中标通知书之后 </w:t>
      </w:r>
      <w:r>
        <w:rPr>
          <w:rFonts w:ascii="Times New Roman" w:eastAsia="Times New Roman"/>
        </w:rPr>
        <w:t xml:space="preserve">42 </w:t>
      </w:r>
      <w:r>
        <w:t>天内，向承包人免费提供由发包人或其委托</w:t>
      </w:r>
    </w:p>
    <w:p>
      <w:pPr>
        <w:pStyle w:val="11"/>
        <w:spacing w:before="93" w:line="312" w:lineRule="auto"/>
        <w:ind w:left="424" w:right="383"/>
        <w:jc w:val="both"/>
      </w:pPr>
      <w:r>
        <w:rPr>
          <w:spacing w:val="-2"/>
        </w:rPr>
        <w:t xml:space="preserve">的设计单位设计的施工图纸、技术规范和其他技术资料 </w:t>
      </w:r>
      <w:r>
        <w:rPr>
          <w:rFonts w:ascii="Times New Roman" w:eastAsia="Times New Roman"/>
        </w:rPr>
        <w:t xml:space="preserve">2 </w:t>
      </w:r>
      <w:r>
        <w:t>份，并向承包人进行技术交底。承包人需要更多份数时，应自费复制。由于发包人未按时提供图纸造成工期</w:t>
      </w:r>
      <w:r>
        <w:rPr>
          <w:spacing w:val="-9"/>
        </w:rPr>
        <w:t xml:space="preserve">延误的，按第 </w:t>
      </w:r>
      <w:r>
        <w:rPr>
          <w:rFonts w:ascii="Times New Roman" w:eastAsia="Times New Roman"/>
          <w:spacing w:val="-3"/>
        </w:rPr>
        <w:t xml:space="preserve">11.3 </w:t>
      </w:r>
      <w:r>
        <w:rPr>
          <w:spacing w:val="-3"/>
        </w:rPr>
        <w:t>款的约定办理。</w:t>
      </w:r>
    </w:p>
    <w:p>
      <w:pPr>
        <w:pStyle w:val="20"/>
        <w:numPr>
          <w:ilvl w:val="2"/>
          <w:numId w:val="17"/>
        </w:numPr>
        <w:tabs>
          <w:tab w:val="left" w:pos="1495"/>
        </w:tabs>
        <w:spacing w:before="1"/>
        <w:ind w:left="1494"/>
        <w:rPr>
          <w:rFonts w:ascii="黑体" w:eastAsia="黑体"/>
          <w:sz w:val="24"/>
        </w:rPr>
      </w:pPr>
      <w:r>
        <w:rPr>
          <w:rFonts w:hint="eastAsia" w:ascii="黑体" w:eastAsia="黑体"/>
          <w:sz w:val="24"/>
        </w:rPr>
        <w:t>承包人提供的文件</w:t>
      </w:r>
    </w:p>
    <w:p>
      <w:pPr>
        <w:pStyle w:val="11"/>
        <w:spacing w:before="91"/>
        <w:ind w:left="815"/>
      </w:pPr>
      <w:r>
        <w:t>本项细化为：</w:t>
      </w:r>
    </w:p>
    <w:p>
      <w:pPr>
        <w:pStyle w:val="11"/>
        <w:spacing w:before="94" w:line="312" w:lineRule="auto"/>
        <w:ind w:left="424" w:right="206" w:firstLine="391"/>
      </w:pPr>
      <w:r>
        <w:t xml:space="preserve">有下列情形之一的，承包人应免费向监理人提交相关部分工程的施工图纸 </w:t>
      </w:r>
      <w:r>
        <w:rPr>
          <w:rFonts w:ascii="Times New Roman" w:eastAsia="Times New Roman"/>
        </w:rPr>
        <w:t xml:space="preserve">3 </w:t>
      </w:r>
      <w:r>
        <w:t xml:space="preserve">份， 并附必要的计算书、技术资料，或施工工艺图、设备安装图及安装设备的使用和维护手册各 </w:t>
      </w:r>
      <w:r>
        <w:rPr>
          <w:rFonts w:ascii="Times New Roman" w:eastAsia="Times New Roman"/>
        </w:rPr>
        <w:t xml:space="preserve">2 </w:t>
      </w:r>
      <w:r>
        <w:t>份供监理人批准。</w:t>
      </w:r>
    </w:p>
    <w:p>
      <w:pPr>
        <w:pStyle w:val="11"/>
        <w:spacing w:before="1"/>
        <w:ind w:left="815"/>
      </w:pPr>
      <w:r>
        <w:t>（</w:t>
      </w:r>
      <w:r>
        <w:rPr>
          <w:rFonts w:ascii="Times New Roman" w:eastAsia="Times New Roman"/>
        </w:rPr>
        <w:t>1</w:t>
      </w:r>
      <w:r>
        <w:t xml:space="preserve">）为使第 </w:t>
      </w:r>
      <w:r>
        <w:rPr>
          <w:rFonts w:ascii="Times New Roman" w:eastAsia="Times New Roman"/>
        </w:rPr>
        <w:t xml:space="preserve">1.6.1 </w:t>
      </w:r>
      <w:r>
        <w:t>项所述的施工图纸适合于经施工测量后的纵、横断面；</w:t>
      </w:r>
    </w:p>
    <w:p>
      <w:pPr>
        <w:pStyle w:val="11"/>
        <w:spacing w:before="93"/>
        <w:ind w:left="815"/>
      </w:pPr>
      <w:r>
        <w:t>（</w:t>
      </w:r>
      <w:r>
        <w:rPr>
          <w:rFonts w:ascii="Times New Roman" w:eastAsia="Times New Roman"/>
        </w:rPr>
        <w:t>2</w:t>
      </w:r>
      <w:r>
        <w:t xml:space="preserve">）为使第 </w:t>
      </w:r>
      <w:r>
        <w:rPr>
          <w:rFonts w:ascii="Times New Roman" w:eastAsia="Times New Roman"/>
        </w:rPr>
        <w:t xml:space="preserve">1.6.1 </w:t>
      </w:r>
      <w:r>
        <w:t>项所述的施工图纸适合于现场具体地形；</w:t>
      </w:r>
    </w:p>
    <w:p>
      <w:pPr>
        <w:pStyle w:val="11"/>
        <w:spacing w:before="91"/>
        <w:ind w:left="815"/>
      </w:pPr>
      <w:r>
        <w:t>（</w:t>
      </w:r>
      <w:r>
        <w:rPr>
          <w:rFonts w:ascii="Times New Roman" w:eastAsia="Times New Roman"/>
        </w:rPr>
        <w:t>3</w:t>
      </w:r>
      <w:r>
        <w:t xml:space="preserve">）为使第 </w:t>
      </w:r>
      <w:r>
        <w:rPr>
          <w:rFonts w:ascii="Times New Roman" w:eastAsia="Times New Roman"/>
        </w:rPr>
        <w:t xml:space="preserve">1.6.1 </w:t>
      </w:r>
      <w:r>
        <w:t>项所述的施工图纸适合于因尺寸与位置变化而引起局部变更；</w:t>
      </w:r>
    </w:p>
    <w:p>
      <w:pPr>
        <w:pStyle w:val="11"/>
        <w:spacing w:before="93"/>
        <w:ind w:left="815"/>
      </w:pPr>
      <w:r>
        <w:t>（</w:t>
      </w:r>
      <w:r>
        <w:rPr>
          <w:rFonts w:ascii="Times New Roman" w:eastAsia="Times New Roman"/>
        </w:rPr>
        <w:t>4</w:t>
      </w:r>
      <w:r>
        <w:t>）由于合同要求与施工需要。</w:t>
      </w:r>
    </w:p>
    <w:p>
      <w:pPr>
        <w:pStyle w:val="11"/>
        <w:spacing w:before="94" w:line="312" w:lineRule="auto"/>
        <w:ind w:left="424" w:right="385" w:firstLine="391"/>
      </w:pPr>
      <w:r>
        <w:rPr>
          <w:spacing w:val="-6"/>
        </w:rPr>
        <w:t>此类图纸应按监理人规定的格式和图幅绘制。监理人在收到由承包人绘制的上述</w:t>
      </w:r>
      <w:r>
        <w:rPr>
          <w:spacing w:val="-12"/>
        </w:rPr>
        <w:t xml:space="preserve">工程、工艺图纸、计算书和有关技术资料后 </w:t>
      </w:r>
      <w:r>
        <w:rPr>
          <w:rFonts w:ascii="Times New Roman" w:eastAsia="Times New Roman"/>
        </w:rPr>
        <w:t xml:space="preserve">14 </w:t>
      </w:r>
      <w:r>
        <w:rPr>
          <w:spacing w:val="-3"/>
        </w:rPr>
        <w:t>天内应予批准或提出修改要求，承包</w:t>
      </w:r>
    </w:p>
    <w:p>
      <w:pPr>
        <w:pStyle w:val="11"/>
        <w:spacing w:line="312" w:lineRule="auto"/>
        <w:ind w:left="424" w:right="334"/>
      </w:pPr>
      <w:r>
        <w:t xml:space="preserve">人应按监理人提出的要求作出修改，重新向监理人提交，监理人应在 </w:t>
      </w:r>
      <w:r>
        <w:rPr>
          <w:rFonts w:ascii="Times New Roman" w:eastAsia="Times New Roman"/>
        </w:rPr>
        <w:t xml:space="preserve">7 </w:t>
      </w:r>
      <w:r>
        <w:t>天内批准或提出进一步的修改意见。</w:t>
      </w:r>
    </w:p>
    <w:p>
      <w:pPr>
        <w:spacing w:line="312" w:lineRule="auto"/>
        <w:sectPr>
          <w:pgSz w:w="11910" w:h="16850"/>
          <w:pgMar w:top="1480" w:right="1200" w:bottom="1080" w:left="1220" w:header="883" w:footer="884" w:gutter="0"/>
          <w:cols w:space="720" w:num="1"/>
        </w:sectPr>
      </w:pPr>
    </w:p>
    <w:p>
      <w:pPr>
        <w:pStyle w:val="11"/>
        <w:spacing w:before="7"/>
        <w:rPr>
          <w:sz w:val="9"/>
        </w:rPr>
      </w:pPr>
    </w:p>
    <w:p>
      <w:pPr>
        <w:pStyle w:val="11"/>
        <w:spacing w:before="74"/>
        <w:ind w:left="894"/>
        <w:rPr>
          <w:rFonts w:ascii="黑体" w:eastAsia="黑体"/>
        </w:rPr>
      </w:pPr>
      <w:r>
        <w:rPr>
          <w:rFonts w:ascii="Times New Roman" w:eastAsia="Times New Roman"/>
        </w:rPr>
        <w:t xml:space="preserve">1.6.4 </w:t>
      </w:r>
      <w:r>
        <w:rPr>
          <w:rFonts w:hint="eastAsia" w:ascii="黑体" w:eastAsia="黑体"/>
        </w:rPr>
        <w:t>图纸的错误</w:t>
      </w:r>
    </w:p>
    <w:p>
      <w:pPr>
        <w:pStyle w:val="11"/>
        <w:spacing w:before="91"/>
        <w:ind w:left="815"/>
      </w:pPr>
      <w:r>
        <w:t>本项细化为：</w:t>
      </w:r>
    </w:p>
    <w:p>
      <w:pPr>
        <w:pStyle w:val="11"/>
        <w:spacing w:before="94" w:line="312" w:lineRule="auto"/>
        <w:ind w:left="424" w:right="385" w:firstLine="391"/>
        <w:jc w:val="both"/>
      </w:pPr>
      <w:r>
        <w:rPr>
          <w:spacing w:val="-5"/>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Style w:val="11"/>
        <w:spacing w:before="3"/>
        <w:rPr>
          <w:sz w:val="17"/>
        </w:rPr>
      </w:pPr>
    </w:p>
    <w:p>
      <w:pPr>
        <w:pStyle w:val="11"/>
        <w:ind w:left="424"/>
        <w:rPr>
          <w:rFonts w:ascii="黑体" w:eastAsia="黑体"/>
        </w:rPr>
      </w:pPr>
      <w:bookmarkStart w:id="152" w:name="_bookmark164"/>
      <w:bookmarkEnd w:id="152"/>
      <w:r>
        <w:rPr>
          <w:rFonts w:ascii="Times New Roman" w:eastAsia="Times New Roman"/>
        </w:rPr>
        <w:t>1.9</w:t>
      </w:r>
      <w:r>
        <w:rPr>
          <w:rFonts w:ascii="Times New Roman" w:eastAsia="Times New Roman"/>
          <w:spacing w:val="58"/>
        </w:rPr>
        <w:t xml:space="preserve"> </w:t>
      </w:r>
      <w:r>
        <w:rPr>
          <w:rFonts w:hint="eastAsia" w:ascii="黑体" w:eastAsia="黑体"/>
        </w:rPr>
        <w:t>严禁贿赂</w:t>
      </w:r>
    </w:p>
    <w:p>
      <w:pPr>
        <w:pStyle w:val="11"/>
        <w:spacing w:before="11"/>
        <w:rPr>
          <w:rFonts w:ascii="黑体"/>
          <w:sz w:val="25"/>
        </w:rPr>
      </w:pPr>
    </w:p>
    <w:p>
      <w:pPr>
        <w:pStyle w:val="11"/>
        <w:spacing w:before="1"/>
        <w:ind w:left="815"/>
      </w:pPr>
      <w:r>
        <w:t>本款补充：</w:t>
      </w:r>
    </w:p>
    <w:p>
      <w:pPr>
        <w:pStyle w:val="11"/>
        <w:spacing w:before="93" w:line="312" w:lineRule="auto"/>
        <w:ind w:left="424" w:right="385" w:firstLine="391"/>
        <w:jc w:val="both"/>
      </w:pPr>
      <w:r>
        <w:rPr>
          <w:spacing w:val="-9"/>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pStyle w:val="11"/>
        <w:rPr>
          <w:sz w:val="32"/>
        </w:rPr>
      </w:pPr>
    </w:p>
    <w:p>
      <w:pPr>
        <w:numPr>
          <w:ilvl w:val="0"/>
          <w:numId w:val="15"/>
        </w:numPr>
        <w:tabs>
          <w:tab w:val="left" w:pos="775"/>
        </w:tabs>
        <w:spacing w:before="1"/>
        <w:ind w:hanging="350"/>
        <w:rPr>
          <w:rFonts w:ascii="黑体" w:eastAsia="黑体"/>
          <w:sz w:val="28"/>
        </w:rPr>
      </w:pPr>
      <w:bookmarkStart w:id="153" w:name="_bookmark165"/>
      <w:bookmarkEnd w:id="153"/>
      <w:r>
        <w:rPr>
          <w:rFonts w:hint="eastAsia" w:ascii="黑体" w:eastAsia="黑体"/>
          <w:spacing w:val="-1"/>
          <w:sz w:val="28"/>
        </w:rPr>
        <w:t>发包人义务</w:t>
      </w:r>
    </w:p>
    <w:p>
      <w:pPr>
        <w:pStyle w:val="11"/>
        <w:spacing w:before="4"/>
        <w:rPr>
          <w:rFonts w:ascii="黑体"/>
        </w:rPr>
      </w:pPr>
    </w:p>
    <w:p>
      <w:pPr>
        <w:pStyle w:val="11"/>
        <w:spacing w:before="1"/>
        <w:ind w:left="424"/>
        <w:rPr>
          <w:rFonts w:ascii="黑体" w:eastAsia="黑体"/>
        </w:rPr>
      </w:pPr>
      <w:bookmarkStart w:id="154" w:name="_bookmark166"/>
      <w:bookmarkEnd w:id="154"/>
      <w:r>
        <w:rPr>
          <w:rFonts w:ascii="Times New Roman" w:eastAsia="Times New Roman"/>
        </w:rPr>
        <w:t>2.3</w:t>
      </w:r>
      <w:r>
        <w:rPr>
          <w:rFonts w:ascii="Times New Roman" w:eastAsia="Times New Roman"/>
          <w:spacing w:val="58"/>
        </w:rPr>
        <w:t xml:space="preserve"> </w:t>
      </w:r>
      <w:r>
        <w:rPr>
          <w:rFonts w:hint="eastAsia" w:ascii="黑体" w:eastAsia="黑体"/>
        </w:rPr>
        <w:t>提供施工场地</w:t>
      </w:r>
    </w:p>
    <w:p>
      <w:pPr>
        <w:pStyle w:val="11"/>
        <w:rPr>
          <w:rFonts w:ascii="黑体"/>
          <w:sz w:val="26"/>
        </w:rPr>
      </w:pPr>
    </w:p>
    <w:p>
      <w:pPr>
        <w:pStyle w:val="11"/>
        <w:ind w:left="815"/>
      </w:pPr>
      <w:r>
        <w:t>本款补充：</w:t>
      </w:r>
    </w:p>
    <w:p>
      <w:pPr>
        <w:pStyle w:val="11"/>
        <w:spacing w:before="91" w:line="312" w:lineRule="auto"/>
        <w:ind w:left="424" w:right="382" w:firstLine="391"/>
        <w:jc w:val="both"/>
      </w:pPr>
      <w:r>
        <w:rPr>
          <w:spacing w:val="-4"/>
        </w:rPr>
        <w:t>发包人负责办理永久占地的征用及与之有关的拆迁赔偿手续并承担相关费用。承</w:t>
      </w:r>
      <w:r>
        <w:rPr>
          <w:spacing w:val="-14"/>
        </w:rPr>
        <w:t xml:space="preserve">包人在按第 </w:t>
      </w:r>
      <w:r>
        <w:rPr>
          <w:rFonts w:ascii="Times New Roman" w:eastAsia="Times New Roman"/>
        </w:rPr>
        <w:t xml:space="preserve">10 </w:t>
      </w:r>
      <w:r>
        <w:rPr>
          <w:spacing w:val="-6"/>
        </w:rPr>
        <w:t>条规定提交施工进度计划的同时，应向监理人提交一份按施工先后次</w:t>
      </w:r>
    </w:p>
    <w:p>
      <w:pPr>
        <w:pStyle w:val="11"/>
        <w:spacing w:before="2" w:line="312" w:lineRule="auto"/>
        <w:ind w:left="424" w:right="387"/>
        <w:jc w:val="both"/>
      </w:pPr>
      <w:r>
        <w:t xml:space="preserve">序所需的永久占地计划。监理人应在收到此计划后的 </w:t>
      </w:r>
      <w:r>
        <w:rPr>
          <w:rFonts w:ascii="Times New Roman" w:eastAsia="Times New Roman"/>
        </w:rPr>
        <w:t xml:space="preserve">14 </w:t>
      </w:r>
      <w: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pPr>
        <w:pStyle w:val="11"/>
        <w:spacing w:line="312" w:lineRule="auto"/>
        <w:ind w:left="424" w:right="382" w:firstLine="391"/>
        <w:jc w:val="both"/>
      </w:pPr>
      <w:r>
        <w:rPr>
          <w:spacing w:val="-5"/>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spacing w:line="312" w:lineRule="auto"/>
        <w:jc w:val="both"/>
        <w:sectPr>
          <w:pgSz w:w="11910" w:h="16850"/>
          <w:pgMar w:top="1480" w:right="1200" w:bottom="1040" w:left="1220" w:header="876" w:footer="853" w:gutter="0"/>
          <w:cols w:space="720" w:num="1"/>
        </w:sectPr>
      </w:pPr>
    </w:p>
    <w:p>
      <w:pPr>
        <w:numPr>
          <w:ilvl w:val="0"/>
          <w:numId w:val="15"/>
        </w:numPr>
        <w:tabs>
          <w:tab w:val="left" w:pos="775"/>
        </w:tabs>
        <w:spacing w:before="126"/>
        <w:ind w:hanging="350"/>
        <w:rPr>
          <w:rFonts w:ascii="黑体" w:eastAsia="黑体"/>
          <w:sz w:val="28"/>
        </w:rPr>
      </w:pPr>
      <w:bookmarkStart w:id="155" w:name="_bookmark167"/>
      <w:bookmarkEnd w:id="155"/>
      <w:r>
        <w:rPr>
          <w:rFonts w:hint="eastAsia" w:ascii="黑体" w:eastAsia="黑体"/>
          <w:sz w:val="28"/>
        </w:rPr>
        <w:t>监理人</w:t>
      </w:r>
    </w:p>
    <w:p>
      <w:pPr>
        <w:pStyle w:val="11"/>
        <w:spacing w:before="4"/>
        <w:rPr>
          <w:rFonts w:ascii="黑体"/>
        </w:rPr>
      </w:pPr>
    </w:p>
    <w:p>
      <w:pPr>
        <w:pStyle w:val="20"/>
        <w:numPr>
          <w:ilvl w:val="1"/>
          <w:numId w:val="15"/>
        </w:numPr>
        <w:tabs>
          <w:tab w:val="left" w:pos="845"/>
        </w:tabs>
        <w:spacing w:before="1"/>
        <w:rPr>
          <w:rFonts w:ascii="黑体" w:eastAsia="黑体"/>
          <w:sz w:val="24"/>
        </w:rPr>
      </w:pPr>
      <w:bookmarkStart w:id="156" w:name="_bookmark168"/>
      <w:bookmarkEnd w:id="156"/>
      <w:r>
        <w:rPr>
          <w:rFonts w:hint="eastAsia" w:ascii="黑体" w:eastAsia="黑体"/>
          <w:sz w:val="24"/>
        </w:rPr>
        <w:t>监理人的职责和权力</w:t>
      </w:r>
    </w:p>
    <w:p>
      <w:pPr>
        <w:pStyle w:val="11"/>
        <w:spacing w:before="10"/>
        <w:rPr>
          <w:rFonts w:ascii="黑体"/>
          <w:sz w:val="25"/>
        </w:rPr>
      </w:pPr>
    </w:p>
    <w:p>
      <w:pPr>
        <w:pStyle w:val="11"/>
        <w:ind w:left="904"/>
      </w:pPr>
      <w:r>
        <w:t xml:space="preserve">第 </w:t>
      </w:r>
      <w:r>
        <w:rPr>
          <w:rFonts w:ascii="Times New Roman" w:eastAsia="Times New Roman"/>
        </w:rPr>
        <w:t xml:space="preserve">3.1.1 </w:t>
      </w:r>
      <w:r>
        <w:t>项补充：</w:t>
      </w:r>
    </w:p>
    <w:p>
      <w:pPr>
        <w:pStyle w:val="11"/>
        <w:spacing w:before="93"/>
        <w:ind w:left="904"/>
      </w:pPr>
      <w:r>
        <w:t>监理人在行使下列权力前需要经发包人事先批准：</w:t>
      </w:r>
    </w:p>
    <w:p>
      <w:pPr>
        <w:pStyle w:val="11"/>
        <w:spacing w:before="94" w:line="312" w:lineRule="auto"/>
        <w:ind w:left="424" w:right="304" w:firstLine="479"/>
      </w:pPr>
      <w:r>
        <w:t>（</w:t>
      </w:r>
      <w:r>
        <w:rPr>
          <w:rFonts w:ascii="Times New Roman" w:eastAsia="Times New Roman"/>
        </w:rPr>
        <w:t>1</w:t>
      </w:r>
      <w:r>
        <w:t xml:space="preserve">）根据第 </w:t>
      </w:r>
      <w:r>
        <w:rPr>
          <w:rFonts w:ascii="Times New Roman" w:eastAsia="Times New Roman"/>
        </w:rPr>
        <w:t xml:space="preserve">4.3 </w:t>
      </w:r>
      <w:r>
        <w:t>款，同意分包本工程的某些非关键性工作或者适合专业化队伍施工的专项工程；</w:t>
      </w:r>
    </w:p>
    <w:p>
      <w:pPr>
        <w:pStyle w:val="11"/>
        <w:ind w:left="904"/>
      </w:pPr>
      <w:r>
        <w:t>（</w:t>
      </w:r>
      <w:r>
        <w:rPr>
          <w:rFonts w:ascii="Times New Roman" w:eastAsia="Times New Roman"/>
        </w:rPr>
        <w:t>2</w:t>
      </w:r>
      <w:r>
        <w:t xml:space="preserve">）确定第 </w:t>
      </w:r>
      <w:r>
        <w:rPr>
          <w:rFonts w:ascii="Times New Roman" w:eastAsia="Times New Roman"/>
        </w:rPr>
        <w:t xml:space="preserve">4.11 </w:t>
      </w:r>
      <w:r>
        <w:t>款下产生的费用增加额；</w:t>
      </w:r>
    </w:p>
    <w:p>
      <w:pPr>
        <w:pStyle w:val="11"/>
        <w:spacing w:before="93" w:line="312" w:lineRule="auto"/>
        <w:ind w:left="424" w:right="385" w:firstLine="479"/>
      </w:pPr>
      <w:r>
        <w:t>（</w:t>
      </w:r>
      <w:r>
        <w:rPr>
          <w:rFonts w:ascii="Times New Roman" w:eastAsia="Times New Roman"/>
        </w:rPr>
        <w:t>3</w:t>
      </w:r>
      <w:r>
        <w:t>）</w:t>
      </w:r>
      <w:r>
        <w:rPr>
          <w:spacing w:val="-16"/>
        </w:rPr>
        <w:t xml:space="preserve">根据第 </w:t>
      </w:r>
      <w:r>
        <w:rPr>
          <w:rFonts w:ascii="Times New Roman" w:eastAsia="Times New Roman"/>
          <w:spacing w:val="-3"/>
        </w:rPr>
        <w:t xml:space="preserve">11.1 </w:t>
      </w:r>
      <w:r>
        <w:rPr>
          <w:spacing w:val="-17"/>
        </w:rPr>
        <w:t xml:space="preserve">款、第 </w:t>
      </w:r>
      <w:r>
        <w:rPr>
          <w:rFonts w:ascii="Times New Roman" w:eastAsia="Times New Roman"/>
        </w:rPr>
        <w:t xml:space="preserve">12.3 </w:t>
      </w:r>
      <w:r>
        <w:rPr>
          <w:spacing w:val="-17"/>
        </w:rPr>
        <w:t xml:space="preserve">款、第 </w:t>
      </w:r>
      <w:r>
        <w:rPr>
          <w:rFonts w:ascii="Times New Roman" w:eastAsia="Times New Roman"/>
        </w:rPr>
        <w:t xml:space="preserve">12.4 </w:t>
      </w:r>
      <w:r>
        <w:rPr>
          <w:spacing w:val="-1"/>
        </w:rPr>
        <w:t>款发布开工通知、暂停施工指示或复工通知；</w:t>
      </w:r>
    </w:p>
    <w:p>
      <w:pPr>
        <w:pStyle w:val="11"/>
        <w:spacing w:line="307" w:lineRule="exact"/>
        <w:ind w:left="904"/>
      </w:pPr>
      <w:r>
        <w:t>（</w:t>
      </w:r>
      <w:r>
        <w:rPr>
          <w:rFonts w:ascii="Times New Roman" w:eastAsia="Times New Roman"/>
        </w:rPr>
        <w:t>4</w:t>
      </w:r>
      <w:r>
        <w:t xml:space="preserve">）决定第 </w:t>
      </w:r>
      <w:r>
        <w:rPr>
          <w:rFonts w:ascii="Times New Roman" w:eastAsia="Times New Roman"/>
        </w:rPr>
        <w:t xml:space="preserve">11.3 </w:t>
      </w:r>
      <w:r>
        <w:t xml:space="preserve">款、第 </w:t>
      </w:r>
      <w:r>
        <w:rPr>
          <w:rFonts w:ascii="Times New Roman" w:eastAsia="Times New Roman"/>
        </w:rPr>
        <w:t xml:space="preserve">11.4 </w:t>
      </w:r>
      <w:r>
        <w:t>款下的工期延长；</w:t>
      </w:r>
    </w:p>
    <w:p>
      <w:pPr>
        <w:pStyle w:val="11"/>
        <w:spacing w:before="94"/>
        <w:ind w:left="904"/>
      </w:pPr>
      <w:r>
        <w:t>（</w:t>
      </w:r>
      <w:r>
        <w:rPr>
          <w:rFonts w:ascii="Times New Roman" w:eastAsia="Times New Roman"/>
        </w:rPr>
        <w:t>5</w:t>
      </w:r>
      <w:r>
        <w:t>）审查批准技术方案或设计的变更；</w:t>
      </w:r>
    </w:p>
    <w:p>
      <w:pPr>
        <w:pStyle w:val="11"/>
        <w:spacing w:before="91" w:line="312" w:lineRule="auto"/>
        <w:ind w:left="424" w:right="382" w:firstLine="479"/>
      </w:pPr>
      <w:r>
        <w:t>（</w:t>
      </w:r>
      <w:r>
        <w:rPr>
          <w:rFonts w:ascii="Times New Roman" w:eastAsia="Times New Roman"/>
        </w:rPr>
        <w:t>6</w:t>
      </w:r>
      <w:r>
        <w:t xml:space="preserve">）根据第 </w:t>
      </w:r>
      <w:r>
        <w:rPr>
          <w:rFonts w:ascii="Times New Roman" w:eastAsia="Times New Roman"/>
        </w:rPr>
        <w:t xml:space="preserve">15.3 </w:t>
      </w:r>
      <w:r>
        <w:t>款发出的变更指示，其单项工程变更或累计变更涉及的金额超过了项目专用合同条款数据表中规定的金额；</w:t>
      </w:r>
    </w:p>
    <w:p>
      <w:pPr>
        <w:pStyle w:val="11"/>
        <w:spacing w:before="2"/>
        <w:ind w:left="904"/>
      </w:pPr>
      <w:r>
        <w:t>（</w:t>
      </w:r>
      <w:r>
        <w:rPr>
          <w:rFonts w:ascii="Times New Roman" w:eastAsia="Times New Roman"/>
        </w:rPr>
        <w:t>7</w:t>
      </w:r>
      <w:r>
        <w:t xml:space="preserve">）确定第 </w:t>
      </w:r>
      <w:r>
        <w:rPr>
          <w:rFonts w:ascii="Times New Roman" w:eastAsia="Times New Roman"/>
        </w:rPr>
        <w:t xml:space="preserve">15.4 </w:t>
      </w:r>
      <w:r>
        <w:t>款下变更工作的单价；</w:t>
      </w:r>
    </w:p>
    <w:p>
      <w:pPr>
        <w:pStyle w:val="11"/>
        <w:spacing w:before="91"/>
        <w:ind w:left="904"/>
      </w:pPr>
      <w:r>
        <w:t>（</w:t>
      </w:r>
      <w:r>
        <w:rPr>
          <w:rFonts w:ascii="Times New Roman" w:eastAsia="Times New Roman"/>
        </w:rPr>
        <w:t>8</w:t>
      </w:r>
      <w:r>
        <w:t xml:space="preserve">）按照第 </w:t>
      </w:r>
      <w:r>
        <w:rPr>
          <w:rFonts w:ascii="Times New Roman" w:eastAsia="Times New Roman"/>
        </w:rPr>
        <w:t xml:space="preserve">15.6 </w:t>
      </w:r>
      <w:r>
        <w:t>款决定有关暂列金额的使用；</w:t>
      </w:r>
    </w:p>
    <w:p>
      <w:pPr>
        <w:pStyle w:val="11"/>
        <w:spacing w:before="93"/>
        <w:ind w:left="904"/>
      </w:pPr>
      <w:r>
        <w:t>（</w:t>
      </w:r>
      <w:r>
        <w:rPr>
          <w:rFonts w:ascii="Times New Roman" w:eastAsia="Times New Roman"/>
        </w:rPr>
        <w:t>9</w:t>
      </w:r>
      <w:r>
        <w:t xml:space="preserve">）确定第 </w:t>
      </w:r>
      <w:r>
        <w:rPr>
          <w:rFonts w:ascii="Times New Roman" w:eastAsia="Times New Roman"/>
        </w:rPr>
        <w:t xml:space="preserve">15.8 </w:t>
      </w:r>
      <w:r>
        <w:t>款下的暂估价金额；</w:t>
      </w:r>
    </w:p>
    <w:p>
      <w:pPr>
        <w:pStyle w:val="11"/>
        <w:spacing w:before="94"/>
        <w:ind w:left="904"/>
      </w:pPr>
      <w:r>
        <w:t>（</w:t>
      </w:r>
      <w:r>
        <w:rPr>
          <w:rFonts w:ascii="Times New Roman" w:eastAsia="Times New Roman"/>
        </w:rPr>
        <w:t>10</w:t>
      </w:r>
      <w:r>
        <w:t xml:space="preserve">）确定第 </w:t>
      </w:r>
      <w:r>
        <w:rPr>
          <w:rFonts w:ascii="Times New Roman" w:eastAsia="Times New Roman"/>
        </w:rPr>
        <w:t xml:space="preserve">23.1 </w:t>
      </w:r>
      <w:r>
        <w:t>款下的索赔额。</w:t>
      </w:r>
    </w:p>
    <w:p>
      <w:pPr>
        <w:pStyle w:val="11"/>
        <w:spacing w:before="114" w:line="343" w:lineRule="auto"/>
        <w:ind w:left="424" w:right="382" w:firstLine="479"/>
        <w:jc w:val="both"/>
      </w:pPr>
      <w:r>
        <w:t xml:space="preserve">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w:t>
      </w:r>
      <w:r>
        <w:rPr>
          <w:rFonts w:ascii="Times New Roman" w:eastAsia="Times New Roman"/>
        </w:rPr>
        <w:t xml:space="preserve">3.5 </w:t>
      </w:r>
      <w:r>
        <w:t>款商定或确定。</w:t>
      </w:r>
    </w:p>
    <w:p>
      <w:pPr>
        <w:pStyle w:val="11"/>
        <w:spacing w:before="201"/>
        <w:ind w:left="424"/>
        <w:rPr>
          <w:rFonts w:ascii="黑体" w:eastAsia="黑体"/>
        </w:rPr>
      </w:pPr>
      <w:bookmarkStart w:id="157" w:name="_bookmark169"/>
      <w:bookmarkEnd w:id="157"/>
      <w:r>
        <w:rPr>
          <w:rFonts w:ascii="Times New Roman" w:eastAsia="Times New Roman"/>
        </w:rPr>
        <w:t>3.5</w:t>
      </w:r>
      <w:r>
        <w:rPr>
          <w:rFonts w:ascii="Times New Roman" w:eastAsia="Times New Roman"/>
          <w:spacing w:val="58"/>
        </w:rPr>
        <w:t xml:space="preserve"> </w:t>
      </w:r>
      <w:r>
        <w:rPr>
          <w:rFonts w:hint="eastAsia" w:ascii="黑体" w:eastAsia="黑体"/>
        </w:rPr>
        <w:t>商定或确定</w:t>
      </w:r>
    </w:p>
    <w:p>
      <w:pPr>
        <w:pStyle w:val="11"/>
        <w:spacing w:before="10"/>
        <w:rPr>
          <w:rFonts w:ascii="黑体"/>
          <w:sz w:val="25"/>
        </w:rPr>
      </w:pPr>
    </w:p>
    <w:p>
      <w:pPr>
        <w:pStyle w:val="11"/>
        <w:ind w:left="904"/>
      </w:pPr>
      <w:r>
        <w:t xml:space="preserve">第 </w:t>
      </w:r>
      <w:r>
        <w:rPr>
          <w:rFonts w:ascii="Times New Roman" w:eastAsia="Times New Roman"/>
        </w:rPr>
        <w:t xml:space="preserve">3.5.1 </w:t>
      </w:r>
      <w:r>
        <w:t>项补充：</w:t>
      </w:r>
    </w:p>
    <w:p>
      <w:pPr>
        <w:pStyle w:val="11"/>
        <w:spacing w:before="93" w:line="312" w:lineRule="auto"/>
        <w:ind w:left="424" w:right="390" w:firstLine="479"/>
      </w:pPr>
      <w:r>
        <w:t>如果这项商定或确定导致费用增加和（或）工期延长，或者涉及确定变更工程的价格，则总监理工程师在发出通知前，应征得发包人的同意。</w:t>
      </w:r>
    </w:p>
    <w:p>
      <w:pPr>
        <w:pStyle w:val="11"/>
        <w:spacing w:before="12"/>
        <w:rPr>
          <w:sz w:val="31"/>
        </w:rPr>
      </w:pPr>
    </w:p>
    <w:p>
      <w:pPr>
        <w:numPr>
          <w:ilvl w:val="0"/>
          <w:numId w:val="15"/>
        </w:numPr>
        <w:tabs>
          <w:tab w:val="left" w:pos="775"/>
        </w:tabs>
        <w:ind w:hanging="350"/>
        <w:rPr>
          <w:rFonts w:ascii="黑体" w:eastAsia="黑体"/>
          <w:sz w:val="28"/>
        </w:rPr>
      </w:pPr>
      <w:bookmarkStart w:id="158" w:name="_bookmark170"/>
      <w:bookmarkEnd w:id="158"/>
      <w:r>
        <w:rPr>
          <w:rFonts w:hint="eastAsia" w:ascii="黑体" w:eastAsia="黑体"/>
          <w:sz w:val="28"/>
        </w:rPr>
        <w:t>承包人</w:t>
      </w:r>
    </w:p>
    <w:p>
      <w:pPr>
        <w:pStyle w:val="11"/>
        <w:spacing w:before="5"/>
        <w:rPr>
          <w:rFonts w:ascii="黑体"/>
        </w:rPr>
      </w:pPr>
    </w:p>
    <w:p>
      <w:pPr>
        <w:pStyle w:val="20"/>
        <w:numPr>
          <w:ilvl w:val="1"/>
          <w:numId w:val="15"/>
        </w:numPr>
        <w:tabs>
          <w:tab w:val="left" w:pos="845"/>
        </w:tabs>
        <w:rPr>
          <w:rFonts w:ascii="黑体" w:eastAsia="黑体"/>
          <w:sz w:val="24"/>
        </w:rPr>
      </w:pPr>
      <w:bookmarkStart w:id="159" w:name="_bookmark171"/>
      <w:bookmarkEnd w:id="159"/>
      <w:r>
        <w:rPr>
          <w:rFonts w:hint="eastAsia" w:ascii="黑体" w:eastAsia="黑体"/>
          <w:sz w:val="24"/>
        </w:rPr>
        <w:t>承包人的一般义务</w:t>
      </w:r>
    </w:p>
    <w:p>
      <w:pPr>
        <w:pStyle w:val="11"/>
        <w:rPr>
          <w:rFonts w:ascii="黑体"/>
          <w:sz w:val="26"/>
        </w:rPr>
      </w:pPr>
    </w:p>
    <w:p>
      <w:pPr>
        <w:pStyle w:val="20"/>
        <w:numPr>
          <w:ilvl w:val="2"/>
          <w:numId w:val="18"/>
        </w:numPr>
        <w:tabs>
          <w:tab w:val="left" w:pos="1495"/>
        </w:tabs>
        <w:rPr>
          <w:rFonts w:ascii="黑体" w:eastAsia="黑体"/>
          <w:sz w:val="24"/>
        </w:rPr>
      </w:pPr>
      <w:r>
        <w:rPr>
          <w:rFonts w:hint="eastAsia" w:ascii="黑体" w:eastAsia="黑体"/>
          <w:sz w:val="24"/>
        </w:rPr>
        <w:t>工程的维护和照管</w:t>
      </w:r>
    </w:p>
    <w:p>
      <w:pPr>
        <w:pStyle w:val="11"/>
        <w:spacing w:before="91"/>
        <w:ind w:left="815"/>
      </w:pPr>
      <w:r>
        <w:t>本项细化为：</w:t>
      </w:r>
    </w:p>
    <w:p>
      <w:pPr>
        <w:sectPr>
          <w:pgSz w:w="11910" w:h="16850"/>
          <w:pgMar w:top="1480" w:right="1200" w:bottom="1080" w:left="1220" w:header="883" w:footer="884" w:gutter="0"/>
          <w:cols w:space="720" w:num="1"/>
        </w:sectPr>
      </w:pPr>
    </w:p>
    <w:p>
      <w:pPr>
        <w:pStyle w:val="11"/>
        <w:spacing w:before="7"/>
        <w:rPr>
          <w:sz w:val="9"/>
        </w:rPr>
      </w:pPr>
    </w:p>
    <w:p>
      <w:pPr>
        <w:pStyle w:val="11"/>
        <w:spacing w:before="74" w:line="312" w:lineRule="auto"/>
        <w:ind w:left="424" w:right="380" w:firstLine="391"/>
        <w:jc w:val="both"/>
      </w:pPr>
      <w:r>
        <w:t>（</w:t>
      </w:r>
      <w:r>
        <w:rPr>
          <w:rFonts w:ascii="Times New Roman" w:eastAsia="Times New Roman"/>
        </w:rPr>
        <w:t>1</w:t>
      </w:r>
      <w: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Style w:val="11"/>
        <w:spacing w:before="1" w:line="312" w:lineRule="auto"/>
        <w:ind w:left="424" w:right="382" w:firstLine="391"/>
        <w:jc w:val="both"/>
      </w:pPr>
      <w:r>
        <w:t>（</w:t>
      </w:r>
      <w:r>
        <w:rPr>
          <w:rFonts w:ascii="Times New Roman" w:eastAsia="Times New Roman"/>
        </w:rPr>
        <w:t>2</w:t>
      </w:r>
      <w:r>
        <w:t xml:space="preserve">）在承包人负责照管与维护期间，如果本工程或材料、设备等发生损失或损害，除不可抗力原因之外，承包人均应自费弥补，并达到合同要求。承包人还应对按第 </w:t>
      </w:r>
      <w:r>
        <w:rPr>
          <w:rFonts w:ascii="Times New Roman" w:eastAsia="Times New Roman"/>
        </w:rPr>
        <w:t xml:space="preserve">19 </w:t>
      </w:r>
      <w:r>
        <w:t>条规定而实施作业过程中由承包人造成的对工程的任何损失或损害负责。</w:t>
      </w:r>
    </w:p>
    <w:p>
      <w:pPr>
        <w:pStyle w:val="20"/>
        <w:numPr>
          <w:ilvl w:val="2"/>
          <w:numId w:val="18"/>
        </w:numPr>
        <w:tabs>
          <w:tab w:val="left" w:pos="1615"/>
        </w:tabs>
        <w:spacing w:before="1"/>
        <w:ind w:left="1614" w:hanging="720"/>
        <w:rPr>
          <w:rFonts w:ascii="黑体" w:eastAsia="黑体"/>
          <w:sz w:val="24"/>
        </w:rPr>
      </w:pPr>
      <w:r>
        <w:rPr>
          <w:rFonts w:hint="eastAsia" w:ascii="黑体" w:eastAsia="黑体"/>
          <w:sz w:val="24"/>
        </w:rPr>
        <w:t>其他义务</w:t>
      </w:r>
    </w:p>
    <w:p>
      <w:pPr>
        <w:pStyle w:val="11"/>
        <w:spacing w:before="91"/>
        <w:ind w:left="815"/>
      </w:pPr>
      <w:r>
        <w:t>本项细化为：</w:t>
      </w:r>
    </w:p>
    <w:p>
      <w:pPr>
        <w:pStyle w:val="11"/>
        <w:spacing w:before="94" w:line="312" w:lineRule="auto"/>
        <w:ind w:left="424" w:right="385" w:firstLine="391"/>
        <w:jc w:val="both"/>
      </w:pPr>
      <w:r>
        <w:t>（</w:t>
      </w:r>
      <w:r>
        <w:rPr>
          <w:rFonts w:ascii="Times New Roman" w:eastAsia="Times New Roman"/>
        </w:rPr>
        <w:t>1</w:t>
      </w:r>
      <w:r>
        <w:t>）</w:t>
      </w:r>
      <w:r>
        <w:rPr>
          <w:spacing w:val="-10"/>
        </w:rPr>
        <w:t xml:space="preserve"> 临时占地由承包人向当地政府土地管理部门申请，并办理租用手续，承包人按有关规定直接支付其费用，发包人对此将予以协调。</w:t>
      </w:r>
    </w:p>
    <w:p>
      <w:pPr>
        <w:pStyle w:val="11"/>
        <w:spacing w:line="312" w:lineRule="auto"/>
        <w:ind w:left="424" w:right="264" w:firstLine="391"/>
      </w:pPr>
      <w: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spacing w:val="-7"/>
        </w:rPr>
        <w:t>临时占地数量、时间及因此而发生的协调、租用、复耕、地面附着物</w:t>
      </w:r>
      <w:r>
        <w:t>（</w:t>
      </w:r>
      <w:r>
        <w:rPr>
          <w:spacing w:val="-4"/>
        </w:rPr>
        <w:t>电力、电信、房屋、坟墓除外）的拆迁补偿等相关费用。除项目专用合同条款另有约定外，临时</w:t>
      </w:r>
      <w:r>
        <w:rPr>
          <w:spacing w:val="-7"/>
        </w:rPr>
        <w:t xml:space="preserve">占地的租地费用实行总额包干，列入工程量清单第 </w:t>
      </w:r>
      <w:r>
        <w:rPr>
          <w:rFonts w:ascii="Times New Roman" w:hAnsi="Times New Roman" w:eastAsia="Times New Roman"/>
        </w:rPr>
        <w:t xml:space="preserve">100 </w:t>
      </w:r>
      <w:r>
        <w:t>章中由承包人按总额报价。</w:t>
      </w:r>
    </w:p>
    <w:p>
      <w:pPr>
        <w:pStyle w:val="11"/>
        <w:spacing w:before="2" w:line="312" w:lineRule="auto"/>
        <w:ind w:left="424" w:right="384" w:firstLine="391"/>
        <w:jc w:val="both"/>
      </w:pPr>
      <w:r>
        <w:rPr>
          <w:spacing w:val="-10"/>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pStyle w:val="11"/>
        <w:spacing w:before="1" w:line="312" w:lineRule="auto"/>
        <w:ind w:left="424" w:right="381" w:firstLine="391"/>
        <w:jc w:val="both"/>
      </w:pPr>
      <w:r>
        <w:t>（</w:t>
      </w:r>
      <w:r>
        <w:rPr>
          <w:rFonts w:ascii="Times New Roman" w:eastAsia="Times New Roman"/>
        </w:rPr>
        <w:t>2</w:t>
      </w:r>
      <w: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Style w:val="11"/>
        <w:spacing w:before="3" w:line="312" w:lineRule="auto"/>
        <w:ind w:left="424" w:right="382" w:firstLine="391"/>
        <w:jc w:val="right"/>
      </w:pPr>
      <w:r>
        <w:t>（</w:t>
      </w:r>
      <w:r>
        <w:rPr>
          <w:rFonts w:ascii="Times New Roman" w:eastAsia="Times New Roman"/>
        </w:rPr>
        <w:t>3</w:t>
      </w:r>
      <w: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w:t>
      </w:r>
    </w:p>
    <w:p>
      <w:pPr>
        <w:pStyle w:val="11"/>
        <w:spacing w:before="1" w:line="312" w:lineRule="auto"/>
        <w:ind w:left="424" w:right="381"/>
        <w:jc w:val="both"/>
      </w:pPr>
      <w:r>
        <w:t>支付的责任人。项目经理部要建立全体民工花名册和工资支付表，确保将工资直接发放给民工本人，或委托银行发放民工工资，严禁发放给</w:t>
      </w:r>
      <w:r>
        <w:rPr>
          <w:rFonts w:ascii="Times New Roman" w:hAnsi="Times New Roman" w:eastAsia="Times New Roman"/>
        </w:rPr>
        <w:t>“</w:t>
      </w:r>
      <w:r>
        <w:t>包工头</w:t>
      </w:r>
      <w:r>
        <w:rPr>
          <w:rFonts w:ascii="Times New Roman" w:hAnsi="Times New Roman" w:eastAsia="Times New Roman"/>
        </w:rPr>
        <w:t>”</w:t>
      </w:r>
      <w:r>
        <w:t>或其他不具备用工主体资格的组织和个人。</w:t>
      </w:r>
    </w:p>
    <w:p>
      <w:pPr>
        <w:pStyle w:val="11"/>
        <w:spacing w:before="1"/>
        <w:ind w:left="815"/>
      </w:pPr>
      <w:r>
        <w:t>工资支付表应如实记录支付单位、支付时间、支付对象、支付数额、支付对象的</w:t>
      </w:r>
    </w:p>
    <w:p>
      <w:pPr>
        <w:sectPr>
          <w:footerReference r:id="rId40" w:type="default"/>
          <w:footerReference r:id="rId41" w:type="even"/>
          <w:pgSz w:w="11910" w:h="16850"/>
          <w:pgMar w:top="1480" w:right="1200" w:bottom="1040" w:left="1220" w:header="876" w:footer="853" w:gutter="0"/>
          <w:pgNumType w:start="120"/>
          <w:cols w:space="720" w:num="1"/>
        </w:sectPr>
      </w:pPr>
    </w:p>
    <w:p>
      <w:pPr>
        <w:pStyle w:val="11"/>
        <w:spacing w:before="2"/>
        <w:rPr>
          <w:sz w:val="10"/>
        </w:rPr>
      </w:pPr>
    </w:p>
    <w:p>
      <w:pPr>
        <w:pStyle w:val="11"/>
        <w:spacing w:before="67"/>
        <w:ind w:left="424"/>
      </w:pPr>
      <w:r>
        <w:t>身份证号和签字等信息。民工花名册和工资支付表应报监理人备查。</w:t>
      </w:r>
    </w:p>
    <w:p>
      <w:pPr>
        <w:pStyle w:val="11"/>
        <w:spacing w:before="91" w:line="312" w:lineRule="auto"/>
        <w:ind w:left="424" w:right="382" w:firstLine="391"/>
        <w:jc w:val="both"/>
      </w:pPr>
      <w:r>
        <w:t>（</w:t>
      </w:r>
      <w:r>
        <w:rPr>
          <w:rFonts w:ascii="Times New Roman" w:eastAsia="Times New Roman"/>
        </w:rPr>
        <w:t>4</w:t>
      </w:r>
      <w: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11"/>
        <w:spacing w:before="3" w:line="312" w:lineRule="auto"/>
        <w:ind w:left="424" w:right="382" w:firstLine="391"/>
        <w:jc w:val="both"/>
      </w:pPr>
      <w:r>
        <w:t>（</w:t>
      </w:r>
      <w:r>
        <w:rPr>
          <w:rFonts w:ascii="Times New Roman" w:eastAsia="Times New Roman"/>
        </w:rPr>
        <w:t>5</w:t>
      </w:r>
      <w:r>
        <w:t>）承包人应严格执行招标文件技术规范对施工标准化提出的具体要求，结合本单位施工能力和技术优势，积极采取有利于标准化施工的组织方式和工艺流程， 加强工地建设、工艺控制、人员管理和内业资料管理，强化对施工一线操作人员的</w:t>
      </w:r>
      <w:r>
        <w:rPr>
          <w:spacing w:val="-2"/>
        </w:rPr>
        <w:t xml:space="preserve">培训，改善职工生产生活条件，与此相关的费用承包人应列入工程量清单第 </w:t>
      </w:r>
      <w:r>
        <w:rPr>
          <w:rFonts w:ascii="Times New Roman" w:eastAsia="Times New Roman"/>
        </w:rPr>
        <w:t xml:space="preserve">100 </w:t>
      </w:r>
      <w:r>
        <w:t>章中。</w:t>
      </w:r>
    </w:p>
    <w:p>
      <w:pPr>
        <w:pStyle w:val="11"/>
        <w:ind w:left="815"/>
      </w:pPr>
      <w:r>
        <w:t>（</w:t>
      </w:r>
      <w:r>
        <w:rPr>
          <w:rFonts w:ascii="Times New Roman" w:eastAsia="Times New Roman"/>
        </w:rPr>
        <w:t>6</w:t>
      </w:r>
      <w:r>
        <w:t>）承包人应履行项目专用合同条款约定的其他义务。</w:t>
      </w:r>
    </w:p>
    <w:p>
      <w:pPr>
        <w:pStyle w:val="11"/>
        <w:spacing w:before="7"/>
      </w:pPr>
    </w:p>
    <w:p>
      <w:pPr>
        <w:pStyle w:val="20"/>
        <w:numPr>
          <w:ilvl w:val="1"/>
          <w:numId w:val="18"/>
        </w:numPr>
        <w:tabs>
          <w:tab w:val="left" w:pos="845"/>
        </w:tabs>
        <w:ind w:left="844" w:hanging="420"/>
        <w:jc w:val="left"/>
        <w:rPr>
          <w:rFonts w:ascii="Times New Roman" w:eastAsia="Times New Roman"/>
          <w:sz w:val="24"/>
        </w:rPr>
      </w:pPr>
      <w:bookmarkStart w:id="160" w:name="_bookmark172"/>
      <w:bookmarkEnd w:id="160"/>
      <w:r>
        <w:rPr>
          <w:rFonts w:hint="eastAsia" w:ascii="黑体" w:eastAsia="黑体"/>
          <w:sz w:val="24"/>
        </w:rPr>
        <w:t>履约保证金</w:t>
      </w:r>
    </w:p>
    <w:p>
      <w:pPr>
        <w:pStyle w:val="11"/>
        <w:spacing w:before="11"/>
        <w:rPr>
          <w:rFonts w:ascii="黑体"/>
          <w:sz w:val="25"/>
        </w:rPr>
      </w:pPr>
    </w:p>
    <w:p>
      <w:pPr>
        <w:pStyle w:val="11"/>
        <w:ind w:left="904"/>
      </w:pPr>
      <w:r>
        <w:t>本款细化为：</w:t>
      </w:r>
    </w:p>
    <w:p>
      <w:pPr>
        <w:pStyle w:val="11"/>
        <w:spacing w:before="93" w:line="312" w:lineRule="auto"/>
        <w:ind w:left="424" w:right="382" w:firstLine="479"/>
        <w:jc w:val="both"/>
      </w:pPr>
      <w:r>
        <w:t>承包人应保证其履约保证金在发包人签发交工验收证书且承包人按照合同约定</w:t>
      </w:r>
      <w:r>
        <w:rPr>
          <w:spacing w:val="-9"/>
        </w:rPr>
        <w:t xml:space="preserve">缴纳质量保证金前一直有效。发包人应在收到承包人缴纳的质量保证金后 </w:t>
      </w:r>
      <w:r>
        <w:rPr>
          <w:rFonts w:ascii="Times New Roman" w:eastAsia="Times New Roman"/>
        </w:rPr>
        <w:t xml:space="preserve">28 </w:t>
      </w:r>
      <w:r>
        <w:t>天内将履约保证金退还给承包人。</w:t>
      </w:r>
    </w:p>
    <w:p>
      <w:pPr>
        <w:pStyle w:val="11"/>
        <w:spacing w:before="1" w:line="312" w:lineRule="auto"/>
        <w:ind w:left="424" w:right="387" w:firstLine="479"/>
        <w:jc w:val="both"/>
      </w:pPr>
      <w:r>
        <w:t>承包人拒绝按照本合同约定缴纳质量保证金的，发包人有权从交工付款证书中扣留相应金额作为质量保证金，或者直接将履约保证金金额用于保证承包人在缺陷责任期内履行缺陷修复义务。</w:t>
      </w:r>
    </w:p>
    <w:p>
      <w:pPr>
        <w:pStyle w:val="11"/>
        <w:spacing w:before="4"/>
        <w:rPr>
          <w:sz w:val="17"/>
        </w:rPr>
      </w:pPr>
    </w:p>
    <w:p>
      <w:pPr>
        <w:pStyle w:val="20"/>
        <w:numPr>
          <w:ilvl w:val="1"/>
          <w:numId w:val="18"/>
        </w:numPr>
        <w:tabs>
          <w:tab w:val="left" w:pos="845"/>
        </w:tabs>
        <w:ind w:left="844" w:hanging="420"/>
        <w:jc w:val="left"/>
        <w:rPr>
          <w:rFonts w:ascii="Times New Roman" w:eastAsia="Times New Roman"/>
          <w:sz w:val="24"/>
        </w:rPr>
      </w:pPr>
      <w:bookmarkStart w:id="161" w:name="_bookmark173"/>
      <w:bookmarkEnd w:id="161"/>
      <w:r>
        <w:rPr>
          <w:rFonts w:hint="eastAsia" w:ascii="黑体" w:eastAsia="黑体"/>
          <w:sz w:val="24"/>
        </w:rPr>
        <w:t>分包</w:t>
      </w:r>
    </w:p>
    <w:p>
      <w:pPr>
        <w:pStyle w:val="11"/>
        <w:spacing w:before="11"/>
        <w:rPr>
          <w:rFonts w:ascii="黑体"/>
          <w:sz w:val="25"/>
        </w:rPr>
      </w:pPr>
    </w:p>
    <w:p>
      <w:pPr>
        <w:pStyle w:val="11"/>
        <w:ind w:left="904"/>
      </w:pPr>
      <w:r>
        <w:t xml:space="preserve">第 </w:t>
      </w:r>
      <w:r>
        <w:rPr>
          <w:rFonts w:ascii="Times New Roman" w:eastAsia="Times New Roman"/>
        </w:rPr>
        <w:t xml:space="preserve">4.3.2 </w:t>
      </w:r>
      <w:r>
        <w:t xml:space="preserve">项～第 </w:t>
      </w:r>
      <w:r>
        <w:rPr>
          <w:rFonts w:ascii="Times New Roman" w:eastAsia="Times New Roman"/>
        </w:rPr>
        <w:t xml:space="preserve">4.3.4 </w:t>
      </w:r>
      <w:r>
        <w:t>项细化为：</w:t>
      </w:r>
    </w:p>
    <w:p>
      <w:pPr>
        <w:pStyle w:val="20"/>
        <w:numPr>
          <w:ilvl w:val="2"/>
          <w:numId w:val="19"/>
        </w:numPr>
        <w:tabs>
          <w:tab w:val="left" w:pos="1505"/>
        </w:tabs>
        <w:spacing w:before="93" w:line="312" w:lineRule="auto"/>
        <w:ind w:right="385" w:firstLine="480"/>
        <w:jc w:val="both"/>
        <w:rPr>
          <w:sz w:val="24"/>
        </w:rPr>
      </w:pPr>
      <w:r>
        <w:rPr>
          <w:spacing w:val="-5"/>
          <w:sz w:val="24"/>
        </w:rPr>
        <w:t>承包人不得将工程关键性工作分包给第三人。经发包人同意，承包人可将工程的其他部分或工作分包给第三人。分包包括专业分包和劳务分包。</w:t>
      </w:r>
    </w:p>
    <w:p>
      <w:pPr>
        <w:pStyle w:val="20"/>
        <w:numPr>
          <w:ilvl w:val="2"/>
          <w:numId w:val="19"/>
        </w:numPr>
        <w:tabs>
          <w:tab w:val="left" w:pos="1505"/>
        </w:tabs>
        <w:spacing w:line="307" w:lineRule="exact"/>
        <w:ind w:firstLine="480"/>
        <w:rPr>
          <w:sz w:val="24"/>
        </w:rPr>
      </w:pPr>
      <w:r>
        <w:rPr>
          <w:sz w:val="24"/>
        </w:rPr>
        <w:t>专业分包</w:t>
      </w:r>
    </w:p>
    <w:p>
      <w:pPr>
        <w:pStyle w:val="11"/>
        <w:spacing w:before="93"/>
        <w:ind w:left="904"/>
      </w:pPr>
      <w:r>
        <w:t>在工程施工过程中，承包人进行专业分包必须遵守以下规定：</w:t>
      </w:r>
    </w:p>
    <w:p>
      <w:pPr>
        <w:pStyle w:val="11"/>
        <w:spacing w:before="94" w:line="312" w:lineRule="auto"/>
        <w:ind w:left="424" w:right="385" w:firstLine="479"/>
        <w:jc w:val="both"/>
      </w:pPr>
      <w:r>
        <w:rPr>
          <w:spacing w:val="-28"/>
        </w:rPr>
        <w:t>（</w:t>
      </w:r>
      <w:r>
        <w:rPr>
          <w:rFonts w:ascii="Times New Roman" w:eastAsia="Times New Roman"/>
          <w:spacing w:val="-28"/>
        </w:rPr>
        <w:t>1</w:t>
      </w:r>
      <w:r>
        <w:rPr>
          <w:spacing w:val="-28"/>
        </w:rPr>
        <w:t>）</w:t>
      </w:r>
      <w: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line="312" w:lineRule="auto"/>
        <w:jc w:val="both"/>
        <w:sectPr>
          <w:pgSz w:w="11910" w:h="16850"/>
          <w:pgMar w:top="1480" w:right="1200" w:bottom="1080" w:left="1220" w:header="883" w:footer="884" w:gutter="0"/>
          <w:cols w:space="720" w:num="1"/>
        </w:sectPr>
      </w:pPr>
    </w:p>
    <w:p>
      <w:pPr>
        <w:pStyle w:val="11"/>
        <w:spacing w:before="7"/>
        <w:rPr>
          <w:sz w:val="9"/>
        </w:rPr>
      </w:pPr>
    </w:p>
    <w:p>
      <w:pPr>
        <w:pStyle w:val="11"/>
        <w:spacing w:before="74" w:line="312" w:lineRule="auto"/>
        <w:ind w:left="424" w:right="305" w:firstLine="479"/>
      </w:pPr>
      <w:r>
        <w:t>（</w:t>
      </w:r>
      <w:r>
        <w:rPr>
          <w:rFonts w:ascii="Times New Roman" w:eastAsia="Times New Roman"/>
        </w:rPr>
        <w:t>2</w:t>
      </w:r>
      <w:r>
        <w:t>）专业分包人的资格能力（含安全生产能力）应与其分包工程的标准和规模相适应，且应当具备如下条件：</w:t>
      </w:r>
    </w:p>
    <w:p>
      <w:pPr>
        <w:pStyle w:val="20"/>
        <w:numPr>
          <w:ilvl w:val="0"/>
          <w:numId w:val="20"/>
        </w:numPr>
        <w:tabs>
          <w:tab w:val="left" w:pos="1190"/>
        </w:tabs>
        <w:spacing w:line="307" w:lineRule="exact"/>
        <w:rPr>
          <w:sz w:val="24"/>
        </w:rPr>
      </w:pPr>
      <w:r>
        <w:rPr>
          <w:sz w:val="24"/>
        </w:rPr>
        <w:t>具有经工商登记的法人资格；</w:t>
      </w:r>
    </w:p>
    <w:p>
      <w:pPr>
        <w:pStyle w:val="20"/>
        <w:numPr>
          <w:ilvl w:val="0"/>
          <w:numId w:val="20"/>
        </w:numPr>
        <w:tabs>
          <w:tab w:val="left" w:pos="1205"/>
        </w:tabs>
        <w:spacing w:before="94"/>
        <w:ind w:left="1204" w:hanging="300"/>
        <w:rPr>
          <w:sz w:val="24"/>
        </w:rPr>
      </w:pPr>
      <w:r>
        <w:rPr>
          <w:sz w:val="24"/>
        </w:rPr>
        <w:t>具有从事类似工程经验的管理与技术人员；</w:t>
      </w:r>
    </w:p>
    <w:p>
      <w:pPr>
        <w:pStyle w:val="20"/>
        <w:numPr>
          <w:ilvl w:val="0"/>
          <w:numId w:val="20"/>
        </w:numPr>
        <w:tabs>
          <w:tab w:val="left" w:pos="1190"/>
        </w:tabs>
        <w:spacing w:before="91"/>
        <w:rPr>
          <w:sz w:val="24"/>
        </w:rPr>
      </w:pPr>
      <w:r>
        <w:rPr>
          <w:sz w:val="24"/>
        </w:rPr>
        <w:t>具有（自有或租赁）分包工程所需的施工设备。</w:t>
      </w:r>
    </w:p>
    <w:p>
      <w:pPr>
        <w:pStyle w:val="11"/>
        <w:spacing w:before="93" w:line="312" w:lineRule="auto"/>
        <w:ind w:left="424" w:right="391" w:firstLine="479"/>
      </w:pPr>
      <w:r>
        <w:t>承包人应向监理人提交专业分包人的资格能力证明材料，经监理人审查并报发包人批准后，可以将相应专业工程分包给该专业分包人。</w:t>
      </w:r>
    </w:p>
    <w:p>
      <w:pPr>
        <w:pStyle w:val="11"/>
        <w:ind w:left="904"/>
      </w:pPr>
      <w:r>
        <w:t>（</w:t>
      </w:r>
      <w:r>
        <w:rPr>
          <w:rFonts w:ascii="Times New Roman" w:eastAsia="Times New Roman"/>
        </w:rPr>
        <w:t>3</w:t>
      </w:r>
      <w:r>
        <w:t>）专业分包工程不得再次分包。</w:t>
      </w:r>
    </w:p>
    <w:p>
      <w:pPr>
        <w:pStyle w:val="11"/>
        <w:spacing w:before="94" w:line="312" w:lineRule="auto"/>
        <w:ind w:left="424" w:right="385" w:firstLine="479"/>
        <w:jc w:val="both"/>
      </w:pPr>
      <w:r>
        <w:rPr>
          <w:spacing w:val="-28"/>
        </w:rPr>
        <w:t>（</w:t>
      </w:r>
      <w:r>
        <w:rPr>
          <w:rFonts w:ascii="Times New Roman" w:eastAsia="Times New Roman"/>
          <w:spacing w:val="-28"/>
        </w:rPr>
        <w:t>4</w:t>
      </w:r>
      <w:r>
        <w:rPr>
          <w:spacing w:val="-28"/>
        </w:rPr>
        <w:t>）</w:t>
      </w:r>
      <w: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pPr>
        <w:pStyle w:val="11"/>
        <w:spacing w:before="1" w:line="312" w:lineRule="auto"/>
        <w:ind w:left="424" w:right="301" w:firstLine="479"/>
      </w:pPr>
      <w:r>
        <w:t>（</w:t>
      </w:r>
      <w:r>
        <w:rPr>
          <w:rFonts w:ascii="Times New Roman" w:eastAsia="Times New Roman"/>
        </w:rPr>
        <w:t>5</w:t>
      </w:r>
      <w: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pStyle w:val="11"/>
        <w:spacing w:before="2" w:line="312" w:lineRule="auto"/>
        <w:ind w:left="424" w:right="299" w:firstLine="479"/>
      </w:pPr>
      <w:r>
        <w:t>（</w:t>
      </w:r>
      <w:r>
        <w:rPr>
          <w:rFonts w:ascii="Times New Roman" w:eastAsia="Times New Roman"/>
        </w:rPr>
        <w:t>6</w:t>
      </w:r>
      <w: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pStyle w:val="11"/>
        <w:spacing w:line="312" w:lineRule="auto"/>
        <w:ind w:left="424" w:right="386" w:firstLine="479"/>
        <w:jc w:val="both"/>
      </w:pPr>
      <w:r>
        <w:rPr>
          <w:spacing w:val="-10"/>
        </w:rPr>
        <w:t>（</w:t>
      </w:r>
      <w:r>
        <w:rPr>
          <w:rFonts w:ascii="Times New Roman" w:eastAsia="Times New Roman"/>
          <w:spacing w:val="-10"/>
        </w:rPr>
        <w:t>7</w:t>
      </w:r>
      <w:r>
        <w:rPr>
          <w:spacing w:val="-10"/>
        </w:rPr>
        <w:t>）</w:t>
      </w:r>
      <w:r>
        <w:rPr>
          <w:spacing w:val="-3"/>
        </w:rPr>
        <w:t>专业分包人应当依据专业分包合同的约定，组织分包工程的施工，并对分包工程的质量、安全和进度等实施有效控制。专业分包人对其分包的工程向承包人负责，并就所分包的工程向发包人承担连带责任。</w:t>
      </w:r>
    </w:p>
    <w:p>
      <w:pPr>
        <w:pStyle w:val="11"/>
        <w:spacing w:before="1" w:line="312" w:lineRule="auto"/>
        <w:ind w:left="424" w:right="262" w:firstLine="479"/>
      </w:pPr>
      <w:r>
        <w:rPr>
          <w:spacing w:val="-15"/>
        </w:rPr>
        <w:t>（</w:t>
      </w:r>
      <w:r>
        <w:rPr>
          <w:rFonts w:ascii="Times New Roman" w:eastAsia="Times New Roman"/>
          <w:spacing w:val="-15"/>
        </w:rPr>
        <w:t>8</w:t>
      </w:r>
      <w:r>
        <w:rPr>
          <w:spacing w:val="-15"/>
        </w:rPr>
        <w:t>）</w:t>
      </w:r>
      <w:r>
        <w:rPr>
          <w:spacing w:val="-4"/>
        </w:rPr>
        <w:t>承包人对施工现场安全负总责，并对专业分包人的安全生产进行培训和管</w:t>
      </w:r>
      <w:r>
        <w:rPr>
          <w:spacing w:val="-10"/>
        </w:rPr>
        <w:t>理。专业分包人应将其专业分包工程的施工组织设计和施工安全方案报承包人备案。专业分包人对分包施工现场安全负责，发现事故隐患，应及时处理。</w:t>
      </w:r>
    </w:p>
    <w:p>
      <w:pPr>
        <w:pStyle w:val="11"/>
        <w:spacing w:before="1"/>
        <w:ind w:left="904"/>
      </w:pPr>
      <w:r>
        <w:t>违反上述规定之一者属违规分包。</w:t>
      </w:r>
    </w:p>
    <w:p>
      <w:pPr>
        <w:pStyle w:val="20"/>
        <w:numPr>
          <w:ilvl w:val="2"/>
          <w:numId w:val="19"/>
        </w:numPr>
        <w:tabs>
          <w:tab w:val="left" w:pos="1505"/>
        </w:tabs>
        <w:spacing w:before="93"/>
        <w:ind w:firstLine="480"/>
        <w:rPr>
          <w:sz w:val="24"/>
        </w:rPr>
      </w:pPr>
      <w:r>
        <w:rPr>
          <w:sz w:val="24"/>
        </w:rPr>
        <w:t>劳务分包</w:t>
      </w:r>
    </w:p>
    <w:p>
      <w:pPr>
        <w:pStyle w:val="11"/>
        <w:spacing w:before="94"/>
        <w:ind w:left="904"/>
      </w:pPr>
      <w:r>
        <w:t>在工程施工过程中，承包人进行劳务分包必须遵守以下规定：</w:t>
      </w:r>
    </w:p>
    <w:p>
      <w:pPr>
        <w:pStyle w:val="11"/>
        <w:spacing w:before="91"/>
        <w:ind w:left="904"/>
      </w:pPr>
      <w:r>
        <w:t>（</w:t>
      </w:r>
      <w:r>
        <w:rPr>
          <w:rFonts w:ascii="Times New Roman" w:eastAsia="Times New Roman"/>
        </w:rPr>
        <w:t>1</w:t>
      </w:r>
      <w:r>
        <w:t>）劳务分包人应具有施工劳务资质。</w:t>
      </w:r>
    </w:p>
    <w:p>
      <w:pPr>
        <w:pStyle w:val="11"/>
        <w:spacing w:before="93" w:line="312" w:lineRule="auto"/>
        <w:ind w:left="424" w:right="305" w:firstLine="479"/>
      </w:pPr>
      <w:r>
        <w:t>（</w:t>
      </w:r>
      <w:r>
        <w:rPr>
          <w:rFonts w:ascii="Times New Roman" w:eastAsia="Times New Roman"/>
        </w:rPr>
        <w:t>2</w:t>
      </w:r>
      <w:r>
        <w:t>）劳务分包应当依法签订劳务分包合同，劳务分包合同必须由承包人的法定代表人或其委托代理人与劳务分包人直接签订，不得由他人代签。承包人的项目经</w:t>
      </w:r>
    </w:p>
    <w:p>
      <w:pPr>
        <w:spacing w:line="312" w:lineRule="auto"/>
        <w:sectPr>
          <w:pgSz w:w="11910" w:h="16850"/>
          <w:pgMar w:top="1480" w:right="1200" w:bottom="1040" w:left="1220" w:header="876" w:footer="853" w:gutter="0"/>
          <w:cols w:space="720" w:num="1"/>
        </w:sectPr>
      </w:pPr>
    </w:p>
    <w:p>
      <w:pPr>
        <w:pStyle w:val="11"/>
        <w:spacing w:before="2"/>
        <w:rPr>
          <w:sz w:val="10"/>
        </w:rPr>
      </w:pPr>
    </w:p>
    <w:p>
      <w:pPr>
        <w:pStyle w:val="11"/>
        <w:spacing w:before="67" w:line="312" w:lineRule="auto"/>
        <w:ind w:left="424" w:right="387"/>
        <w:jc w:val="both"/>
      </w:pPr>
      <w:r>
        <w:t>理部、项目经理、施工班组等不具备用工主体资格，不能与劳务分包人签订劳务分包合同。承包人应向发包人和监理人提交劳务分包合同副本并报项目所在地劳动保障部门备案。</w:t>
      </w:r>
    </w:p>
    <w:p>
      <w:pPr>
        <w:pStyle w:val="11"/>
        <w:spacing w:line="312" w:lineRule="auto"/>
        <w:ind w:left="424" w:right="386" w:firstLine="479"/>
        <w:jc w:val="both"/>
      </w:pPr>
      <w:r>
        <w:rPr>
          <w:spacing w:val="-15"/>
        </w:rPr>
        <w:t>（</w:t>
      </w:r>
      <w:r>
        <w:rPr>
          <w:rFonts w:ascii="Times New Roman" w:eastAsia="Times New Roman"/>
          <w:spacing w:val="-15"/>
        </w:rPr>
        <w:t>3</w:t>
      </w:r>
      <w:r>
        <w:rPr>
          <w:spacing w:val="-15"/>
        </w:rPr>
        <w:t>）</w:t>
      </w:r>
      <w:r>
        <w:rPr>
          <w:spacing w:val="-2"/>
        </w:rPr>
        <w:t>承包人雇用的劳务作业应加入到承包人的施工班组统一管理。有关施工质量、施工安全、施工进度、环境保护、技术方案、试验检测、材料保管与供应、机械设备等都必须由承包人管理与调配，不得以包代管。</w:t>
      </w:r>
    </w:p>
    <w:p>
      <w:pPr>
        <w:pStyle w:val="11"/>
        <w:spacing w:before="1" w:line="312" w:lineRule="auto"/>
        <w:ind w:left="424" w:right="386" w:firstLine="479"/>
        <w:jc w:val="both"/>
      </w:pPr>
      <w:r>
        <w:rPr>
          <w:spacing w:val="-15"/>
        </w:rPr>
        <w:t>（</w:t>
      </w:r>
      <w:r>
        <w:rPr>
          <w:rFonts w:ascii="Times New Roman" w:eastAsia="Times New Roman"/>
          <w:spacing w:val="-15"/>
        </w:rPr>
        <w:t>4</w:t>
      </w:r>
      <w:r>
        <w:rPr>
          <w:spacing w:val="-15"/>
        </w:rPr>
        <w:t>）</w:t>
      </w:r>
      <w:r>
        <w:rPr>
          <w:spacing w:val="-2"/>
        </w:rPr>
        <w:t>承包人应当对劳务分包人员进行安全培训和管理，劳务分包人不得将其分包的劳务作业再次分包。</w:t>
      </w:r>
    </w:p>
    <w:p>
      <w:pPr>
        <w:pStyle w:val="11"/>
        <w:spacing w:line="312" w:lineRule="auto"/>
        <w:ind w:left="904" w:right="4979"/>
      </w:pPr>
      <w:r>
        <w:t>违反上述规定之一者属违规分包。</w:t>
      </w:r>
      <w:r>
        <w:rPr>
          <w:spacing w:val="-10"/>
        </w:rPr>
        <w:t xml:space="preserve">本款补充第 </w:t>
      </w:r>
      <w:r>
        <w:rPr>
          <w:rFonts w:ascii="Times New Roman" w:eastAsia="Times New Roman"/>
        </w:rPr>
        <w:t xml:space="preserve">4.3.6 </w:t>
      </w:r>
      <w:r>
        <w:rPr>
          <w:spacing w:val="-15"/>
        </w:rPr>
        <w:t xml:space="preserve">项、第 </w:t>
      </w:r>
      <w:r>
        <w:rPr>
          <w:rFonts w:ascii="Times New Roman" w:eastAsia="Times New Roman"/>
        </w:rPr>
        <w:t xml:space="preserve">4.3.7 </w:t>
      </w:r>
      <w:r>
        <w:t>项：</w:t>
      </w:r>
    </w:p>
    <w:p>
      <w:pPr>
        <w:pStyle w:val="20"/>
        <w:numPr>
          <w:ilvl w:val="2"/>
          <w:numId w:val="21"/>
        </w:numPr>
        <w:tabs>
          <w:tab w:val="left" w:pos="1505"/>
        </w:tabs>
        <w:spacing w:line="307" w:lineRule="exact"/>
        <w:ind w:firstLine="480"/>
        <w:rPr>
          <w:sz w:val="24"/>
        </w:rPr>
      </w:pPr>
      <w:r>
        <w:rPr>
          <w:sz w:val="24"/>
        </w:rPr>
        <w:t>发包人对承包人与分包人之间的法律与经济纠纷不承担任何责任和义务。</w:t>
      </w:r>
    </w:p>
    <w:p>
      <w:pPr>
        <w:pStyle w:val="20"/>
        <w:numPr>
          <w:ilvl w:val="2"/>
          <w:numId w:val="21"/>
        </w:numPr>
        <w:tabs>
          <w:tab w:val="left" w:pos="1505"/>
        </w:tabs>
        <w:spacing w:before="94" w:line="312" w:lineRule="auto"/>
        <w:ind w:right="384" w:firstLine="480"/>
        <w:jc w:val="both"/>
        <w:rPr>
          <w:sz w:val="24"/>
        </w:rPr>
      </w:pPr>
      <w:r>
        <w:rPr>
          <w:spacing w:val="-6"/>
          <w:sz w:val="24"/>
        </w:rPr>
        <w:t>本项目的各项分包工作均应遵守《公路工程施工分包管理办法》的有关规定。</w:t>
      </w:r>
    </w:p>
    <w:p>
      <w:pPr>
        <w:pStyle w:val="11"/>
        <w:spacing w:before="2"/>
        <w:rPr>
          <w:sz w:val="17"/>
        </w:rPr>
      </w:pPr>
    </w:p>
    <w:p>
      <w:pPr>
        <w:pStyle w:val="20"/>
        <w:numPr>
          <w:ilvl w:val="1"/>
          <w:numId w:val="21"/>
        </w:numPr>
        <w:tabs>
          <w:tab w:val="left" w:pos="845"/>
        </w:tabs>
        <w:ind w:left="844" w:hanging="420"/>
        <w:jc w:val="both"/>
        <w:rPr>
          <w:rFonts w:ascii="Times New Roman" w:eastAsia="Times New Roman"/>
          <w:sz w:val="24"/>
        </w:rPr>
      </w:pPr>
      <w:bookmarkStart w:id="162" w:name="_bookmark174"/>
      <w:bookmarkEnd w:id="162"/>
      <w:r>
        <w:rPr>
          <w:rFonts w:hint="eastAsia" w:ascii="黑体" w:eastAsia="黑体"/>
          <w:sz w:val="24"/>
        </w:rPr>
        <w:t>联合体</w:t>
      </w:r>
    </w:p>
    <w:p>
      <w:pPr>
        <w:pStyle w:val="11"/>
        <w:spacing w:before="1"/>
        <w:rPr>
          <w:rFonts w:ascii="黑体"/>
          <w:sz w:val="26"/>
        </w:rPr>
      </w:pPr>
    </w:p>
    <w:p>
      <w:pPr>
        <w:pStyle w:val="11"/>
        <w:ind w:left="904"/>
      </w:pPr>
      <w:r>
        <w:t xml:space="preserve">本款补充第 </w:t>
      </w:r>
      <w:r>
        <w:rPr>
          <w:rFonts w:ascii="Times New Roman" w:eastAsia="Times New Roman"/>
        </w:rPr>
        <w:t xml:space="preserve">4.4.4 </w:t>
      </w:r>
      <w:r>
        <w:t>项：</w:t>
      </w:r>
    </w:p>
    <w:p>
      <w:pPr>
        <w:pStyle w:val="11"/>
        <w:spacing w:before="91"/>
        <w:ind w:left="904"/>
      </w:pPr>
      <w:r>
        <w:rPr>
          <w:rFonts w:ascii="Times New Roman" w:eastAsia="Times New Roman"/>
        </w:rPr>
        <w:t xml:space="preserve">4.4.4 </w:t>
      </w:r>
      <w:r>
        <w:t>未经发包人事先同意，联合体的组成与结构不得变动。</w:t>
      </w:r>
    </w:p>
    <w:p>
      <w:pPr>
        <w:pStyle w:val="11"/>
        <w:spacing w:before="6"/>
      </w:pPr>
    </w:p>
    <w:p>
      <w:pPr>
        <w:pStyle w:val="20"/>
        <w:numPr>
          <w:ilvl w:val="1"/>
          <w:numId w:val="22"/>
        </w:numPr>
        <w:tabs>
          <w:tab w:val="left" w:pos="845"/>
        </w:tabs>
        <w:spacing w:before="1"/>
        <w:jc w:val="both"/>
        <w:rPr>
          <w:rFonts w:ascii="黑体" w:eastAsia="黑体"/>
          <w:sz w:val="24"/>
        </w:rPr>
      </w:pPr>
      <w:bookmarkStart w:id="163" w:name="_bookmark175"/>
      <w:bookmarkEnd w:id="163"/>
      <w:r>
        <w:rPr>
          <w:rFonts w:hint="eastAsia" w:ascii="黑体" w:eastAsia="黑体"/>
          <w:sz w:val="24"/>
        </w:rPr>
        <w:t>承包人人员的管理</w:t>
      </w:r>
    </w:p>
    <w:p>
      <w:pPr>
        <w:pStyle w:val="11"/>
        <w:spacing w:before="10"/>
        <w:rPr>
          <w:rFonts w:ascii="黑体"/>
          <w:sz w:val="25"/>
        </w:rPr>
      </w:pPr>
    </w:p>
    <w:p>
      <w:pPr>
        <w:pStyle w:val="11"/>
        <w:ind w:left="904"/>
      </w:pPr>
      <w:r>
        <w:t xml:space="preserve">第 </w:t>
      </w:r>
      <w:r>
        <w:rPr>
          <w:rFonts w:ascii="Times New Roman" w:eastAsia="Times New Roman"/>
        </w:rPr>
        <w:t xml:space="preserve">4.6.3 </w:t>
      </w:r>
      <w:r>
        <w:t>项细化为：</w:t>
      </w:r>
    </w:p>
    <w:p>
      <w:pPr>
        <w:pStyle w:val="11"/>
        <w:spacing w:before="93" w:line="312" w:lineRule="auto"/>
        <w:ind w:left="424" w:right="384" w:firstLine="479"/>
        <w:jc w:val="both"/>
      </w:pPr>
      <w: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Style w:val="11"/>
        <w:spacing w:before="3"/>
        <w:ind w:left="904"/>
      </w:pPr>
      <w:r>
        <w:t xml:space="preserve">本款补充第 </w:t>
      </w:r>
      <w:r>
        <w:rPr>
          <w:rFonts w:ascii="Times New Roman" w:eastAsia="Times New Roman"/>
        </w:rPr>
        <w:t xml:space="preserve">4.6.5 </w:t>
      </w:r>
      <w:r>
        <w:t>项：</w:t>
      </w:r>
    </w:p>
    <w:p>
      <w:pPr>
        <w:pStyle w:val="11"/>
        <w:spacing w:before="91" w:line="312" w:lineRule="auto"/>
        <w:ind w:left="424" w:right="382" w:firstLine="479"/>
        <w:jc w:val="both"/>
      </w:pPr>
      <w:r>
        <w:rPr>
          <w:rFonts w:ascii="Times New Roman" w:eastAsia="Times New Roman"/>
        </w:rPr>
        <w:t xml:space="preserve">4.6.5 </w:t>
      </w:r>
      <w:r>
        <w:rPr>
          <w:spacing w:val="-5"/>
        </w:rPr>
        <w:t>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pPr>
        <w:pStyle w:val="11"/>
        <w:spacing w:before="4"/>
        <w:rPr>
          <w:sz w:val="17"/>
        </w:rPr>
      </w:pPr>
    </w:p>
    <w:p>
      <w:pPr>
        <w:pStyle w:val="20"/>
        <w:numPr>
          <w:ilvl w:val="1"/>
          <w:numId w:val="22"/>
        </w:numPr>
        <w:tabs>
          <w:tab w:val="left" w:pos="845"/>
        </w:tabs>
        <w:spacing w:before="1"/>
        <w:jc w:val="both"/>
        <w:rPr>
          <w:rFonts w:ascii="黑体" w:eastAsia="黑体"/>
          <w:sz w:val="24"/>
        </w:rPr>
      </w:pPr>
      <w:bookmarkStart w:id="164" w:name="_bookmark176"/>
      <w:bookmarkEnd w:id="164"/>
      <w:r>
        <w:rPr>
          <w:rFonts w:hint="eastAsia" w:ascii="黑体" w:eastAsia="黑体"/>
          <w:sz w:val="24"/>
        </w:rPr>
        <w:t>撤换承包人项目经理和其他人员</w:t>
      </w:r>
    </w:p>
    <w:p>
      <w:pPr>
        <w:pStyle w:val="11"/>
        <w:spacing w:before="10"/>
        <w:rPr>
          <w:rFonts w:ascii="黑体"/>
          <w:sz w:val="25"/>
        </w:rPr>
      </w:pPr>
    </w:p>
    <w:p>
      <w:pPr>
        <w:pStyle w:val="11"/>
        <w:ind w:left="904"/>
      </w:pPr>
      <w:r>
        <w:t>本款细化为：</w:t>
      </w:r>
    </w:p>
    <w:p>
      <w:pPr>
        <w:pStyle w:val="11"/>
        <w:spacing w:before="94"/>
        <w:ind w:left="904"/>
      </w:pPr>
      <w:r>
        <w:t>承包人应对其项目经理和其他人员进行有效管理。监理人要求撤换不能胜任本</w:t>
      </w:r>
    </w:p>
    <w:p>
      <w:pPr>
        <w:sectPr>
          <w:pgSz w:w="11910" w:h="16850"/>
          <w:pgMar w:top="1480" w:right="1200" w:bottom="1080" w:left="1220" w:header="883" w:footer="884" w:gutter="0"/>
          <w:cols w:space="720" w:num="1"/>
        </w:sectPr>
      </w:pPr>
    </w:p>
    <w:p>
      <w:pPr>
        <w:pStyle w:val="11"/>
        <w:spacing w:before="2"/>
        <w:rPr>
          <w:sz w:val="10"/>
        </w:rPr>
      </w:pPr>
    </w:p>
    <w:p>
      <w:pPr>
        <w:pStyle w:val="11"/>
        <w:spacing w:before="67" w:line="312" w:lineRule="auto"/>
        <w:ind w:left="424" w:right="264"/>
      </w:pPr>
      <w:r>
        <w:rPr>
          <w:spacing w:val="-9"/>
        </w:rPr>
        <w:t>职工作、行为不端或玩忽职守的承包人项目经理和其他人员的，承包人应予以撤换， 同时委派经发包人与监理人同意的新的项目经理和其他人员。</w:t>
      </w:r>
    </w:p>
    <w:p>
      <w:pPr>
        <w:pStyle w:val="11"/>
        <w:spacing w:before="2"/>
        <w:rPr>
          <w:sz w:val="17"/>
        </w:rPr>
      </w:pPr>
    </w:p>
    <w:p>
      <w:pPr>
        <w:pStyle w:val="20"/>
        <w:numPr>
          <w:ilvl w:val="1"/>
          <w:numId w:val="23"/>
        </w:numPr>
        <w:tabs>
          <w:tab w:val="left" w:pos="845"/>
        </w:tabs>
        <w:rPr>
          <w:rFonts w:ascii="黑体" w:eastAsia="黑体"/>
          <w:sz w:val="24"/>
        </w:rPr>
      </w:pPr>
      <w:bookmarkStart w:id="165" w:name="_bookmark177"/>
      <w:bookmarkEnd w:id="165"/>
      <w:r>
        <w:rPr>
          <w:rFonts w:hint="eastAsia" w:ascii="黑体" w:eastAsia="黑体"/>
          <w:sz w:val="24"/>
        </w:rPr>
        <w:t>工程价款应专款专用</w:t>
      </w:r>
    </w:p>
    <w:p>
      <w:pPr>
        <w:pStyle w:val="11"/>
        <w:spacing w:before="11"/>
        <w:rPr>
          <w:rFonts w:ascii="黑体"/>
          <w:sz w:val="25"/>
        </w:rPr>
      </w:pPr>
    </w:p>
    <w:p>
      <w:pPr>
        <w:pStyle w:val="11"/>
        <w:ind w:left="904"/>
      </w:pPr>
      <w:r>
        <w:t>本款细化为：</w:t>
      </w:r>
    </w:p>
    <w:p>
      <w:pPr>
        <w:pStyle w:val="11"/>
        <w:spacing w:before="93" w:line="312" w:lineRule="auto"/>
        <w:ind w:left="424" w:right="384" w:firstLine="479"/>
        <w:jc w:val="both"/>
      </w:pPr>
      <w:r>
        <w:t>发包人按合同约定支付给承包人的各项价款应专用于合同工程。承包人必须在</w:t>
      </w:r>
      <w:r>
        <w:rPr>
          <w:spacing w:val="-10"/>
        </w:rPr>
        <w:t>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11"/>
        <w:spacing w:before="6"/>
        <w:rPr>
          <w:sz w:val="17"/>
        </w:rPr>
      </w:pPr>
    </w:p>
    <w:p>
      <w:pPr>
        <w:pStyle w:val="20"/>
        <w:numPr>
          <w:ilvl w:val="1"/>
          <w:numId w:val="23"/>
        </w:numPr>
        <w:tabs>
          <w:tab w:val="left" w:pos="965"/>
        </w:tabs>
        <w:ind w:left="964" w:hanging="540"/>
        <w:rPr>
          <w:rFonts w:ascii="黑体" w:eastAsia="黑体"/>
          <w:sz w:val="24"/>
        </w:rPr>
      </w:pPr>
      <w:bookmarkStart w:id="166" w:name="_bookmark178"/>
      <w:bookmarkEnd w:id="166"/>
      <w:r>
        <w:rPr>
          <w:rFonts w:hint="eastAsia" w:ascii="黑体" w:eastAsia="黑体"/>
          <w:sz w:val="24"/>
        </w:rPr>
        <w:t>承包人现场查勘</w:t>
      </w:r>
    </w:p>
    <w:p>
      <w:pPr>
        <w:pStyle w:val="11"/>
        <w:spacing w:before="11"/>
        <w:rPr>
          <w:rFonts w:ascii="黑体"/>
          <w:sz w:val="25"/>
        </w:rPr>
      </w:pPr>
    </w:p>
    <w:p>
      <w:pPr>
        <w:pStyle w:val="11"/>
        <w:ind w:left="904"/>
        <w:rPr>
          <w:sz w:val="12"/>
        </w:rPr>
      </w:pPr>
      <w:r>
        <w:t xml:space="preserve">第 </w:t>
      </w:r>
      <w:r>
        <w:rPr>
          <w:rFonts w:ascii="Times New Roman" w:hAnsi="Times New Roman" w:eastAsia="Times New Roman"/>
        </w:rPr>
        <w:t xml:space="preserve">4.10.1 </w:t>
      </w:r>
      <w:r>
        <w:t>项细化为：</w:t>
      </w:r>
      <w:r>
        <w:rPr>
          <w:position w:val="11"/>
          <w:sz w:val="12"/>
        </w:rPr>
        <w:t>①</w:t>
      </w:r>
    </w:p>
    <w:p>
      <w:pPr>
        <w:pStyle w:val="11"/>
        <w:spacing w:before="94" w:line="312" w:lineRule="auto"/>
        <w:ind w:left="424" w:right="387" w:firstLine="479"/>
        <w:jc w:val="both"/>
      </w:pPr>
      <w: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pStyle w:val="11"/>
        <w:spacing w:before="2"/>
        <w:rPr>
          <w:sz w:val="17"/>
        </w:rPr>
      </w:pPr>
    </w:p>
    <w:p>
      <w:pPr>
        <w:pStyle w:val="20"/>
        <w:numPr>
          <w:ilvl w:val="1"/>
          <w:numId w:val="23"/>
        </w:numPr>
        <w:tabs>
          <w:tab w:val="left" w:pos="965"/>
        </w:tabs>
        <w:ind w:left="964" w:hanging="540"/>
        <w:rPr>
          <w:rFonts w:ascii="黑体" w:eastAsia="黑体"/>
          <w:sz w:val="24"/>
        </w:rPr>
      </w:pPr>
      <w:bookmarkStart w:id="167" w:name="_bookmark179"/>
      <w:bookmarkEnd w:id="167"/>
      <w:r>
        <w:rPr>
          <w:rFonts w:hint="eastAsia" w:ascii="黑体" w:eastAsia="黑体"/>
          <w:sz w:val="24"/>
        </w:rPr>
        <w:t>不利物质条件</w:t>
      </w:r>
    </w:p>
    <w:p>
      <w:pPr>
        <w:pStyle w:val="11"/>
        <w:rPr>
          <w:rFonts w:ascii="黑体"/>
          <w:sz w:val="26"/>
        </w:rPr>
      </w:pPr>
    </w:p>
    <w:p>
      <w:pPr>
        <w:pStyle w:val="11"/>
        <w:ind w:left="904"/>
      </w:pPr>
      <w:r>
        <w:t xml:space="preserve">第 </w:t>
      </w:r>
      <w:r>
        <w:rPr>
          <w:rFonts w:ascii="Times New Roman" w:eastAsia="Times New Roman"/>
        </w:rPr>
        <w:t xml:space="preserve">4.11.2 </w:t>
      </w:r>
      <w:r>
        <w:t>项细化为：</w:t>
      </w:r>
    </w:p>
    <w:p>
      <w:pPr>
        <w:pStyle w:val="20"/>
        <w:numPr>
          <w:ilvl w:val="2"/>
          <w:numId w:val="23"/>
        </w:numPr>
        <w:tabs>
          <w:tab w:val="left" w:pos="1558"/>
        </w:tabs>
        <w:spacing w:before="92" w:line="312" w:lineRule="auto"/>
        <w:ind w:right="266" w:firstLine="420"/>
        <w:rPr>
          <w:sz w:val="24"/>
        </w:rPr>
      </w:pPr>
      <w:r>
        <w:rPr>
          <w:sz w:val="24"/>
        </w:rPr>
        <w:t>承包人遇到不可预见的不利物质条件时，应采取适应不利物质条件的合</w:t>
      </w:r>
      <w:r>
        <w:rPr>
          <w:spacing w:val="-7"/>
          <w:sz w:val="24"/>
        </w:rPr>
        <w:t xml:space="preserve">理措施继续施工，并及时通知监理人。监理人应当及时发出指示，指示构成变更的， </w:t>
      </w:r>
      <w:r>
        <w:rPr>
          <w:spacing w:val="-25"/>
          <w:sz w:val="24"/>
        </w:rPr>
        <w:t xml:space="preserve">按第 </w:t>
      </w:r>
      <w:r>
        <w:rPr>
          <w:rFonts w:ascii="Times New Roman" w:eastAsia="Times New Roman"/>
          <w:sz w:val="24"/>
        </w:rPr>
        <w:t xml:space="preserve">15 </w:t>
      </w:r>
      <w:r>
        <w:rPr>
          <w:spacing w:val="-10"/>
          <w:sz w:val="24"/>
        </w:rPr>
        <w:t>条约定办理。监理人没有发出指示的，承包人因采取合理措施而增加的费用和（或）工期延误，由发包人承担。</w:t>
      </w:r>
    </w:p>
    <w:p>
      <w:pPr>
        <w:pStyle w:val="11"/>
        <w:spacing w:before="2"/>
        <w:ind w:left="844"/>
      </w:pPr>
      <w:r>
        <w:t xml:space="preserve">本款补充第 </w:t>
      </w:r>
      <w:r>
        <w:rPr>
          <w:rFonts w:ascii="Times New Roman" w:eastAsia="Times New Roman"/>
        </w:rPr>
        <w:t xml:space="preserve">4.11.3 </w:t>
      </w:r>
      <w:r>
        <w:t>项：</w:t>
      </w:r>
    </w:p>
    <w:p>
      <w:pPr>
        <w:pStyle w:val="20"/>
        <w:numPr>
          <w:ilvl w:val="2"/>
          <w:numId w:val="23"/>
        </w:numPr>
        <w:tabs>
          <w:tab w:val="left" w:pos="1555"/>
        </w:tabs>
        <w:spacing w:before="93"/>
        <w:ind w:left="1554" w:hanging="710"/>
        <w:rPr>
          <w:sz w:val="24"/>
        </w:rPr>
      </w:pPr>
      <w:r>
        <w:rPr>
          <w:sz w:val="24"/>
        </w:rPr>
        <w:t>可预见的不利物质条件</w:t>
      </w:r>
    </w:p>
    <w:p>
      <w:pPr>
        <w:pStyle w:val="11"/>
        <w:spacing w:before="91" w:line="312" w:lineRule="auto"/>
        <w:ind w:left="424" w:right="383" w:firstLine="419"/>
        <w:jc w:val="both"/>
      </w:pPr>
      <w:r>
        <w:rPr>
          <w:spacing w:val="-8"/>
        </w:rPr>
        <w:t>（</w:t>
      </w:r>
      <w:r>
        <w:rPr>
          <w:rFonts w:ascii="Times New Roman" w:eastAsia="Times New Roman"/>
          <w:spacing w:val="-8"/>
        </w:rPr>
        <w:t>1</w:t>
      </w:r>
      <w:r>
        <w:rPr>
          <w:spacing w:val="-8"/>
        </w:rPr>
        <w:t>）</w:t>
      </w:r>
      <w:r>
        <w:t>对于项目专用合同条款中已经明确指出的不利物质条件无论承包人是否有其经历和经验均视为承包人在接受合同时已预见其影响，并已在签约合同价中计入因其影响而可能发生的一切费用。</w:t>
      </w:r>
    </w:p>
    <w:p>
      <w:pPr>
        <w:pStyle w:val="11"/>
        <w:spacing w:before="11"/>
        <w:rPr>
          <w:sz w:val="25"/>
        </w:rPr>
      </w:pPr>
      <w:r>
        <mc:AlternateContent>
          <mc:Choice Requires="wps">
            <w:drawing>
              <wp:anchor distT="0" distB="0" distL="114300" distR="114300" simplePos="0" relativeHeight="251663360" behindDoc="0" locked="0" layoutInCell="1" allowOverlap="1">
                <wp:simplePos x="0" y="0"/>
                <wp:positionH relativeFrom="page">
                  <wp:posOffset>1043940</wp:posOffset>
                </wp:positionH>
                <wp:positionV relativeFrom="paragraph">
                  <wp:posOffset>238760</wp:posOffset>
                </wp:positionV>
                <wp:extent cx="1829435" cy="0"/>
                <wp:effectExtent l="0" t="0" r="0" b="0"/>
                <wp:wrapTopAndBottom/>
                <wp:docPr id="37" name="直线 48"/>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8" o:spid="_x0000_s1026" o:spt="20" style="position:absolute;left:0pt;margin-left:82.2pt;margin-top:18.8pt;height:0pt;width:144.05pt;mso-position-horizontal-relative:page;mso-wrap-distance-bottom:0pt;mso-wrap-distance-top:0pt;z-index:251663360;mso-width-relative:page;mso-height-relative:page;" filled="f" stroked="t" coordsize="21600,21600" o:gfxdata="UEsFBgAAAAAAAAAAAAAAAAAAAAAAAFBLAwQKAAAAAACHTuJAAAAAAAAAAAAAAAAABAAAAGRycy9Q&#10;SwMEFAAAAAgAh07iQN0R4lDYAAAACQEAAA8AAABkcnMvZG93bnJldi54bWxNj8FOwkAQhu8mvsNm&#10;TLzJFiyl1G45aDThYIhAPC/doa3tzjbdhcLbO8aDHv+ZL/98k68uthNnHHzjSMF0EoFAKp1pqFKw&#10;370+pCB80GR05wgVXNHDqri9yXVm3EgfeN6GSnAJ+UwrqEPoMyl9WaPVfuJ6JN4d3WB14DhU0gx6&#10;5HLbyVkUJdLqhvhCrXt8rrFstyer4D2VL27TfpbXr3H3lqbrdrlY75W6v5tGTyACXsIfDD/6rA4F&#10;Ox3ciYwXHeckjhlV8LhIQDAQz2dzEIffgSxy+f+D4htQSwMEFAAAAAgAh07iQL5e16DSAQAAkgMA&#10;AA4AAABkcnMvZTJvRG9jLnhtbK1TzW4TMRC+I/EOlu9kN2kJ6SqbHgjlgqBSywNMbO+uJf/J42ST&#10;Z+E1OHHhcfoajJ00hfaCEDk4Y8/4m+/7PLu83lvDdiqi9q7l00nNmXLCS+36ln+9v3mz4AwTOAnG&#10;O9Xyg0J+vXr9ajmGRs384I1UkRGIw2YMLR9SCk1VoRiUBZz4oBwlOx8tJNrGvpIRRkK3pprV9bwa&#10;fZQheqEQ6XR9TPJVwe86JdKXrkOVmGk5cUtljWXd5LVaLaHpI4RBixMN+AcWFrSjpmeoNSRg26hf&#10;QFktokffpYnwtvJdp4UqGkjNtH6m5m6AoIoWMgfD2Sb8f7Di8+42Mi1bfvGOMweW3ujh2/eHHz/Z&#10;5SK7MwZsqOgu3MbTDinMUvddtPmfRLB9cfRwdlTtExN0OF3Mri4v3nImHnPV08UQMX1U3rIctNxo&#10;l8VCA7tPmKgZlT6W5GPj2NjyeX01JzigWekMJAptIPbo+nIXvdHyRhuTb2DsN+9NZDvIr19+WRLh&#10;/lGWm6wBh2NdSR3nYlAgPzjJ0iGQLY4GmGcKVknOjKJ5zxEBQpNAm7+ppNbGEYPs6tHHHG28PNAr&#10;bEPU/UBOpLhVhWhO0sMXyqchzZP1+76APX1K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dEeJQ&#10;2AAAAAkBAAAPAAAAAAAAAAEAIAAAADgAAABkcnMvZG93bnJldi54bWxQSwECFAAUAAAACACHTuJA&#10;vl7XoNIBAACSAwAADgAAAAAAAAABACAAAAA9AQAAZHJzL2Uyb0RvYy54bWxQSwUGAAAAAAYABgBZ&#10;AQAAgQUAAAAA&#10;">
                <v:fill on="f" focussize="0,0"/>
                <v:stroke weight="0.48pt" color="#000000" joinstyle="round"/>
                <v:imagedata o:title=""/>
                <o:lock v:ext="edit" aspectratio="f"/>
                <w10:wrap type="topAndBottom"/>
              </v:line>
            </w:pict>
          </mc:Fallback>
        </mc:AlternateContent>
      </w:r>
    </w:p>
    <w:p>
      <w:pPr>
        <w:pStyle w:val="11"/>
        <w:spacing w:before="6"/>
        <w:rPr>
          <w:sz w:val="5"/>
        </w:rPr>
      </w:pPr>
    </w:p>
    <w:p>
      <w:pPr>
        <w:spacing w:before="78" w:line="331" w:lineRule="auto"/>
        <w:ind w:left="604" w:right="416" w:hanging="180"/>
        <w:rPr>
          <w:sz w:val="18"/>
        </w:rPr>
      </w:pPr>
      <w:r>
        <w:rPr>
          <w:position w:val="8"/>
          <w:sz w:val="9"/>
        </w:rPr>
        <w:t xml:space="preserve">① </w:t>
      </w:r>
      <w:r>
        <w:rPr>
          <w:sz w:val="18"/>
        </w:rPr>
        <w:t>如果在招标阶段，招标人在图纸中直接指定了取土场和弃土场位置，且作为投标人投标报价的依据，则招标人应在项目专用合同条款中对本项规定进行调整。</w:t>
      </w:r>
    </w:p>
    <w:p>
      <w:pPr>
        <w:spacing w:line="331" w:lineRule="auto"/>
        <w:rPr>
          <w:sz w:val="18"/>
        </w:rPr>
        <w:sectPr>
          <w:pgSz w:w="11910" w:h="16850"/>
          <w:pgMar w:top="1480" w:right="1200" w:bottom="1040" w:left="1220" w:header="876" w:footer="853" w:gutter="0"/>
          <w:cols w:space="720" w:num="1"/>
        </w:sectPr>
      </w:pPr>
    </w:p>
    <w:p>
      <w:pPr>
        <w:pStyle w:val="11"/>
        <w:spacing w:before="7"/>
        <w:rPr>
          <w:sz w:val="9"/>
        </w:rPr>
      </w:pPr>
    </w:p>
    <w:p>
      <w:pPr>
        <w:pStyle w:val="11"/>
        <w:spacing w:before="74" w:line="312" w:lineRule="auto"/>
        <w:ind w:left="424" w:right="382" w:firstLine="419"/>
        <w:jc w:val="both"/>
      </w:pPr>
      <w:r>
        <w:rPr>
          <w:spacing w:val="-3"/>
        </w:rPr>
        <w:t>（</w:t>
      </w:r>
      <w:r>
        <w:rPr>
          <w:rFonts w:ascii="Times New Roman" w:eastAsia="Times New Roman"/>
          <w:spacing w:val="-3"/>
        </w:rPr>
        <w:t>2</w:t>
      </w:r>
      <w:r>
        <w:rPr>
          <w:spacing w:val="-3"/>
        </w:rPr>
        <w:t>）</w:t>
      </w:r>
      <w:r>
        <w:rPr>
          <w:spacing w:val="-2"/>
        </w:rPr>
        <w:t>对于项目专用合同条款未明确指出，但是在不利物质条件发生之前，监理人已经指示承包人有可能发生，但承包人未能及时采取有效措施，而导致的损失和后果均由承包人承担。</w:t>
      </w:r>
    </w:p>
    <w:p>
      <w:pPr>
        <w:pStyle w:val="11"/>
        <w:spacing w:before="2"/>
        <w:rPr>
          <w:sz w:val="31"/>
        </w:rPr>
      </w:pPr>
    </w:p>
    <w:p>
      <w:pPr>
        <w:pStyle w:val="11"/>
        <w:ind w:left="424"/>
      </w:pPr>
      <w:r>
        <w:t xml:space="preserve">补充第 </w:t>
      </w:r>
      <w:r>
        <w:rPr>
          <w:rFonts w:ascii="Times New Roman" w:eastAsia="Times New Roman"/>
        </w:rPr>
        <w:t xml:space="preserve">4.12 </w:t>
      </w:r>
      <w:r>
        <w:t xml:space="preserve">款、第 </w:t>
      </w:r>
      <w:r>
        <w:rPr>
          <w:rFonts w:ascii="Times New Roman" w:eastAsia="Times New Roman"/>
        </w:rPr>
        <w:t xml:space="preserve">4.13 </w:t>
      </w:r>
      <w:r>
        <w:t>款：</w:t>
      </w:r>
    </w:p>
    <w:p>
      <w:pPr>
        <w:pStyle w:val="11"/>
        <w:spacing w:before="7"/>
      </w:pPr>
    </w:p>
    <w:p>
      <w:pPr>
        <w:pStyle w:val="20"/>
        <w:numPr>
          <w:ilvl w:val="1"/>
          <w:numId w:val="23"/>
        </w:numPr>
        <w:tabs>
          <w:tab w:val="left" w:pos="965"/>
        </w:tabs>
        <w:ind w:left="964" w:hanging="540"/>
        <w:rPr>
          <w:rFonts w:ascii="黑体" w:eastAsia="黑体"/>
          <w:sz w:val="24"/>
        </w:rPr>
      </w:pPr>
      <w:bookmarkStart w:id="168" w:name="_bookmark180"/>
      <w:bookmarkEnd w:id="168"/>
      <w:r>
        <w:rPr>
          <w:rFonts w:hint="eastAsia" w:ascii="黑体" w:eastAsia="黑体"/>
          <w:sz w:val="24"/>
        </w:rPr>
        <w:t>投标文件的完备性</w:t>
      </w:r>
    </w:p>
    <w:p>
      <w:pPr>
        <w:pStyle w:val="11"/>
        <w:spacing w:before="11"/>
        <w:rPr>
          <w:rFonts w:ascii="黑体"/>
          <w:sz w:val="25"/>
        </w:rPr>
      </w:pPr>
    </w:p>
    <w:p>
      <w:pPr>
        <w:pStyle w:val="11"/>
        <w:spacing w:line="312" w:lineRule="auto"/>
        <w:ind w:left="424" w:right="388" w:firstLine="479"/>
        <w:jc w:val="both"/>
      </w:pPr>
      <w: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11"/>
        <w:spacing w:before="6"/>
        <w:rPr>
          <w:sz w:val="17"/>
        </w:rPr>
      </w:pPr>
    </w:p>
    <w:p>
      <w:pPr>
        <w:pStyle w:val="20"/>
        <w:numPr>
          <w:ilvl w:val="1"/>
          <w:numId w:val="23"/>
        </w:numPr>
        <w:tabs>
          <w:tab w:val="left" w:pos="965"/>
        </w:tabs>
        <w:ind w:left="964" w:hanging="540"/>
        <w:rPr>
          <w:rFonts w:ascii="黑体" w:eastAsia="黑体"/>
          <w:sz w:val="24"/>
        </w:rPr>
      </w:pPr>
      <w:bookmarkStart w:id="169" w:name="_bookmark181"/>
      <w:bookmarkEnd w:id="169"/>
      <w:r>
        <w:rPr>
          <w:rFonts w:hint="eastAsia" w:ascii="黑体" w:eastAsia="黑体"/>
          <w:sz w:val="24"/>
        </w:rPr>
        <w:t>开展党建工作要求</w:t>
      </w:r>
    </w:p>
    <w:p>
      <w:pPr>
        <w:pStyle w:val="11"/>
        <w:spacing w:before="10"/>
        <w:rPr>
          <w:rFonts w:ascii="黑体"/>
          <w:sz w:val="25"/>
        </w:rPr>
      </w:pPr>
    </w:p>
    <w:p>
      <w:pPr>
        <w:pStyle w:val="11"/>
        <w:spacing w:before="1" w:line="312" w:lineRule="auto"/>
        <w:ind w:left="424" w:right="387" w:firstLine="479"/>
        <w:jc w:val="both"/>
      </w:pPr>
      <w:r>
        <w:t>对于政府投资的国家高速公路项目，或承包人为国有控股或参股企业的，承包人应按规定在项目现场设立基层党组织。不满足上述情形的，承包人应创造条件使党员能够参加党组织生活并接受相应管理。</w:t>
      </w:r>
    </w:p>
    <w:p>
      <w:pPr>
        <w:pStyle w:val="11"/>
        <w:spacing w:before="1" w:line="312" w:lineRule="auto"/>
        <w:ind w:left="424" w:right="387" w:firstLine="479"/>
        <w:jc w:val="both"/>
      </w:pPr>
      <w: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11"/>
        <w:spacing w:before="12"/>
        <w:rPr>
          <w:sz w:val="31"/>
        </w:rPr>
      </w:pPr>
    </w:p>
    <w:p>
      <w:pPr>
        <w:numPr>
          <w:ilvl w:val="0"/>
          <w:numId w:val="15"/>
        </w:numPr>
        <w:tabs>
          <w:tab w:val="left" w:pos="775"/>
        </w:tabs>
        <w:ind w:hanging="350"/>
        <w:rPr>
          <w:rFonts w:ascii="黑体" w:eastAsia="黑体"/>
          <w:sz w:val="28"/>
        </w:rPr>
      </w:pPr>
      <w:bookmarkStart w:id="170" w:name="_bookmark182"/>
      <w:bookmarkEnd w:id="170"/>
      <w:r>
        <w:rPr>
          <w:rFonts w:hint="eastAsia" w:ascii="黑体" w:eastAsia="黑体"/>
          <w:spacing w:val="-1"/>
          <w:sz w:val="28"/>
        </w:rPr>
        <w:t>材料和工程设备</w:t>
      </w:r>
    </w:p>
    <w:p>
      <w:pPr>
        <w:pStyle w:val="11"/>
        <w:spacing w:before="6"/>
        <w:rPr>
          <w:rFonts w:ascii="黑体"/>
        </w:rPr>
      </w:pPr>
    </w:p>
    <w:p>
      <w:pPr>
        <w:pStyle w:val="11"/>
        <w:ind w:left="424"/>
        <w:rPr>
          <w:rFonts w:ascii="黑体" w:eastAsia="黑体"/>
        </w:rPr>
      </w:pPr>
      <w:bookmarkStart w:id="171" w:name="_bookmark183"/>
      <w:bookmarkEnd w:id="171"/>
      <w:r>
        <w:rPr>
          <w:rFonts w:ascii="Times New Roman" w:eastAsia="Times New Roman"/>
        </w:rPr>
        <w:t>5.2</w:t>
      </w:r>
      <w:r>
        <w:rPr>
          <w:rFonts w:ascii="Times New Roman" w:eastAsia="Times New Roman"/>
          <w:spacing w:val="58"/>
        </w:rPr>
        <w:t xml:space="preserve"> </w:t>
      </w:r>
      <w:r>
        <w:rPr>
          <w:rFonts w:hint="eastAsia" w:ascii="黑体" w:eastAsia="黑体"/>
        </w:rPr>
        <w:t>发包人提供的材料和工程设备</w:t>
      </w:r>
    </w:p>
    <w:p>
      <w:pPr>
        <w:pStyle w:val="11"/>
        <w:rPr>
          <w:rFonts w:ascii="黑体"/>
          <w:sz w:val="26"/>
        </w:rPr>
      </w:pPr>
    </w:p>
    <w:p>
      <w:pPr>
        <w:pStyle w:val="11"/>
        <w:ind w:left="904"/>
      </w:pPr>
      <w:r>
        <w:t xml:space="preserve">第 </w:t>
      </w:r>
      <w:r>
        <w:rPr>
          <w:rFonts w:ascii="Times New Roman" w:eastAsia="Times New Roman"/>
        </w:rPr>
        <w:t xml:space="preserve">5.2.3 </w:t>
      </w:r>
      <w:r>
        <w:t>项补充：</w:t>
      </w:r>
    </w:p>
    <w:p>
      <w:pPr>
        <w:pStyle w:val="11"/>
        <w:spacing w:before="91" w:line="312" w:lineRule="auto"/>
        <w:ind w:left="424" w:right="388" w:firstLine="479"/>
        <w:jc w:val="both"/>
      </w:pPr>
      <w: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spacing w:line="312" w:lineRule="auto"/>
        <w:jc w:val="both"/>
        <w:sectPr>
          <w:pgSz w:w="11910" w:h="16850"/>
          <w:pgMar w:top="1480" w:right="1200" w:bottom="1080" w:left="1220" w:header="883" w:footer="884" w:gutter="0"/>
          <w:cols w:space="720" w:num="1"/>
        </w:sectPr>
      </w:pPr>
    </w:p>
    <w:p>
      <w:pPr>
        <w:numPr>
          <w:ilvl w:val="0"/>
          <w:numId w:val="15"/>
        </w:numPr>
        <w:tabs>
          <w:tab w:val="left" w:pos="775"/>
        </w:tabs>
        <w:spacing w:before="126"/>
        <w:ind w:hanging="350"/>
        <w:rPr>
          <w:rFonts w:ascii="黑体" w:eastAsia="黑体"/>
          <w:sz w:val="28"/>
        </w:rPr>
      </w:pPr>
      <w:bookmarkStart w:id="172" w:name="_bookmark184"/>
      <w:bookmarkEnd w:id="172"/>
      <w:r>
        <w:rPr>
          <w:rFonts w:hint="eastAsia" w:ascii="黑体" w:eastAsia="黑体"/>
          <w:spacing w:val="-2"/>
          <w:sz w:val="28"/>
        </w:rPr>
        <w:t>施工设备和临时设施</w:t>
      </w:r>
    </w:p>
    <w:p>
      <w:pPr>
        <w:pStyle w:val="11"/>
        <w:spacing w:before="4"/>
        <w:rPr>
          <w:rFonts w:ascii="黑体"/>
        </w:rPr>
      </w:pPr>
    </w:p>
    <w:p>
      <w:pPr>
        <w:pStyle w:val="20"/>
        <w:numPr>
          <w:ilvl w:val="1"/>
          <w:numId w:val="15"/>
        </w:numPr>
        <w:tabs>
          <w:tab w:val="left" w:pos="845"/>
        </w:tabs>
        <w:spacing w:before="1"/>
        <w:rPr>
          <w:rFonts w:ascii="黑体" w:eastAsia="黑体"/>
          <w:sz w:val="24"/>
        </w:rPr>
      </w:pPr>
      <w:bookmarkStart w:id="173" w:name="_bookmark185"/>
      <w:bookmarkEnd w:id="173"/>
      <w:r>
        <w:rPr>
          <w:rFonts w:hint="eastAsia" w:ascii="黑体" w:eastAsia="黑体"/>
          <w:sz w:val="24"/>
        </w:rPr>
        <w:t>承包人提供的施工设备和临时设施</w:t>
      </w:r>
    </w:p>
    <w:p>
      <w:pPr>
        <w:pStyle w:val="11"/>
        <w:spacing w:before="10"/>
        <w:rPr>
          <w:rFonts w:ascii="黑体"/>
          <w:sz w:val="25"/>
        </w:rPr>
      </w:pPr>
    </w:p>
    <w:p>
      <w:pPr>
        <w:pStyle w:val="11"/>
        <w:ind w:left="844"/>
      </w:pPr>
      <w:r>
        <w:t xml:space="preserve">第 </w:t>
      </w:r>
      <w:r>
        <w:rPr>
          <w:rFonts w:ascii="Times New Roman" w:eastAsia="Times New Roman"/>
        </w:rPr>
        <w:t xml:space="preserve">6.1.2 </w:t>
      </w:r>
      <w:r>
        <w:t>项约定为：</w:t>
      </w:r>
    </w:p>
    <w:p>
      <w:pPr>
        <w:pStyle w:val="11"/>
        <w:spacing w:before="93"/>
        <w:ind w:left="904"/>
      </w:pPr>
      <w:r>
        <w:t>承包人应自行承担修建临时设施的费用，需要临时占地的，应由承包人按第</w:t>
      </w:r>
    </w:p>
    <w:p>
      <w:pPr>
        <w:pStyle w:val="11"/>
        <w:spacing w:before="94"/>
        <w:ind w:left="424"/>
      </w:pPr>
      <w:r>
        <w:rPr>
          <w:rFonts w:ascii="Times New Roman" w:eastAsia="Times New Roman"/>
        </w:rPr>
        <w:t xml:space="preserve">4.1.10 </w:t>
      </w:r>
      <w:r>
        <w:t>项（</w:t>
      </w:r>
      <w:r>
        <w:rPr>
          <w:rFonts w:ascii="Times New Roman" w:eastAsia="Times New Roman"/>
        </w:rPr>
        <w:t>1</w:t>
      </w:r>
      <w:r>
        <w:t>）目的规定办理。</w:t>
      </w:r>
    </w:p>
    <w:p>
      <w:pPr>
        <w:pStyle w:val="11"/>
        <w:spacing w:before="4"/>
      </w:pPr>
    </w:p>
    <w:p>
      <w:pPr>
        <w:pStyle w:val="11"/>
        <w:ind w:left="424"/>
        <w:rPr>
          <w:rFonts w:ascii="黑体" w:eastAsia="黑体"/>
        </w:rPr>
      </w:pPr>
      <w:bookmarkStart w:id="174" w:name="_bookmark186"/>
      <w:bookmarkEnd w:id="174"/>
      <w:r>
        <w:rPr>
          <w:rFonts w:ascii="Times New Roman" w:eastAsia="Times New Roman"/>
        </w:rPr>
        <w:t>6.3</w:t>
      </w:r>
      <w:r>
        <w:rPr>
          <w:rFonts w:ascii="Times New Roman" w:eastAsia="Times New Roman"/>
          <w:spacing w:val="58"/>
        </w:rPr>
        <w:t xml:space="preserve"> </w:t>
      </w:r>
      <w:r>
        <w:rPr>
          <w:rFonts w:hint="eastAsia" w:ascii="黑体" w:eastAsia="黑体"/>
        </w:rPr>
        <w:t>要求承包人增加或更换施工设备</w:t>
      </w:r>
    </w:p>
    <w:p>
      <w:pPr>
        <w:pStyle w:val="11"/>
        <w:spacing w:before="1"/>
        <w:rPr>
          <w:rFonts w:ascii="黑体"/>
          <w:sz w:val="26"/>
        </w:rPr>
      </w:pPr>
    </w:p>
    <w:p>
      <w:pPr>
        <w:pStyle w:val="11"/>
        <w:ind w:left="904"/>
      </w:pPr>
      <w:r>
        <w:t>本款细化为：</w:t>
      </w:r>
    </w:p>
    <w:p>
      <w:pPr>
        <w:pStyle w:val="11"/>
        <w:spacing w:before="91" w:line="312" w:lineRule="auto"/>
        <w:ind w:left="424" w:right="389" w:firstLine="479"/>
        <w:jc w:val="both"/>
      </w:pPr>
      <w: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11"/>
        <w:rPr>
          <w:sz w:val="32"/>
        </w:rPr>
      </w:pPr>
    </w:p>
    <w:p>
      <w:pPr>
        <w:numPr>
          <w:ilvl w:val="0"/>
          <w:numId w:val="15"/>
        </w:numPr>
        <w:tabs>
          <w:tab w:val="left" w:pos="775"/>
        </w:tabs>
        <w:ind w:hanging="350"/>
        <w:rPr>
          <w:rFonts w:ascii="黑体" w:eastAsia="黑体"/>
          <w:sz w:val="28"/>
        </w:rPr>
      </w:pPr>
      <w:bookmarkStart w:id="175" w:name="_bookmark187"/>
      <w:bookmarkEnd w:id="175"/>
      <w:r>
        <w:rPr>
          <w:rFonts w:hint="eastAsia" w:ascii="黑体" w:eastAsia="黑体"/>
          <w:sz w:val="28"/>
        </w:rPr>
        <w:t>交通运输</w:t>
      </w:r>
    </w:p>
    <w:p>
      <w:pPr>
        <w:pStyle w:val="11"/>
        <w:spacing w:before="5"/>
        <w:rPr>
          <w:rFonts w:ascii="黑体"/>
        </w:rPr>
      </w:pPr>
    </w:p>
    <w:p>
      <w:pPr>
        <w:pStyle w:val="20"/>
        <w:numPr>
          <w:ilvl w:val="1"/>
          <w:numId w:val="15"/>
        </w:numPr>
        <w:tabs>
          <w:tab w:val="left" w:pos="845"/>
        </w:tabs>
        <w:spacing w:before="1"/>
        <w:rPr>
          <w:rFonts w:ascii="黑体" w:eastAsia="黑体"/>
          <w:sz w:val="24"/>
        </w:rPr>
      </w:pPr>
      <w:bookmarkStart w:id="176" w:name="_bookmark188"/>
      <w:bookmarkEnd w:id="176"/>
      <w:r>
        <w:rPr>
          <w:rFonts w:hint="eastAsia" w:ascii="黑体" w:eastAsia="黑体"/>
          <w:sz w:val="24"/>
        </w:rPr>
        <w:t>道路通行权和场外设施</w:t>
      </w:r>
    </w:p>
    <w:p>
      <w:pPr>
        <w:pStyle w:val="11"/>
        <w:rPr>
          <w:rFonts w:ascii="黑体"/>
          <w:sz w:val="26"/>
        </w:rPr>
      </w:pPr>
    </w:p>
    <w:p>
      <w:pPr>
        <w:pStyle w:val="11"/>
        <w:ind w:left="844"/>
      </w:pPr>
      <w:r>
        <w:t>本款约定为：</w:t>
      </w:r>
    </w:p>
    <w:p>
      <w:pPr>
        <w:pStyle w:val="11"/>
        <w:spacing w:before="91" w:line="312" w:lineRule="auto"/>
        <w:ind w:left="424" w:right="391" w:firstLine="479"/>
        <w:jc w:val="both"/>
      </w:pPr>
      <w: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pStyle w:val="11"/>
        <w:rPr>
          <w:sz w:val="32"/>
        </w:rPr>
      </w:pPr>
    </w:p>
    <w:p>
      <w:pPr>
        <w:numPr>
          <w:ilvl w:val="0"/>
          <w:numId w:val="15"/>
        </w:numPr>
        <w:tabs>
          <w:tab w:val="left" w:pos="775"/>
        </w:tabs>
        <w:ind w:hanging="350"/>
        <w:rPr>
          <w:rFonts w:ascii="黑体" w:eastAsia="黑体"/>
          <w:sz w:val="28"/>
        </w:rPr>
      </w:pPr>
      <w:bookmarkStart w:id="177" w:name="_bookmark189"/>
      <w:bookmarkEnd w:id="177"/>
      <w:r>
        <w:rPr>
          <w:rFonts w:hint="eastAsia" w:ascii="黑体" w:eastAsia="黑体"/>
          <w:sz w:val="28"/>
        </w:rPr>
        <w:t>测量放线</w:t>
      </w:r>
    </w:p>
    <w:p>
      <w:pPr>
        <w:pStyle w:val="11"/>
        <w:spacing w:before="7"/>
        <w:rPr>
          <w:rFonts w:ascii="黑体"/>
        </w:rPr>
      </w:pPr>
    </w:p>
    <w:p>
      <w:pPr>
        <w:pStyle w:val="11"/>
        <w:ind w:left="424"/>
        <w:rPr>
          <w:rFonts w:ascii="黑体" w:eastAsia="黑体"/>
        </w:rPr>
      </w:pPr>
      <w:bookmarkStart w:id="178" w:name="_bookmark190"/>
      <w:bookmarkEnd w:id="178"/>
      <w:r>
        <w:rPr>
          <w:rFonts w:ascii="Times New Roman" w:eastAsia="Times New Roman"/>
        </w:rPr>
        <w:t>8.4</w:t>
      </w:r>
      <w:r>
        <w:rPr>
          <w:rFonts w:ascii="Times New Roman" w:eastAsia="Times New Roman"/>
          <w:spacing w:val="58"/>
        </w:rPr>
        <w:t xml:space="preserve"> </w:t>
      </w:r>
      <w:r>
        <w:rPr>
          <w:rFonts w:hint="eastAsia" w:ascii="黑体" w:eastAsia="黑体"/>
        </w:rPr>
        <w:t>监理人使用施工控制网</w:t>
      </w:r>
    </w:p>
    <w:p>
      <w:pPr>
        <w:pStyle w:val="11"/>
        <w:spacing w:before="11"/>
        <w:rPr>
          <w:rFonts w:ascii="黑体"/>
          <w:sz w:val="25"/>
        </w:rPr>
      </w:pPr>
    </w:p>
    <w:p>
      <w:pPr>
        <w:pStyle w:val="11"/>
        <w:ind w:left="815"/>
      </w:pPr>
      <w:r>
        <w:t>本款补充：</w:t>
      </w:r>
    </w:p>
    <w:p>
      <w:pPr>
        <w:pStyle w:val="11"/>
        <w:spacing w:before="93"/>
        <w:ind w:left="815"/>
      </w:pPr>
      <w:r>
        <w:t>经监理人批准，其他相关承包人也可免费使用施工控制网。</w:t>
      </w:r>
    </w:p>
    <w:p>
      <w:pPr>
        <w:pStyle w:val="11"/>
      </w:pPr>
    </w:p>
    <w:p>
      <w:pPr>
        <w:numPr>
          <w:ilvl w:val="0"/>
          <w:numId w:val="15"/>
        </w:numPr>
        <w:tabs>
          <w:tab w:val="left" w:pos="775"/>
        </w:tabs>
        <w:spacing w:before="192"/>
        <w:ind w:hanging="350"/>
        <w:rPr>
          <w:rFonts w:ascii="黑体" w:eastAsia="黑体"/>
          <w:sz w:val="28"/>
        </w:rPr>
      </w:pPr>
      <w:bookmarkStart w:id="179" w:name="_bookmark191"/>
      <w:bookmarkEnd w:id="179"/>
      <w:r>
        <w:rPr>
          <w:rFonts w:hint="eastAsia" w:ascii="黑体" w:eastAsia="黑体"/>
          <w:spacing w:val="-3"/>
          <w:sz w:val="28"/>
        </w:rPr>
        <w:t>施工安全、治安保卫和环境保护</w:t>
      </w:r>
    </w:p>
    <w:p>
      <w:pPr>
        <w:pStyle w:val="11"/>
        <w:spacing w:before="8"/>
        <w:rPr>
          <w:rFonts w:ascii="黑体"/>
        </w:rPr>
      </w:pPr>
    </w:p>
    <w:p>
      <w:pPr>
        <w:pStyle w:val="20"/>
        <w:numPr>
          <w:ilvl w:val="1"/>
          <w:numId w:val="24"/>
        </w:numPr>
        <w:tabs>
          <w:tab w:val="left" w:pos="845"/>
        </w:tabs>
        <w:rPr>
          <w:rFonts w:ascii="黑体" w:eastAsia="黑体"/>
          <w:sz w:val="24"/>
        </w:rPr>
      </w:pPr>
      <w:bookmarkStart w:id="180" w:name="_bookmark192"/>
      <w:bookmarkEnd w:id="180"/>
      <w:r>
        <w:rPr>
          <w:rFonts w:hint="eastAsia" w:ascii="黑体" w:eastAsia="黑体"/>
          <w:sz w:val="24"/>
        </w:rPr>
        <w:t>承包人的施工安全责任</w:t>
      </w:r>
    </w:p>
    <w:p>
      <w:pPr>
        <w:pStyle w:val="11"/>
        <w:spacing w:before="10"/>
        <w:rPr>
          <w:rFonts w:ascii="黑体"/>
          <w:sz w:val="25"/>
        </w:rPr>
      </w:pPr>
    </w:p>
    <w:p>
      <w:pPr>
        <w:pStyle w:val="11"/>
        <w:spacing w:before="1"/>
        <w:ind w:left="904"/>
      </w:pPr>
      <w:r>
        <w:t xml:space="preserve">第 </w:t>
      </w:r>
      <w:r>
        <w:rPr>
          <w:rFonts w:ascii="Times New Roman" w:eastAsia="Times New Roman"/>
        </w:rPr>
        <w:t xml:space="preserve">9.2.1 </w:t>
      </w:r>
      <w:r>
        <w:t>项细化为：</w:t>
      </w:r>
    </w:p>
    <w:p>
      <w:pPr>
        <w:pStyle w:val="11"/>
        <w:spacing w:before="93"/>
        <w:ind w:left="904"/>
      </w:pPr>
      <w:r>
        <w:t>承包人应按合同约定履行安全职责，严格执行国家、地方政府有关施工安全管</w:t>
      </w:r>
    </w:p>
    <w:p>
      <w:pPr>
        <w:sectPr>
          <w:pgSz w:w="11910" w:h="16850"/>
          <w:pgMar w:top="1480" w:right="1200" w:bottom="1040" w:left="1220" w:header="876" w:footer="853" w:gutter="0"/>
          <w:cols w:space="720" w:num="1"/>
        </w:sectPr>
      </w:pPr>
    </w:p>
    <w:p>
      <w:pPr>
        <w:pStyle w:val="11"/>
        <w:spacing w:before="2"/>
        <w:rPr>
          <w:sz w:val="10"/>
        </w:rPr>
      </w:pPr>
    </w:p>
    <w:p>
      <w:pPr>
        <w:pStyle w:val="11"/>
        <w:spacing w:before="67" w:line="312" w:lineRule="auto"/>
        <w:ind w:left="424" w:right="388"/>
        <w:jc w:val="both"/>
      </w:pPr>
      <w:r>
        <w:t>理方面的法律、法规及规章制度，同时严格执行发包人制订的本项目安全生产管理方面的规章制度、安全检查程序及施工安全管理要求，以及监理人有关安全工作的指示。</w:t>
      </w:r>
    </w:p>
    <w:p>
      <w:pPr>
        <w:pStyle w:val="11"/>
        <w:spacing w:line="312" w:lineRule="auto"/>
        <w:ind w:left="424" w:right="384" w:firstLine="479"/>
        <w:jc w:val="both"/>
      </w:pPr>
      <w:r>
        <w:t>承包人应根据本工程的实际安全施工要求，编制施工安全技术措施，并在签订</w:t>
      </w:r>
      <w:r>
        <w:rPr>
          <w:spacing w:val="-9"/>
        </w:rPr>
        <w:t xml:space="preserve">合同协议书后 </w:t>
      </w:r>
      <w:r>
        <w:rPr>
          <w:rFonts w:ascii="Times New Roman" w:eastAsia="Times New Roman"/>
        </w:rPr>
        <w:t xml:space="preserve">28 </w:t>
      </w:r>
      <w:r>
        <w:rPr>
          <w:spacing w:val="-9"/>
        </w:rPr>
        <w:t>天内，报监理人和发包人批准。该施工安全技术措施包括</w:t>
      </w:r>
      <w:r>
        <w:t>（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Style w:val="11"/>
        <w:spacing w:before="1"/>
        <w:ind w:left="904"/>
      </w:pPr>
      <w:r>
        <w:t>本项目需要编制专项施工方案的工程包括但不限于以下内容：</w:t>
      </w:r>
    </w:p>
    <w:p>
      <w:pPr>
        <w:pStyle w:val="11"/>
        <w:spacing w:before="93"/>
        <w:ind w:left="904"/>
      </w:pPr>
      <w:r>
        <w:t>（</w:t>
      </w:r>
      <w:r>
        <w:rPr>
          <w:rFonts w:ascii="Times New Roman" w:eastAsia="Times New Roman"/>
        </w:rPr>
        <w:t>1</w:t>
      </w:r>
      <w:r>
        <w:t>）不良地质条件下有潜在危险性的土方、石方开挖；</w:t>
      </w:r>
    </w:p>
    <w:p>
      <w:pPr>
        <w:pStyle w:val="11"/>
        <w:spacing w:before="94"/>
        <w:ind w:left="904"/>
      </w:pPr>
      <w:r>
        <w:t>（</w:t>
      </w:r>
      <w:r>
        <w:rPr>
          <w:rFonts w:ascii="Times New Roman" w:eastAsia="Times New Roman"/>
        </w:rPr>
        <w:t>2</w:t>
      </w:r>
      <w:r>
        <w:t>）滑坡和高边坡处理；</w:t>
      </w:r>
    </w:p>
    <w:p>
      <w:pPr>
        <w:pStyle w:val="11"/>
        <w:spacing w:before="91"/>
        <w:ind w:left="904"/>
      </w:pPr>
      <w:r>
        <w:t>（</w:t>
      </w:r>
      <w:r>
        <w:rPr>
          <w:rFonts w:ascii="Times New Roman" w:eastAsia="Times New Roman"/>
        </w:rPr>
        <w:t>3</w:t>
      </w:r>
      <w:r>
        <w:t>）桩基础、挡墙基础、深水基础及围堰工程；</w:t>
      </w:r>
    </w:p>
    <w:p>
      <w:pPr>
        <w:pStyle w:val="11"/>
        <w:spacing w:before="93"/>
        <w:ind w:left="904"/>
      </w:pPr>
      <w:r>
        <w:t>（</w:t>
      </w:r>
      <w:r>
        <w:rPr>
          <w:rFonts w:ascii="Times New Roman" w:eastAsia="Times New Roman"/>
        </w:rPr>
        <w:t>4</w:t>
      </w:r>
      <w:r>
        <w:t>）桥梁工程中的梁、拱、柱等构件施工等；</w:t>
      </w:r>
    </w:p>
    <w:p>
      <w:pPr>
        <w:pStyle w:val="11"/>
        <w:spacing w:before="94"/>
        <w:ind w:left="904"/>
      </w:pPr>
      <w:r>
        <w:t>（</w:t>
      </w:r>
      <w:r>
        <w:rPr>
          <w:rFonts w:ascii="Times New Roman" w:eastAsia="Times New Roman"/>
        </w:rPr>
        <w:t>5</w:t>
      </w:r>
      <w:r>
        <w:t>）隧道工程中的不良地质隧道、高瓦斯隧道等；</w:t>
      </w:r>
    </w:p>
    <w:p>
      <w:pPr>
        <w:pStyle w:val="11"/>
        <w:spacing w:before="91" w:line="312" w:lineRule="auto"/>
        <w:ind w:left="424" w:right="306" w:firstLine="479"/>
      </w:pPr>
      <w:r>
        <w:t>（</w:t>
      </w:r>
      <w:r>
        <w:rPr>
          <w:rFonts w:ascii="Times New Roman" w:eastAsia="Times New Roman"/>
        </w:rPr>
        <w:t>6</w:t>
      </w:r>
      <w:r>
        <w:t>）水上工程中的打桩船作业、施工船作业、外海孤岛作业、边通航边施工作业等；</w:t>
      </w:r>
    </w:p>
    <w:p>
      <w:pPr>
        <w:pStyle w:val="11"/>
        <w:spacing w:before="2"/>
        <w:ind w:left="904"/>
      </w:pPr>
      <w:r>
        <w:t>（</w:t>
      </w:r>
      <w:r>
        <w:rPr>
          <w:rFonts w:ascii="Times New Roman" w:eastAsia="Times New Roman"/>
        </w:rPr>
        <w:t>7</w:t>
      </w:r>
      <w:r>
        <w:t>）水下工程中的水下焊接、混凝土浇筑、爆破工程等；</w:t>
      </w:r>
    </w:p>
    <w:p>
      <w:pPr>
        <w:pStyle w:val="11"/>
        <w:spacing w:before="91"/>
        <w:ind w:left="904"/>
      </w:pPr>
      <w:r>
        <w:t>（</w:t>
      </w:r>
      <w:r>
        <w:rPr>
          <w:rFonts w:ascii="Times New Roman" w:eastAsia="Times New Roman"/>
        </w:rPr>
        <w:t>8</w:t>
      </w:r>
      <w:r>
        <w:t>）爆破工程；</w:t>
      </w:r>
    </w:p>
    <w:p>
      <w:pPr>
        <w:pStyle w:val="11"/>
        <w:spacing w:before="93" w:line="312" w:lineRule="auto"/>
        <w:ind w:left="424" w:right="305" w:firstLine="479"/>
      </w:pPr>
      <w:r>
        <w:t>（</w:t>
      </w:r>
      <w:r>
        <w:rPr>
          <w:rFonts w:ascii="Times New Roman" w:eastAsia="Times New Roman"/>
        </w:rPr>
        <w:t>9</w:t>
      </w:r>
      <w:r>
        <w:t>）大型临时工程中的大型支架、模板、便桥的架设与拆除；桥梁、码头的加固与拆除；</w:t>
      </w:r>
    </w:p>
    <w:p>
      <w:pPr>
        <w:pStyle w:val="11"/>
        <w:spacing w:line="307" w:lineRule="exact"/>
        <w:ind w:left="904"/>
      </w:pPr>
      <w:r>
        <w:t>（</w:t>
      </w:r>
      <w:r>
        <w:rPr>
          <w:rFonts w:ascii="Times New Roman" w:eastAsia="Times New Roman"/>
        </w:rPr>
        <w:t>10</w:t>
      </w:r>
      <w:r>
        <w:t>）其他危险性较大的工程。</w:t>
      </w:r>
    </w:p>
    <w:p>
      <w:pPr>
        <w:pStyle w:val="11"/>
        <w:spacing w:before="94" w:line="312" w:lineRule="auto"/>
        <w:ind w:left="424" w:right="391" w:firstLine="479"/>
      </w:pPr>
      <w:r>
        <w:t xml:space="preserve">监理人和发包人在检查中发现有安全问题或有违反安全管理规章制度的情况时，可视为承包人违约，应按第 </w:t>
      </w:r>
      <w:r>
        <w:rPr>
          <w:rFonts w:ascii="Times New Roman" w:eastAsia="Times New Roman"/>
        </w:rPr>
        <w:t xml:space="preserve">22.1 </w:t>
      </w:r>
      <w:r>
        <w:t>款的规定办理。</w:t>
      </w:r>
    </w:p>
    <w:p>
      <w:pPr>
        <w:pStyle w:val="11"/>
        <w:spacing w:before="23"/>
        <w:ind w:left="904"/>
      </w:pPr>
      <w:r>
        <w:t xml:space="preserve">第 </w:t>
      </w:r>
      <w:r>
        <w:rPr>
          <w:rFonts w:ascii="Times New Roman" w:eastAsia="Times New Roman"/>
        </w:rPr>
        <w:t xml:space="preserve">9.2.5 </w:t>
      </w:r>
      <w:r>
        <w:t>项细化为：</w:t>
      </w:r>
    </w:p>
    <w:p>
      <w:pPr>
        <w:pStyle w:val="11"/>
        <w:spacing w:before="135" w:line="343" w:lineRule="auto"/>
        <w:ind w:left="424" w:right="382" w:firstLine="479"/>
        <w:jc w:val="both"/>
      </w:pPr>
      <w:r>
        <w:t>除项目专用合同条款另有约定外，安全生产费用应为投标价（不含安全生产费及建筑工程一切险及第三者责任险的保险费</w:t>
      </w:r>
      <w:r>
        <w:rPr>
          <w:spacing w:val="-22"/>
        </w:rPr>
        <w:t>）</w:t>
      </w:r>
      <w:r>
        <w:rPr>
          <w:spacing w:val="-30"/>
        </w:rPr>
        <w:t xml:space="preserve">的 </w:t>
      </w:r>
      <w:r>
        <w:rPr>
          <w:rFonts w:ascii="Times New Roman" w:eastAsia="Times New Roman"/>
          <w:spacing w:val="-5"/>
        </w:rPr>
        <w:t>1.5%</w:t>
      </w:r>
      <w:r>
        <w:rPr>
          <w:spacing w:val="-5"/>
        </w:rPr>
        <w:t>（</w:t>
      </w:r>
      <w:r>
        <w:t xml:space="preserve">若发包人公布了最高投标限价时，按最高投标限价的 </w:t>
      </w:r>
      <w:r>
        <w:rPr>
          <w:rFonts w:ascii="Times New Roman" w:eastAsia="Times New Roman"/>
        </w:rPr>
        <w:t>1.5%</w:t>
      </w:r>
      <w:r>
        <w:t>计</w:t>
      </w:r>
      <w:r>
        <w:rPr>
          <w:spacing w:val="-120"/>
        </w:rPr>
        <w:t>）</w:t>
      </w:r>
      <w: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w:t>
      </w:r>
      <w:r>
        <w:rPr>
          <w:spacing w:val="-3"/>
        </w:rPr>
        <w:t xml:space="preserve">同未约定的特殊防护措施增加的费用，由监理人按第 </w:t>
      </w:r>
      <w:r>
        <w:rPr>
          <w:rFonts w:ascii="Times New Roman" w:eastAsia="Times New Roman"/>
        </w:rPr>
        <w:t xml:space="preserve">3.5 </w:t>
      </w:r>
      <w:r>
        <w:t>款商定或确定。</w:t>
      </w:r>
    </w:p>
    <w:p>
      <w:pPr>
        <w:spacing w:line="343" w:lineRule="auto"/>
        <w:jc w:val="both"/>
        <w:sectPr>
          <w:pgSz w:w="11910" w:h="16850"/>
          <w:pgMar w:top="1480" w:right="1200" w:bottom="1080" w:left="1220" w:header="883" w:footer="884" w:gutter="0"/>
          <w:cols w:space="720" w:num="1"/>
        </w:sectPr>
      </w:pPr>
    </w:p>
    <w:p>
      <w:pPr>
        <w:pStyle w:val="11"/>
        <w:spacing w:before="7"/>
        <w:rPr>
          <w:sz w:val="9"/>
        </w:rPr>
      </w:pPr>
    </w:p>
    <w:p>
      <w:pPr>
        <w:pStyle w:val="11"/>
        <w:spacing w:before="74"/>
        <w:ind w:left="904"/>
      </w:pPr>
      <w:r>
        <w:t xml:space="preserve">本款补充第 </w:t>
      </w:r>
      <w:r>
        <w:rPr>
          <w:rFonts w:ascii="Times New Roman" w:eastAsia="Times New Roman"/>
        </w:rPr>
        <w:t xml:space="preserve">9.2.8 </w:t>
      </w:r>
      <w:r>
        <w:t>项</w:t>
      </w:r>
      <w:r>
        <w:rPr>
          <w:rFonts w:ascii="Times New Roman" w:eastAsia="Times New Roman"/>
        </w:rPr>
        <w:t>~</w:t>
      </w:r>
      <w:r>
        <w:t xml:space="preserve">第 </w:t>
      </w:r>
      <w:r>
        <w:rPr>
          <w:rFonts w:ascii="Times New Roman" w:eastAsia="Times New Roman"/>
        </w:rPr>
        <w:t xml:space="preserve">9.2.11 </w:t>
      </w:r>
      <w:r>
        <w:t>项：</w:t>
      </w:r>
    </w:p>
    <w:p>
      <w:pPr>
        <w:pStyle w:val="20"/>
        <w:numPr>
          <w:ilvl w:val="2"/>
          <w:numId w:val="24"/>
        </w:numPr>
        <w:tabs>
          <w:tab w:val="left" w:pos="1505"/>
        </w:tabs>
        <w:spacing w:before="91" w:line="312" w:lineRule="auto"/>
        <w:ind w:right="382" w:firstLine="480"/>
        <w:jc w:val="both"/>
        <w:rPr>
          <w:sz w:val="24"/>
        </w:rPr>
      </w:pPr>
      <w:r>
        <w:rPr>
          <w:spacing w:val="-4"/>
          <w:sz w:val="24"/>
        </w:rPr>
        <w:t>承包人应充分关注和保障所有在现场工作的人员的安全，采取以下有效措施，使现场和本合同工程的实施保持有条不紊，以免使上述人员的安全受到威胁。</w:t>
      </w:r>
    </w:p>
    <w:p>
      <w:pPr>
        <w:pStyle w:val="11"/>
        <w:spacing w:before="2" w:line="312" w:lineRule="auto"/>
        <w:ind w:left="424" w:right="386" w:firstLine="479"/>
        <w:jc w:val="both"/>
      </w:pPr>
      <w:r>
        <w:rPr>
          <w:spacing w:val="-10"/>
        </w:rPr>
        <w:t>（</w:t>
      </w:r>
      <w:r>
        <w:rPr>
          <w:rFonts w:ascii="Times New Roman" w:eastAsia="Times New Roman"/>
          <w:spacing w:val="-10"/>
        </w:rPr>
        <w:t>1</w:t>
      </w:r>
      <w:r>
        <w:rPr>
          <w:spacing w:val="-10"/>
        </w:rPr>
        <w:t>）</w:t>
      </w:r>
      <w:r>
        <w:rPr>
          <w:spacing w:val="-8"/>
        </w:rPr>
        <w:t>按《公路水运工程安全生产监督管理办法》规定的最低数量和资质条件配备专职安全生产管理人员；</w:t>
      </w:r>
    </w:p>
    <w:p>
      <w:pPr>
        <w:pStyle w:val="11"/>
        <w:spacing w:line="312" w:lineRule="auto"/>
        <w:ind w:left="424" w:right="386" w:firstLine="479"/>
        <w:jc w:val="both"/>
      </w:pPr>
      <w:r>
        <w:rPr>
          <w:spacing w:val="-8"/>
        </w:rPr>
        <w:t>（</w:t>
      </w:r>
      <w:r>
        <w:rPr>
          <w:rFonts w:ascii="Times New Roman" w:eastAsia="Times New Roman"/>
          <w:spacing w:val="-8"/>
        </w:rPr>
        <w:t>2</w:t>
      </w:r>
      <w:r>
        <w:rPr>
          <w:spacing w:val="-8"/>
        </w:rPr>
        <w:t>）</w:t>
      </w:r>
      <w:r>
        <w:rPr>
          <w:spacing w:val="-4"/>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Style w:val="11"/>
        <w:spacing w:before="2"/>
        <w:ind w:left="904"/>
      </w:pPr>
      <w:r>
        <w:t>（</w:t>
      </w:r>
      <w:r>
        <w:rPr>
          <w:rFonts w:ascii="Times New Roman" w:eastAsia="Times New Roman"/>
        </w:rPr>
        <w:t>3</w:t>
      </w:r>
      <w:r>
        <w:rPr>
          <w:spacing w:val="-104"/>
        </w:rPr>
        <w:t>）</w:t>
      </w:r>
      <w:r>
        <w:rPr>
          <w:spacing w:val="-5"/>
        </w:rPr>
        <w:t>所有施工机具设备和高空作业设备均应定期检查，并有安全员的签字记录；</w:t>
      </w:r>
    </w:p>
    <w:p>
      <w:pPr>
        <w:pStyle w:val="11"/>
        <w:spacing w:before="93" w:line="312" w:lineRule="auto"/>
        <w:ind w:left="424" w:right="386" w:firstLine="479"/>
        <w:jc w:val="both"/>
      </w:pPr>
      <w:r>
        <w:rPr>
          <w:spacing w:val="-10"/>
        </w:rPr>
        <w:t>（</w:t>
      </w:r>
      <w:r>
        <w:rPr>
          <w:rFonts w:ascii="Times New Roman" w:eastAsia="Times New Roman"/>
          <w:spacing w:val="-10"/>
        </w:rPr>
        <w:t>4</w:t>
      </w:r>
      <w:r>
        <w:rPr>
          <w:spacing w:val="-10"/>
        </w:rPr>
        <w:t>）</w:t>
      </w:r>
      <w:r>
        <w:rPr>
          <w:spacing w:val="-4"/>
        </w:rPr>
        <w:t>根据本合同各单位工程的施工特点，严格执行《公路水运工程安全生产监</w:t>
      </w:r>
      <w:r>
        <w:rPr>
          <w:spacing w:val="-13"/>
        </w:rPr>
        <w:t>督管理办法》《公路工程施工安全技术规范》等有关规定。</w:t>
      </w:r>
    </w:p>
    <w:p>
      <w:pPr>
        <w:pStyle w:val="20"/>
        <w:numPr>
          <w:ilvl w:val="2"/>
          <w:numId w:val="24"/>
        </w:numPr>
        <w:tabs>
          <w:tab w:val="left" w:pos="1510"/>
        </w:tabs>
        <w:spacing w:line="312" w:lineRule="auto"/>
        <w:ind w:right="391" w:firstLine="480"/>
        <w:jc w:val="both"/>
        <w:rPr>
          <w:sz w:val="24"/>
        </w:rPr>
      </w:pPr>
      <w:r>
        <w:rPr>
          <w:spacing w:val="1"/>
          <w:sz w:val="24"/>
        </w:rPr>
        <w:t>为了保护本合同工程免遭损坏，或为了现场附近和过往群众的安全与方便，在确有必要的时候和地方，或当监理人或有关主管部门要求时，承包人应自费提供照明、警卫、护栅、警告标志等安全防护设施。</w:t>
      </w:r>
    </w:p>
    <w:p>
      <w:pPr>
        <w:pStyle w:val="20"/>
        <w:numPr>
          <w:ilvl w:val="2"/>
          <w:numId w:val="24"/>
        </w:numPr>
        <w:tabs>
          <w:tab w:val="left" w:pos="1625"/>
        </w:tabs>
        <w:spacing w:line="312" w:lineRule="auto"/>
        <w:ind w:right="386" w:firstLine="480"/>
        <w:jc w:val="both"/>
        <w:rPr>
          <w:sz w:val="24"/>
        </w:rPr>
      </w:pPr>
      <w:r>
        <w:rPr>
          <w:sz w:val="24"/>
        </w:rPr>
        <w:t>在通航水域施工时，承包人应与当地主管部门取得联系，设置必要的导航标志，及时发布航行通告，确保施工水域安全。</w:t>
      </w:r>
    </w:p>
    <w:p>
      <w:pPr>
        <w:pStyle w:val="20"/>
        <w:numPr>
          <w:ilvl w:val="2"/>
          <w:numId w:val="24"/>
        </w:numPr>
        <w:tabs>
          <w:tab w:val="left" w:pos="1618"/>
        </w:tabs>
        <w:spacing w:line="312" w:lineRule="auto"/>
        <w:ind w:right="382" w:firstLine="480"/>
        <w:jc w:val="both"/>
        <w:rPr>
          <w:sz w:val="24"/>
        </w:rPr>
      </w:pP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11"/>
        <w:spacing w:before="5"/>
        <w:rPr>
          <w:sz w:val="17"/>
        </w:rPr>
      </w:pPr>
    </w:p>
    <w:p>
      <w:pPr>
        <w:pStyle w:val="20"/>
        <w:numPr>
          <w:ilvl w:val="1"/>
          <w:numId w:val="25"/>
        </w:numPr>
        <w:tabs>
          <w:tab w:val="left" w:pos="845"/>
        </w:tabs>
        <w:rPr>
          <w:rFonts w:ascii="黑体" w:eastAsia="黑体"/>
          <w:sz w:val="24"/>
        </w:rPr>
      </w:pPr>
      <w:bookmarkStart w:id="181" w:name="_bookmark193"/>
      <w:bookmarkEnd w:id="181"/>
      <w:r>
        <w:rPr>
          <w:rFonts w:hint="eastAsia" w:ascii="黑体" w:eastAsia="黑体"/>
          <w:sz w:val="24"/>
        </w:rPr>
        <w:t>环境保护</w:t>
      </w:r>
    </w:p>
    <w:p>
      <w:pPr>
        <w:pStyle w:val="11"/>
        <w:spacing w:before="11"/>
        <w:rPr>
          <w:rFonts w:ascii="黑体"/>
          <w:sz w:val="25"/>
        </w:rPr>
      </w:pPr>
    </w:p>
    <w:p>
      <w:pPr>
        <w:pStyle w:val="11"/>
        <w:ind w:left="904"/>
      </w:pPr>
      <w:r>
        <w:t xml:space="preserve">本款补充第 </w:t>
      </w:r>
      <w:r>
        <w:rPr>
          <w:rFonts w:ascii="Times New Roman" w:eastAsia="Times New Roman"/>
        </w:rPr>
        <w:t xml:space="preserve">9.4.7 </w:t>
      </w:r>
      <w:r>
        <w:t>项</w:t>
      </w:r>
      <w:r>
        <w:rPr>
          <w:rFonts w:ascii="Times New Roman" w:eastAsia="Times New Roman"/>
        </w:rPr>
        <w:t>~</w:t>
      </w:r>
      <w:r>
        <w:t xml:space="preserve">第 </w:t>
      </w:r>
      <w:r>
        <w:rPr>
          <w:rFonts w:ascii="Times New Roman" w:eastAsia="Times New Roman"/>
        </w:rPr>
        <w:t xml:space="preserve">9.4.11 </w:t>
      </w:r>
      <w:r>
        <w:t>项：</w:t>
      </w:r>
    </w:p>
    <w:p>
      <w:pPr>
        <w:pStyle w:val="20"/>
        <w:numPr>
          <w:ilvl w:val="2"/>
          <w:numId w:val="25"/>
        </w:numPr>
        <w:tabs>
          <w:tab w:val="left" w:pos="1505"/>
        </w:tabs>
        <w:spacing w:before="94"/>
        <w:ind w:firstLine="480"/>
        <w:rPr>
          <w:sz w:val="24"/>
        </w:rPr>
      </w:pPr>
      <w:r>
        <w:rPr>
          <w:sz w:val="24"/>
        </w:rPr>
        <w:t>承包人应切实执行技术规范中有关环境保护方面的条款和规定。</w:t>
      </w:r>
    </w:p>
    <w:p>
      <w:pPr>
        <w:pStyle w:val="11"/>
        <w:spacing w:before="93" w:line="312" w:lineRule="auto"/>
        <w:ind w:left="424" w:right="383" w:firstLine="479"/>
        <w:jc w:val="both"/>
      </w:pPr>
      <w:r>
        <w:rPr>
          <w:spacing w:val="-10"/>
        </w:rPr>
        <w:t>（</w:t>
      </w:r>
      <w:r>
        <w:rPr>
          <w:rFonts w:ascii="Times New Roman" w:eastAsia="Times New Roman"/>
          <w:spacing w:val="-10"/>
        </w:rPr>
        <w:t>1</w:t>
      </w:r>
      <w:r>
        <w:rPr>
          <w:spacing w:val="-10"/>
        </w:rPr>
        <w:t>）</w:t>
      </w:r>
      <w:r>
        <w:rPr>
          <w:spacing w:val="-3"/>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w:t>
      </w:r>
      <w:r>
        <w:rPr>
          <w:spacing w:val="-4"/>
        </w:rPr>
        <w:t xml:space="preserve">水平。为保护施工现场附近居民的夜间休息，对居民区 </w:t>
      </w:r>
      <w:r>
        <w:rPr>
          <w:rFonts w:ascii="Times New Roman" w:eastAsia="Times New Roman"/>
        </w:rPr>
        <w:t xml:space="preserve">150m </w:t>
      </w:r>
      <w:r>
        <w:t>以内的施工现场，施工时间应加以控制。</w:t>
      </w:r>
    </w:p>
    <w:p>
      <w:pPr>
        <w:pStyle w:val="11"/>
        <w:spacing w:before="1" w:line="312" w:lineRule="auto"/>
        <w:ind w:left="424" w:right="385" w:firstLine="479"/>
        <w:jc w:val="both"/>
      </w:pPr>
      <w:r>
        <w:rPr>
          <w:spacing w:val="-15"/>
        </w:rPr>
        <w:t>（</w:t>
      </w:r>
      <w:r>
        <w:rPr>
          <w:rFonts w:ascii="Times New Roman" w:hAnsi="Times New Roman" w:eastAsia="Times New Roman"/>
          <w:spacing w:val="-15"/>
        </w:rPr>
        <w:t>2</w:t>
      </w:r>
      <w:r>
        <w:rPr>
          <w:spacing w:val="-15"/>
        </w:rPr>
        <w:t>）</w:t>
      </w:r>
      <w:r>
        <w:t>对于公路施工中粉尘污染的主要污染源</w:t>
      </w:r>
      <w:r>
        <w:rPr>
          <w:rFonts w:ascii="Times New Roman" w:hAnsi="Times New Roman" w:eastAsia="Times New Roman"/>
        </w:rPr>
        <w:t>――</w:t>
      </w:r>
      <w:r>
        <w:rPr>
          <w:spacing w:val="-7"/>
        </w:rPr>
        <w:t>灰土拌和、施工车辆和筑路机械运行及运输产生的扬尘，应采取有效措施减轻其对施工现场的大气污染，保护人民健康，如：</w:t>
      </w:r>
    </w:p>
    <w:p>
      <w:pPr>
        <w:spacing w:line="312" w:lineRule="auto"/>
        <w:jc w:val="both"/>
        <w:sectPr>
          <w:pgSz w:w="11910" w:h="16850"/>
          <w:pgMar w:top="1480" w:right="1200" w:bottom="1040" w:left="1220" w:header="876" w:footer="853" w:gutter="0"/>
          <w:cols w:space="720" w:num="1"/>
        </w:sectPr>
      </w:pPr>
    </w:p>
    <w:p>
      <w:pPr>
        <w:pStyle w:val="11"/>
        <w:spacing w:before="7"/>
        <w:rPr>
          <w:sz w:val="9"/>
        </w:rPr>
      </w:pPr>
    </w:p>
    <w:p>
      <w:pPr>
        <w:pStyle w:val="20"/>
        <w:numPr>
          <w:ilvl w:val="0"/>
          <w:numId w:val="26"/>
        </w:numPr>
        <w:tabs>
          <w:tab w:val="left" w:pos="1190"/>
        </w:tabs>
        <w:spacing w:before="74"/>
        <w:ind w:firstLine="480"/>
        <w:rPr>
          <w:sz w:val="24"/>
        </w:rPr>
      </w:pPr>
      <w:r>
        <w:rPr>
          <w:sz w:val="24"/>
        </w:rPr>
        <w:t>拌和设备应有较好的密封，或有防尘设备。</w:t>
      </w:r>
    </w:p>
    <w:p>
      <w:pPr>
        <w:pStyle w:val="20"/>
        <w:numPr>
          <w:ilvl w:val="0"/>
          <w:numId w:val="26"/>
        </w:numPr>
        <w:tabs>
          <w:tab w:val="left" w:pos="1205"/>
        </w:tabs>
        <w:spacing w:before="91"/>
        <w:ind w:left="1204" w:hanging="300"/>
        <w:rPr>
          <w:sz w:val="24"/>
        </w:rPr>
      </w:pPr>
      <w:r>
        <w:rPr>
          <w:sz w:val="24"/>
        </w:rPr>
        <w:t>施工通道、沥青混凝土拌和站及灰土拌和站应经常进行洒水降尘。</w:t>
      </w:r>
    </w:p>
    <w:p>
      <w:pPr>
        <w:pStyle w:val="20"/>
        <w:numPr>
          <w:ilvl w:val="0"/>
          <w:numId w:val="26"/>
        </w:numPr>
        <w:tabs>
          <w:tab w:val="left" w:pos="1190"/>
        </w:tabs>
        <w:spacing w:before="94"/>
        <w:ind w:firstLine="480"/>
        <w:rPr>
          <w:sz w:val="24"/>
        </w:rPr>
      </w:pPr>
      <w:r>
        <w:rPr>
          <w:sz w:val="24"/>
        </w:rPr>
        <w:t>路面施工应注意保持水分，以免扬尘。</w:t>
      </w:r>
    </w:p>
    <w:p>
      <w:pPr>
        <w:pStyle w:val="20"/>
        <w:numPr>
          <w:ilvl w:val="0"/>
          <w:numId w:val="26"/>
        </w:numPr>
        <w:tabs>
          <w:tab w:val="left" w:pos="1205"/>
        </w:tabs>
        <w:spacing w:before="93" w:line="312" w:lineRule="auto"/>
        <w:ind w:right="384" w:firstLine="480"/>
        <w:rPr>
          <w:sz w:val="24"/>
        </w:rPr>
      </w:pPr>
      <w:r>
        <w:rPr>
          <w:spacing w:val="-1"/>
          <w:sz w:val="24"/>
        </w:rPr>
        <w:t>隧道出渣和桥梁钻孔灌注桩施工时排出的泥浆要进行妥善处理，严禁向河流或农田排放。</w:t>
      </w:r>
    </w:p>
    <w:p>
      <w:pPr>
        <w:pStyle w:val="11"/>
        <w:spacing w:line="312" w:lineRule="auto"/>
        <w:ind w:left="424" w:right="306" w:firstLine="479"/>
      </w:pPr>
      <w:r>
        <w:t>（</w:t>
      </w:r>
      <w:r>
        <w:rPr>
          <w:rFonts w:ascii="Times New Roman" w:eastAsia="Times New Roman"/>
        </w:rPr>
        <w:t>3</w:t>
      </w:r>
      <w:r>
        <w:t>）采取可靠措施保证原有交通的正常通行，维持沿线村镇的居民饮水、农田灌溉、生产生活用电及通信等管线的正常使用。</w:t>
      </w:r>
    </w:p>
    <w:p>
      <w:pPr>
        <w:pStyle w:val="20"/>
        <w:numPr>
          <w:ilvl w:val="2"/>
          <w:numId w:val="25"/>
        </w:numPr>
        <w:tabs>
          <w:tab w:val="left" w:pos="1505"/>
        </w:tabs>
        <w:spacing w:line="312" w:lineRule="auto"/>
        <w:ind w:right="385" w:firstLine="480"/>
        <w:jc w:val="both"/>
        <w:rPr>
          <w:sz w:val="24"/>
        </w:rPr>
      </w:pPr>
      <w:r>
        <w:rPr>
          <w:spacing w:val="-4"/>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20"/>
        <w:numPr>
          <w:ilvl w:val="2"/>
          <w:numId w:val="25"/>
        </w:numPr>
        <w:tabs>
          <w:tab w:val="left" w:pos="1445"/>
        </w:tabs>
        <w:spacing w:before="2" w:line="312" w:lineRule="auto"/>
        <w:ind w:right="382" w:firstLine="480"/>
        <w:jc w:val="both"/>
        <w:rPr>
          <w:sz w:val="24"/>
        </w:rPr>
      </w:pPr>
      <w:r>
        <w:rPr>
          <w:spacing w:val="-4"/>
          <w:sz w:val="24"/>
        </w:rPr>
        <w:t>在施工期间，承包人应随时保持现场整洁，施工设备和材料、工程设备应整齐妥善存放和储存，废料与垃圾及不再需要的临时设施应及时从现场清除、拆除并运走。</w:t>
      </w:r>
    </w:p>
    <w:p>
      <w:pPr>
        <w:pStyle w:val="20"/>
        <w:numPr>
          <w:ilvl w:val="2"/>
          <w:numId w:val="25"/>
        </w:numPr>
        <w:tabs>
          <w:tab w:val="left" w:pos="1625"/>
        </w:tabs>
        <w:spacing w:before="1" w:line="312" w:lineRule="auto"/>
        <w:ind w:right="387" w:firstLine="480"/>
        <w:jc w:val="both"/>
        <w:rPr>
          <w:sz w:val="24"/>
        </w:rPr>
      </w:pPr>
      <w:r>
        <w:rPr>
          <w:sz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Style w:val="20"/>
        <w:numPr>
          <w:ilvl w:val="2"/>
          <w:numId w:val="25"/>
        </w:numPr>
        <w:tabs>
          <w:tab w:val="left" w:pos="1618"/>
        </w:tabs>
        <w:spacing w:before="1" w:line="312" w:lineRule="auto"/>
        <w:ind w:right="264" w:firstLine="480"/>
        <w:rPr>
          <w:sz w:val="24"/>
        </w:rPr>
      </w:pPr>
      <w:r>
        <w:rPr>
          <w:sz w:val="24"/>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spacing w:val="-4"/>
          <w:sz w:val="24"/>
        </w:rPr>
        <w:t>要完善施工中的临时排水系统，加强施工便道的管理。取</w:t>
      </w:r>
      <w:r>
        <w:rPr>
          <w:sz w:val="24"/>
        </w:rPr>
        <w:t>（弃</w:t>
      </w:r>
      <w:r>
        <w:rPr>
          <w:spacing w:val="-22"/>
          <w:sz w:val="24"/>
        </w:rPr>
        <w:t>）</w:t>
      </w:r>
      <w:r>
        <w:rPr>
          <w:sz w:val="24"/>
        </w:rPr>
        <w:t>土场必须先挡后弃， 严禁在指定的取（弃）土场以外的地方乱挖乱弃。</w:t>
      </w:r>
    </w:p>
    <w:p>
      <w:pPr>
        <w:pStyle w:val="11"/>
        <w:spacing w:before="2"/>
        <w:rPr>
          <w:sz w:val="32"/>
        </w:rPr>
      </w:pPr>
    </w:p>
    <w:p>
      <w:pPr>
        <w:numPr>
          <w:ilvl w:val="0"/>
          <w:numId w:val="15"/>
        </w:numPr>
        <w:tabs>
          <w:tab w:val="left" w:pos="914"/>
        </w:tabs>
        <w:ind w:left="914" w:hanging="490"/>
        <w:rPr>
          <w:rFonts w:ascii="黑体" w:eastAsia="黑体"/>
          <w:sz w:val="28"/>
        </w:rPr>
      </w:pPr>
      <w:bookmarkStart w:id="182" w:name="_bookmark194"/>
      <w:bookmarkEnd w:id="182"/>
      <w:r>
        <w:rPr>
          <w:rFonts w:hint="eastAsia" w:ascii="黑体" w:eastAsia="黑体"/>
          <w:sz w:val="28"/>
        </w:rPr>
        <w:t>进度计划</w:t>
      </w:r>
    </w:p>
    <w:p>
      <w:pPr>
        <w:pStyle w:val="11"/>
        <w:spacing w:before="5"/>
        <w:rPr>
          <w:rFonts w:ascii="黑体"/>
        </w:rPr>
      </w:pPr>
    </w:p>
    <w:p>
      <w:pPr>
        <w:pStyle w:val="20"/>
        <w:numPr>
          <w:ilvl w:val="1"/>
          <w:numId w:val="15"/>
        </w:numPr>
        <w:tabs>
          <w:tab w:val="left" w:pos="965"/>
        </w:tabs>
        <w:ind w:left="964" w:hanging="540"/>
        <w:rPr>
          <w:rFonts w:ascii="黑体" w:eastAsia="黑体"/>
          <w:sz w:val="24"/>
        </w:rPr>
      </w:pPr>
      <w:bookmarkStart w:id="183" w:name="_bookmark195"/>
      <w:bookmarkEnd w:id="183"/>
      <w:r>
        <w:rPr>
          <w:rFonts w:hint="eastAsia" w:ascii="黑体" w:eastAsia="黑体"/>
          <w:sz w:val="24"/>
        </w:rPr>
        <w:t>合同进度计划</w:t>
      </w:r>
    </w:p>
    <w:p>
      <w:pPr>
        <w:pStyle w:val="11"/>
        <w:spacing w:before="11"/>
        <w:rPr>
          <w:rFonts w:ascii="黑体"/>
          <w:sz w:val="25"/>
        </w:rPr>
      </w:pPr>
    </w:p>
    <w:p>
      <w:pPr>
        <w:pStyle w:val="11"/>
        <w:ind w:left="904"/>
      </w:pPr>
      <w:r>
        <w:t>本款补充：</w:t>
      </w:r>
    </w:p>
    <w:p>
      <w:pPr>
        <w:pStyle w:val="11"/>
        <w:spacing w:before="94"/>
        <w:ind w:left="904"/>
      </w:pPr>
      <w:r>
        <w:t>承包人编制施工方案说明的内容见项目专用合同条款。</w:t>
      </w:r>
    </w:p>
    <w:p>
      <w:pPr>
        <w:pStyle w:val="11"/>
        <w:spacing w:before="93"/>
        <w:ind w:left="904"/>
      </w:pPr>
      <w:r>
        <w:t>承包人向监理人报送施工进度计划和施工方案说明的期限：签订合同协议书后</w:t>
      </w:r>
    </w:p>
    <w:p>
      <w:pPr>
        <w:sectPr>
          <w:pgSz w:w="11910" w:h="16850"/>
          <w:pgMar w:top="1480" w:right="1200" w:bottom="1080" w:left="1220" w:header="883" w:footer="884" w:gutter="0"/>
          <w:cols w:space="720" w:num="1"/>
        </w:sectPr>
      </w:pPr>
    </w:p>
    <w:p>
      <w:pPr>
        <w:pStyle w:val="11"/>
        <w:spacing w:before="7"/>
        <w:rPr>
          <w:sz w:val="9"/>
        </w:rPr>
      </w:pPr>
    </w:p>
    <w:p>
      <w:pPr>
        <w:pStyle w:val="11"/>
        <w:spacing w:before="74"/>
        <w:ind w:left="424"/>
      </w:pPr>
      <w:r>
        <w:rPr>
          <w:rFonts w:ascii="Times New Roman" w:eastAsia="Times New Roman"/>
        </w:rPr>
        <w:t xml:space="preserve">28 </w:t>
      </w:r>
      <w:r>
        <w:t>天之内。</w:t>
      </w:r>
    </w:p>
    <w:p>
      <w:pPr>
        <w:pStyle w:val="11"/>
        <w:spacing w:before="91" w:line="312" w:lineRule="auto"/>
        <w:ind w:left="424" w:right="385" w:firstLine="479"/>
      </w:pPr>
      <w:r>
        <w:t xml:space="preserve">监理人应在 </w:t>
      </w:r>
      <w:r>
        <w:rPr>
          <w:rFonts w:ascii="Times New Roman" w:eastAsia="Times New Roman"/>
        </w:rPr>
        <w:t xml:space="preserve">14 </w:t>
      </w:r>
      <w:r>
        <w:t>天内对承包人施工进度计划和施工方案说明予以批复或提出修改意见。</w:t>
      </w:r>
    </w:p>
    <w:p>
      <w:pPr>
        <w:pStyle w:val="11"/>
        <w:spacing w:before="2" w:line="312" w:lineRule="auto"/>
        <w:ind w:left="424" w:right="391" w:firstLine="479"/>
      </w:pPr>
      <w:r>
        <w:t>合同进度计划应按照关键线路网络图和主要工作横道图两种形式分别编绘，并应包括每月预计完成的工作量和形象进度。</w:t>
      </w:r>
    </w:p>
    <w:p>
      <w:pPr>
        <w:pStyle w:val="11"/>
        <w:spacing w:before="3"/>
        <w:rPr>
          <w:sz w:val="17"/>
        </w:rPr>
      </w:pPr>
    </w:p>
    <w:p>
      <w:pPr>
        <w:pStyle w:val="20"/>
        <w:numPr>
          <w:ilvl w:val="1"/>
          <w:numId w:val="15"/>
        </w:numPr>
        <w:tabs>
          <w:tab w:val="left" w:pos="965"/>
        </w:tabs>
        <w:ind w:left="964" w:hanging="540"/>
        <w:rPr>
          <w:rFonts w:ascii="黑体" w:eastAsia="黑体"/>
          <w:sz w:val="24"/>
        </w:rPr>
      </w:pPr>
      <w:bookmarkStart w:id="184" w:name="_bookmark196"/>
      <w:bookmarkEnd w:id="184"/>
      <w:r>
        <w:rPr>
          <w:rFonts w:hint="eastAsia" w:ascii="黑体" w:eastAsia="黑体"/>
          <w:sz w:val="24"/>
        </w:rPr>
        <w:t>合同进度计划的修订</w:t>
      </w:r>
    </w:p>
    <w:p>
      <w:pPr>
        <w:pStyle w:val="11"/>
        <w:spacing w:before="11"/>
        <w:rPr>
          <w:rFonts w:ascii="黑体"/>
          <w:sz w:val="25"/>
        </w:rPr>
      </w:pPr>
    </w:p>
    <w:p>
      <w:pPr>
        <w:pStyle w:val="11"/>
        <w:ind w:left="815"/>
      </w:pPr>
      <w:r>
        <w:t>本款补充：</w:t>
      </w:r>
    </w:p>
    <w:p>
      <w:pPr>
        <w:pStyle w:val="11"/>
        <w:spacing w:before="94" w:line="312" w:lineRule="auto"/>
        <w:ind w:left="424" w:right="382" w:firstLine="391"/>
      </w:pPr>
      <w:r>
        <w:rPr>
          <w:spacing w:val="-6"/>
        </w:rPr>
        <w:t>承包人提交合同进度计划修订申请报告，并附有关措施和相关资料的期限：实际</w:t>
      </w:r>
      <w:r>
        <w:rPr>
          <w:spacing w:val="-12"/>
        </w:rPr>
        <w:t xml:space="preserve">进度发生滞后的当月 </w:t>
      </w:r>
      <w:r>
        <w:rPr>
          <w:rFonts w:ascii="Times New Roman" w:eastAsia="Times New Roman"/>
        </w:rPr>
        <w:t xml:space="preserve">25 </w:t>
      </w:r>
      <w:r>
        <w:t>日前。</w:t>
      </w:r>
    </w:p>
    <w:p>
      <w:pPr>
        <w:pStyle w:val="11"/>
        <w:spacing w:line="307" w:lineRule="exact"/>
        <w:ind w:left="815"/>
      </w:pPr>
      <w:r>
        <w:t xml:space="preserve">监理人批复修订合同进度计划的期限：收到修订合同进度计划后 </w:t>
      </w:r>
      <w:r>
        <w:rPr>
          <w:rFonts w:ascii="Times New Roman" w:eastAsia="Times New Roman"/>
        </w:rPr>
        <w:t xml:space="preserve">14 </w:t>
      </w:r>
      <w:r>
        <w:t>天内。</w:t>
      </w:r>
    </w:p>
    <w:p>
      <w:pPr>
        <w:pStyle w:val="11"/>
        <w:rPr>
          <w:sz w:val="26"/>
        </w:rPr>
      </w:pPr>
    </w:p>
    <w:p>
      <w:pPr>
        <w:pStyle w:val="11"/>
        <w:ind w:left="424"/>
      </w:pPr>
      <w:r>
        <w:t xml:space="preserve">本条补充第 </w:t>
      </w:r>
      <w:r>
        <w:rPr>
          <w:rFonts w:ascii="Times New Roman" w:eastAsia="Times New Roman"/>
        </w:rPr>
        <w:t xml:space="preserve">10.3 </w:t>
      </w:r>
      <w:r>
        <w:t xml:space="preserve">款、第 </w:t>
      </w:r>
      <w:r>
        <w:rPr>
          <w:rFonts w:ascii="Times New Roman" w:eastAsia="Times New Roman"/>
        </w:rPr>
        <w:t xml:space="preserve">10.4 </w:t>
      </w:r>
      <w:r>
        <w:t>款：</w:t>
      </w:r>
    </w:p>
    <w:p>
      <w:pPr>
        <w:pStyle w:val="11"/>
        <w:spacing w:before="6"/>
      </w:pPr>
    </w:p>
    <w:p>
      <w:pPr>
        <w:pStyle w:val="20"/>
        <w:numPr>
          <w:ilvl w:val="1"/>
          <w:numId w:val="15"/>
        </w:numPr>
        <w:tabs>
          <w:tab w:val="left" w:pos="965"/>
        </w:tabs>
        <w:ind w:left="964" w:hanging="540"/>
        <w:rPr>
          <w:rFonts w:ascii="黑体" w:eastAsia="黑体"/>
          <w:sz w:val="24"/>
        </w:rPr>
      </w:pPr>
      <w:bookmarkStart w:id="185" w:name="_bookmark197"/>
      <w:bookmarkEnd w:id="185"/>
      <w:r>
        <w:rPr>
          <w:rFonts w:hint="eastAsia" w:ascii="黑体" w:eastAsia="黑体"/>
          <w:sz w:val="24"/>
        </w:rPr>
        <w:t>年度施工计划</w:t>
      </w:r>
    </w:p>
    <w:p>
      <w:pPr>
        <w:pStyle w:val="11"/>
        <w:spacing w:before="11"/>
        <w:rPr>
          <w:rFonts w:ascii="黑体"/>
          <w:sz w:val="25"/>
        </w:rPr>
      </w:pPr>
    </w:p>
    <w:p>
      <w:pPr>
        <w:pStyle w:val="11"/>
        <w:ind w:left="815"/>
      </w:pPr>
      <w:r>
        <w:t xml:space="preserve">承包人应在每年 </w:t>
      </w:r>
      <w:r>
        <w:rPr>
          <w:rFonts w:ascii="Times New Roman" w:eastAsia="Times New Roman"/>
        </w:rPr>
        <w:t xml:space="preserve">11 </w:t>
      </w:r>
      <w:r>
        <w:t>月底前，根据已同意的合同进度计划或其修订的计划，向监</w:t>
      </w:r>
    </w:p>
    <w:p>
      <w:pPr>
        <w:pStyle w:val="11"/>
        <w:spacing w:before="94" w:line="312" w:lineRule="auto"/>
        <w:ind w:left="424" w:right="384"/>
        <w:jc w:val="both"/>
      </w:pPr>
      <w:r>
        <w:rPr>
          <w:spacing w:val="-9"/>
        </w:rPr>
        <w:t xml:space="preserve">理人提交 </w:t>
      </w:r>
      <w:r>
        <w:rPr>
          <w:rFonts w:ascii="Times New Roman" w:eastAsia="Times New Roman"/>
        </w:rPr>
        <w:t xml:space="preserve">2 </w:t>
      </w:r>
      <w:r>
        <w:t>份格式和内容符合监理人合理规定的下一年度的施工计划，以供审查。该计划应包括本年度估计完成的和下一年度预计完成的分项工程数量和工作量，以及为实施此计划将采取的措施。</w:t>
      </w:r>
    </w:p>
    <w:p>
      <w:pPr>
        <w:pStyle w:val="11"/>
        <w:spacing w:before="3"/>
        <w:rPr>
          <w:sz w:val="17"/>
        </w:rPr>
      </w:pPr>
    </w:p>
    <w:p>
      <w:pPr>
        <w:pStyle w:val="20"/>
        <w:numPr>
          <w:ilvl w:val="1"/>
          <w:numId w:val="15"/>
        </w:numPr>
        <w:tabs>
          <w:tab w:val="left" w:pos="965"/>
        </w:tabs>
        <w:ind w:left="964" w:hanging="540"/>
        <w:rPr>
          <w:rFonts w:ascii="黑体" w:eastAsia="黑体"/>
          <w:sz w:val="24"/>
        </w:rPr>
      </w:pPr>
      <w:bookmarkStart w:id="186" w:name="_bookmark198"/>
      <w:bookmarkEnd w:id="186"/>
      <w:r>
        <w:rPr>
          <w:rFonts w:hint="eastAsia" w:ascii="黑体" w:eastAsia="黑体"/>
          <w:sz w:val="24"/>
        </w:rPr>
        <w:t>合同用款计划</w:t>
      </w:r>
    </w:p>
    <w:p>
      <w:pPr>
        <w:pStyle w:val="11"/>
        <w:spacing w:before="11"/>
        <w:rPr>
          <w:rFonts w:ascii="黑体"/>
          <w:sz w:val="25"/>
        </w:rPr>
      </w:pPr>
    </w:p>
    <w:p>
      <w:pPr>
        <w:pStyle w:val="11"/>
        <w:ind w:left="815"/>
      </w:pPr>
      <w:r>
        <w:t xml:space="preserve">承包人应在签订本合同协议书后 </w:t>
      </w:r>
      <w:r>
        <w:rPr>
          <w:rFonts w:ascii="Times New Roman" w:eastAsia="Times New Roman"/>
        </w:rPr>
        <w:t xml:space="preserve">28 </w:t>
      </w:r>
      <w:r>
        <w:t>天之内，按招标文件中规定的格式，向监理</w:t>
      </w:r>
    </w:p>
    <w:p>
      <w:pPr>
        <w:pStyle w:val="11"/>
        <w:spacing w:before="93" w:line="312" w:lineRule="auto"/>
        <w:ind w:left="424" w:right="334"/>
      </w:pPr>
      <w:r>
        <w:t xml:space="preserve">人提交 </w:t>
      </w:r>
      <w:r>
        <w:rPr>
          <w:rFonts w:ascii="Times New Roman" w:eastAsia="Times New Roman"/>
        </w:rPr>
        <w:t xml:space="preserve">2 </w:t>
      </w:r>
      <w:r>
        <w:t>份按合同规定承包人有权得到支付的详细的季度合同用款计划，以备监理人查阅。如果监理人提出要求，承包人还应按季度提交修订的合同用款计划。</w:t>
      </w:r>
    </w:p>
    <w:p>
      <w:pPr>
        <w:pStyle w:val="11"/>
        <w:spacing w:before="12"/>
        <w:rPr>
          <w:sz w:val="31"/>
        </w:rPr>
      </w:pPr>
    </w:p>
    <w:p>
      <w:pPr>
        <w:numPr>
          <w:ilvl w:val="0"/>
          <w:numId w:val="15"/>
        </w:numPr>
        <w:tabs>
          <w:tab w:val="left" w:pos="914"/>
        </w:tabs>
        <w:ind w:left="914" w:hanging="490"/>
        <w:rPr>
          <w:rFonts w:ascii="黑体" w:eastAsia="黑体"/>
          <w:sz w:val="28"/>
        </w:rPr>
      </w:pPr>
      <w:bookmarkStart w:id="187" w:name="_bookmark199"/>
      <w:bookmarkEnd w:id="187"/>
      <w:r>
        <w:rPr>
          <w:rFonts w:hint="eastAsia" w:ascii="黑体" w:eastAsia="黑体"/>
          <w:sz w:val="28"/>
        </w:rPr>
        <w:t>开工和交工</w:t>
      </w:r>
    </w:p>
    <w:p>
      <w:pPr>
        <w:pStyle w:val="11"/>
        <w:spacing w:before="5"/>
        <w:rPr>
          <w:rFonts w:ascii="黑体"/>
        </w:rPr>
      </w:pPr>
    </w:p>
    <w:p>
      <w:pPr>
        <w:pStyle w:val="20"/>
        <w:numPr>
          <w:ilvl w:val="1"/>
          <w:numId w:val="15"/>
        </w:numPr>
        <w:tabs>
          <w:tab w:val="left" w:pos="965"/>
        </w:tabs>
        <w:ind w:left="964" w:hanging="540"/>
        <w:rPr>
          <w:rFonts w:ascii="黑体" w:eastAsia="黑体"/>
          <w:sz w:val="24"/>
        </w:rPr>
      </w:pPr>
      <w:bookmarkStart w:id="188" w:name="_bookmark200"/>
      <w:bookmarkEnd w:id="188"/>
      <w:r>
        <w:rPr>
          <w:rFonts w:hint="eastAsia" w:ascii="黑体" w:eastAsia="黑体"/>
          <w:sz w:val="24"/>
        </w:rPr>
        <w:t>开工</w:t>
      </w:r>
    </w:p>
    <w:p>
      <w:pPr>
        <w:pStyle w:val="11"/>
        <w:rPr>
          <w:rFonts w:ascii="黑体"/>
          <w:sz w:val="26"/>
        </w:rPr>
      </w:pPr>
    </w:p>
    <w:p>
      <w:pPr>
        <w:pStyle w:val="11"/>
        <w:ind w:left="904"/>
      </w:pPr>
      <w:r>
        <w:t xml:space="preserve">第 </w:t>
      </w:r>
      <w:r>
        <w:rPr>
          <w:rFonts w:ascii="Times New Roman" w:eastAsia="Times New Roman"/>
        </w:rPr>
        <w:t xml:space="preserve">11.1.2 </w:t>
      </w:r>
      <w:r>
        <w:t>项补充：</w:t>
      </w:r>
    </w:p>
    <w:p>
      <w:pPr>
        <w:pStyle w:val="11"/>
        <w:spacing w:before="91" w:line="312" w:lineRule="auto"/>
        <w:ind w:left="424" w:right="382" w:firstLine="479"/>
        <w:jc w:val="both"/>
      </w:pPr>
      <w:r>
        <w:rPr>
          <w:spacing w:val="-5"/>
        </w:rPr>
        <w:t xml:space="preserve">承包人应在分部工程开工前 </w:t>
      </w:r>
      <w:r>
        <w:rPr>
          <w:rFonts w:ascii="Times New Roman" w:eastAsia="Times New Roman"/>
        </w:rPr>
        <w:t xml:space="preserve">14 </w:t>
      </w:r>
      <w:r>
        <w:rPr>
          <w:spacing w:val="-5"/>
        </w:rPr>
        <w:t>天向监理人提交分部工程开工报审表，若承包人的开工准备、工作计划和质量控制方法是可接受的且已获得批准，则经监理人书面同意，分部工程才能开工。</w:t>
      </w:r>
    </w:p>
    <w:p>
      <w:pPr>
        <w:spacing w:line="312" w:lineRule="auto"/>
        <w:jc w:val="both"/>
        <w:sectPr>
          <w:footerReference r:id="rId42" w:type="default"/>
          <w:footerReference r:id="rId43" w:type="even"/>
          <w:pgSz w:w="11910" w:h="16850"/>
          <w:pgMar w:top="1480" w:right="1200" w:bottom="1040" w:left="1220" w:header="876" w:footer="853" w:gutter="0"/>
          <w:cols w:space="720" w:num="1"/>
        </w:sectPr>
      </w:pPr>
    </w:p>
    <w:p>
      <w:pPr>
        <w:pStyle w:val="11"/>
        <w:spacing w:before="1"/>
        <w:rPr>
          <w:sz w:val="8"/>
        </w:rPr>
      </w:pPr>
    </w:p>
    <w:p>
      <w:pPr>
        <w:pStyle w:val="20"/>
        <w:numPr>
          <w:ilvl w:val="1"/>
          <w:numId w:val="27"/>
        </w:numPr>
        <w:tabs>
          <w:tab w:val="left" w:pos="965"/>
        </w:tabs>
        <w:spacing w:before="74"/>
        <w:rPr>
          <w:rFonts w:ascii="黑体" w:eastAsia="黑体"/>
          <w:sz w:val="24"/>
        </w:rPr>
      </w:pPr>
      <w:bookmarkStart w:id="189" w:name="_bookmark201"/>
      <w:bookmarkEnd w:id="189"/>
      <w:r>
        <w:rPr>
          <w:rFonts w:hint="eastAsia" w:ascii="黑体" w:eastAsia="黑体"/>
          <w:sz w:val="24"/>
        </w:rPr>
        <w:t>发包人的工期延误</w:t>
      </w:r>
    </w:p>
    <w:p>
      <w:pPr>
        <w:pStyle w:val="11"/>
        <w:spacing w:before="10"/>
        <w:rPr>
          <w:rFonts w:ascii="黑体"/>
          <w:sz w:val="25"/>
        </w:rPr>
      </w:pPr>
    </w:p>
    <w:p>
      <w:pPr>
        <w:pStyle w:val="11"/>
        <w:spacing w:before="1"/>
        <w:ind w:left="904"/>
      </w:pPr>
      <w:r>
        <w:t>本款补充：</w:t>
      </w:r>
    </w:p>
    <w:p>
      <w:pPr>
        <w:pStyle w:val="11"/>
        <w:spacing w:before="93" w:line="312" w:lineRule="auto"/>
        <w:ind w:left="424" w:right="388" w:firstLine="479"/>
        <w:jc w:val="both"/>
      </w:pPr>
      <w:r>
        <w:t>即使由于上述原因造成工期延误，如果受影响的工程并非处在工程施工进度网络计划的关键线路上，则承包人无权要求延长总工期。</w:t>
      </w:r>
    </w:p>
    <w:p>
      <w:pPr>
        <w:pStyle w:val="11"/>
        <w:spacing w:before="2"/>
        <w:rPr>
          <w:sz w:val="17"/>
        </w:rPr>
      </w:pPr>
    </w:p>
    <w:p>
      <w:pPr>
        <w:pStyle w:val="20"/>
        <w:numPr>
          <w:ilvl w:val="1"/>
          <w:numId w:val="27"/>
        </w:numPr>
        <w:tabs>
          <w:tab w:val="left" w:pos="905"/>
        </w:tabs>
        <w:spacing w:before="1"/>
        <w:ind w:left="904" w:hanging="480"/>
        <w:rPr>
          <w:rFonts w:ascii="黑体" w:eastAsia="黑体"/>
          <w:sz w:val="24"/>
        </w:rPr>
      </w:pPr>
      <w:bookmarkStart w:id="190" w:name="_bookmark202"/>
      <w:bookmarkEnd w:id="190"/>
      <w:r>
        <w:rPr>
          <w:rFonts w:hint="eastAsia" w:ascii="黑体" w:eastAsia="黑体"/>
          <w:sz w:val="24"/>
        </w:rPr>
        <w:t>异常恶劣的气候条件</w:t>
      </w:r>
    </w:p>
    <w:p>
      <w:pPr>
        <w:pStyle w:val="11"/>
        <w:spacing w:before="10"/>
        <w:rPr>
          <w:rFonts w:ascii="黑体"/>
          <w:sz w:val="25"/>
        </w:rPr>
      </w:pPr>
    </w:p>
    <w:p>
      <w:pPr>
        <w:pStyle w:val="11"/>
        <w:ind w:left="904"/>
      </w:pPr>
      <w:r>
        <w:t>本款补充：</w:t>
      </w:r>
    </w:p>
    <w:p>
      <w:pPr>
        <w:pStyle w:val="11"/>
        <w:spacing w:before="94" w:line="312" w:lineRule="auto"/>
        <w:ind w:left="424" w:right="384" w:firstLine="479"/>
        <w:jc w:val="both"/>
      </w:pPr>
      <w:r>
        <w:rPr>
          <w:spacing w:val="-5"/>
        </w:rPr>
        <w:t xml:space="preserve">异常气候是指项目所在地 </w:t>
      </w:r>
      <w:r>
        <w:rPr>
          <w:rFonts w:ascii="Times New Roman" w:eastAsia="Times New Roman"/>
        </w:rPr>
        <w:t xml:space="preserve">30 </w:t>
      </w:r>
      <w:r>
        <w:rPr>
          <w:spacing w:val="-3"/>
        </w:rPr>
        <w:t>年以上一遇的罕见气候现象</w:t>
      </w:r>
      <w:r>
        <w:fldChar w:fldCharType="begin"/>
      </w:r>
      <w:r>
        <w:instrText xml:space="preserve"> HYPERLINK "http://baike.baidu.com/view/8193.htm" \h </w:instrText>
      </w:r>
      <w:r>
        <w:fldChar w:fldCharType="separate"/>
      </w:r>
      <w:r>
        <w:t>（包括温度</w:t>
      </w:r>
      <w:r>
        <w:fldChar w:fldCharType="end"/>
      </w:r>
      <w:r>
        <w:rPr>
          <w:spacing w:val="-12"/>
        </w:rPr>
        <w:t>、降水、降雪、风等</w:t>
      </w:r>
      <w:r>
        <w:rPr>
          <w:spacing w:val="-120"/>
        </w:rPr>
        <w:t>）</w:t>
      </w:r>
      <w:r>
        <w:t>。异常恶劣的气候条件在项目专用合同条款中作具体约定。</w:t>
      </w:r>
    </w:p>
    <w:p>
      <w:pPr>
        <w:pStyle w:val="11"/>
        <w:spacing w:before="3"/>
        <w:rPr>
          <w:sz w:val="17"/>
        </w:rPr>
      </w:pPr>
    </w:p>
    <w:p>
      <w:pPr>
        <w:pStyle w:val="20"/>
        <w:numPr>
          <w:ilvl w:val="1"/>
          <w:numId w:val="27"/>
        </w:numPr>
        <w:tabs>
          <w:tab w:val="left" w:pos="965"/>
        </w:tabs>
        <w:rPr>
          <w:rFonts w:ascii="黑体" w:eastAsia="黑体"/>
          <w:sz w:val="24"/>
        </w:rPr>
      </w:pPr>
      <w:bookmarkStart w:id="191" w:name="_bookmark203"/>
      <w:bookmarkEnd w:id="191"/>
      <w:r>
        <w:rPr>
          <w:rFonts w:hint="eastAsia" w:ascii="黑体" w:eastAsia="黑体"/>
          <w:sz w:val="24"/>
        </w:rPr>
        <w:t>承包人的工期延误</w:t>
      </w:r>
    </w:p>
    <w:p>
      <w:pPr>
        <w:pStyle w:val="11"/>
        <w:rPr>
          <w:rFonts w:ascii="黑体"/>
          <w:sz w:val="26"/>
        </w:rPr>
      </w:pPr>
    </w:p>
    <w:p>
      <w:pPr>
        <w:pStyle w:val="11"/>
        <w:ind w:left="904"/>
      </w:pPr>
      <w:r>
        <w:t>本款细化为：</w:t>
      </w:r>
    </w:p>
    <w:p>
      <w:pPr>
        <w:pStyle w:val="11"/>
        <w:spacing w:before="91" w:line="312" w:lineRule="auto"/>
        <w:ind w:left="424" w:right="383" w:firstLine="479"/>
        <w:jc w:val="both"/>
      </w:pPr>
      <w:r>
        <w:rPr>
          <w:spacing w:val="-15"/>
        </w:rPr>
        <w:t>（</w:t>
      </w:r>
      <w:r>
        <w:rPr>
          <w:rFonts w:ascii="Times New Roman" w:eastAsia="Times New Roman"/>
          <w:spacing w:val="-15"/>
        </w:rPr>
        <w:t>1</w:t>
      </w:r>
      <w:r>
        <w:rPr>
          <w:spacing w:val="-15"/>
        </w:rPr>
        <w:t>）</w:t>
      </w:r>
      <w:r>
        <w:rPr>
          <w:spacing w:val="-3"/>
        </w:rPr>
        <w:t>承包人应严格执行监理人批准的合同进度计划，对工作量计划和形象进度</w:t>
      </w:r>
      <w:r>
        <w:rPr>
          <w:spacing w:val="-10"/>
        </w:rPr>
        <w:t xml:space="preserve">计划分别控制。除第 </w:t>
      </w:r>
      <w:r>
        <w:rPr>
          <w:rFonts w:ascii="Times New Roman" w:eastAsia="Times New Roman"/>
          <w:spacing w:val="-3"/>
        </w:rPr>
        <w:t xml:space="preserve">11.3 </w:t>
      </w:r>
      <w:r>
        <w:rPr>
          <w:spacing w:val="-2"/>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Style w:val="11"/>
        <w:spacing w:before="2" w:line="312" w:lineRule="auto"/>
        <w:ind w:left="424" w:right="264" w:firstLine="479"/>
        <w:jc w:val="both"/>
      </w:pPr>
      <w:r>
        <w:t>（</w:t>
      </w:r>
      <w:r>
        <w:rPr>
          <w:rFonts w:ascii="Times New Roman" w:eastAsia="Times New Roman"/>
        </w:rPr>
        <w:t>2</w:t>
      </w:r>
      <w:r>
        <w:t>）</w:t>
      </w:r>
      <w:r>
        <w:rPr>
          <w:spacing w:val="-3"/>
        </w:rPr>
        <w:t xml:space="preserve">如果承包人在接到监理人通知后的 </w:t>
      </w:r>
      <w:r>
        <w:rPr>
          <w:rFonts w:ascii="Times New Roman" w:eastAsia="Times New Roman"/>
        </w:rPr>
        <w:t xml:space="preserve">14 </w:t>
      </w:r>
      <w:r>
        <w:t>天内，未能采取加快工程进度的措施，致使实际工程进度进一步滞后，或承包人虽采取了一些措施，仍无法按预计工</w:t>
      </w:r>
      <w:r>
        <w:rPr>
          <w:spacing w:val="-19"/>
        </w:rPr>
        <w:t xml:space="preserve">期交工时，监理人应立即通知发包人。发包人在向承包人发出书面警告通知 </w:t>
      </w:r>
      <w:r>
        <w:rPr>
          <w:rFonts w:ascii="Times New Roman" w:eastAsia="Times New Roman"/>
        </w:rPr>
        <w:t xml:space="preserve">14 </w:t>
      </w:r>
      <w:r>
        <w:t>天后，</w:t>
      </w:r>
    </w:p>
    <w:p>
      <w:pPr>
        <w:pStyle w:val="11"/>
        <w:spacing w:before="1" w:line="312" w:lineRule="auto"/>
        <w:ind w:left="424" w:right="385"/>
        <w:jc w:val="both"/>
      </w:pPr>
      <w:r>
        <w:rPr>
          <w:spacing w:val="-9"/>
        </w:rPr>
        <w:t xml:space="preserve">发包人可按第 </w:t>
      </w:r>
      <w:r>
        <w:rPr>
          <w:rFonts w:ascii="Times New Roman" w:eastAsia="Times New Roman"/>
        </w:rPr>
        <w:t xml:space="preserve">22.1 </w:t>
      </w:r>
      <w:r>
        <w:rPr>
          <w:spacing w:val="-3"/>
        </w:rPr>
        <w:t>款终止对承包人的雇用，也可将本合同工程中的一部分工作交由其他承包人或其他分包人完成。在不解除本合同规定的承包人责任和义务的同时， 承包人应承担因此所增加的一切费用。</w:t>
      </w:r>
    </w:p>
    <w:p>
      <w:pPr>
        <w:pStyle w:val="11"/>
        <w:spacing w:before="1" w:line="312" w:lineRule="auto"/>
        <w:ind w:left="424" w:right="384" w:firstLine="479"/>
        <w:jc w:val="both"/>
      </w:pPr>
      <w:r>
        <w:rPr>
          <w:spacing w:val="-10"/>
        </w:rPr>
        <w:t>（</w:t>
      </w:r>
      <w:r>
        <w:rPr>
          <w:rFonts w:ascii="Times New Roman" w:eastAsia="Times New Roman"/>
          <w:spacing w:val="-10"/>
        </w:rPr>
        <w:t>3</w:t>
      </w:r>
      <w:r>
        <w:rPr>
          <w:spacing w:val="-10"/>
        </w:rPr>
        <w:t>）</w:t>
      </w:r>
      <w:r>
        <w:rPr>
          <w:spacing w:val="-4"/>
        </w:rPr>
        <w:t>由于承包人原因造成工期延误，承包人应支付逾期交工违约金。逾期交工违约金的计算方法在项目专用合同条款数据表中约定，时间自预定的交工日期起到</w:t>
      </w:r>
      <w:r>
        <w:rPr>
          <w:spacing w:val="-6"/>
        </w:rPr>
        <w:t>交工验收证书中写明的实际交工日期止</w:t>
      </w:r>
      <w:r>
        <w:t>（扣除已批准的延长工期</w:t>
      </w:r>
      <w:r>
        <w:rPr>
          <w:spacing w:val="-75"/>
        </w:rPr>
        <w:t>）</w:t>
      </w:r>
      <w:r>
        <w:rPr>
          <w:spacing w:val="-15"/>
        </w:rPr>
        <w:t>，按天计算。逾期交工违约金累计金额最高不超过项目专用合同条款数据表中写明的限额。发包人可以从应付或到期应付给承包人的任何款项中或采用其他方法扣除此违约金。</w:t>
      </w:r>
    </w:p>
    <w:p>
      <w:pPr>
        <w:pStyle w:val="11"/>
        <w:spacing w:before="3"/>
        <w:ind w:left="904"/>
      </w:pPr>
      <w:r>
        <w:t>（</w:t>
      </w:r>
      <w:r>
        <w:rPr>
          <w:rFonts w:ascii="Times New Roman" w:eastAsia="Times New Roman"/>
        </w:rPr>
        <w:t>4</w:t>
      </w:r>
      <w:r>
        <w:t>）承包人支付逾期交工违约金，不免除承包人完成工程及修补缺陷的义务。</w:t>
      </w:r>
    </w:p>
    <w:p>
      <w:pPr>
        <w:pStyle w:val="11"/>
        <w:spacing w:before="91" w:line="312" w:lineRule="auto"/>
        <w:ind w:left="424" w:right="384" w:firstLine="479"/>
        <w:jc w:val="both"/>
      </w:pPr>
      <w:r>
        <w:rPr>
          <w:spacing w:val="-15"/>
        </w:rPr>
        <w:t>（</w:t>
      </w:r>
      <w:r>
        <w:rPr>
          <w:rFonts w:ascii="Times New Roman" w:eastAsia="Times New Roman"/>
          <w:spacing w:val="-15"/>
        </w:rPr>
        <w:t>5</w:t>
      </w:r>
      <w:r>
        <w:rPr>
          <w:spacing w:val="-15"/>
        </w:rPr>
        <w:t>）</w:t>
      </w:r>
      <w:r>
        <w:rPr>
          <w:spacing w:val="-4"/>
        </w:rPr>
        <w:t>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w:t>
      </w:r>
    </w:p>
    <w:p>
      <w:pPr>
        <w:spacing w:line="312" w:lineRule="auto"/>
        <w:jc w:val="both"/>
        <w:sectPr>
          <w:pgSz w:w="11910" w:h="16850"/>
          <w:pgMar w:top="1480" w:right="1200" w:bottom="1080" w:left="1220" w:header="883" w:footer="884" w:gutter="0"/>
          <w:cols w:space="720" w:num="1"/>
        </w:sectPr>
      </w:pPr>
    </w:p>
    <w:p>
      <w:pPr>
        <w:pStyle w:val="11"/>
        <w:spacing w:before="2"/>
        <w:rPr>
          <w:sz w:val="10"/>
        </w:rPr>
      </w:pPr>
    </w:p>
    <w:p>
      <w:pPr>
        <w:pStyle w:val="11"/>
        <w:spacing w:before="67"/>
        <w:ind w:left="424"/>
      </w:pPr>
      <w:r>
        <w:t>限额。</w:t>
      </w:r>
    </w:p>
    <w:p>
      <w:pPr>
        <w:pStyle w:val="11"/>
        <w:spacing w:before="4"/>
      </w:pPr>
    </w:p>
    <w:p>
      <w:pPr>
        <w:pStyle w:val="20"/>
        <w:numPr>
          <w:ilvl w:val="1"/>
          <w:numId w:val="27"/>
        </w:numPr>
        <w:tabs>
          <w:tab w:val="left" w:pos="965"/>
        </w:tabs>
        <w:rPr>
          <w:rFonts w:ascii="黑体" w:eastAsia="黑体"/>
          <w:sz w:val="24"/>
        </w:rPr>
      </w:pPr>
      <w:bookmarkStart w:id="192" w:name="_bookmark204"/>
      <w:bookmarkEnd w:id="192"/>
      <w:r>
        <w:rPr>
          <w:rFonts w:hint="eastAsia" w:ascii="黑体" w:eastAsia="黑体"/>
          <w:sz w:val="24"/>
        </w:rPr>
        <w:t>工期提前</w:t>
      </w:r>
    </w:p>
    <w:p>
      <w:pPr>
        <w:pStyle w:val="11"/>
        <w:rPr>
          <w:rFonts w:ascii="黑体"/>
          <w:sz w:val="26"/>
        </w:rPr>
      </w:pPr>
    </w:p>
    <w:p>
      <w:pPr>
        <w:pStyle w:val="11"/>
        <w:ind w:left="904"/>
      </w:pPr>
      <w:r>
        <w:t>本款补充：</w:t>
      </w:r>
    </w:p>
    <w:p>
      <w:pPr>
        <w:pStyle w:val="11"/>
        <w:spacing w:before="91" w:line="312" w:lineRule="auto"/>
        <w:ind w:left="424" w:right="184" w:firstLine="479"/>
      </w:pPr>
      <w:r>
        <w:t>发包人不得随意要求承包人提前交工，承包人也不得随意提出提前交工的建议。如遇特殊情况，确需将工期提前的，发包人和承包人必须采取有效措施，确保工程质量。</w:t>
      </w:r>
    </w:p>
    <w:p>
      <w:pPr>
        <w:pStyle w:val="11"/>
        <w:spacing w:before="1" w:line="312" w:lineRule="auto"/>
        <w:ind w:left="424" w:right="387" w:firstLine="479"/>
        <w:jc w:val="both"/>
      </w:pPr>
      <w: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Style w:val="11"/>
        <w:spacing w:before="4"/>
        <w:rPr>
          <w:sz w:val="31"/>
        </w:rPr>
      </w:pPr>
    </w:p>
    <w:p>
      <w:pPr>
        <w:pStyle w:val="11"/>
        <w:spacing w:before="1"/>
        <w:ind w:left="424"/>
      </w:pPr>
      <w:r>
        <w:t xml:space="preserve">本条补充第 </w:t>
      </w:r>
      <w:r>
        <w:rPr>
          <w:rFonts w:ascii="Times New Roman" w:eastAsia="Times New Roman"/>
        </w:rPr>
        <w:t xml:space="preserve">11.7 </w:t>
      </w:r>
      <w:r>
        <w:t>款：</w:t>
      </w:r>
    </w:p>
    <w:p>
      <w:pPr>
        <w:pStyle w:val="11"/>
        <w:spacing w:before="6"/>
      </w:pPr>
    </w:p>
    <w:p>
      <w:pPr>
        <w:pStyle w:val="20"/>
        <w:numPr>
          <w:ilvl w:val="1"/>
          <w:numId w:val="27"/>
        </w:numPr>
        <w:tabs>
          <w:tab w:val="left" w:pos="965"/>
        </w:tabs>
        <w:rPr>
          <w:rFonts w:ascii="黑体" w:eastAsia="黑体"/>
          <w:sz w:val="24"/>
        </w:rPr>
      </w:pPr>
      <w:bookmarkStart w:id="193" w:name="_bookmark205"/>
      <w:bookmarkEnd w:id="193"/>
      <w:r>
        <w:rPr>
          <w:rFonts w:hint="eastAsia" w:ascii="黑体" w:eastAsia="黑体"/>
          <w:sz w:val="24"/>
        </w:rPr>
        <w:t>工作时间的限制</w:t>
      </w:r>
    </w:p>
    <w:p>
      <w:pPr>
        <w:pStyle w:val="11"/>
        <w:spacing w:before="11"/>
        <w:rPr>
          <w:rFonts w:ascii="黑体"/>
          <w:sz w:val="25"/>
        </w:rPr>
      </w:pPr>
    </w:p>
    <w:p>
      <w:pPr>
        <w:pStyle w:val="11"/>
        <w:spacing w:line="312" w:lineRule="auto"/>
        <w:ind w:left="424" w:right="391" w:firstLine="479"/>
      </w:pPr>
      <w:r>
        <w:t>承包人在夜间或国家规定的节假日进行永久工程的施工，应向监理人报告，以便监理人履行监理职责和义务。</w:t>
      </w:r>
    </w:p>
    <w:p>
      <w:pPr>
        <w:pStyle w:val="11"/>
        <w:spacing w:line="312" w:lineRule="auto"/>
        <w:ind w:left="424" w:right="391" w:firstLine="479"/>
      </w:pPr>
      <w:r>
        <w:t>但是，为了抢救生命或保护财产，或为了工程的安全、质量而不可避免地短暂作业，则不必事先向监理人报告。但承包人应在事后立即向监理人报告。</w:t>
      </w:r>
    </w:p>
    <w:p>
      <w:pPr>
        <w:pStyle w:val="11"/>
        <w:spacing w:before="2"/>
        <w:ind w:left="904"/>
      </w:pPr>
      <w:r>
        <w:t>本款规定不适用于习惯上或施工本身要求实行连续生产的作业。</w:t>
      </w:r>
    </w:p>
    <w:p>
      <w:pPr>
        <w:pStyle w:val="11"/>
      </w:pPr>
    </w:p>
    <w:p>
      <w:pPr>
        <w:numPr>
          <w:ilvl w:val="0"/>
          <w:numId w:val="15"/>
        </w:numPr>
        <w:tabs>
          <w:tab w:val="left" w:pos="914"/>
        </w:tabs>
        <w:spacing w:before="192"/>
        <w:ind w:left="914" w:hanging="490"/>
        <w:rPr>
          <w:rFonts w:ascii="黑体" w:eastAsia="黑体"/>
          <w:sz w:val="28"/>
        </w:rPr>
      </w:pPr>
      <w:bookmarkStart w:id="194" w:name="_bookmark206"/>
      <w:bookmarkEnd w:id="194"/>
      <w:r>
        <w:rPr>
          <w:rFonts w:hint="eastAsia" w:ascii="黑体" w:eastAsia="黑体"/>
          <w:sz w:val="28"/>
        </w:rPr>
        <w:t>暂停施工</w:t>
      </w:r>
    </w:p>
    <w:p>
      <w:pPr>
        <w:pStyle w:val="11"/>
        <w:spacing w:before="7"/>
        <w:rPr>
          <w:rFonts w:ascii="黑体"/>
        </w:rPr>
      </w:pPr>
    </w:p>
    <w:p>
      <w:pPr>
        <w:pStyle w:val="20"/>
        <w:numPr>
          <w:ilvl w:val="1"/>
          <w:numId w:val="15"/>
        </w:numPr>
        <w:tabs>
          <w:tab w:val="left" w:pos="965"/>
        </w:tabs>
        <w:spacing w:before="1"/>
        <w:ind w:left="964" w:hanging="540"/>
        <w:rPr>
          <w:rFonts w:ascii="黑体" w:eastAsia="黑体"/>
          <w:sz w:val="24"/>
        </w:rPr>
      </w:pPr>
      <w:bookmarkStart w:id="195" w:name="_bookmark207"/>
      <w:bookmarkEnd w:id="195"/>
      <w:r>
        <w:rPr>
          <w:rFonts w:hint="eastAsia" w:ascii="黑体" w:eastAsia="黑体"/>
          <w:sz w:val="24"/>
        </w:rPr>
        <w:t>承包人暂停施工的责任</w:t>
      </w:r>
    </w:p>
    <w:p>
      <w:pPr>
        <w:pStyle w:val="11"/>
        <w:spacing w:before="11"/>
        <w:rPr>
          <w:rFonts w:ascii="黑体"/>
          <w:sz w:val="25"/>
        </w:rPr>
      </w:pPr>
    </w:p>
    <w:p>
      <w:pPr>
        <w:pStyle w:val="11"/>
        <w:ind w:left="904"/>
      </w:pPr>
      <w:r>
        <w:t>本款第（</w:t>
      </w:r>
      <w:r>
        <w:rPr>
          <w:rFonts w:ascii="Times New Roman" w:eastAsia="Times New Roman"/>
        </w:rPr>
        <w:t>5</w:t>
      </w:r>
      <w:r>
        <w:t>）项细化为：</w:t>
      </w:r>
    </w:p>
    <w:p>
      <w:pPr>
        <w:pStyle w:val="11"/>
        <w:spacing w:before="93" w:line="312" w:lineRule="auto"/>
        <w:ind w:left="424" w:right="383" w:firstLine="479"/>
      </w:pPr>
      <w:r>
        <w:t>（</w:t>
      </w:r>
      <w:r>
        <w:rPr>
          <w:rFonts w:ascii="Times New Roman" w:eastAsia="Times New Roman"/>
        </w:rPr>
        <w:t>5</w:t>
      </w:r>
      <w:r>
        <w:t>）现场气候条件导致的必要停工（</w:t>
      </w:r>
      <w:r>
        <w:rPr>
          <w:spacing w:val="-4"/>
        </w:rPr>
        <w:t xml:space="preserve">第 </w:t>
      </w:r>
      <w:r>
        <w:rPr>
          <w:rFonts w:ascii="Times New Roman" w:eastAsia="Times New Roman"/>
          <w:spacing w:val="-3"/>
        </w:rPr>
        <w:t>11.4</w:t>
      </w:r>
      <w:r>
        <w:rPr>
          <w:rFonts w:ascii="Times New Roman" w:eastAsia="Times New Roman"/>
          <w:spacing w:val="51"/>
        </w:rPr>
        <w:t xml:space="preserve"> </w:t>
      </w:r>
      <w:r>
        <w:t>款约定的异常恶劣的气候条件除外</w:t>
      </w:r>
      <w:r>
        <w:rPr>
          <w:spacing w:val="-121"/>
        </w:rPr>
        <w:t>）</w:t>
      </w:r>
      <w:r>
        <w:t>；</w:t>
      </w:r>
    </w:p>
    <w:p>
      <w:pPr>
        <w:pStyle w:val="11"/>
        <w:spacing w:line="307" w:lineRule="exact"/>
        <w:ind w:left="904"/>
      </w:pPr>
      <w:r>
        <w:t>（</w:t>
      </w:r>
      <w:r>
        <w:rPr>
          <w:rFonts w:ascii="Times New Roman" w:eastAsia="Times New Roman"/>
        </w:rPr>
        <w:t>6</w:t>
      </w:r>
      <w:r>
        <w:t>）项目专用合同条款可能约定的由承包人承担的其他暂停施工。</w:t>
      </w:r>
    </w:p>
    <w:p>
      <w:pPr>
        <w:pStyle w:val="11"/>
        <w:rPr>
          <w:sz w:val="26"/>
        </w:rPr>
      </w:pPr>
    </w:p>
    <w:p>
      <w:pPr>
        <w:numPr>
          <w:ilvl w:val="0"/>
          <w:numId w:val="15"/>
        </w:numPr>
        <w:tabs>
          <w:tab w:val="left" w:pos="914"/>
        </w:tabs>
        <w:spacing w:before="169"/>
        <w:ind w:left="914" w:hanging="490"/>
        <w:rPr>
          <w:rFonts w:ascii="黑体" w:eastAsia="黑体"/>
          <w:sz w:val="28"/>
        </w:rPr>
      </w:pPr>
      <w:bookmarkStart w:id="196" w:name="_bookmark208"/>
      <w:bookmarkEnd w:id="196"/>
      <w:r>
        <w:rPr>
          <w:rFonts w:hint="eastAsia" w:ascii="黑体" w:eastAsia="黑体"/>
          <w:sz w:val="28"/>
        </w:rPr>
        <w:t>工程质量</w:t>
      </w:r>
    </w:p>
    <w:p>
      <w:pPr>
        <w:pStyle w:val="11"/>
        <w:spacing w:before="5"/>
        <w:rPr>
          <w:rFonts w:ascii="黑体"/>
        </w:rPr>
      </w:pPr>
    </w:p>
    <w:p>
      <w:pPr>
        <w:pStyle w:val="20"/>
        <w:numPr>
          <w:ilvl w:val="1"/>
          <w:numId w:val="15"/>
        </w:numPr>
        <w:tabs>
          <w:tab w:val="left" w:pos="965"/>
        </w:tabs>
        <w:ind w:left="964" w:hanging="540"/>
        <w:rPr>
          <w:rFonts w:ascii="黑体" w:eastAsia="黑体"/>
          <w:sz w:val="24"/>
        </w:rPr>
      </w:pPr>
      <w:bookmarkStart w:id="197" w:name="_bookmark209"/>
      <w:bookmarkEnd w:id="197"/>
      <w:r>
        <w:rPr>
          <w:rFonts w:hint="eastAsia" w:ascii="黑体" w:eastAsia="黑体"/>
          <w:sz w:val="24"/>
        </w:rPr>
        <w:t>工程质量要求</w:t>
      </w:r>
    </w:p>
    <w:p>
      <w:pPr>
        <w:pStyle w:val="11"/>
        <w:spacing w:before="11"/>
        <w:rPr>
          <w:rFonts w:ascii="黑体"/>
          <w:sz w:val="25"/>
        </w:rPr>
      </w:pPr>
    </w:p>
    <w:p>
      <w:pPr>
        <w:pStyle w:val="11"/>
        <w:ind w:left="904"/>
      </w:pPr>
      <w:r>
        <w:t xml:space="preserve">第 </w:t>
      </w:r>
      <w:r>
        <w:rPr>
          <w:rFonts w:ascii="Times New Roman" w:eastAsia="Times New Roman"/>
        </w:rPr>
        <w:t xml:space="preserve">13.1.1 </w:t>
      </w:r>
      <w:r>
        <w:t>项约定为：</w:t>
      </w:r>
    </w:p>
    <w:p>
      <w:pPr>
        <w:pStyle w:val="11"/>
        <w:spacing w:before="93"/>
        <w:ind w:left="904"/>
      </w:pPr>
      <w:r>
        <w:t>工程质量验收按技术规范及《公路工程质量检验评定标准》执行。</w:t>
      </w:r>
    </w:p>
    <w:p>
      <w:pPr>
        <w:sectPr>
          <w:footerReference r:id="rId44" w:type="default"/>
          <w:footerReference r:id="rId45" w:type="even"/>
          <w:pgSz w:w="11910" w:h="16850"/>
          <w:pgMar w:top="1480" w:right="1200" w:bottom="1040" w:left="1220" w:header="876" w:footer="853" w:gutter="0"/>
          <w:pgNumType w:start="132"/>
          <w:cols w:space="720" w:num="1"/>
        </w:sectPr>
      </w:pPr>
    </w:p>
    <w:p>
      <w:pPr>
        <w:pStyle w:val="11"/>
        <w:spacing w:before="7"/>
        <w:rPr>
          <w:sz w:val="9"/>
        </w:rPr>
      </w:pPr>
    </w:p>
    <w:p>
      <w:pPr>
        <w:pStyle w:val="11"/>
        <w:spacing w:before="74"/>
        <w:ind w:left="904"/>
      </w:pPr>
      <w:r>
        <w:t xml:space="preserve">本款补充第 </w:t>
      </w:r>
      <w:r>
        <w:rPr>
          <w:rFonts w:ascii="Times New Roman" w:eastAsia="Times New Roman"/>
        </w:rPr>
        <w:t xml:space="preserve">13.1.4 </w:t>
      </w:r>
      <w:r>
        <w:t xml:space="preserve">项、第 </w:t>
      </w:r>
      <w:r>
        <w:rPr>
          <w:rFonts w:ascii="Times New Roman" w:eastAsia="Times New Roman"/>
        </w:rPr>
        <w:t xml:space="preserve">13.1.5 </w:t>
      </w:r>
      <w:r>
        <w:t>项：</w:t>
      </w:r>
    </w:p>
    <w:p>
      <w:pPr>
        <w:pStyle w:val="20"/>
        <w:numPr>
          <w:ilvl w:val="2"/>
          <w:numId w:val="28"/>
        </w:numPr>
        <w:tabs>
          <w:tab w:val="left" w:pos="1625"/>
        </w:tabs>
        <w:spacing w:before="91" w:line="312" w:lineRule="auto"/>
        <w:ind w:right="388" w:firstLine="480"/>
        <w:jc w:val="both"/>
        <w:rPr>
          <w:sz w:val="24"/>
        </w:rPr>
      </w:pPr>
      <w:r>
        <w:rPr>
          <w:sz w:val="24"/>
        </w:rPr>
        <w:t>发包人和承包人应严格遵守《关于严格落实公路工程质量责任制的若干意见》的相关规定，认真执行工程质量责任登记制度并按要求填写工程质量责任登记表。</w:t>
      </w:r>
    </w:p>
    <w:p>
      <w:pPr>
        <w:pStyle w:val="20"/>
        <w:numPr>
          <w:ilvl w:val="2"/>
          <w:numId w:val="28"/>
        </w:numPr>
        <w:tabs>
          <w:tab w:val="left" w:pos="1625"/>
        </w:tabs>
        <w:spacing w:before="1" w:line="312" w:lineRule="auto"/>
        <w:ind w:right="264" w:firstLine="480"/>
        <w:jc w:val="both"/>
        <w:rPr>
          <w:sz w:val="24"/>
        </w:rPr>
      </w:pPr>
      <w:r>
        <w:rPr>
          <w:spacing w:val="-4"/>
          <w:sz w:val="24"/>
        </w:rPr>
        <w:t>本项目严格执行质量责任追究制度。质量事故处理实行</w:t>
      </w:r>
      <w:r>
        <w:rPr>
          <w:rFonts w:ascii="Times New Roman" w:hAnsi="Times New Roman" w:eastAsia="Times New Roman"/>
          <w:sz w:val="24"/>
        </w:rPr>
        <w:t>“</w:t>
      </w:r>
      <w:r>
        <w:rPr>
          <w:sz w:val="24"/>
        </w:rPr>
        <w:t>四不放过</w:t>
      </w:r>
      <w:r>
        <w:rPr>
          <w:rFonts w:ascii="Times New Roman" w:hAnsi="Times New Roman" w:eastAsia="Times New Roman"/>
          <w:sz w:val="24"/>
        </w:rPr>
        <w:t>”</w:t>
      </w:r>
      <w:r>
        <w:rPr>
          <w:sz w:val="24"/>
        </w:rPr>
        <w:t xml:space="preserve">原则： </w:t>
      </w:r>
      <w:r>
        <w:rPr>
          <w:spacing w:val="-6"/>
          <w:sz w:val="24"/>
        </w:rPr>
        <w:t>事故原因调查不清不放过；事故责任者没有受到教育不放过；没有防范措施不放过； 相关责任人没受到处理不放过。</w:t>
      </w:r>
    </w:p>
    <w:p>
      <w:pPr>
        <w:pStyle w:val="11"/>
        <w:spacing w:before="4"/>
        <w:rPr>
          <w:sz w:val="17"/>
        </w:rPr>
      </w:pPr>
    </w:p>
    <w:p>
      <w:pPr>
        <w:pStyle w:val="20"/>
        <w:numPr>
          <w:ilvl w:val="1"/>
          <w:numId w:val="28"/>
        </w:numPr>
        <w:tabs>
          <w:tab w:val="left" w:pos="965"/>
        </w:tabs>
        <w:ind w:left="964" w:hanging="540"/>
        <w:jc w:val="left"/>
        <w:rPr>
          <w:rFonts w:ascii="Times New Roman" w:eastAsia="Times New Roman"/>
          <w:sz w:val="24"/>
        </w:rPr>
      </w:pPr>
      <w:bookmarkStart w:id="198" w:name="_bookmark210"/>
      <w:bookmarkEnd w:id="198"/>
      <w:r>
        <w:rPr>
          <w:rFonts w:hint="eastAsia" w:ascii="黑体" w:eastAsia="黑体"/>
          <w:sz w:val="24"/>
        </w:rPr>
        <w:t>承包人的质量管理</w:t>
      </w:r>
    </w:p>
    <w:p>
      <w:pPr>
        <w:pStyle w:val="11"/>
        <w:rPr>
          <w:rFonts w:ascii="黑体"/>
          <w:sz w:val="26"/>
        </w:rPr>
      </w:pPr>
    </w:p>
    <w:p>
      <w:pPr>
        <w:pStyle w:val="11"/>
        <w:spacing w:before="1"/>
        <w:ind w:left="904"/>
      </w:pPr>
      <w:r>
        <w:t xml:space="preserve">第 </w:t>
      </w:r>
      <w:r>
        <w:rPr>
          <w:rFonts w:ascii="Times New Roman" w:eastAsia="Times New Roman"/>
        </w:rPr>
        <w:t xml:space="preserve">13.2.1 </w:t>
      </w:r>
      <w:r>
        <w:t>项补充：</w:t>
      </w:r>
    </w:p>
    <w:p>
      <w:pPr>
        <w:pStyle w:val="11"/>
        <w:spacing w:before="91"/>
        <w:ind w:left="904"/>
      </w:pPr>
      <w:r>
        <w:t xml:space="preserve">承包人提交工程质量保证措施文件的期限：签订合同协议书后 </w:t>
      </w:r>
      <w:r>
        <w:rPr>
          <w:rFonts w:ascii="Times New Roman" w:eastAsia="Times New Roman"/>
        </w:rPr>
        <w:t xml:space="preserve">28 </w:t>
      </w:r>
      <w:r>
        <w:t>天之内。</w:t>
      </w:r>
    </w:p>
    <w:p>
      <w:pPr>
        <w:pStyle w:val="11"/>
        <w:spacing w:before="93"/>
        <w:ind w:left="904"/>
      </w:pPr>
      <w:r>
        <w:t xml:space="preserve">本款补充第 </w:t>
      </w:r>
      <w:r>
        <w:rPr>
          <w:rFonts w:ascii="Times New Roman" w:eastAsia="Times New Roman"/>
        </w:rPr>
        <w:t xml:space="preserve">13.2.3 </w:t>
      </w:r>
      <w:r>
        <w:t>项</w:t>
      </w:r>
      <w:r>
        <w:rPr>
          <w:rFonts w:ascii="Times New Roman" w:eastAsia="Times New Roman"/>
        </w:rPr>
        <w:t>~</w:t>
      </w:r>
      <w:r>
        <w:t xml:space="preserve">第 </w:t>
      </w:r>
      <w:r>
        <w:rPr>
          <w:rFonts w:ascii="Times New Roman" w:eastAsia="Times New Roman"/>
        </w:rPr>
        <w:t xml:space="preserve">13.2.10 </w:t>
      </w:r>
      <w:r>
        <w:t>项：</w:t>
      </w:r>
    </w:p>
    <w:p>
      <w:pPr>
        <w:pStyle w:val="20"/>
        <w:numPr>
          <w:ilvl w:val="2"/>
          <w:numId w:val="29"/>
        </w:numPr>
        <w:tabs>
          <w:tab w:val="left" w:pos="1625"/>
        </w:tabs>
        <w:spacing w:before="93" w:line="312" w:lineRule="auto"/>
        <w:ind w:right="389" w:firstLine="480"/>
        <w:jc w:val="both"/>
        <w:rPr>
          <w:sz w:val="24"/>
        </w:rPr>
      </w:pPr>
      <w:r>
        <w:rPr>
          <w:sz w:val="24"/>
        </w:rPr>
        <w:t>公路工程施行质量责任终身制。承包人应当书面明确相应的项目负责人和质量负责人。承包人的相关人员按照国家法律法规和有关规定在工程合理使用年限内承担相应的质量责任。</w:t>
      </w:r>
    </w:p>
    <w:p>
      <w:pPr>
        <w:pStyle w:val="20"/>
        <w:numPr>
          <w:ilvl w:val="2"/>
          <w:numId w:val="29"/>
        </w:numPr>
        <w:tabs>
          <w:tab w:val="left" w:pos="1625"/>
        </w:tabs>
        <w:spacing w:before="1" w:line="312" w:lineRule="auto"/>
        <w:ind w:right="264" w:firstLine="480"/>
        <w:rPr>
          <w:sz w:val="24"/>
        </w:rPr>
      </w:pPr>
      <w:r>
        <w:rPr>
          <w:sz w:val="24"/>
        </w:rPr>
        <w:t>承包人应当建立健全工程质量保证体系，制定质量管理制度，强化工程</w:t>
      </w:r>
      <w:r>
        <w:rPr>
          <w:spacing w:val="-8"/>
          <w:sz w:val="24"/>
        </w:rPr>
        <w:t xml:space="preserve">质量管理措施，完善工程质量目标保障机制；严格遵守国家有关法律、法规和规章， </w:t>
      </w:r>
      <w:r>
        <w:rPr>
          <w:spacing w:val="-13"/>
          <w:sz w:val="24"/>
        </w:rPr>
        <w:t>严格执行公路工程强制性技术标准、各类技术规范及规程，全面履行工程合同义务。</w:t>
      </w:r>
    </w:p>
    <w:p>
      <w:pPr>
        <w:pStyle w:val="20"/>
        <w:numPr>
          <w:ilvl w:val="2"/>
          <w:numId w:val="29"/>
        </w:numPr>
        <w:tabs>
          <w:tab w:val="left" w:pos="1625"/>
        </w:tabs>
        <w:spacing w:before="1" w:line="312" w:lineRule="auto"/>
        <w:ind w:right="389" w:firstLine="480"/>
        <w:rPr>
          <w:sz w:val="24"/>
        </w:rPr>
      </w:pPr>
      <w:r>
        <w:rPr>
          <w:sz w:val="24"/>
        </w:rPr>
        <w:t>承包人对工程施工质量负责，应当按合同约定设立现场质量管理机构、配备工程技术人员和质量管理人员，落实工程施工质量责任制。</w:t>
      </w:r>
    </w:p>
    <w:p>
      <w:pPr>
        <w:pStyle w:val="20"/>
        <w:numPr>
          <w:ilvl w:val="2"/>
          <w:numId w:val="29"/>
        </w:numPr>
        <w:tabs>
          <w:tab w:val="left" w:pos="1625"/>
        </w:tabs>
        <w:spacing w:line="312" w:lineRule="auto"/>
        <w:ind w:right="263" w:firstLine="480"/>
        <w:rPr>
          <w:sz w:val="24"/>
        </w:rPr>
      </w:pPr>
      <w:r>
        <w:rPr>
          <w:sz w:val="24"/>
        </w:rPr>
        <w:t>承包人应当严格按照工程设计图纸、施工技术标准和合同约定施工，对</w:t>
      </w:r>
      <w:r>
        <w:rPr>
          <w:spacing w:val="-9"/>
          <w:sz w:val="24"/>
        </w:rPr>
        <w:t>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Style w:val="20"/>
        <w:numPr>
          <w:ilvl w:val="2"/>
          <w:numId w:val="29"/>
        </w:numPr>
        <w:tabs>
          <w:tab w:val="left" w:pos="1625"/>
        </w:tabs>
        <w:spacing w:before="2" w:line="312" w:lineRule="auto"/>
        <w:ind w:right="389" w:firstLine="480"/>
        <w:jc w:val="both"/>
        <w:rPr>
          <w:sz w:val="24"/>
        </w:rPr>
      </w:pPr>
      <w:r>
        <w:rPr>
          <w:sz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Style w:val="20"/>
        <w:numPr>
          <w:ilvl w:val="2"/>
          <w:numId w:val="29"/>
        </w:numPr>
        <w:tabs>
          <w:tab w:val="left" w:pos="1625"/>
        </w:tabs>
        <w:spacing w:line="312" w:lineRule="auto"/>
        <w:ind w:right="264" w:firstLine="480"/>
        <w:rPr>
          <w:sz w:val="24"/>
        </w:rPr>
      </w:pPr>
      <w:r>
        <w:rPr>
          <w:sz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spacing w:val="-3"/>
          <w:sz w:val="24"/>
        </w:rPr>
        <w:t>人应当对其设立的工地临时试验室所出具的试验检测数据和报告的真实性、客观性、准确性负责。</w:t>
      </w:r>
    </w:p>
    <w:p>
      <w:pPr>
        <w:pStyle w:val="20"/>
        <w:numPr>
          <w:ilvl w:val="2"/>
          <w:numId w:val="29"/>
        </w:numPr>
        <w:tabs>
          <w:tab w:val="left" w:pos="1625"/>
        </w:tabs>
        <w:spacing w:before="3"/>
        <w:ind w:firstLine="480"/>
        <w:rPr>
          <w:sz w:val="24"/>
        </w:rPr>
      </w:pPr>
      <w:r>
        <w:rPr>
          <w:sz w:val="24"/>
        </w:rPr>
        <w:t>承包人应当依法规范分包行为，并对承担的工程质量负总责，分包单位</w:t>
      </w:r>
    </w:p>
    <w:p>
      <w:pPr>
        <w:rPr>
          <w:sz w:val="24"/>
        </w:rPr>
        <w:sectPr>
          <w:pgSz w:w="11910" w:h="16850"/>
          <w:pgMar w:top="1480" w:right="1200" w:bottom="1080" w:left="1220" w:header="883" w:footer="884" w:gutter="0"/>
          <w:cols w:space="720" w:num="1"/>
        </w:sectPr>
      </w:pPr>
    </w:p>
    <w:p>
      <w:pPr>
        <w:pStyle w:val="11"/>
        <w:spacing w:before="2"/>
        <w:rPr>
          <w:sz w:val="10"/>
        </w:rPr>
      </w:pPr>
    </w:p>
    <w:p>
      <w:pPr>
        <w:pStyle w:val="11"/>
        <w:spacing w:before="67"/>
        <w:ind w:left="424"/>
      </w:pPr>
      <w:r>
        <w:t>对分包合同范围内的工程质量负责。</w:t>
      </w:r>
    </w:p>
    <w:p>
      <w:pPr>
        <w:pStyle w:val="20"/>
        <w:numPr>
          <w:ilvl w:val="2"/>
          <w:numId w:val="29"/>
        </w:numPr>
        <w:tabs>
          <w:tab w:val="left" w:pos="1745"/>
        </w:tabs>
        <w:spacing w:before="91" w:line="312" w:lineRule="auto"/>
        <w:ind w:right="385" w:firstLine="480"/>
        <w:rPr>
          <w:sz w:val="24"/>
        </w:rPr>
      </w:pPr>
      <w:r>
        <w:rPr>
          <w:spacing w:val="-4"/>
          <w:sz w:val="24"/>
        </w:rPr>
        <w:t>承包人驻工程现场机构应在现场驻地和重要的分部、分项工程施工现场设置明显的工程质量责任登记表公示牌。</w:t>
      </w:r>
    </w:p>
    <w:p>
      <w:pPr>
        <w:pStyle w:val="11"/>
        <w:spacing w:before="4"/>
        <w:rPr>
          <w:sz w:val="17"/>
        </w:rPr>
      </w:pPr>
    </w:p>
    <w:p>
      <w:pPr>
        <w:pStyle w:val="20"/>
        <w:numPr>
          <w:ilvl w:val="1"/>
          <w:numId w:val="30"/>
        </w:numPr>
        <w:tabs>
          <w:tab w:val="left" w:pos="965"/>
        </w:tabs>
        <w:spacing w:before="1"/>
        <w:rPr>
          <w:rFonts w:ascii="黑体" w:eastAsia="黑体"/>
          <w:sz w:val="24"/>
        </w:rPr>
      </w:pPr>
      <w:bookmarkStart w:id="199" w:name="_bookmark211"/>
      <w:bookmarkEnd w:id="199"/>
      <w:r>
        <w:rPr>
          <w:rFonts w:hint="eastAsia" w:ascii="黑体" w:eastAsia="黑体"/>
          <w:sz w:val="24"/>
        </w:rPr>
        <w:t>监理人的质量检查</w:t>
      </w:r>
    </w:p>
    <w:p>
      <w:pPr>
        <w:pStyle w:val="11"/>
        <w:spacing w:before="10"/>
        <w:rPr>
          <w:rFonts w:ascii="黑体"/>
          <w:sz w:val="25"/>
        </w:rPr>
      </w:pPr>
    </w:p>
    <w:p>
      <w:pPr>
        <w:pStyle w:val="11"/>
        <w:ind w:left="904"/>
      </w:pPr>
      <w:r>
        <w:t>本款补充：</w:t>
      </w:r>
    </w:p>
    <w:p>
      <w:pPr>
        <w:pStyle w:val="11"/>
        <w:spacing w:before="94" w:line="312" w:lineRule="auto"/>
        <w:ind w:left="424" w:right="184" w:firstLine="479"/>
      </w:pPr>
      <w:r>
        <w:t>监理人及其委派的检验人员，应能进入工程现场，以及材料或工程设备的制造、加工或制配的车间和场所，包括不属于承包人的车间或场所进行检查，承包人应为此提供便利和协助。</w:t>
      </w:r>
    </w:p>
    <w:p>
      <w:pPr>
        <w:pStyle w:val="11"/>
        <w:spacing w:before="1" w:line="312" w:lineRule="auto"/>
        <w:ind w:left="424" w:right="388" w:firstLine="479"/>
        <w:jc w:val="both"/>
      </w:pPr>
      <w:r>
        <w:t xml:space="preserve">监理人可以将材料或工程设备的检查和检验委托给一家独立的有质量检验认证资格的检验单位。该独立检验单位的检验结果应视为监理人完成的。监理人应将这种委托的通知书不少于 </w:t>
      </w:r>
      <w:r>
        <w:rPr>
          <w:rFonts w:ascii="Times New Roman" w:eastAsia="Times New Roman"/>
        </w:rPr>
        <w:t xml:space="preserve">7 </w:t>
      </w:r>
      <w:r>
        <w:t>天前交给承包人。</w:t>
      </w:r>
    </w:p>
    <w:p>
      <w:pPr>
        <w:pStyle w:val="20"/>
        <w:numPr>
          <w:ilvl w:val="1"/>
          <w:numId w:val="30"/>
        </w:numPr>
        <w:tabs>
          <w:tab w:val="left" w:pos="965"/>
        </w:tabs>
        <w:spacing w:before="221"/>
        <w:rPr>
          <w:rFonts w:ascii="黑体" w:eastAsia="黑体"/>
          <w:sz w:val="24"/>
        </w:rPr>
      </w:pPr>
      <w:bookmarkStart w:id="200" w:name="_bookmark212"/>
      <w:bookmarkEnd w:id="200"/>
      <w:r>
        <w:rPr>
          <w:rFonts w:hint="eastAsia" w:ascii="黑体" w:eastAsia="黑体"/>
          <w:sz w:val="24"/>
        </w:rPr>
        <w:t>工程隐蔽部位覆盖前的检查</w:t>
      </w:r>
    </w:p>
    <w:p>
      <w:pPr>
        <w:pStyle w:val="11"/>
        <w:spacing w:before="11"/>
        <w:rPr>
          <w:rFonts w:ascii="黑体"/>
          <w:sz w:val="25"/>
        </w:rPr>
      </w:pPr>
    </w:p>
    <w:p>
      <w:pPr>
        <w:pStyle w:val="11"/>
        <w:ind w:left="904"/>
      </w:pPr>
      <w:r>
        <w:t xml:space="preserve">第 </w:t>
      </w:r>
      <w:r>
        <w:rPr>
          <w:rFonts w:ascii="Times New Roman" w:eastAsia="Times New Roman"/>
        </w:rPr>
        <w:t xml:space="preserve">13.5.1 </w:t>
      </w:r>
      <w:r>
        <w:t>项补充：</w:t>
      </w:r>
    </w:p>
    <w:p>
      <w:pPr>
        <w:pStyle w:val="11"/>
        <w:spacing w:before="94" w:line="312" w:lineRule="auto"/>
        <w:ind w:left="424" w:right="391" w:firstLine="479"/>
        <w:jc w:val="both"/>
      </w:pPr>
      <w:r>
        <w:t>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11"/>
        <w:spacing w:before="3"/>
        <w:rPr>
          <w:sz w:val="17"/>
        </w:rPr>
      </w:pPr>
    </w:p>
    <w:p>
      <w:pPr>
        <w:pStyle w:val="20"/>
        <w:numPr>
          <w:ilvl w:val="1"/>
          <w:numId w:val="30"/>
        </w:numPr>
        <w:tabs>
          <w:tab w:val="left" w:pos="965"/>
        </w:tabs>
        <w:rPr>
          <w:rFonts w:ascii="黑体" w:eastAsia="黑体"/>
          <w:sz w:val="24"/>
        </w:rPr>
      </w:pPr>
      <w:bookmarkStart w:id="201" w:name="_bookmark213"/>
      <w:bookmarkEnd w:id="201"/>
      <w:r>
        <w:rPr>
          <w:rFonts w:hint="eastAsia" w:ascii="黑体" w:eastAsia="黑体"/>
          <w:sz w:val="24"/>
        </w:rPr>
        <w:t>清除不合格工程</w:t>
      </w:r>
    </w:p>
    <w:p>
      <w:pPr>
        <w:pStyle w:val="11"/>
        <w:spacing w:before="11"/>
        <w:rPr>
          <w:rFonts w:ascii="黑体"/>
          <w:sz w:val="25"/>
        </w:rPr>
      </w:pPr>
    </w:p>
    <w:p>
      <w:pPr>
        <w:pStyle w:val="11"/>
        <w:ind w:left="904"/>
      </w:pPr>
      <w:r>
        <w:t xml:space="preserve">第 </w:t>
      </w:r>
      <w:r>
        <w:rPr>
          <w:rFonts w:ascii="Times New Roman" w:eastAsia="Times New Roman"/>
        </w:rPr>
        <w:t xml:space="preserve">13.6.1 </w:t>
      </w:r>
      <w:r>
        <w:t>项细化为：</w:t>
      </w:r>
    </w:p>
    <w:p>
      <w:pPr>
        <w:pStyle w:val="11"/>
        <w:spacing w:before="93" w:line="312" w:lineRule="auto"/>
        <w:ind w:left="424" w:right="386" w:firstLine="479"/>
        <w:jc w:val="both"/>
      </w:pPr>
      <w:r>
        <w:rPr>
          <w:spacing w:val="-8"/>
        </w:rPr>
        <w:t>（</w:t>
      </w:r>
      <w:r>
        <w:rPr>
          <w:rFonts w:ascii="Times New Roman" w:eastAsia="Times New Roman"/>
          <w:spacing w:val="-8"/>
        </w:rPr>
        <w:t>1</w:t>
      </w:r>
      <w:r>
        <w:rPr>
          <w:spacing w:val="-8"/>
        </w:rPr>
        <w:t>）</w:t>
      </w:r>
      <w:r>
        <w:rPr>
          <w:spacing w:val="-5"/>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w:t>
      </w:r>
      <w:r>
        <w:t>（或） 工期延误由承包人承担。</w:t>
      </w:r>
    </w:p>
    <w:p>
      <w:pPr>
        <w:pStyle w:val="11"/>
        <w:spacing w:line="312" w:lineRule="auto"/>
        <w:ind w:left="424" w:right="265" w:firstLine="479"/>
      </w:pPr>
      <w:r>
        <w:t>（</w:t>
      </w:r>
      <w:r>
        <w:rPr>
          <w:rFonts w:ascii="Times New Roman" w:eastAsia="Times New Roman"/>
        </w:rPr>
        <w:t>2</w:t>
      </w:r>
      <w:r>
        <w:rPr>
          <w:spacing w:val="-104"/>
        </w:rPr>
        <w:t>）</w:t>
      </w:r>
      <w:r>
        <w:rPr>
          <w:spacing w:val="-5"/>
        </w:rPr>
        <w:t>如果承包人未在规定时间内执行监理人的指示，发包人有权雇用他人执行，由此增加的费用和（或）工期延误由承包人承担。</w:t>
      </w:r>
    </w:p>
    <w:p>
      <w:pPr>
        <w:pStyle w:val="11"/>
        <w:spacing w:before="1"/>
        <w:rPr>
          <w:sz w:val="32"/>
        </w:rPr>
      </w:pPr>
    </w:p>
    <w:p>
      <w:pPr>
        <w:numPr>
          <w:ilvl w:val="0"/>
          <w:numId w:val="15"/>
        </w:numPr>
        <w:tabs>
          <w:tab w:val="left" w:pos="914"/>
        </w:tabs>
        <w:ind w:left="914" w:hanging="490"/>
        <w:rPr>
          <w:rFonts w:ascii="黑体" w:eastAsia="黑体"/>
          <w:sz w:val="28"/>
        </w:rPr>
      </w:pPr>
      <w:bookmarkStart w:id="202" w:name="_bookmark214"/>
      <w:bookmarkEnd w:id="202"/>
      <w:r>
        <w:rPr>
          <w:rFonts w:hint="eastAsia" w:ascii="黑体" w:eastAsia="黑体"/>
          <w:sz w:val="28"/>
        </w:rPr>
        <w:t>试验和检验</w:t>
      </w:r>
    </w:p>
    <w:p>
      <w:pPr>
        <w:pStyle w:val="11"/>
        <w:spacing w:before="12"/>
        <w:rPr>
          <w:rFonts w:ascii="黑体"/>
          <w:sz w:val="25"/>
        </w:rPr>
      </w:pPr>
    </w:p>
    <w:p>
      <w:pPr>
        <w:pStyle w:val="11"/>
        <w:ind w:left="424"/>
      </w:pPr>
      <w:r>
        <w:t xml:space="preserve">本条补充第 </w:t>
      </w:r>
      <w:r>
        <w:rPr>
          <w:rFonts w:ascii="Times New Roman" w:eastAsia="Times New Roman"/>
        </w:rPr>
        <w:t xml:space="preserve">14.4 </w:t>
      </w:r>
      <w:r>
        <w:t>款：</w:t>
      </w:r>
    </w:p>
    <w:p>
      <w:pPr>
        <w:pStyle w:val="11"/>
        <w:spacing w:before="6"/>
      </w:pPr>
    </w:p>
    <w:p>
      <w:pPr>
        <w:pStyle w:val="11"/>
        <w:spacing w:before="1"/>
        <w:ind w:left="424"/>
        <w:rPr>
          <w:rFonts w:ascii="黑体" w:eastAsia="黑体"/>
        </w:rPr>
      </w:pPr>
      <w:bookmarkStart w:id="203" w:name="_bookmark215"/>
      <w:bookmarkEnd w:id="203"/>
      <w:r>
        <w:rPr>
          <w:rFonts w:ascii="Times New Roman" w:eastAsia="Times New Roman"/>
        </w:rPr>
        <w:t>14.4</w:t>
      </w:r>
      <w:r>
        <w:rPr>
          <w:rFonts w:ascii="Times New Roman" w:eastAsia="Times New Roman"/>
          <w:spacing w:val="58"/>
        </w:rPr>
        <w:t xml:space="preserve"> </w:t>
      </w:r>
      <w:r>
        <w:rPr>
          <w:rFonts w:hint="eastAsia" w:ascii="黑体" w:eastAsia="黑体"/>
        </w:rPr>
        <w:t>试验和检验费用</w:t>
      </w:r>
    </w:p>
    <w:p>
      <w:pPr>
        <w:pStyle w:val="11"/>
        <w:spacing w:before="10"/>
        <w:rPr>
          <w:rFonts w:ascii="黑体"/>
          <w:sz w:val="25"/>
        </w:rPr>
      </w:pPr>
    </w:p>
    <w:p>
      <w:pPr>
        <w:pStyle w:val="11"/>
        <w:ind w:left="904"/>
      </w:pPr>
      <w:r>
        <w:t>（</w:t>
      </w:r>
      <w:r>
        <w:rPr>
          <w:rFonts w:ascii="Times New Roman" w:eastAsia="Times New Roman"/>
        </w:rPr>
        <w:t>1</w:t>
      </w:r>
      <w:r>
        <w:t>）承包人应负责提供合同和技术规范规定的试验和检验所需的全部样品，并</w:t>
      </w:r>
    </w:p>
    <w:p>
      <w:pPr>
        <w:sectPr>
          <w:pgSz w:w="11910" w:h="16850"/>
          <w:pgMar w:top="1480" w:right="1200" w:bottom="1040" w:left="1220" w:header="876" w:footer="853" w:gutter="0"/>
          <w:cols w:space="720" w:num="1"/>
        </w:sectPr>
      </w:pPr>
    </w:p>
    <w:p>
      <w:pPr>
        <w:pStyle w:val="11"/>
        <w:spacing w:before="2"/>
        <w:rPr>
          <w:sz w:val="10"/>
        </w:rPr>
      </w:pPr>
    </w:p>
    <w:p>
      <w:pPr>
        <w:pStyle w:val="11"/>
        <w:spacing w:before="67"/>
        <w:ind w:left="424"/>
      </w:pPr>
      <w:r>
        <w:t>承担其费用。</w:t>
      </w:r>
    </w:p>
    <w:p>
      <w:pPr>
        <w:pStyle w:val="11"/>
        <w:spacing w:before="91" w:line="312" w:lineRule="auto"/>
        <w:ind w:left="424" w:right="305" w:firstLine="479"/>
      </w:pPr>
      <w:r>
        <w:t>（</w:t>
      </w:r>
      <w:r>
        <w:rPr>
          <w:rFonts w:ascii="Times New Roman" w:eastAsia="Times New Roman"/>
        </w:rPr>
        <w:t>2</w:t>
      </w:r>
      <w:r>
        <w:t>）在合同中明确规定的试验和检验，包括无须在工程量清单中单独列项和已在工程量清单中单独列项的试验和检验，其试验和检验的费用由承包人承担。</w:t>
      </w:r>
    </w:p>
    <w:p>
      <w:pPr>
        <w:pStyle w:val="11"/>
        <w:spacing w:before="2" w:line="312" w:lineRule="auto"/>
        <w:ind w:left="424" w:right="382" w:firstLine="479"/>
        <w:jc w:val="both"/>
      </w:pPr>
      <w:r>
        <w:rPr>
          <w:spacing w:val="-28"/>
        </w:rPr>
        <w:t>（</w:t>
      </w:r>
      <w:r>
        <w:rPr>
          <w:rFonts w:ascii="Times New Roman" w:eastAsia="Times New Roman"/>
          <w:spacing w:val="-28"/>
        </w:rPr>
        <w:t>3</w:t>
      </w:r>
      <w:r>
        <w:rPr>
          <w:spacing w:val="-28"/>
        </w:rPr>
        <w:t>）</w:t>
      </w:r>
      <w: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Style w:val="11"/>
        <w:spacing w:before="11"/>
        <w:rPr>
          <w:sz w:val="31"/>
        </w:rPr>
      </w:pPr>
    </w:p>
    <w:p>
      <w:pPr>
        <w:numPr>
          <w:ilvl w:val="0"/>
          <w:numId w:val="15"/>
        </w:numPr>
        <w:tabs>
          <w:tab w:val="left" w:pos="914"/>
        </w:tabs>
        <w:ind w:left="914" w:hanging="490"/>
        <w:rPr>
          <w:rFonts w:ascii="黑体" w:eastAsia="黑体"/>
          <w:sz w:val="28"/>
        </w:rPr>
      </w:pPr>
      <w:bookmarkStart w:id="204" w:name="_bookmark216"/>
      <w:bookmarkEnd w:id="204"/>
      <w:r>
        <w:rPr>
          <w:rFonts w:hint="eastAsia" w:ascii="黑体" w:eastAsia="黑体"/>
          <w:sz w:val="28"/>
        </w:rPr>
        <w:t>变更</w:t>
      </w:r>
    </w:p>
    <w:p>
      <w:pPr>
        <w:pStyle w:val="11"/>
        <w:spacing w:before="7"/>
        <w:rPr>
          <w:rFonts w:ascii="黑体"/>
        </w:rPr>
      </w:pPr>
    </w:p>
    <w:p>
      <w:pPr>
        <w:pStyle w:val="20"/>
        <w:numPr>
          <w:ilvl w:val="1"/>
          <w:numId w:val="15"/>
        </w:numPr>
        <w:tabs>
          <w:tab w:val="left" w:pos="965"/>
        </w:tabs>
        <w:spacing w:before="1"/>
        <w:ind w:left="964" w:hanging="540"/>
        <w:rPr>
          <w:rFonts w:ascii="黑体" w:eastAsia="黑体"/>
          <w:sz w:val="24"/>
        </w:rPr>
      </w:pPr>
      <w:bookmarkStart w:id="205" w:name="_bookmark217"/>
      <w:bookmarkEnd w:id="205"/>
      <w:r>
        <w:rPr>
          <w:rFonts w:hint="eastAsia" w:ascii="黑体" w:eastAsia="黑体"/>
          <w:sz w:val="24"/>
        </w:rPr>
        <w:t>变更的范围和内容</w:t>
      </w:r>
    </w:p>
    <w:p>
      <w:pPr>
        <w:pStyle w:val="11"/>
        <w:spacing w:before="10"/>
        <w:rPr>
          <w:rFonts w:ascii="黑体"/>
          <w:sz w:val="25"/>
        </w:rPr>
      </w:pPr>
    </w:p>
    <w:p>
      <w:pPr>
        <w:pStyle w:val="11"/>
        <w:ind w:left="904"/>
      </w:pPr>
      <w:r>
        <w:t>本款第（</w:t>
      </w:r>
      <w:r>
        <w:rPr>
          <w:rFonts w:ascii="Times New Roman" w:eastAsia="Times New Roman"/>
        </w:rPr>
        <w:t>1</w:t>
      </w:r>
      <w:r>
        <w:t>）项细化为：</w:t>
      </w:r>
    </w:p>
    <w:p>
      <w:pPr>
        <w:pStyle w:val="11"/>
        <w:spacing w:before="94" w:line="312" w:lineRule="auto"/>
        <w:ind w:left="424" w:right="264" w:firstLine="479"/>
      </w:pPr>
      <w:r>
        <w:t>（</w:t>
      </w:r>
      <w:r>
        <w:rPr>
          <w:rFonts w:ascii="Times New Roman" w:eastAsia="Times New Roman"/>
        </w:rPr>
        <w:t>1</w:t>
      </w:r>
      <w:r>
        <w:rPr>
          <w:spacing w:val="-104"/>
        </w:rPr>
        <w:t>）</w:t>
      </w:r>
      <w:r>
        <w:rPr>
          <w:spacing w:val="-9"/>
        </w:rPr>
        <w:t>取消合同中任何一项工作，但被取消的工作不能转由发包人或其他人实施，由于承包人违约造成的情况除外；</w:t>
      </w:r>
    </w:p>
    <w:p>
      <w:pPr>
        <w:pStyle w:val="11"/>
        <w:spacing w:before="2"/>
        <w:rPr>
          <w:sz w:val="17"/>
        </w:rPr>
      </w:pPr>
    </w:p>
    <w:p>
      <w:pPr>
        <w:pStyle w:val="20"/>
        <w:numPr>
          <w:ilvl w:val="1"/>
          <w:numId w:val="31"/>
        </w:numPr>
        <w:tabs>
          <w:tab w:val="left" w:pos="965"/>
        </w:tabs>
        <w:spacing w:before="1"/>
        <w:rPr>
          <w:rFonts w:ascii="黑体" w:eastAsia="黑体"/>
          <w:sz w:val="24"/>
        </w:rPr>
      </w:pPr>
      <w:bookmarkStart w:id="206" w:name="_bookmark218"/>
      <w:bookmarkEnd w:id="206"/>
      <w:r>
        <w:rPr>
          <w:rFonts w:hint="eastAsia" w:ascii="黑体" w:eastAsia="黑体"/>
          <w:sz w:val="24"/>
        </w:rPr>
        <w:t>变更程序</w:t>
      </w:r>
    </w:p>
    <w:p>
      <w:pPr>
        <w:pStyle w:val="11"/>
        <w:spacing w:before="10"/>
        <w:rPr>
          <w:rFonts w:ascii="黑体"/>
          <w:sz w:val="25"/>
        </w:rPr>
      </w:pPr>
    </w:p>
    <w:p>
      <w:pPr>
        <w:pStyle w:val="11"/>
        <w:ind w:left="904"/>
      </w:pPr>
      <w:r>
        <w:t xml:space="preserve">本款补充第 </w:t>
      </w:r>
      <w:r>
        <w:rPr>
          <w:rFonts w:ascii="Times New Roman" w:eastAsia="Times New Roman"/>
        </w:rPr>
        <w:t xml:space="preserve">15.3.4 </w:t>
      </w:r>
      <w:r>
        <w:t>项：</w:t>
      </w:r>
    </w:p>
    <w:p>
      <w:pPr>
        <w:pStyle w:val="11"/>
        <w:spacing w:before="93"/>
        <w:ind w:left="904"/>
      </w:pPr>
      <w:r>
        <w:rPr>
          <w:rFonts w:ascii="Times New Roman" w:eastAsia="Times New Roman"/>
        </w:rPr>
        <w:t xml:space="preserve">15.3.4 </w:t>
      </w:r>
      <w:r>
        <w:t>设计变更程序应执行《公路工程设计变更管理办法》的相关规定。</w:t>
      </w:r>
    </w:p>
    <w:p>
      <w:pPr>
        <w:pStyle w:val="11"/>
        <w:spacing w:before="7"/>
      </w:pPr>
    </w:p>
    <w:p>
      <w:pPr>
        <w:pStyle w:val="20"/>
        <w:numPr>
          <w:ilvl w:val="1"/>
          <w:numId w:val="31"/>
        </w:numPr>
        <w:tabs>
          <w:tab w:val="left" w:pos="965"/>
        </w:tabs>
        <w:rPr>
          <w:rFonts w:ascii="黑体" w:eastAsia="黑体"/>
          <w:sz w:val="24"/>
        </w:rPr>
      </w:pPr>
      <w:bookmarkStart w:id="207" w:name="_bookmark219"/>
      <w:bookmarkEnd w:id="207"/>
      <w:r>
        <w:rPr>
          <w:rFonts w:hint="eastAsia" w:ascii="黑体" w:eastAsia="黑体"/>
          <w:sz w:val="24"/>
        </w:rPr>
        <w:t>变更的估价原则</w:t>
      </w:r>
    </w:p>
    <w:p>
      <w:pPr>
        <w:pStyle w:val="11"/>
        <w:spacing w:before="10"/>
        <w:rPr>
          <w:rFonts w:ascii="黑体"/>
          <w:sz w:val="25"/>
        </w:rPr>
      </w:pPr>
    </w:p>
    <w:p>
      <w:pPr>
        <w:pStyle w:val="11"/>
        <w:spacing w:before="1"/>
        <w:ind w:left="904"/>
      </w:pPr>
      <w:r>
        <w:t>本款细化为：</w:t>
      </w:r>
    </w:p>
    <w:p>
      <w:pPr>
        <w:pStyle w:val="11"/>
        <w:spacing w:before="93"/>
        <w:ind w:left="904"/>
      </w:pPr>
      <w:r>
        <w:t>除项目专用合同条款另有约定外，因变更引起的价格调整按照本款约定处理。</w:t>
      </w:r>
    </w:p>
    <w:p>
      <w:pPr>
        <w:pStyle w:val="20"/>
        <w:numPr>
          <w:ilvl w:val="2"/>
          <w:numId w:val="31"/>
        </w:numPr>
        <w:tabs>
          <w:tab w:val="left" w:pos="1625"/>
        </w:tabs>
        <w:spacing w:before="91"/>
        <w:ind w:firstLine="480"/>
        <w:rPr>
          <w:sz w:val="24"/>
        </w:rPr>
      </w:pPr>
      <w:r>
        <w:rPr>
          <w:sz w:val="24"/>
        </w:rPr>
        <w:t>如果取消某项工作，则该项工作的总额价不予支付。</w:t>
      </w:r>
    </w:p>
    <w:p>
      <w:pPr>
        <w:pStyle w:val="20"/>
        <w:numPr>
          <w:ilvl w:val="2"/>
          <w:numId w:val="31"/>
        </w:numPr>
        <w:tabs>
          <w:tab w:val="left" w:pos="1625"/>
        </w:tabs>
        <w:spacing w:before="94"/>
        <w:ind w:firstLine="480"/>
        <w:rPr>
          <w:sz w:val="24"/>
        </w:rPr>
      </w:pPr>
      <w:r>
        <w:rPr>
          <w:sz w:val="24"/>
        </w:rPr>
        <w:t>已标价工程量清单中有适用于变更工作的子目的，采用该子目的单价。</w:t>
      </w:r>
    </w:p>
    <w:p>
      <w:pPr>
        <w:pStyle w:val="20"/>
        <w:numPr>
          <w:ilvl w:val="2"/>
          <w:numId w:val="31"/>
        </w:numPr>
        <w:tabs>
          <w:tab w:val="left" w:pos="1625"/>
        </w:tabs>
        <w:spacing w:before="93" w:line="312" w:lineRule="auto"/>
        <w:ind w:right="264" w:firstLine="480"/>
        <w:rPr>
          <w:sz w:val="24"/>
        </w:rPr>
      </w:pPr>
      <w:r>
        <w:rPr>
          <w:sz w:val="24"/>
        </w:rPr>
        <w:t>已标价工程量清单中无适用于变更工作的子目，但有类似子目的，可在</w:t>
      </w:r>
      <w:r>
        <w:rPr>
          <w:spacing w:val="-5"/>
          <w:sz w:val="24"/>
        </w:rPr>
        <w:t xml:space="preserve">合理范围内参照类似子目的单价，由监理人按第 </w:t>
      </w:r>
      <w:r>
        <w:rPr>
          <w:rFonts w:ascii="Times New Roman" w:eastAsia="Times New Roman"/>
          <w:sz w:val="24"/>
        </w:rPr>
        <w:t xml:space="preserve">3.5 </w:t>
      </w:r>
      <w:r>
        <w:rPr>
          <w:sz w:val="24"/>
        </w:rPr>
        <w:t>款商定或确定变更工作的单价。</w:t>
      </w:r>
    </w:p>
    <w:p>
      <w:pPr>
        <w:pStyle w:val="20"/>
        <w:numPr>
          <w:ilvl w:val="2"/>
          <w:numId w:val="31"/>
        </w:numPr>
        <w:tabs>
          <w:tab w:val="left" w:pos="1625"/>
        </w:tabs>
        <w:spacing w:line="312" w:lineRule="auto"/>
        <w:ind w:right="383" w:firstLine="480"/>
        <w:jc w:val="both"/>
        <w:rPr>
          <w:sz w:val="24"/>
        </w:rPr>
      </w:pPr>
      <w:r>
        <w:rPr>
          <w:sz w:val="24"/>
        </w:rPr>
        <w:t>已标价工程量清单中无适用或类似子目的单价，可在综合考虑承包人在</w:t>
      </w:r>
      <w:r>
        <w:rPr>
          <w:spacing w:val="-1"/>
          <w:sz w:val="24"/>
        </w:rPr>
        <w:t xml:space="preserve">投标时所提供的单价分析表的基础上，由监理人按第 </w:t>
      </w:r>
      <w:r>
        <w:rPr>
          <w:rFonts w:ascii="Times New Roman" w:eastAsia="Times New Roman"/>
          <w:sz w:val="24"/>
        </w:rPr>
        <w:t>3.5</w:t>
      </w:r>
      <w:r>
        <w:rPr>
          <w:rFonts w:ascii="Times New Roman" w:eastAsia="Times New Roman"/>
          <w:spacing w:val="47"/>
          <w:sz w:val="24"/>
        </w:rPr>
        <w:t xml:space="preserve"> </w:t>
      </w:r>
      <w:r>
        <w:rPr>
          <w:sz w:val="24"/>
        </w:rPr>
        <w:t>款商定或确定变更工作的单价。</w:t>
      </w:r>
    </w:p>
    <w:p>
      <w:pPr>
        <w:pStyle w:val="20"/>
        <w:numPr>
          <w:ilvl w:val="2"/>
          <w:numId w:val="31"/>
        </w:numPr>
        <w:tabs>
          <w:tab w:val="left" w:pos="1625"/>
        </w:tabs>
        <w:spacing w:before="1" w:line="312" w:lineRule="auto"/>
        <w:ind w:right="387" w:firstLine="480"/>
        <w:rPr>
          <w:sz w:val="24"/>
        </w:rPr>
      </w:pPr>
      <w:r>
        <w:rPr>
          <w:sz w:val="24"/>
        </w:rPr>
        <w:t>如果本工程的变更指示是因承包人过错、承包人违反合同或承包人责任造成的，则这种违约引起的任何额外费用应由承包人承担。</w:t>
      </w:r>
    </w:p>
    <w:p>
      <w:pPr>
        <w:spacing w:line="312" w:lineRule="auto"/>
        <w:rPr>
          <w:sz w:val="24"/>
        </w:rPr>
        <w:sectPr>
          <w:pgSz w:w="11910" w:h="16850"/>
          <w:pgMar w:top="1480" w:right="1200" w:bottom="1080" w:left="1220" w:header="883" w:footer="884" w:gutter="0"/>
          <w:cols w:space="720" w:num="1"/>
        </w:sectPr>
      </w:pPr>
    </w:p>
    <w:p>
      <w:pPr>
        <w:pStyle w:val="11"/>
        <w:spacing w:before="1"/>
        <w:rPr>
          <w:sz w:val="8"/>
        </w:rPr>
      </w:pPr>
    </w:p>
    <w:p>
      <w:pPr>
        <w:pStyle w:val="20"/>
        <w:numPr>
          <w:ilvl w:val="1"/>
          <w:numId w:val="31"/>
        </w:numPr>
        <w:tabs>
          <w:tab w:val="left" w:pos="965"/>
        </w:tabs>
        <w:spacing w:before="74"/>
        <w:rPr>
          <w:rFonts w:ascii="黑体" w:eastAsia="黑体"/>
          <w:sz w:val="24"/>
        </w:rPr>
      </w:pPr>
      <w:bookmarkStart w:id="208" w:name="_bookmark220"/>
      <w:bookmarkEnd w:id="208"/>
      <w:r>
        <w:rPr>
          <w:rFonts w:hint="eastAsia" w:ascii="黑体" w:eastAsia="黑体"/>
          <w:sz w:val="24"/>
        </w:rPr>
        <w:t>承包人的合理化建议</w:t>
      </w:r>
    </w:p>
    <w:p>
      <w:pPr>
        <w:pStyle w:val="11"/>
        <w:spacing w:before="10"/>
        <w:rPr>
          <w:rFonts w:ascii="黑体"/>
          <w:sz w:val="25"/>
        </w:rPr>
      </w:pPr>
    </w:p>
    <w:p>
      <w:pPr>
        <w:pStyle w:val="11"/>
        <w:spacing w:before="1"/>
        <w:ind w:left="815"/>
      </w:pPr>
      <w:r>
        <w:t xml:space="preserve">第 </w:t>
      </w:r>
      <w:r>
        <w:rPr>
          <w:rFonts w:ascii="Times New Roman" w:eastAsia="Times New Roman"/>
        </w:rPr>
        <w:t xml:space="preserve">15.5.2 </w:t>
      </w:r>
      <w:r>
        <w:t>项约定为：</w:t>
      </w:r>
    </w:p>
    <w:p>
      <w:pPr>
        <w:pStyle w:val="11"/>
        <w:spacing w:before="93" w:line="312" w:lineRule="auto"/>
        <w:ind w:left="815" w:right="383"/>
      </w:pPr>
      <w:r>
        <w:t xml:space="preserve">承包人提出的合理化建议缩短了工期，发包人按第 </w:t>
      </w:r>
      <w:r>
        <w:rPr>
          <w:rFonts w:ascii="Times New Roman" w:eastAsia="Times New Roman"/>
        </w:rPr>
        <w:t xml:space="preserve">11.6 </w:t>
      </w:r>
      <w:r>
        <w:t>款的规定给予奖励。承包人提出的合理化建议降低了合同价格或者提高了工程经济效益的，发包人按</w:t>
      </w:r>
    </w:p>
    <w:p>
      <w:pPr>
        <w:pStyle w:val="11"/>
        <w:spacing w:line="307" w:lineRule="exact"/>
        <w:ind w:left="424"/>
      </w:pPr>
      <w:r>
        <w:t>项目专用合同条款数据表中规定的金额给予奖励。</w:t>
      </w:r>
    </w:p>
    <w:p>
      <w:pPr>
        <w:pStyle w:val="11"/>
        <w:spacing w:before="6"/>
      </w:pPr>
    </w:p>
    <w:p>
      <w:pPr>
        <w:pStyle w:val="20"/>
        <w:numPr>
          <w:ilvl w:val="1"/>
          <w:numId w:val="31"/>
        </w:numPr>
        <w:tabs>
          <w:tab w:val="left" w:pos="905"/>
        </w:tabs>
        <w:spacing w:before="1"/>
        <w:ind w:left="904" w:hanging="480"/>
        <w:rPr>
          <w:rFonts w:ascii="黑体" w:eastAsia="黑体"/>
          <w:sz w:val="24"/>
        </w:rPr>
      </w:pPr>
      <w:bookmarkStart w:id="209" w:name="_bookmark221"/>
      <w:bookmarkEnd w:id="209"/>
      <w:r>
        <w:rPr>
          <w:rFonts w:hint="eastAsia" w:ascii="黑体" w:eastAsia="黑体"/>
          <w:sz w:val="24"/>
        </w:rPr>
        <w:t>暂列金额</w:t>
      </w:r>
    </w:p>
    <w:p>
      <w:pPr>
        <w:pStyle w:val="11"/>
        <w:spacing w:before="11"/>
        <w:rPr>
          <w:rFonts w:ascii="黑体"/>
          <w:sz w:val="25"/>
        </w:rPr>
      </w:pPr>
    </w:p>
    <w:p>
      <w:pPr>
        <w:pStyle w:val="11"/>
        <w:ind w:left="815"/>
      </w:pPr>
      <w:r>
        <w:t>本款细化为：</w:t>
      </w:r>
    </w:p>
    <w:p>
      <w:pPr>
        <w:pStyle w:val="20"/>
        <w:numPr>
          <w:ilvl w:val="2"/>
          <w:numId w:val="31"/>
        </w:numPr>
        <w:tabs>
          <w:tab w:val="left" w:pos="1536"/>
        </w:tabs>
        <w:spacing w:before="93" w:line="312" w:lineRule="auto"/>
        <w:ind w:right="385" w:firstLine="391"/>
        <w:rPr>
          <w:sz w:val="24"/>
        </w:rPr>
      </w:pPr>
      <w:r>
        <w:rPr>
          <w:spacing w:val="-5"/>
          <w:sz w:val="24"/>
        </w:rPr>
        <w:t>暂列金额应由监理人报发包人批准后指令全部或部分地使用，或者根本不予动用。</w:t>
      </w:r>
    </w:p>
    <w:p>
      <w:pPr>
        <w:pStyle w:val="20"/>
        <w:numPr>
          <w:ilvl w:val="2"/>
          <w:numId w:val="31"/>
        </w:numPr>
        <w:tabs>
          <w:tab w:val="left" w:pos="1536"/>
        </w:tabs>
        <w:spacing w:line="312" w:lineRule="auto"/>
        <w:ind w:right="385" w:firstLine="391"/>
        <w:rPr>
          <w:sz w:val="24"/>
        </w:rPr>
      </w:pPr>
      <w:r>
        <w:rPr>
          <w:spacing w:val="-7"/>
          <w:sz w:val="24"/>
        </w:rPr>
        <w:t>对于经发包人批准的每一笔暂列金额，监理人有权向承包人发出实施工程或提供材料、工程设备或服务的指令。这些指令应由承包人完成，监理人应根据第</w:t>
      </w:r>
    </w:p>
    <w:p>
      <w:pPr>
        <w:pStyle w:val="11"/>
        <w:spacing w:line="307" w:lineRule="exact"/>
        <w:ind w:left="424"/>
      </w:pPr>
      <w:r>
        <w:rPr>
          <w:rFonts w:ascii="Times New Roman" w:eastAsia="Times New Roman"/>
        </w:rPr>
        <w:t xml:space="preserve">15.4 </w:t>
      </w:r>
      <w:r>
        <w:t xml:space="preserve">款约定的变更估价原则和第 </w:t>
      </w:r>
      <w:r>
        <w:rPr>
          <w:rFonts w:ascii="Times New Roman" w:eastAsia="Times New Roman"/>
        </w:rPr>
        <w:t xml:space="preserve">15.7 </w:t>
      </w:r>
      <w:r>
        <w:t>款的规定，对合同价格进行相应调整。</w:t>
      </w:r>
    </w:p>
    <w:p>
      <w:pPr>
        <w:pStyle w:val="11"/>
        <w:spacing w:before="93" w:line="312" w:lineRule="auto"/>
        <w:ind w:left="424" w:right="384" w:firstLine="391"/>
        <w:jc w:val="both"/>
      </w:pPr>
      <w:r>
        <w:rPr>
          <w:rFonts w:ascii="Times New Roman" w:eastAsia="Times New Roman"/>
        </w:rPr>
        <w:t xml:space="preserve">15.6.3 </w:t>
      </w:r>
      <w:r>
        <w:rPr>
          <w:spacing w:val="-8"/>
        </w:rPr>
        <w:t>当监理人提出要求时，承包人应提供有关暂列金额支出的所有报价单、发票、凭证和账单或收据，除非该工作是根据已标价工程量清单列明的单价或总额价进行的估价。</w:t>
      </w:r>
    </w:p>
    <w:p>
      <w:pPr>
        <w:pStyle w:val="11"/>
        <w:rPr>
          <w:sz w:val="32"/>
        </w:rPr>
      </w:pPr>
    </w:p>
    <w:p>
      <w:pPr>
        <w:numPr>
          <w:ilvl w:val="0"/>
          <w:numId w:val="15"/>
        </w:numPr>
        <w:tabs>
          <w:tab w:val="left" w:pos="914"/>
        </w:tabs>
        <w:ind w:left="914" w:hanging="490"/>
        <w:rPr>
          <w:rFonts w:ascii="黑体" w:eastAsia="黑体"/>
          <w:sz w:val="28"/>
        </w:rPr>
      </w:pPr>
      <w:bookmarkStart w:id="210" w:name="_bookmark222"/>
      <w:bookmarkEnd w:id="210"/>
      <w:r>
        <w:rPr>
          <w:rFonts w:hint="eastAsia" w:ascii="黑体" w:eastAsia="黑体"/>
          <w:sz w:val="28"/>
        </w:rPr>
        <w:t>价格调整</w:t>
      </w:r>
    </w:p>
    <w:p>
      <w:pPr>
        <w:pStyle w:val="11"/>
        <w:spacing w:before="5"/>
        <w:rPr>
          <w:rFonts w:ascii="黑体"/>
        </w:rPr>
      </w:pPr>
    </w:p>
    <w:p>
      <w:pPr>
        <w:pStyle w:val="20"/>
        <w:numPr>
          <w:ilvl w:val="1"/>
          <w:numId w:val="15"/>
        </w:numPr>
        <w:tabs>
          <w:tab w:val="left" w:pos="965"/>
        </w:tabs>
        <w:ind w:left="964" w:hanging="540"/>
        <w:rPr>
          <w:rFonts w:ascii="黑体" w:eastAsia="黑体"/>
          <w:sz w:val="24"/>
        </w:rPr>
      </w:pPr>
      <w:bookmarkStart w:id="211" w:name="_bookmark223"/>
      <w:bookmarkEnd w:id="211"/>
      <w:r>
        <w:rPr>
          <w:rFonts w:hint="eastAsia" w:ascii="黑体" w:eastAsia="黑体"/>
          <w:sz w:val="24"/>
        </w:rPr>
        <w:t>物价波动引起的价格调整</w:t>
      </w:r>
    </w:p>
    <w:p>
      <w:pPr>
        <w:pStyle w:val="11"/>
        <w:rPr>
          <w:rFonts w:ascii="黑体"/>
          <w:sz w:val="26"/>
        </w:rPr>
      </w:pPr>
    </w:p>
    <w:p>
      <w:pPr>
        <w:pStyle w:val="11"/>
        <w:ind w:left="904"/>
      </w:pPr>
      <w:r>
        <w:t>本款约定为：</w:t>
      </w:r>
    </w:p>
    <w:p>
      <w:pPr>
        <w:pStyle w:val="11"/>
        <w:spacing w:before="91" w:line="314" w:lineRule="auto"/>
        <w:ind w:left="424" w:right="305" w:firstLine="479"/>
      </w:pPr>
      <w:r>
        <w:t>（</w:t>
      </w:r>
      <w:r>
        <w:rPr>
          <w:rFonts w:ascii="Times New Roman" w:eastAsia="Times New Roman"/>
        </w:rPr>
        <w:t>1</w:t>
      </w:r>
      <w:r>
        <w:t xml:space="preserve">）除项目专用合同条款另有约定外，因物价波动引起的价格调整应按项目专用合同条款数据表的规定，按照第 </w:t>
      </w:r>
      <w:r>
        <w:rPr>
          <w:rFonts w:ascii="Times New Roman" w:eastAsia="Times New Roman"/>
        </w:rPr>
        <w:t xml:space="preserve">16.1.1 </w:t>
      </w:r>
      <w:r>
        <w:t xml:space="preserve">项或第 </w:t>
      </w:r>
      <w:r>
        <w:rPr>
          <w:rFonts w:ascii="Times New Roman" w:eastAsia="Times New Roman"/>
        </w:rPr>
        <w:t xml:space="preserve">16.1.2 </w:t>
      </w:r>
      <w:r>
        <w:t>项约定的原则处理；或者</w:t>
      </w:r>
    </w:p>
    <w:p>
      <w:pPr>
        <w:pStyle w:val="11"/>
        <w:spacing w:line="312" w:lineRule="auto"/>
        <w:ind w:left="424" w:right="305" w:firstLine="479"/>
      </w:pPr>
      <w:r>
        <w:t>（</w:t>
      </w:r>
      <w:r>
        <w:rPr>
          <w:rFonts w:ascii="Times New Roman" w:eastAsia="Times New Roman"/>
        </w:rPr>
        <w:t>2</w:t>
      </w:r>
      <w:r>
        <w:t>）在合同执行期间（包括工期拖延期间）由于人工、材料和设备价格的上涨而引起工程施工成本增加的风险由承包人自行承担，合同价格不会因此而调整。</w:t>
      </w:r>
    </w:p>
    <w:p>
      <w:pPr>
        <w:pStyle w:val="11"/>
        <w:spacing w:line="307" w:lineRule="exact"/>
        <w:ind w:left="894"/>
        <w:rPr>
          <w:rFonts w:ascii="黑体" w:eastAsia="黑体"/>
        </w:rPr>
      </w:pPr>
      <w:r>
        <w:rPr>
          <w:rFonts w:ascii="Times New Roman" w:eastAsia="Times New Roman"/>
        </w:rPr>
        <w:t xml:space="preserve">16.1.1 </w:t>
      </w:r>
      <w:r>
        <w:rPr>
          <w:rFonts w:hint="eastAsia" w:ascii="黑体" w:eastAsia="黑体"/>
        </w:rPr>
        <w:t>采用价格指数调整价格差额</w:t>
      </w:r>
    </w:p>
    <w:p>
      <w:pPr>
        <w:pStyle w:val="11"/>
        <w:spacing w:before="90"/>
        <w:ind w:left="904"/>
      </w:pPr>
      <w:r>
        <w:rPr>
          <w:rFonts w:ascii="Times New Roman" w:eastAsia="Times New Roman"/>
        </w:rPr>
        <w:t xml:space="preserve">16.1.1.1 </w:t>
      </w:r>
      <w:r>
        <w:t>价格调整公式</w:t>
      </w:r>
    </w:p>
    <w:p>
      <w:pPr>
        <w:pStyle w:val="11"/>
        <w:spacing w:before="91"/>
        <w:ind w:left="904"/>
      </w:pPr>
      <w:r>
        <w:t>价格调整公式后增加备注如下：</w:t>
      </w:r>
    </w:p>
    <w:p>
      <w:pPr>
        <w:spacing w:before="93" w:line="312" w:lineRule="auto"/>
        <w:ind w:left="904" w:right="4062" w:firstLine="266"/>
        <w:rPr>
          <w:sz w:val="24"/>
        </w:rPr>
      </w:pPr>
      <w:r>
        <w:rPr>
          <w:sz w:val="24"/>
        </w:rPr>
        <w:t>式中，</w:t>
      </w:r>
      <w:r>
        <w:rPr>
          <w:rFonts w:ascii="Times New Roman" w:hAnsi="Times New Roman" w:eastAsia="Times New Roman"/>
          <w:b/>
          <w:sz w:val="24"/>
        </w:rPr>
        <w:t>A=</w:t>
      </w:r>
      <w:r>
        <w:rPr>
          <w:rFonts w:ascii="Times New Roman" w:hAnsi="Times New Roman" w:eastAsia="Times New Roman"/>
          <w:b/>
          <w:spacing w:val="-1"/>
          <w:sz w:val="24"/>
        </w:rPr>
        <w:t>1</w:t>
      </w:r>
      <w:r>
        <w:rPr>
          <w:b/>
          <w:spacing w:val="1"/>
          <w:w w:val="99"/>
          <w:sz w:val="24"/>
        </w:rPr>
        <w:t>－</w:t>
      </w:r>
      <w:r>
        <w:rPr>
          <w:b/>
          <w:spacing w:val="2"/>
          <w:w w:val="99"/>
          <w:sz w:val="24"/>
        </w:rPr>
        <w:t>（</w:t>
      </w:r>
      <w:r>
        <w:rPr>
          <w:rFonts w:ascii="Times New Roman" w:hAnsi="Times New Roman" w:eastAsia="Times New Roman"/>
          <w:b/>
          <w:spacing w:val="-2"/>
          <w:sz w:val="24"/>
        </w:rPr>
        <w:t>B</w:t>
      </w:r>
      <w:r>
        <w:rPr>
          <w:rFonts w:ascii="Times New Roman" w:hAnsi="Times New Roman" w:eastAsia="Times New Roman"/>
          <w:b/>
          <w:spacing w:val="-2"/>
          <w:w w:val="97"/>
          <w:sz w:val="24"/>
          <w:vertAlign w:val="subscript"/>
        </w:rPr>
        <w:t>1</w:t>
      </w:r>
      <w:r>
        <w:rPr>
          <w:b/>
          <w:spacing w:val="1"/>
          <w:w w:val="99"/>
          <w:sz w:val="24"/>
        </w:rPr>
        <w:t>＋</w:t>
      </w:r>
      <w:r>
        <w:rPr>
          <w:rFonts w:ascii="Times New Roman" w:hAnsi="Times New Roman" w:eastAsia="Times New Roman"/>
          <w:b/>
          <w:sz w:val="24"/>
        </w:rPr>
        <w:t>B</w:t>
      </w:r>
      <w:r>
        <w:rPr>
          <w:rFonts w:ascii="Times New Roman" w:hAnsi="Times New Roman" w:eastAsia="Times New Roman"/>
          <w:b/>
          <w:spacing w:val="-2"/>
          <w:w w:val="97"/>
          <w:sz w:val="24"/>
          <w:vertAlign w:val="subscript"/>
        </w:rPr>
        <w:t>2</w:t>
      </w:r>
      <w:r>
        <w:rPr>
          <w:b/>
          <w:spacing w:val="1"/>
          <w:w w:val="99"/>
          <w:sz w:val="24"/>
        </w:rPr>
        <w:t>＋</w:t>
      </w:r>
      <w:r>
        <w:rPr>
          <w:rFonts w:ascii="Times New Roman" w:hAnsi="Times New Roman" w:eastAsia="Times New Roman"/>
          <w:b/>
          <w:spacing w:val="-2"/>
          <w:sz w:val="24"/>
        </w:rPr>
        <w:t>B</w:t>
      </w:r>
      <w:r>
        <w:rPr>
          <w:rFonts w:ascii="Times New Roman" w:hAnsi="Times New Roman" w:eastAsia="Times New Roman"/>
          <w:b/>
          <w:w w:val="97"/>
          <w:sz w:val="24"/>
          <w:vertAlign w:val="subscript"/>
        </w:rPr>
        <w:t>3</w:t>
      </w:r>
      <w:r>
        <w:rPr>
          <w:b/>
          <w:spacing w:val="1"/>
          <w:w w:val="99"/>
          <w:sz w:val="24"/>
        </w:rPr>
        <w:t>＋</w:t>
      </w:r>
      <w:r>
        <w:rPr>
          <w:rFonts w:ascii="Times New Roman" w:hAnsi="Times New Roman" w:eastAsia="Times New Roman"/>
          <w:b/>
          <w:spacing w:val="-2"/>
          <w:w w:val="97"/>
          <w:sz w:val="24"/>
          <w:vertAlign w:val="subscript"/>
        </w:rPr>
        <w:t>……</w:t>
      </w:r>
      <w:r>
        <w:rPr>
          <w:b/>
          <w:w w:val="99"/>
          <w:sz w:val="24"/>
        </w:rPr>
        <w:t>＋</w:t>
      </w:r>
      <w:r>
        <w:rPr>
          <w:rFonts w:ascii="Times New Roman" w:hAnsi="Times New Roman" w:eastAsia="Times New Roman"/>
          <w:b/>
          <w:sz w:val="24"/>
        </w:rPr>
        <w:t>B</w:t>
      </w:r>
      <w:r>
        <w:rPr>
          <w:rFonts w:ascii="Times New Roman" w:hAnsi="Times New Roman" w:eastAsia="Times New Roman"/>
          <w:b/>
          <w:spacing w:val="-1"/>
          <w:w w:val="97"/>
          <w:sz w:val="24"/>
          <w:vertAlign w:val="subscript"/>
        </w:rPr>
        <w:t>n</w:t>
      </w:r>
      <w:r>
        <w:rPr>
          <w:b/>
          <w:spacing w:val="-118"/>
          <w:w w:val="99"/>
          <w:sz w:val="24"/>
        </w:rPr>
        <w:t>）</w:t>
      </w:r>
      <w:r>
        <w:rPr>
          <w:sz w:val="24"/>
        </w:rPr>
        <w:t>。本目最后一段文字细化为：</w:t>
      </w:r>
    </w:p>
    <w:p>
      <w:pPr>
        <w:pStyle w:val="11"/>
        <w:ind w:left="904"/>
      </w:pPr>
      <w:r>
        <w:t>在采用价格调整公式进行调价时，还应遵守以下规定：</w:t>
      </w:r>
    </w:p>
    <w:p>
      <w:pPr>
        <w:pStyle w:val="11"/>
        <w:spacing w:before="93" w:line="312" w:lineRule="auto"/>
        <w:ind w:left="424" w:right="265" w:firstLine="477"/>
      </w:pPr>
      <w:r>
        <w:rPr>
          <w:spacing w:val="-10"/>
        </w:rPr>
        <w:t>（</w:t>
      </w:r>
      <w:r>
        <w:rPr>
          <w:rFonts w:ascii="Times New Roman" w:eastAsia="Times New Roman"/>
          <w:spacing w:val="-10"/>
        </w:rPr>
        <w:t>1</w:t>
      </w:r>
      <w:r>
        <w:rPr>
          <w:spacing w:val="-10"/>
        </w:rPr>
        <w:t>）</w:t>
      </w:r>
      <w:r>
        <w:rPr>
          <w:spacing w:val="-4"/>
        </w:rPr>
        <w:t>以上价格调整公式中的各可调因子、定值权重，以及基本价格指数及其来</w:t>
      </w:r>
      <w:r>
        <w:rPr>
          <w:spacing w:val="-8"/>
        </w:rPr>
        <w:t>源由发包人在投标函附录价格指数和权重表中约定。价格指数应首先采用国家或省、</w:t>
      </w:r>
    </w:p>
    <w:p>
      <w:pPr>
        <w:spacing w:line="312" w:lineRule="auto"/>
        <w:sectPr>
          <w:pgSz w:w="11910" w:h="16850"/>
          <w:pgMar w:top="1480" w:right="1200" w:bottom="1040" w:left="1220" w:header="876" w:footer="853" w:gutter="0"/>
          <w:cols w:space="720" w:num="1"/>
        </w:sectPr>
      </w:pPr>
    </w:p>
    <w:p>
      <w:pPr>
        <w:pStyle w:val="11"/>
        <w:spacing w:before="2"/>
        <w:rPr>
          <w:sz w:val="10"/>
        </w:rPr>
      </w:pPr>
    </w:p>
    <w:p>
      <w:pPr>
        <w:pStyle w:val="11"/>
        <w:spacing w:before="67" w:line="312" w:lineRule="auto"/>
        <w:ind w:left="424" w:right="391"/>
      </w:pPr>
      <w:r>
        <w:t>自治区、直辖市价格部门或统计部门提供的价格指数，缺乏上述价格指数时，可采用上述部门提供的价格代替。</w:t>
      </w:r>
    </w:p>
    <w:p>
      <w:pPr>
        <w:pStyle w:val="11"/>
        <w:spacing w:line="312" w:lineRule="auto"/>
        <w:ind w:left="424" w:right="301" w:firstLine="477"/>
      </w:pPr>
      <w:r>
        <w:t>（</w:t>
      </w:r>
      <w:r>
        <w:rPr>
          <w:rFonts w:ascii="Times New Roman" w:eastAsia="Times New Roman"/>
        </w:rPr>
        <w:t>2</w:t>
      </w:r>
      <w:r>
        <w:t>）价格调整公式中的变值权重，由发包人根据项目实际情况测算确定范围， 并在投标函附录价格指数和权重表中约定范围；承包人在投标时在此范围内填写各可调因子的权重，合同实施期间将按此权重进行调价。</w:t>
      </w:r>
    </w:p>
    <w:p>
      <w:pPr>
        <w:pStyle w:val="11"/>
        <w:spacing w:before="12"/>
        <w:rPr>
          <w:sz w:val="31"/>
        </w:rPr>
      </w:pPr>
    </w:p>
    <w:p>
      <w:pPr>
        <w:numPr>
          <w:ilvl w:val="0"/>
          <w:numId w:val="15"/>
        </w:numPr>
        <w:tabs>
          <w:tab w:val="left" w:pos="914"/>
        </w:tabs>
        <w:ind w:left="914" w:hanging="490"/>
        <w:rPr>
          <w:rFonts w:ascii="黑体" w:eastAsia="黑体"/>
          <w:sz w:val="28"/>
        </w:rPr>
      </w:pPr>
      <w:bookmarkStart w:id="212" w:name="_bookmark224"/>
      <w:bookmarkEnd w:id="212"/>
      <w:r>
        <w:rPr>
          <w:rFonts w:hint="eastAsia" w:ascii="黑体" w:eastAsia="黑体"/>
          <w:sz w:val="28"/>
        </w:rPr>
        <w:t>计量与支付</w:t>
      </w:r>
    </w:p>
    <w:p>
      <w:pPr>
        <w:pStyle w:val="11"/>
        <w:spacing w:before="5"/>
        <w:rPr>
          <w:rFonts w:ascii="黑体"/>
        </w:rPr>
      </w:pPr>
    </w:p>
    <w:p>
      <w:pPr>
        <w:pStyle w:val="20"/>
        <w:numPr>
          <w:ilvl w:val="1"/>
          <w:numId w:val="15"/>
        </w:numPr>
        <w:tabs>
          <w:tab w:val="left" w:pos="965"/>
        </w:tabs>
        <w:ind w:left="964" w:hanging="540"/>
        <w:rPr>
          <w:rFonts w:ascii="黑体" w:eastAsia="黑体"/>
          <w:sz w:val="24"/>
        </w:rPr>
      </w:pPr>
      <w:bookmarkStart w:id="213" w:name="_bookmark225"/>
      <w:bookmarkEnd w:id="213"/>
      <w:r>
        <w:rPr>
          <w:rFonts w:hint="eastAsia" w:ascii="黑体" w:eastAsia="黑体"/>
          <w:sz w:val="24"/>
        </w:rPr>
        <w:t>计量</w:t>
      </w:r>
    </w:p>
    <w:p>
      <w:pPr>
        <w:pStyle w:val="11"/>
        <w:rPr>
          <w:rFonts w:ascii="黑体"/>
          <w:sz w:val="26"/>
        </w:rPr>
      </w:pPr>
    </w:p>
    <w:p>
      <w:pPr>
        <w:pStyle w:val="20"/>
        <w:numPr>
          <w:ilvl w:val="2"/>
          <w:numId w:val="15"/>
        </w:numPr>
        <w:tabs>
          <w:tab w:val="left" w:pos="1615"/>
        </w:tabs>
        <w:ind w:left="1614" w:hanging="720"/>
        <w:rPr>
          <w:rFonts w:ascii="黑体" w:eastAsia="黑体"/>
          <w:sz w:val="24"/>
        </w:rPr>
      </w:pPr>
      <w:r>
        <w:rPr>
          <w:rFonts w:hint="eastAsia" w:ascii="黑体" w:eastAsia="黑体"/>
          <w:sz w:val="24"/>
        </w:rPr>
        <w:t>计量方法</w:t>
      </w:r>
    </w:p>
    <w:p>
      <w:pPr>
        <w:pStyle w:val="11"/>
        <w:spacing w:before="91"/>
        <w:ind w:left="904"/>
      </w:pPr>
      <w:r>
        <w:t>本项约定为：</w:t>
      </w:r>
    </w:p>
    <w:p>
      <w:pPr>
        <w:pStyle w:val="11"/>
        <w:spacing w:before="94" w:line="312" w:lineRule="auto"/>
        <w:ind w:left="424" w:right="388" w:firstLine="479"/>
      </w:pPr>
      <w:r>
        <w:t>工程的计量应以净值为准，除非项目专用合同条款另有约定。工程量清单中各个子目的具体计量方法按本合同文件工程量清单计量规则中的规定执行。</w:t>
      </w:r>
    </w:p>
    <w:p>
      <w:pPr>
        <w:pStyle w:val="20"/>
        <w:numPr>
          <w:ilvl w:val="2"/>
          <w:numId w:val="32"/>
        </w:numPr>
        <w:tabs>
          <w:tab w:val="left" w:pos="1615"/>
        </w:tabs>
        <w:spacing w:line="307" w:lineRule="exact"/>
        <w:rPr>
          <w:rFonts w:ascii="黑体" w:eastAsia="黑体"/>
          <w:sz w:val="24"/>
        </w:rPr>
      </w:pPr>
      <w:r>
        <w:rPr>
          <w:rFonts w:hint="eastAsia" w:ascii="黑体" w:eastAsia="黑体"/>
          <w:sz w:val="24"/>
        </w:rPr>
        <w:t>单价子目的计量</w:t>
      </w:r>
    </w:p>
    <w:p>
      <w:pPr>
        <w:pStyle w:val="11"/>
        <w:spacing w:before="93"/>
        <w:ind w:left="904"/>
      </w:pPr>
      <w:r>
        <w:t>本项补充：</w:t>
      </w:r>
    </w:p>
    <w:p>
      <w:pPr>
        <w:pStyle w:val="11"/>
        <w:spacing w:before="94" w:line="312" w:lineRule="auto"/>
        <w:ind w:left="424" w:right="305" w:firstLine="479"/>
      </w:pPr>
      <w:r>
        <w:t>（</w:t>
      </w:r>
      <w:r>
        <w:rPr>
          <w:rFonts w:ascii="Times New Roman" w:eastAsia="Times New Roman"/>
        </w:rPr>
        <w:t>7</w:t>
      </w:r>
      <w:r>
        <w:t>）承包人未在已标价工程量清单中填入单价或总额价的工程子目，将被认为其已包含在本合同的其他子目的单价和总额价中，发包人将不另行支付。</w:t>
      </w:r>
    </w:p>
    <w:p>
      <w:pPr>
        <w:pStyle w:val="20"/>
        <w:numPr>
          <w:ilvl w:val="2"/>
          <w:numId w:val="32"/>
        </w:numPr>
        <w:tabs>
          <w:tab w:val="left" w:pos="1615"/>
        </w:tabs>
        <w:spacing w:line="307" w:lineRule="exact"/>
        <w:rPr>
          <w:rFonts w:ascii="黑体" w:eastAsia="黑体"/>
          <w:sz w:val="24"/>
        </w:rPr>
      </w:pPr>
      <w:r>
        <w:rPr>
          <w:rFonts w:hint="eastAsia" w:ascii="黑体" w:eastAsia="黑体"/>
          <w:sz w:val="24"/>
        </w:rPr>
        <w:t>总价子目的计量</w:t>
      </w:r>
    </w:p>
    <w:p>
      <w:pPr>
        <w:pStyle w:val="11"/>
        <w:spacing w:before="93"/>
        <w:ind w:left="894"/>
      </w:pPr>
      <w:r>
        <w:t>本项补充：</w:t>
      </w:r>
    </w:p>
    <w:p>
      <w:pPr>
        <w:pStyle w:val="11"/>
        <w:spacing w:before="91" w:line="312" w:lineRule="auto"/>
        <w:ind w:left="424" w:right="381" w:firstLine="470"/>
      </w:pPr>
      <w:r>
        <w:t>本项目工程量清单中要求承包人以“总额”方式报价的子目，各子目的支付原则和支付进度按项目专用合同条款的规定执行。</w:t>
      </w:r>
    </w:p>
    <w:p>
      <w:pPr>
        <w:pStyle w:val="11"/>
        <w:spacing w:before="5"/>
        <w:rPr>
          <w:sz w:val="17"/>
        </w:rPr>
      </w:pPr>
    </w:p>
    <w:p>
      <w:pPr>
        <w:pStyle w:val="20"/>
        <w:numPr>
          <w:ilvl w:val="1"/>
          <w:numId w:val="32"/>
        </w:numPr>
        <w:tabs>
          <w:tab w:val="left" w:pos="965"/>
        </w:tabs>
        <w:ind w:left="964" w:hanging="540"/>
        <w:jc w:val="left"/>
        <w:rPr>
          <w:rFonts w:ascii="Times New Roman" w:eastAsia="Times New Roman"/>
          <w:sz w:val="24"/>
        </w:rPr>
      </w:pPr>
      <w:bookmarkStart w:id="214" w:name="_bookmark226"/>
      <w:bookmarkEnd w:id="214"/>
      <w:r>
        <w:rPr>
          <w:rFonts w:hint="eastAsia" w:ascii="黑体" w:eastAsia="黑体"/>
          <w:sz w:val="24"/>
        </w:rPr>
        <w:t>预付款</w:t>
      </w:r>
    </w:p>
    <w:p>
      <w:pPr>
        <w:pStyle w:val="11"/>
        <w:spacing w:before="11"/>
        <w:rPr>
          <w:rFonts w:ascii="黑体"/>
          <w:sz w:val="25"/>
        </w:rPr>
      </w:pPr>
    </w:p>
    <w:p>
      <w:pPr>
        <w:pStyle w:val="20"/>
        <w:numPr>
          <w:ilvl w:val="2"/>
          <w:numId w:val="33"/>
        </w:numPr>
        <w:tabs>
          <w:tab w:val="left" w:pos="1555"/>
        </w:tabs>
        <w:rPr>
          <w:rFonts w:ascii="黑体" w:eastAsia="黑体"/>
          <w:sz w:val="24"/>
        </w:rPr>
      </w:pPr>
      <w:r>
        <w:rPr>
          <w:rFonts w:hint="eastAsia" w:ascii="黑体" w:eastAsia="黑体"/>
          <w:sz w:val="24"/>
        </w:rPr>
        <w:t>预付款</w:t>
      </w:r>
    </w:p>
    <w:p>
      <w:pPr>
        <w:pStyle w:val="11"/>
        <w:spacing w:before="93"/>
        <w:ind w:left="904"/>
      </w:pPr>
      <w:r>
        <w:t>本项约定为：</w:t>
      </w:r>
    </w:p>
    <w:p>
      <w:pPr>
        <w:pStyle w:val="11"/>
        <w:spacing w:before="91"/>
        <w:ind w:left="904"/>
      </w:pPr>
      <w:r>
        <w:t>预付款包括开工预付款和材料、设备预付款。具体额度和预付办法如下：</w:t>
      </w:r>
    </w:p>
    <w:p>
      <w:pPr>
        <w:pStyle w:val="11"/>
        <w:spacing w:before="94" w:line="312" w:lineRule="auto"/>
        <w:ind w:left="424" w:right="385" w:firstLine="479"/>
        <w:jc w:val="both"/>
      </w:pPr>
      <w:r>
        <w:rPr>
          <w:spacing w:val="-15"/>
        </w:rPr>
        <w:t>（</w:t>
      </w:r>
      <w:r>
        <w:rPr>
          <w:rFonts w:ascii="Times New Roman" w:eastAsia="Times New Roman"/>
          <w:spacing w:val="-15"/>
        </w:rPr>
        <w:t>1</w:t>
      </w:r>
      <w:r>
        <w:rPr>
          <w:spacing w:val="-15"/>
        </w:rPr>
        <w:t>）</w:t>
      </w:r>
      <w:r>
        <w:rPr>
          <w:spacing w:val="-2"/>
        </w:rPr>
        <w:t>开工预付款的金额在项目专用合同条款数据表中约定。在承包人签订了合同协议书且承包人承诺的主要设备进场后，监理人应在当期进度付款证书中向承包人支付开工预付款。</w:t>
      </w:r>
    </w:p>
    <w:p>
      <w:pPr>
        <w:pStyle w:val="11"/>
        <w:spacing w:line="312" w:lineRule="auto"/>
        <w:ind w:left="424" w:right="387" w:firstLine="479"/>
        <w:jc w:val="both"/>
      </w:pPr>
      <w:r>
        <w:t>承包人不得将该预付款用于与本工程无关的支出，监理人有权监督承包人对该项费用的使用，如经查实承包人滥用开工预付款，发包人有权立即向银行索赔履约保证金，并解除合同。</w:t>
      </w:r>
    </w:p>
    <w:p>
      <w:pPr>
        <w:pStyle w:val="11"/>
        <w:spacing w:before="2"/>
        <w:ind w:left="904"/>
      </w:pPr>
      <w:r>
        <w:t>（</w:t>
      </w:r>
      <w:r>
        <w:rPr>
          <w:rFonts w:ascii="Times New Roman" w:eastAsia="Times New Roman"/>
        </w:rPr>
        <w:t>2</w:t>
      </w:r>
      <w:r>
        <w:t>）材料、设备预付款按项目专用合同条款数据表中所列主要材料、设备单据</w:t>
      </w:r>
    </w:p>
    <w:p>
      <w:pPr>
        <w:sectPr>
          <w:pgSz w:w="11910" w:h="16850"/>
          <w:pgMar w:top="1480" w:right="1200" w:bottom="1080" w:left="1220" w:header="883" w:footer="884" w:gutter="0"/>
          <w:cols w:space="720" w:num="1"/>
        </w:sectPr>
      </w:pPr>
    </w:p>
    <w:p>
      <w:pPr>
        <w:pStyle w:val="11"/>
        <w:spacing w:before="2"/>
        <w:rPr>
          <w:sz w:val="10"/>
        </w:rPr>
      </w:pPr>
    </w:p>
    <w:p>
      <w:pPr>
        <w:pStyle w:val="11"/>
        <w:spacing w:before="67" w:line="312" w:lineRule="auto"/>
        <w:ind w:left="424" w:right="391"/>
      </w:pPr>
      <w:r>
        <w:t>费用（进口的材料、设备为到岸价，国内采购的为出厂价或销售价，地方材料为堆场价）的百分比支付。其预付条件为：</w:t>
      </w:r>
    </w:p>
    <w:p>
      <w:pPr>
        <w:pStyle w:val="20"/>
        <w:numPr>
          <w:ilvl w:val="0"/>
          <w:numId w:val="34"/>
        </w:numPr>
        <w:tabs>
          <w:tab w:val="left" w:pos="1190"/>
        </w:tabs>
        <w:spacing w:line="307" w:lineRule="exact"/>
        <w:ind w:firstLine="480"/>
        <w:rPr>
          <w:sz w:val="24"/>
        </w:rPr>
      </w:pPr>
      <w:r>
        <w:rPr>
          <w:sz w:val="24"/>
        </w:rPr>
        <w:t>材料、设备符合规范要求并经监理人认可；</w:t>
      </w:r>
    </w:p>
    <w:p>
      <w:pPr>
        <w:pStyle w:val="20"/>
        <w:numPr>
          <w:ilvl w:val="0"/>
          <w:numId w:val="34"/>
        </w:numPr>
        <w:tabs>
          <w:tab w:val="left" w:pos="1205"/>
        </w:tabs>
        <w:spacing w:before="93"/>
        <w:ind w:left="1204" w:hanging="300"/>
        <w:rPr>
          <w:sz w:val="24"/>
        </w:rPr>
      </w:pPr>
      <w:r>
        <w:rPr>
          <w:sz w:val="24"/>
        </w:rPr>
        <w:t>承包人已出具材料、设备费用凭证或支付单据；</w:t>
      </w:r>
    </w:p>
    <w:p>
      <w:pPr>
        <w:pStyle w:val="20"/>
        <w:numPr>
          <w:ilvl w:val="0"/>
          <w:numId w:val="34"/>
        </w:numPr>
        <w:tabs>
          <w:tab w:val="left" w:pos="1190"/>
        </w:tabs>
        <w:spacing w:before="91" w:line="312" w:lineRule="auto"/>
        <w:ind w:right="385" w:firstLine="480"/>
        <w:rPr>
          <w:sz w:val="24"/>
        </w:rPr>
      </w:pPr>
      <w:r>
        <w:rPr>
          <w:spacing w:val="-3"/>
          <w:sz w:val="24"/>
        </w:rPr>
        <w:t>材料、设备已在现场交货，且存储良好，监理人认为材料、设备的存储方法符合要求。</w:t>
      </w:r>
    </w:p>
    <w:p>
      <w:pPr>
        <w:pStyle w:val="11"/>
        <w:spacing w:before="2" w:line="312" w:lineRule="auto"/>
        <w:ind w:left="424" w:right="391" w:firstLine="479"/>
      </w:pPr>
      <w:r>
        <w:t xml:space="preserve">则监理人应将此项金额作为材料、设备预付款计入下一次的进度付款证书中。在预计交工前 </w:t>
      </w:r>
      <w:r>
        <w:rPr>
          <w:rFonts w:ascii="Times New Roman" w:eastAsia="Times New Roman"/>
        </w:rPr>
        <w:t xml:space="preserve">3 </w:t>
      </w:r>
      <w:r>
        <w:t>个月，将不再支付材料、设备预付款。</w:t>
      </w:r>
    </w:p>
    <w:p>
      <w:pPr>
        <w:pStyle w:val="20"/>
        <w:numPr>
          <w:ilvl w:val="2"/>
          <w:numId w:val="33"/>
        </w:numPr>
        <w:tabs>
          <w:tab w:val="left" w:pos="1625"/>
        </w:tabs>
        <w:ind w:left="1624" w:hanging="720"/>
        <w:rPr>
          <w:rFonts w:ascii="黑体" w:eastAsia="黑体"/>
          <w:sz w:val="24"/>
        </w:rPr>
      </w:pPr>
      <w:r>
        <w:rPr>
          <w:rFonts w:hint="eastAsia" w:ascii="黑体" w:eastAsia="黑体"/>
          <w:sz w:val="24"/>
        </w:rPr>
        <w:t>预付款保函</w:t>
      </w:r>
    </w:p>
    <w:p>
      <w:pPr>
        <w:pStyle w:val="11"/>
        <w:spacing w:before="94"/>
        <w:ind w:left="904"/>
      </w:pPr>
      <w:r>
        <w:t>本项细化为：</w:t>
      </w:r>
    </w:p>
    <w:p>
      <w:pPr>
        <w:pStyle w:val="11"/>
        <w:spacing w:before="90" w:line="312" w:lineRule="auto"/>
        <w:ind w:left="424" w:right="382" w:firstLine="479"/>
        <w:jc w:val="both"/>
      </w:pPr>
      <w:r>
        <w:t>承包人无须向发包人提交预付款保函。发包人向承包人支付的预付款，应按照</w:t>
      </w:r>
      <w:r>
        <w:rPr>
          <w:spacing w:val="-9"/>
        </w:rPr>
        <w:t xml:space="preserve">本合同第 </w:t>
      </w:r>
      <w:r>
        <w:rPr>
          <w:rFonts w:ascii="Times New Roman" w:eastAsia="Times New Roman"/>
        </w:rPr>
        <w:t xml:space="preserve">17.2.1 </w:t>
      </w:r>
      <w:r>
        <w:t>项规定使用，承包人提交的履约保证金对预付款的正常使用承担保证责任。</w:t>
      </w:r>
    </w:p>
    <w:p>
      <w:pPr>
        <w:pStyle w:val="20"/>
        <w:numPr>
          <w:ilvl w:val="2"/>
          <w:numId w:val="33"/>
        </w:numPr>
        <w:tabs>
          <w:tab w:val="left" w:pos="1565"/>
        </w:tabs>
        <w:spacing w:before="1"/>
        <w:ind w:left="1564" w:hanging="720"/>
        <w:rPr>
          <w:rFonts w:ascii="黑体" w:eastAsia="黑体"/>
          <w:sz w:val="24"/>
        </w:rPr>
      </w:pPr>
      <w:r>
        <w:rPr>
          <w:rFonts w:hint="eastAsia" w:ascii="黑体" w:eastAsia="黑体"/>
          <w:sz w:val="24"/>
        </w:rPr>
        <w:t>预付款的扣回与还清</w:t>
      </w:r>
    </w:p>
    <w:p>
      <w:pPr>
        <w:pStyle w:val="11"/>
        <w:spacing w:before="94"/>
        <w:ind w:left="844"/>
      </w:pPr>
      <w:r>
        <w:t>本项约定为：</w:t>
      </w:r>
    </w:p>
    <w:p>
      <w:pPr>
        <w:pStyle w:val="11"/>
        <w:spacing w:before="93" w:line="312" w:lineRule="auto"/>
        <w:ind w:left="424" w:right="382" w:firstLine="419"/>
        <w:jc w:val="both"/>
      </w:pPr>
      <w:r>
        <w:rPr>
          <w:spacing w:val="-16"/>
        </w:rPr>
        <w:t>（</w:t>
      </w:r>
      <w:r>
        <w:rPr>
          <w:rFonts w:ascii="Times New Roman" w:eastAsia="Times New Roman"/>
          <w:spacing w:val="-16"/>
        </w:rPr>
        <w:t>1</w:t>
      </w:r>
      <w:r>
        <w:rPr>
          <w:spacing w:val="-16"/>
        </w:rPr>
        <w:t>）</w:t>
      </w:r>
      <w:r>
        <w:rPr>
          <w:spacing w:val="-3"/>
        </w:rPr>
        <w:t xml:space="preserve">开工预付款在进度付款证书的累计金额未达到签约合同价的 </w:t>
      </w:r>
      <w:r>
        <w:rPr>
          <w:rFonts w:ascii="Times New Roman" w:eastAsia="Times New Roman"/>
        </w:rPr>
        <w:t>30%</w:t>
      </w:r>
      <w:r>
        <w:t>之前不予</w:t>
      </w:r>
      <w:r>
        <w:rPr>
          <w:spacing w:val="-4"/>
        </w:rPr>
        <w:t xml:space="preserve">扣回，在达到签约合同价 </w:t>
      </w:r>
      <w:r>
        <w:rPr>
          <w:rFonts w:ascii="Times New Roman" w:eastAsia="Times New Roman"/>
        </w:rPr>
        <w:t>30%</w:t>
      </w:r>
      <w:r>
        <w:t>之后，开始按工程进度以固定比例（即每完成签约合</w:t>
      </w:r>
      <w:r>
        <w:rPr>
          <w:spacing w:val="-16"/>
        </w:rPr>
        <w:t xml:space="preserve">同价的 </w:t>
      </w:r>
      <w:r>
        <w:rPr>
          <w:rFonts w:ascii="Times New Roman" w:eastAsia="Times New Roman"/>
        </w:rPr>
        <w:t>1%</w:t>
      </w:r>
      <w:r>
        <w:rPr>
          <w:spacing w:val="-7"/>
        </w:rPr>
        <w:t xml:space="preserve">，扣回开工预付款的 </w:t>
      </w:r>
      <w:r>
        <w:rPr>
          <w:rFonts w:ascii="Times New Roman" w:eastAsia="Times New Roman"/>
        </w:rPr>
        <w:t>2%</w:t>
      </w:r>
      <w:r>
        <w:t>）</w:t>
      </w:r>
      <w:r>
        <w:rPr>
          <w:spacing w:val="-1"/>
        </w:rPr>
        <w:t>分期从各月的进度付款证书中扣回，全部金额</w:t>
      </w:r>
      <w:r>
        <w:rPr>
          <w:spacing w:val="-4"/>
        </w:rPr>
        <w:t xml:space="preserve">在进度付款证书的累计金额达到签约合同价的 </w:t>
      </w:r>
      <w:r>
        <w:rPr>
          <w:rFonts w:ascii="Times New Roman" w:eastAsia="Times New Roman"/>
        </w:rPr>
        <w:t>80%</w:t>
      </w:r>
      <w:r>
        <w:t>时扣完。</w:t>
      </w:r>
    </w:p>
    <w:p>
      <w:pPr>
        <w:pStyle w:val="11"/>
        <w:spacing w:line="312" w:lineRule="auto"/>
        <w:ind w:left="424" w:right="383" w:firstLine="419"/>
        <w:jc w:val="both"/>
      </w:pPr>
      <w:r>
        <w:rPr>
          <w:spacing w:val="-3"/>
        </w:rPr>
        <w:t>（</w:t>
      </w:r>
      <w:r>
        <w:rPr>
          <w:rFonts w:ascii="Times New Roman" w:eastAsia="Times New Roman"/>
          <w:spacing w:val="-3"/>
        </w:rPr>
        <w:t>2</w:t>
      </w:r>
      <w:r>
        <w:rPr>
          <w:spacing w:val="-3"/>
        </w:rPr>
        <w:t>）</w:t>
      </w:r>
      <w:r>
        <w:rPr>
          <w:spacing w:val="-4"/>
        </w:rPr>
        <w:t>当材料、设备已用于或安装在永久工程之中时，材料、设备预付款应从进</w:t>
      </w:r>
      <w:r>
        <w:rPr>
          <w:spacing w:val="-7"/>
        </w:rPr>
        <w:t xml:space="preserve">度付款证书中扣回，扣回期不超过 </w:t>
      </w:r>
      <w:r>
        <w:rPr>
          <w:rFonts w:ascii="Times New Roman" w:eastAsia="Times New Roman"/>
        </w:rPr>
        <w:t xml:space="preserve">3 </w:t>
      </w:r>
      <w:r>
        <w:t>个月。已经支付材料、设备预付款的材料、设备的所有权应属于发包人。</w:t>
      </w:r>
    </w:p>
    <w:p>
      <w:pPr>
        <w:pStyle w:val="11"/>
        <w:spacing w:before="4"/>
        <w:rPr>
          <w:sz w:val="17"/>
        </w:rPr>
      </w:pPr>
    </w:p>
    <w:p>
      <w:pPr>
        <w:pStyle w:val="20"/>
        <w:numPr>
          <w:ilvl w:val="1"/>
          <w:numId w:val="33"/>
        </w:numPr>
        <w:tabs>
          <w:tab w:val="left" w:pos="965"/>
        </w:tabs>
        <w:ind w:left="964" w:hanging="540"/>
        <w:jc w:val="left"/>
        <w:rPr>
          <w:rFonts w:ascii="Times New Roman" w:eastAsia="Times New Roman"/>
          <w:sz w:val="24"/>
        </w:rPr>
      </w:pPr>
      <w:bookmarkStart w:id="215" w:name="_bookmark227"/>
      <w:bookmarkEnd w:id="215"/>
      <w:r>
        <w:rPr>
          <w:rFonts w:hint="eastAsia" w:ascii="黑体" w:eastAsia="黑体"/>
          <w:sz w:val="24"/>
        </w:rPr>
        <w:t>工程进度付款</w:t>
      </w:r>
    </w:p>
    <w:p>
      <w:pPr>
        <w:pStyle w:val="11"/>
        <w:rPr>
          <w:rFonts w:ascii="黑体"/>
          <w:sz w:val="26"/>
        </w:rPr>
      </w:pPr>
    </w:p>
    <w:p>
      <w:pPr>
        <w:pStyle w:val="11"/>
        <w:ind w:left="894"/>
        <w:rPr>
          <w:rFonts w:ascii="黑体" w:eastAsia="黑体"/>
        </w:rPr>
      </w:pPr>
      <w:r>
        <w:rPr>
          <w:rFonts w:ascii="Times New Roman" w:eastAsia="Times New Roman"/>
        </w:rPr>
        <w:t xml:space="preserve">17.3.3 </w:t>
      </w:r>
      <w:r>
        <w:rPr>
          <w:rFonts w:hint="eastAsia" w:ascii="黑体" w:eastAsia="黑体"/>
        </w:rPr>
        <w:t>进度付款证书和支付时间</w:t>
      </w:r>
    </w:p>
    <w:p>
      <w:pPr>
        <w:pStyle w:val="11"/>
        <w:spacing w:before="91"/>
        <w:ind w:left="904"/>
      </w:pPr>
      <w:r>
        <w:t>本项（</w:t>
      </w:r>
      <w:r>
        <w:rPr>
          <w:rFonts w:ascii="Times New Roman" w:eastAsia="Times New Roman"/>
        </w:rPr>
        <w:t>1</w:t>
      </w:r>
      <w:r>
        <w:t>）目补充：</w:t>
      </w:r>
    </w:p>
    <w:p>
      <w:pPr>
        <w:pStyle w:val="11"/>
        <w:spacing w:before="93" w:line="312" w:lineRule="auto"/>
        <w:ind w:left="424" w:right="387" w:firstLine="479"/>
        <w:jc w:val="both"/>
      </w:pPr>
      <w: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Style w:val="11"/>
        <w:spacing w:before="3"/>
        <w:ind w:left="904"/>
      </w:pPr>
      <w:r>
        <w:t>本项（</w:t>
      </w:r>
      <w:r>
        <w:rPr>
          <w:rFonts w:ascii="Times New Roman" w:eastAsia="Times New Roman"/>
        </w:rPr>
        <w:t>2</w:t>
      </w:r>
      <w:r>
        <w:t>）目细化为：</w:t>
      </w:r>
    </w:p>
    <w:p>
      <w:pPr>
        <w:pStyle w:val="11"/>
        <w:spacing w:before="90" w:line="312" w:lineRule="auto"/>
        <w:ind w:left="424" w:right="388" w:firstLine="479"/>
      </w:pPr>
      <w:r>
        <w:t xml:space="preserve">发包人应在监理人收到进度付款申请单且承包人提交了合格的增值税专用发票后的 </w:t>
      </w:r>
      <w:r>
        <w:rPr>
          <w:rFonts w:ascii="Times New Roman" w:eastAsia="Times New Roman"/>
        </w:rPr>
        <w:t xml:space="preserve">28 </w:t>
      </w:r>
      <w:r>
        <w:t>天内，将进度应付款支付给承包人。</w:t>
      </w:r>
    </w:p>
    <w:p>
      <w:pPr>
        <w:pStyle w:val="11"/>
        <w:spacing w:before="3"/>
        <w:ind w:left="904"/>
      </w:pPr>
      <w:r>
        <w:t>发包人不按期支付的，按项目专用合同条款数据表中约定的利率向承包人支付</w:t>
      </w:r>
    </w:p>
    <w:p>
      <w:pPr>
        <w:sectPr>
          <w:pgSz w:w="11910" w:h="16850"/>
          <w:pgMar w:top="1480" w:right="1200" w:bottom="1040" w:left="1220" w:header="876" w:footer="853" w:gutter="0"/>
          <w:cols w:space="720" w:num="1"/>
        </w:sectPr>
      </w:pPr>
    </w:p>
    <w:p>
      <w:pPr>
        <w:pStyle w:val="11"/>
        <w:spacing w:before="2"/>
        <w:rPr>
          <w:sz w:val="10"/>
        </w:rPr>
      </w:pPr>
    </w:p>
    <w:p>
      <w:pPr>
        <w:pStyle w:val="11"/>
        <w:spacing w:before="67" w:line="312" w:lineRule="auto"/>
        <w:ind w:left="424" w:right="390"/>
      </w:pPr>
      <w:r>
        <w:t>逾期付款违约金。违约金计算基数为发包人的全部未付款额，时间从应付而未付该款额之日算起（不计复利</w:t>
      </w:r>
      <w:r>
        <w:rPr>
          <w:spacing w:val="-120"/>
        </w:rPr>
        <w:t>）</w:t>
      </w:r>
      <w:r>
        <w:t>。</w:t>
      </w:r>
    </w:p>
    <w:p>
      <w:pPr>
        <w:pStyle w:val="11"/>
        <w:spacing w:before="21"/>
        <w:ind w:left="904"/>
      </w:pPr>
      <w:r>
        <w:t xml:space="preserve">本款补充第 </w:t>
      </w:r>
      <w:r>
        <w:rPr>
          <w:rFonts w:ascii="Times New Roman" w:eastAsia="Times New Roman"/>
        </w:rPr>
        <w:t xml:space="preserve">17.3.5 </w:t>
      </w:r>
      <w:r>
        <w:t>项：</w:t>
      </w:r>
    </w:p>
    <w:p>
      <w:pPr>
        <w:pStyle w:val="11"/>
        <w:spacing w:before="112"/>
        <w:ind w:left="894"/>
        <w:rPr>
          <w:rFonts w:ascii="黑体" w:eastAsia="黑体"/>
        </w:rPr>
      </w:pPr>
      <w:r>
        <w:rPr>
          <w:rFonts w:ascii="Times New Roman" w:eastAsia="Times New Roman"/>
        </w:rPr>
        <w:t xml:space="preserve">17.3.5 </w:t>
      </w:r>
      <w:r>
        <w:rPr>
          <w:rFonts w:hint="eastAsia" w:ascii="黑体" w:eastAsia="黑体"/>
        </w:rPr>
        <w:t>农民工工资保证金</w:t>
      </w:r>
    </w:p>
    <w:p>
      <w:pPr>
        <w:pStyle w:val="11"/>
        <w:spacing w:before="113" w:line="328" w:lineRule="auto"/>
        <w:ind w:left="424" w:right="305" w:firstLine="479"/>
      </w:pPr>
      <w:r>
        <w:t>（</w:t>
      </w:r>
      <w:r>
        <w:rPr>
          <w:rFonts w:ascii="Times New Roman" w:eastAsia="Times New Roman"/>
        </w:rPr>
        <w:t>1</w:t>
      </w:r>
      <w:r>
        <w:t>）为确保施工过程中农民工工资实时、足额发放到位，承包人应按照项目专用合同条款约定的时间和金额缴存农民工工资保证金。</w:t>
      </w:r>
    </w:p>
    <w:p>
      <w:pPr>
        <w:pStyle w:val="11"/>
        <w:spacing w:line="328" w:lineRule="auto"/>
        <w:ind w:left="424" w:right="301" w:firstLine="479"/>
      </w:pPr>
      <w:r>
        <w:t>（</w:t>
      </w:r>
      <w:r>
        <w:rPr>
          <w:rFonts w:ascii="Times New Roman" w:eastAsia="Times New Roman"/>
        </w:rPr>
        <w:t>2</w:t>
      </w:r>
      <w:r>
        <w:t>）农民工工资保证金可采用银行保函或现金、支票形式。采用银行保函时， 出具保函的银行须具有相应担保能力，且按照发包人批准的格式出具，所需费用由承包人承担。</w:t>
      </w:r>
    </w:p>
    <w:p>
      <w:pPr>
        <w:pStyle w:val="11"/>
        <w:spacing w:line="328" w:lineRule="auto"/>
        <w:ind w:left="424" w:right="305" w:firstLine="479"/>
      </w:pPr>
      <w:r>
        <w:t>（</w:t>
      </w:r>
      <w:r>
        <w:rPr>
          <w:rFonts w:ascii="Times New Roman" w:eastAsia="Times New Roman"/>
        </w:rPr>
        <w:t>3</w:t>
      </w:r>
      <w:r>
        <w:t>）农民工工资保证金的扣留条件、返还时间按照项目专用合同条款的约定执行。</w:t>
      </w:r>
    </w:p>
    <w:p>
      <w:pPr>
        <w:pStyle w:val="20"/>
        <w:numPr>
          <w:ilvl w:val="1"/>
          <w:numId w:val="33"/>
        </w:numPr>
        <w:tabs>
          <w:tab w:val="left" w:pos="965"/>
        </w:tabs>
        <w:spacing w:before="191"/>
        <w:ind w:left="964" w:hanging="540"/>
        <w:jc w:val="left"/>
        <w:rPr>
          <w:rFonts w:ascii="Times New Roman" w:eastAsia="Times New Roman"/>
          <w:sz w:val="24"/>
        </w:rPr>
      </w:pPr>
      <w:bookmarkStart w:id="216" w:name="_bookmark228"/>
      <w:bookmarkEnd w:id="216"/>
      <w:r>
        <w:rPr>
          <w:rFonts w:hint="eastAsia" w:ascii="黑体" w:eastAsia="黑体"/>
          <w:sz w:val="24"/>
        </w:rPr>
        <w:t>质量保证金</w:t>
      </w:r>
    </w:p>
    <w:p>
      <w:pPr>
        <w:pStyle w:val="11"/>
        <w:spacing w:before="10"/>
        <w:rPr>
          <w:rFonts w:ascii="黑体"/>
          <w:sz w:val="25"/>
        </w:rPr>
      </w:pPr>
    </w:p>
    <w:p>
      <w:pPr>
        <w:pStyle w:val="11"/>
        <w:ind w:left="904"/>
      </w:pPr>
      <w:r>
        <w:t xml:space="preserve">第 </w:t>
      </w:r>
      <w:r>
        <w:rPr>
          <w:rFonts w:ascii="Times New Roman" w:eastAsia="Times New Roman"/>
        </w:rPr>
        <w:t xml:space="preserve">17.4.1 </w:t>
      </w:r>
      <w:r>
        <w:t xml:space="preserve">项、第 </w:t>
      </w:r>
      <w:r>
        <w:rPr>
          <w:rFonts w:ascii="Times New Roman" w:eastAsia="Times New Roman"/>
        </w:rPr>
        <w:t xml:space="preserve">17.4.2 </w:t>
      </w:r>
      <w:r>
        <w:t>项细化为：</w:t>
      </w:r>
    </w:p>
    <w:p>
      <w:pPr>
        <w:pStyle w:val="20"/>
        <w:numPr>
          <w:ilvl w:val="2"/>
          <w:numId w:val="33"/>
        </w:numPr>
        <w:tabs>
          <w:tab w:val="left" w:pos="1625"/>
        </w:tabs>
        <w:spacing w:before="94" w:line="312" w:lineRule="auto"/>
        <w:ind w:left="424" w:right="385" w:firstLine="480"/>
        <w:jc w:val="both"/>
        <w:rPr>
          <w:sz w:val="24"/>
        </w:rPr>
      </w:pPr>
      <w:r>
        <w:rPr>
          <w:spacing w:val="-6"/>
          <w:sz w:val="24"/>
        </w:rPr>
        <w:t xml:space="preserve">交工验收证书签发后 </w:t>
      </w:r>
      <w:r>
        <w:rPr>
          <w:rFonts w:ascii="Times New Roman" w:eastAsia="Times New Roman"/>
          <w:sz w:val="24"/>
        </w:rPr>
        <w:t xml:space="preserve">14 </w:t>
      </w:r>
      <w:r>
        <w:rPr>
          <w:spacing w:val="-9"/>
          <w:sz w:val="24"/>
        </w:rPr>
        <w:t>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pStyle w:val="11"/>
        <w:spacing w:before="2" w:line="312" w:lineRule="auto"/>
        <w:ind w:left="424" w:right="391" w:firstLine="479"/>
      </w:pPr>
      <w:r>
        <w:t xml:space="preserve">质量保证金采用现金、支票形式提交的，发包人应在项目专用合同条款数据表中明确是否计付利息以及利息的计算方式。 </w:t>
      </w:r>
    </w:p>
    <w:p>
      <w:pPr>
        <w:pStyle w:val="20"/>
        <w:numPr>
          <w:ilvl w:val="2"/>
          <w:numId w:val="33"/>
        </w:numPr>
        <w:tabs>
          <w:tab w:val="left" w:pos="1625"/>
        </w:tabs>
        <w:spacing w:line="312" w:lineRule="auto"/>
        <w:ind w:left="424" w:right="301" w:firstLine="480"/>
        <w:rPr>
          <w:sz w:val="24"/>
        </w:rPr>
      </w:pPr>
      <w:r>
        <w:rPr>
          <w:spacing w:val="-20"/>
          <w:sz w:val="24"/>
        </w:rPr>
        <w:t xml:space="preserve">在第 </w:t>
      </w:r>
      <w:r>
        <w:rPr>
          <w:rFonts w:ascii="Times New Roman" w:eastAsia="Times New Roman"/>
          <w:sz w:val="24"/>
        </w:rPr>
        <w:t xml:space="preserve">1.1.4.5 </w:t>
      </w:r>
      <w:r>
        <w:rPr>
          <w:spacing w:val="-3"/>
          <w:sz w:val="24"/>
        </w:rPr>
        <w:t xml:space="preserve">目约定的缺陷责任期满，且质量监督机构已按规定对工程质量检测鉴定合格，承包人向发包人申请到期应返还承包人剩余的质量保证金金额， </w:t>
      </w:r>
      <w:r>
        <w:rPr>
          <w:spacing w:val="-13"/>
          <w:sz w:val="24"/>
        </w:rPr>
        <w:t xml:space="preserve">发包人应在 </w:t>
      </w:r>
      <w:r>
        <w:rPr>
          <w:rFonts w:ascii="Times New Roman" w:eastAsia="Times New Roman"/>
          <w:sz w:val="24"/>
        </w:rPr>
        <w:t xml:space="preserve">14 </w:t>
      </w:r>
      <w:r>
        <w:rPr>
          <w:sz w:val="24"/>
        </w:rPr>
        <w:t>天内会同承包人按照合同约定的内容核实承包人是否完成缺陷责任。如无异议，发包人应当在核实后将剩余保证金返还承包人。</w:t>
      </w:r>
    </w:p>
    <w:p>
      <w:pPr>
        <w:pStyle w:val="11"/>
        <w:spacing w:before="5"/>
        <w:rPr>
          <w:sz w:val="17"/>
        </w:rPr>
      </w:pPr>
    </w:p>
    <w:p>
      <w:pPr>
        <w:pStyle w:val="20"/>
        <w:numPr>
          <w:ilvl w:val="1"/>
          <w:numId w:val="33"/>
        </w:numPr>
        <w:tabs>
          <w:tab w:val="left" w:pos="965"/>
        </w:tabs>
        <w:ind w:left="964" w:hanging="540"/>
        <w:jc w:val="left"/>
        <w:rPr>
          <w:rFonts w:ascii="Times New Roman" w:eastAsia="Times New Roman"/>
          <w:sz w:val="24"/>
        </w:rPr>
      </w:pPr>
      <w:bookmarkStart w:id="217" w:name="_bookmark229"/>
      <w:bookmarkEnd w:id="217"/>
      <w:r>
        <w:rPr>
          <w:rFonts w:hint="eastAsia" w:ascii="黑体" w:eastAsia="黑体"/>
          <w:sz w:val="24"/>
        </w:rPr>
        <w:t>交工结算</w:t>
      </w:r>
    </w:p>
    <w:p>
      <w:pPr>
        <w:pStyle w:val="11"/>
        <w:spacing w:before="10"/>
        <w:rPr>
          <w:rFonts w:ascii="黑体"/>
          <w:sz w:val="25"/>
        </w:rPr>
      </w:pPr>
    </w:p>
    <w:p>
      <w:pPr>
        <w:pStyle w:val="20"/>
        <w:numPr>
          <w:ilvl w:val="2"/>
          <w:numId w:val="33"/>
        </w:numPr>
        <w:tabs>
          <w:tab w:val="left" w:pos="1615"/>
        </w:tabs>
        <w:spacing w:before="1"/>
        <w:ind w:left="1614" w:hanging="720"/>
        <w:rPr>
          <w:rFonts w:ascii="黑体" w:eastAsia="黑体"/>
          <w:sz w:val="24"/>
        </w:rPr>
      </w:pPr>
      <w:r>
        <w:rPr>
          <w:rFonts w:hint="eastAsia" w:ascii="黑体" w:eastAsia="黑体"/>
          <w:sz w:val="24"/>
        </w:rPr>
        <w:t>交工付款申请单</w:t>
      </w:r>
    </w:p>
    <w:p>
      <w:pPr>
        <w:pStyle w:val="11"/>
        <w:spacing w:before="93"/>
        <w:ind w:left="904"/>
      </w:pPr>
      <w:r>
        <w:t>本项（</w:t>
      </w:r>
      <w:r>
        <w:rPr>
          <w:rFonts w:ascii="Times New Roman" w:eastAsia="Times New Roman"/>
        </w:rPr>
        <w:t>1</w:t>
      </w:r>
      <w:r>
        <w:t>）目约定为：</w:t>
      </w:r>
    </w:p>
    <w:p>
      <w:pPr>
        <w:pStyle w:val="11"/>
        <w:spacing w:before="91" w:line="312" w:lineRule="auto"/>
        <w:ind w:left="424" w:right="387" w:firstLine="479"/>
      </w:pPr>
      <w:r>
        <w:t xml:space="preserve">承包人向监理人提交交工付款申请单（包括相关证明材料）的份数在项目专用合同条款数据表中约定；期限：交工验收证书签发后 </w:t>
      </w:r>
      <w:r>
        <w:rPr>
          <w:rFonts w:ascii="Times New Roman" w:eastAsia="Times New Roman"/>
        </w:rPr>
        <w:t xml:space="preserve">42 </w:t>
      </w:r>
      <w:r>
        <w:t>天内。</w:t>
      </w:r>
    </w:p>
    <w:p>
      <w:pPr>
        <w:pStyle w:val="20"/>
        <w:numPr>
          <w:ilvl w:val="2"/>
          <w:numId w:val="33"/>
        </w:numPr>
        <w:tabs>
          <w:tab w:val="left" w:pos="1615"/>
        </w:tabs>
        <w:spacing w:before="2"/>
        <w:ind w:left="1614" w:hanging="720"/>
        <w:rPr>
          <w:rFonts w:ascii="黑体" w:eastAsia="黑体"/>
          <w:sz w:val="24"/>
        </w:rPr>
      </w:pPr>
      <w:r>
        <w:rPr>
          <w:rFonts w:hint="eastAsia" w:ascii="黑体" w:eastAsia="黑体"/>
          <w:sz w:val="24"/>
        </w:rPr>
        <w:t>交工付款证书及支付时间</w:t>
      </w:r>
    </w:p>
    <w:p>
      <w:pPr>
        <w:pStyle w:val="11"/>
        <w:spacing w:before="91"/>
        <w:ind w:left="894"/>
      </w:pPr>
      <w:r>
        <w:t>本项（</w:t>
      </w:r>
      <w:r>
        <w:rPr>
          <w:rFonts w:ascii="Times New Roman" w:eastAsia="Times New Roman"/>
        </w:rPr>
        <w:t>2</w:t>
      </w:r>
      <w:r>
        <w:t>）目细化为：</w:t>
      </w:r>
    </w:p>
    <w:p>
      <w:pPr>
        <w:pStyle w:val="11"/>
        <w:spacing w:before="94"/>
        <w:ind w:left="904"/>
      </w:pPr>
      <w:r>
        <w:t>发包人应在监理人出具交工付款证书且承包人提交了合格的增值税专用发票后</w:t>
      </w:r>
    </w:p>
    <w:p>
      <w:pPr>
        <w:sectPr>
          <w:pgSz w:w="11910" w:h="16850"/>
          <w:pgMar w:top="1480" w:right="1200" w:bottom="1080" w:left="1220" w:header="883" w:footer="884" w:gutter="0"/>
          <w:cols w:space="720" w:num="1"/>
        </w:sectPr>
      </w:pPr>
    </w:p>
    <w:p>
      <w:pPr>
        <w:pStyle w:val="11"/>
        <w:spacing w:before="7"/>
        <w:rPr>
          <w:sz w:val="9"/>
        </w:rPr>
      </w:pPr>
    </w:p>
    <w:p>
      <w:pPr>
        <w:pStyle w:val="11"/>
        <w:spacing w:before="74" w:line="312" w:lineRule="auto"/>
        <w:ind w:left="424" w:right="334"/>
      </w:pPr>
      <w:r>
        <w:t xml:space="preserve">的 </w:t>
      </w:r>
      <w:r>
        <w:rPr>
          <w:rFonts w:ascii="Times New Roman" w:eastAsia="Times New Roman"/>
        </w:rPr>
        <w:t xml:space="preserve">14 </w:t>
      </w:r>
      <w:r>
        <w:t xml:space="preserve">天内，将应支付款支付给承包人。发包人不按期支付的，按第 </w:t>
      </w:r>
      <w:r>
        <w:rPr>
          <w:rFonts w:ascii="Times New Roman" w:eastAsia="Times New Roman"/>
        </w:rPr>
        <w:t>17.3.3</w:t>
      </w:r>
      <w:r>
        <w:t>（</w:t>
      </w:r>
      <w:r>
        <w:rPr>
          <w:rFonts w:ascii="Times New Roman" w:eastAsia="Times New Roman"/>
        </w:rPr>
        <w:t>2</w:t>
      </w:r>
      <w:r>
        <w:t>）目的约定，将逾期付款违约金支付给承包人。</w:t>
      </w:r>
    </w:p>
    <w:p>
      <w:pPr>
        <w:pStyle w:val="11"/>
        <w:spacing w:before="3"/>
        <w:rPr>
          <w:sz w:val="17"/>
        </w:rPr>
      </w:pPr>
    </w:p>
    <w:p>
      <w:pPr>
        <w:pStyle w:val="20"/>
        <w:numPr>
          <w:ilvl w:val="1"/>
          <w:numId w:val="33"/>
        </w:numPr>
        <w:tabs>
          <w:tab w:val="left" w:pos="965"/>
        </w:tabs>
        <w:ind w:left="964" w:hanging="540"/>
        <w:jc w:val="left"/>
        <w:rPr>
          <w:rFonts w:ascii="Times New Roman" w:eastAsia="Times New Roman"/>
          <w:sz w:val="24"/>
        </w:rPr>
      </w:pPr>
      <w:bookmarkStart w:id="218" w:name="_bookmark230"/>
      <w:bookmarkEnd w:id="218"/>
      <w:r>
        <w:rPr>
          <w:rFonts w:hint="eastAsia" w:ascii="黑体" w:eastAsia="黑体"/>
          <w:sz w:val="24"/>
        </w:rPr>
        <w:t>最终结清</w:t>
      </w:r>
    </w:p>
    <w:p>
      <w:pPr>
        <w:pStyle w:val="11"/>
        <w:spacing w:before="11"/>
        <w:rPr>
          <w:rFonts w:ascii="黑体"/>
          <w:sz w:val="25"/>
        </w:rPr>
      </w:pPr>
    </w:p>
    <w:p>
      <w:pPr>
        <w:pStyle w:val="20"/>
        <w:numPr>
          <w:ilvl w:val="2"/>
          <w:numId w:val="33"/>
        </w:numPr>
        <w:tabs>
          <w:tab w:val="left" w:pos="1615"/>
        </w:tabs>
        <w:ind w:left="1614" w:hanging="720"/>
        <w:rPr>
          <w:rFonts w:ascii="黑体" w:eastAsia="黑体"/>
          <w:sz w:val="24"/>
        </w:rPr>
      </w:pPr>
      <w:r>
        <w:rPr>
          <w:rFonts w:hint="eastAsia" w:ascii="黑体" w:eastAsia="黑体"/>
          <w:sz w:val="24"/>
        </w:rPr>
        <w:t>最终结清申请单</w:t>
      </w:r>
    </w:p>
    <w:p>
      <w:pPr>
        <w:pStyle w:val="11"/>
        <w:spacing w:before="93"/>
        <w:ind w:left="904"/>
      </w:pPr>
      <w:r>
        <w:t>本项（</w:t>
      </w:r>
      <w:r>
        <w:rPr>
          <w:rFonts w:ascii="Times New Roman" w:eastAsia="Times New Roman"/>
        </w:rPr>
        <w:t>1</w:t>
      </w:r>
      <w:r>
        <w:t>）目约定为：</w:t>
      </w:r>
    </w:p>
    <w:p>
      <w:pPr>
        <w:pStyle w:val="11"/>
        <w:spacing w:before="93" w:line="312" w:lineRule="auto"/>
        <w:ind w:left="424" w:right="387" w:firstLine="479"/>
      </w:pPr>
      <w:r>
        <w:t xml:space="preserve">承包人向监理人提交最终结清申请单（包括相关证明材料）的份数在项目专用合同条款数据表中约定；期限：缺陷责任期终止证书签发后 </w:t>
      </w:r>
      <w:r>
        <w:rPr>
          <w:rFonts w:ascii="Times New Roman" w:eastAsia="Times New Roman"/>
        </w:rPr>
        <w:t xml:space="preserve">28 </w:t>
      </w:r>
      <w:r>
        <w:t>天内。</w:t>
      </w:r>
    </w:p>
    <w:p>
      <w:pPr>
        <w:pStyle w:val="11"/>
        <w:spacing w:before="1" w:line="312" w:lineRule="auto"/>
        <w:ind w:left="424" w:right="391" w:firstLine="479"/>
      </w:pPr>
      <w:r>
        <w:t>最终结清申请单中的总金额应认为是代表了根据合同规定应付给承包人的全部款项的最后结算。</w:t>
      </w:r>
    </w:p>
    <w:p>
      <w:pPr>
        <w:pStyle w:val="20"/>
        <w:numPr>
          <w:ilvl w:val="2"/>
          <w:numId w:val="33"/>
        </w:numPr>
        <w:tabs>
          <w:tab w:val="left" w:pos="1615"/>
        </w:tabs>
        <w:spacing w:line="307" w:lineRule="exact"/>
        <w:ind w:left="1614" w:hanging="720"/>
        <w:rPr>
          <w:rFonts w:ascii="黑体" w:eastAsia="黑体"/>
          <w:sz w:val="24"/>
        </w:rPr>
      </w:pPr>
      <w:r>
        <w:rPr>
          <w:rFonts w:hint="eastAsia" w:ascii="黑体" w:eastAsia="黑体"/>
          <w:sz w:val="24"/>
        </w:rPr>
        <w:t>最终结清证书和支付时间</w:t>
      </w:r>
    </w:p>
    <w:p>
      <w:pPr>
        <w:pStyle w:val="11"/>
        <w:spacing w:before="93"/>
        <w:ind w:left="904"/>
      </w:pPr>
      <w:r>
        <w:t>本项（</w:t>
      </w:r>
      <w:r>
        <w:rPr>
          <w:rFonts w:ascii="Times New Roman" w:eastAsia="Times New Roman"/>
        </w:rPr>
        <w:t>2</w:t>
      </w:r>
      <w:r>
        <w:t>）目细化为：</w:t>
      </w:r>
    </w:p>
    <w:p>
      <w:pPr>
        <w:pStyle w:val="11"/>
        <w:spacing w:before="93" w:line="312" w:lineRule="auto"/>
        <w:ind w:left="424" w:right="264" w:firstLine="479"/>
      </w:pPr>
      <w:r>
        <w:rPr>
          <w:spacing w:val="-28"/>
        </w:rPr>
        <w:t>（</w:t>
      </w:r>
      <w:r>
        <w:rPr>
          <w:rFonts w:ascii="Times New Roman" w:eastAsia="Times New Roman"/>
          <w:spacing w:val="-28"/>
        </w:rPr>
        <w:t>2</w:t>
      </w:r>
      <w:r>
        <w:rPr>
          <w:spacing w:val="-28"/>
        </w:rPr>
        <w:t>）</w:t>
      </w:r>
      <w:r>
        <w:t>发包人应在监理人出具最终结清证书且承包人提交了合格的增值税专用发</w:t>
      </w:r>
      <w:r>
        <w:rPr>
          <w:spacing w:val="-16"/>
        </w:rPr>
        <w:t xml:space="preserve">票后的 </w:t>
      </w:r>
      <w:r>
        <w:rPr>
          <w:rFonts w:ascii="Times New Roman" w:eastAsia="Times New Roman"/>
        </w:rPr>
        <w:t xml:space="preserve">14 </w:t>
      </w:r>
      <w:r>
        <w:rPr>
          <w:spacing w:val="-7"/>
        </w:rPr>
        <w:t xml:space="preserve">天内，将应支付款支付给承包人。发包人不按期支付的，按第 </w:t>
      </w:r>
      <w:r>
        <w:rPr>
          <w:rFonts w:ascii="Times New Roman" w:eastAsia="Times New Roman"/>
        </w:rPr>
        <w:t>17.3.3</w:t>
      </w:r>
      <w:r>
        <w:t>（</w:t>
      </w:r>
      <w:r>
        <w:rPr>
          <w:rFonts w:ascii="Times New Roman" w:eastAsia="Times New Roman"/>
        </w:rPr>
        <w:t>2</w:t>
      </w:r>
      <w:r>
        <w:t>） 目的约定，将逾期付款违约金支付给承包人。</w:t>
      </w:r>
    </w:p>
    <w:p>
      <w:pPr>
        <w:pStyle w:val="11"/>
        <w:rPr>
          <w:sz w:val="32"/>
        </w:rPr>
      </w:pPr>
    </w:p>
    <w:p>
      <w:pPr>
        <w:numPr>
          <w:ilvl w:val="0"/>
          <w:numId w:val="15"/>
        </w:numPr>
        <w:tabs>
          <w:tab w:val="left" w:pos="914"/>
        </w:tabs>
        <w:ind w:left="914" w:hanging="490"/>
        <w:rPr>
          <w:rFonts w:ascii="黑体" w:eastAsia="黑体"/>
          <w:sz w:val="28"/>
        </w:rPr>
      </w:pPr>
      <w:bookmarkStart w:id="219" w:name="_bookmark231"/>
      <w:bookmarkEnd w:id="219"/>
      <w:r>
        <w:rPr>
          <w:rFonts w:hint="eastAsia" w:ascii="黑体" w:eastAsia="黑体"/>
          <w:sz w:val="28"/>
        </w:rPr>
        <w:t>交工验收</w:t>
      </w:r>
    </w:p>
    <w:p>
      <w:pPr>
        <w:pStyle w:val="11"/>
        <w:spacing w:before="5"/>
        <w:rPr>
          <w:rFonts w:ascii="黑体"/>
        </w:rPr>
      </w:pPr>
    </w:p>
    <w:p>
      <w:pPr>
        <w:pStyle w:val="20"/>
        <w:numPr>
          <w:ilvl w:val="1"/>
          <w:numId w:val="35"/>
        </w:numPr>
        <w:tabs>
          <w:tab w:val="left" w:pos="965"/>
        </w:tabs>
        <w:rPr>
          <w:rFonts w:ascii="黑体" w:eastAsia="黑体"/>
          <w:sz w:val="24"/>
        </w:rPr>
      </w:pPr>
      <w:bookmarkStart w:id="220" w:name="_bookmark232"/>
      <w:bookmarkEnd w:id="220"/>
      <w:r>
        <w:rPr>
          <w:rFonts w:hint="eastAsia" w:ascii="黑体" w:eastAsia="黑体"/>
          <w:sz w:val="24"/>
        </w:rPr>
        <w:t>交工验收申请报告</w:t>
      </w:r>
    </w:p>
    <w:p>
      <w:pPr>
        <w:pStyle w:val="11"/>
        <w:spacing w:before="11"/>
        <w:rPr>
          <w:rFonts w:ascii="黑体"/>
          <w:sz w:val="25"/>
        </w:rPr>
      </w:pPr>
    </w:p>
    <w:p>
      <w:pPr>
        <w:pStyle w:val="11"/>
        <w:ind w:left="904"/>
      </w:pPr>
      <w:r>
        <w:t>本款第（</w:t>
      </w:r>
      <w:r>
        <w:rPr>
          <w:rFonts w:ascii="Times New Roman" w:eastAsia="Times New Roman"/>
        </w:rPr>
        <w:t>2</w:t>
      </w:r>
      <w:r>
        <w:t>）项约定为：</w:t>
      </w:r>
    </w:p>
    <w:p>
      <w:pPr>
        <w:pStyle w:val="11"/>
        <w:spacing w:before="93" w:line="312" w:lineRule="auto"/>
        <w:ind w:left="424" w:right="388" w:firstLine="479"/>
      </w:pPr>
      <w:r>
        <w:t>竣工资料的内容：承包人应按照《公路工程竣（交）工验收办法》和相关规定编制竣工资料。</w:t>
      </w:r>
    </w:p>
    <w:p>
      <w:pPr>
        <w:pStyle w:val="11"/>
        <w:ind w:left="904"/>
      </w:pPr>
      <w:r>
        <w:t>竣工资料的份数在项目专用合同条款数据表中约定。</w:t>
      </w:r>
    </w:p>
    <w:p>
      <w:pPr>
        <w:pStyle w:val="11"/>
        <w:spacing w:before="7"/>
      </w:pPr>
    </w:p>
    <w:p>
      <w:pPr>
        <w:pStyle w:val="20"/>
        <w:numPr>
          <w:ilvl w:val="1"/>
          <w:numId w:val="35"/>
        </w:numPr>
        <w:tabs>
          <w:tab w:val="left" w:pos="965"/>
        </w:tabs>
        <w:rPr>
          <w:rFonts w:ascii="黑体" w:eastAsia="黑体"/>
          <w:sz w:val="24"/>
        </w:rPr>
      </w:pPr>
      <w:bookmarkStart w:id="221" w:name="_bookmark233"/>
      <w:bookmarkEnd w:id="221"/>
      <w:r>
        <w:rPr>
          <w:rFonts w:hint="eastAsia" w:ascii="黑体" w:eastAsia="黑体"/>
          <w:sz w:val="24"/>
        </w:rPr>
        <w:t>验收</w:t>
      </w:r>
    </w:p>
    <w:p>
      <w:pPr>
        <w:pStyle w:val="11"/>
        <w:spacing w:before="10"/>
        <w:rPr>
          <w:rFonts w:ascii="黑体"/>
          <w:sz w:val="25"/>
        </w:rPr>
      </w:pPr>
    </w:p>
    <w:p>
      <w:pPr>
        <w:pStyle w:val="11"/>
        <w:spacing w:before="1"/>
        <w:ind w:left="904"/>
      </w:pPr>
      <w:r>
        <w:t xml:space="preserve">第 </w:t>
      </w:r>
      <w:r>
        <w:rPr>
          <w:rFonts w:ascii="Times New Roman" w:eastAsia="Times New Roman"/>
        </w:rPr>
        <w:t xml:space="preserve">18.3.2 </w:t>
      </w:r>
      <w:r>
        <w:t>项补充：</w:t>
      </w:r>
    </w:p>
    <w:p>
      <w:pPr>
        <w:pStyle w:val="11"/>
        <w:spacing w:before="93" w:line="312" w:lineRule="auto"/>
        <w:ind w:left="424" w:right="387" w:firstLine="479"/>
        <w:jc w:val="both"/>
      </w:pPr>
      <w: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Style w:val="11"/>
        <w:spacing w:before="2"/>
        <w:ind w:left="904"/>
      </w:pPr>
      <w:r>
        <w:t xml:space="preserve">第 </w:t>
      </w:r>
      <w:r>
        <w:rPr>
          <w:rFonts w:ascii="Times New Roman" w:eastAsia="Times New Roman"/>
        </w:rPr>
        <w:t xml:space="preserve">18.3.5 </w:t>
      </w:r>
      <w:r>
        <w:t>项约定为：</w:t>
      </w:r>
    </w:p>
    <w:p>
      <w:pPr>
        <w:pStyle w:val="11"/>
        <w:spacing w:before="91" w:line="312" w:lineRule="auto"/>
        <w:ind w:left="424" w:right="388" w:firstLine="479"/>
      </w:pPr>
      <w:r>
        <w:t>经验收合格工程的实际交工日期，以最终提交交工验收申请报告的日期为准， 并在交工验收证书中写明。</w:t>
      </w:r>
    </w:p>
    <w:p>
      <w:pPr>
        <w:spacing w:line="312" w:lineRule="auto"/>
        <w:sectPr>
          <w:footerReference r:id="rId46" w:type="default"/>
          <w:footerReference r:id="rId47" w:type="even"/>
          <w:pgSz w:w="11910" w:h="16850"/>
          <w:pgMar w:top="1480" w:right="1200" w:bottom="1040" w:left="1220" w:header="876" w:footer="853" w:gutter="0"/>
          <w:cols w:space="720" w:num="1"/>
        </w:sectPr>
      </w:pPr>
    </w:p>
    <w:p>
      <w:pPr>
        <w:pStyle w:val="11"/>
        <w:spacing w:before="7"/>
        <w:rPr>
          <w:sz w:val="9"/>
        </w:rPr>
      </w:pPr>
    </w:p>
    <w:p>
      <w:pPr>
        <w:pStyle w:val="11"/>
        <w:spacing w:before="74"/>
        <w:ind w:left="904"/>
      </w:pPr>
      <w:r>
        <w:t xml:space="preserve">本款补充第 </w:t>
      </w:r>
      <w:r>
        <w:rPr>
          <w:rFonts w:ascii="Times New Roman" w:eastAsia="Times New Roman"/>
        </w:rPr>
        <w:t xml:space="preserve">18.3.7 </w:t>
      </w:r>
      <w:r>
        <w:t>项：</w:t>
      </w:r>
    </w:p>
    <w:p>
      <w:pPr>
        <w:pStyle w:val="11"/>
        <w:spacing w:before="91"/>
        <w:ind w:left="904"/>
        <w:rPr>
          <w:rFonts w:ascii="Times New Roman" w:eastAsia="Times New Roman"/>
        </w:rPr>
      </w:pPr>
      <w:r>
        <w:t xml:space="preserve">组织办理交工验收和签发交工验收证书的费用由发包人承担。但按照第 </w:t>
      </w:r>
      <w:r>
        <w:rPr>
          <w:rFonts w:ascii="Times New Roman" w:eastAsia="Times New Roman"/>
        </w:rPr>
        <w:t>18.3.4</w:t>
      </w:r>
    </w:p>
    <w:p>
      <w:pPr>
        <w:pStyle w:val="11"/>
        <w:spacing w:before="94"/>
        <w:ind w:left="424"/>
      </w:pPr>
      <w:r>
        <w:t>项规定达不到合格标准的交工验收费用由承包人承担。</w:t>
      </w:r>
    </w:p>
    <w:p>
      <w:pPr>
        <w:pStyle w:val="11"/>
        <w:rPr>
          <w:sz w:val="26"/>
        </w:rPr>
      </w:pPr>
    </w:p>
    <w:p>
      <w:pPr>
        <w:pStyle w:val="11"/>
        <w:ind w:left="424"/>
        <w:rPr>
          <w:rFonts w:ascii="黑体" w:eastAsia="黑体"/>
        </w:rPr>
      </w:pPr>
      <w:r>
        <w:rPr>
          <w:rFonts w:hint="eastAsia" w:ascii="黑体" w:eastAsia="黑体"/>
        </w:rPr>
        <w:t xml:space="preserve">本条补充第 </w:t>
      </w:r>
      <w:r>
        <w:rPr>
          <w:rFonts w:ascii="Times New Roman" w:eastAsia="Times New Roman"/>
        </w:rPr>
        <w:t xml:space="preserve">18.9 </w:t>
      </w:r>
      <w:r>
        <w:rPr>
          <w:rFonts w:hint="eastAsia" w:ascii="黑体" w:eastAsia="黑体"/>
        </w:rPr>
        <w:t>款：</w:t>
      </w:r>
    </w:p>
    <w:p>
      <w:pPr>
        <w:pStyle w:val="11"/>
        <w:spacing w:before="4"/>
        <w:rPr>
          <w:rFonts w:ascii="黑体"/>
        </w:rPr>
      </w:pPr>
    </w:p>
    <w:p>
      <w:pPr>
        <w:pStyle w:val="11"/>
        <w:ind w:left="424"/>
        <w:rPr>
          <w:rFonts w:ascii="黑体" w:eastAsia="黑体"/>
        </w:rPr>
      </w:pPr>
      <w:bookmarkStart w:id="222" w:name="_bookmark234"/>
      <w:bookmarkEnd w:id="222"/>
      <w:r>
        <w:rPr>
          <w:rFonts w:ascii="Times New Roman" w:eastAsia="Times New Roman"/>
        </w:rPr>
        <w:t>18.9</w:t>
      </w:r>
      <w:r>
        <w:rPr>
          <w:rFonts w:ascii="Times New Roman" w:eastAsia="Times New Roman"/>
          <w:spacing w:val="58"/>
        </w:rPr>
        <w:t xml:space="preserve"> </w:t>
      </w:r>
      <w:r>
        <w:rPr>
          <w:rFonts w:hint="eastAsia" w:ascii="黑体" w:eastAsia="黑体"/>
        </w:rPr>
        <w:t>竣工文件</w:t>
      </w:r>
    </w:p>
    <w:p>
      <w:pPr>
        <w:pStyle w:val="11"/>
        <w:rPr>
          <w:rFonts w:ascii="黑体"/>
          <w:sz w:val="26"/>
        </w:rPr>
      </w:pPr>
    </w:p>
    <w:p>
      <w:pPr>
        <w:pStyle w:val="11"/>
        <w:spacing w:line="312" w:lineRule="auto"/>
        <w:ind w:left="424" w:right="388" w:firstLine="479"/>
      </w:pPr>
      <w:r>
        <w:t>承包人应按照《公路工程竣（交）工验收办法》的相关规定，在缺陷责任期内为竣工验收补充竣工资料，并在签发缺陷责任期终止证书之前提交。</w:t>
      </w:r>
    </w:p>
    <w:p>
      <w:pPr>
        <w:pStyle w:val="11"/>
        <w:spacing w:before="12"/>
        <w:rPr>
          <w:sz w:val="31"/>
        </w:rPr>
      </w:pPr>
    </w:p>
    <w:p>
      <w:pPr>
        <w:numPr>
          <w:ilvl w:val="0"/>
          <w:numId w:val="15"/>
        </w:numPr>
        <w:tabs>
          <w:tab w:val="left" w:pos="914"/>
        </w:tabs>
        <w:ind w:left="914" w:hanging="490"/>
        <w:rPr>
          <w:rFonts w:ascii="黑体" w:eastAsia="黑体"/>
          <w:sz w:val="28"/>
        </w:rPr>
      </w:pPr>
      <w:bookmarkStart w:id="223" w:name="_bookmark235"/>
      <w:bookmarkEnd w:id="223"/>
      <w:r>
        <w:rPr>
          <w:rFonts w:hint="eastAsia" w:ascii="黑体" w:eastAsia="黑体"/>
          <w:spacing w:val="-2"/>
          <w:sz w:val="28"/>
        </w:rPr>
        <w:t>缺陷责任与保修责任</w:t>
      </w:r>
    </w:p>
    <w:p>
      <w:pPr>
        <w:pStyle w:val="11"/>
        <w:spacing w:before="5"/>
        <w:rPr>
          <w:rFonts w:ascii="黑体"/>
        </w:rPr>
      </w:pPr>
    </w:p>
    <w:p>
      <w:pPr>
        <w:pStyle w:val="11"/>
        <w:ind w:left="424"/>
        <w:rPr>
          <w:rFonts w:ascii="黑体" w:eastAsia="黑体"/>
        </w:rPr>
      </w:pPr>
      <w:bookmarkStart w:id="224" w:name="_bookmark236"/>
      <w:bookmarkEnd w:id="224"/>
      <w:r>
        <w:rPr>
          <w:rFonts w:ascii="Times New Roman" w:eastAsia="Times New Roman"/>
        </w:rPr>
        <w:t>19.2</w:t>
      </w:r>
      <w:r>
        <w:rPr>
          <w:rFonts w:ascii="Times New Roman" w:eastAsia="Times New Roman"/>
          <w:spacing w:val="58"/>
        </w:rPr>
        <w:t xml:space="preserve"> </w:t>
      </w:r>
      <w:r>
        <w:rPr>
          <w:rFonts w:hint="eastAsia" w:ascii="黑体" w:eastAsia="黑体"/>
        </w:rPr>
        <w:t>缺陷责任</w:t>
      </w:r>
    </w:p>
    <w:p>
      <w:pPr>
        <w:pStyle w:val="11"/>
        <w:rPr>
          <w:rFonts w:ascii="黑体"/>
          <w:sz w:val="26"/>
        </w:rPr>
      </w:pPr>
    </w:p>
    <w:p>
      <w:pPr>
        <w:pStyle w:val="11"/>
        <w:ind w:left="904"/>
      </w:pPr>
      <w:r>
        <w:t xml:space="preserve">第 </w:t>
      </w:r>
      <w:r>
        <w:rPr>
          <w:rFonts w:ascii="Times New Roman" w:eastAsia="Times New Roman"/>
        </w:rPr>
        <w:t xml:space="preserve">19.2.2 </w:t>
      </w:r>
      <w:r>
        <w:t>项补充：</w:t>
      </w:r>
    </w:p>
    <w:p>
      <w:pPr>
        <w:pStyle w:val="11"/>
        <w:spacing w:before="91" w:line="312" w:lineRule="auto"/>
        <w:ind w:left="424" w:right="388" w:firstLine="479"/>
      </w:pPr>
      <w:r>
        <w:t>在缺陷责任期内，承包人应尽快完成在交工验收证书中写明的未完成工作，并完成对本工程缺陷的修复或监理人指令的修补工作。</w:t>
      </w:r>
    </w:p>
    <w:p>
      <w:pPr>
        <w:pStyle w:val="11"/>
        <w:spacing w:before="5"/>
        <w:rPr>
          <w:sz w:val="17"/>
        </w:rPr>
      </w:pPr>
    </w:p>
    <w:p>
      <w:pPr>
        <w:pStyle w:val="11"/>
        <w:spacing w:before="1"/>
        <w:ind w:left="424"/>
        <w:rPr>
          <w:rFonts w:ascii="黑体" w:eastAsia="黑体"/>
        </w:rPr>
      </w:pPr>
      <w:bookmarkStart w:id="225" w:name="_bookmark237"/>
      <w:bookmarkEnd w:id="225"/>
      <w:r>
        <w:rPr>
          <w:rFonts w:ascii="Times New Roman" w:eastAsia="Times New Roman"/>
        </w:rPr>
        <w:t>19.5</w:t>
      </w:r>
      <w:r>
        <w:rPr>
          <w:rFonts w:ascii="Times New Roman" w:eastAsia="Times New Roman"/>
          <w:spacing w:val="58"/>
        </w:rPr>
        <w:t xml:space="preserve"> </w:t>
      </w:r>
      <w:r>
        <w:rPr>
          <w:rFonts w:hint="eastAsia" w:ascii="黑体" w:eastAsia="黑体"/>
        </w:rPr>
        <w:t>承包人的进入权</w:t>
      </w:r>
    </w:p>
    <w:p>
      <w:pPr>
        <w:pStyle w:val="11"/>
        <w:spacing w:before="10"/>
        <w:rPr>
          <w:rFonts w:ascii="黑体"/>
          <w:sz w:val="25"/>
        </w:rPr>
      </w:pPr>
    </w:p>
    <w:p>
      <w:pPr>
        <w:pStyle w:val="11"/>
        <w:ind w:left="904"/>
      </w:pPr>
      <w:r>
        <w:t>本款补充：</w:t>
      </w:r>
    </w:p>
    <w:p>
      <w:pPr>
        <w:pStyle w:val="11"/>
        <w:spacing w:before="94" w:line="312" w:lineRule="auto"/>
        <w:ind w:left="424" w:right="391" w:firstLine="479"/>
      </w:pPr>
      <w:r>
        <w:t>承包人在缺陷修复施工过程中，应服从管养单位的有关安全管理规定，由于承包人自身原因造成的人员伤亡、设备和材料的损毁及罚款等责任由承包人自负。</w:t>
      </w:r>
    </w:p>
    <w:p>
      <w:pPr>
        <w:pStyle w:val="11"/>
        <w:spacing w:before="2"/>
        <w:rPr>
          <w:sz w:val="17"/>
        </w:rPr>
      </w:pPr>
    </w:p>
    <w:p>
      <w:pPr>
        <w:pStyle w:val="11"/>
        <w:ind w:left="424"/>
        <w:rPr>
          <w:rFonts w:ascii="黑体" w:eastAsia="黑体"/>
        </w:rPr>
      </w:pPr>
      <w:bookmarkStart w:id="226" w:name="_bookmark238"/>
      <w:bookmarkEnd w:id="226"/>
      <w:r>
        <w:rPr>
          <w:rFonts w:ascii="Times New Roman" w:eastAsia="Times New Roman"/>
        </w:rPr>
        <w:t>19.7</w:t>
      </w:r>
      <w:r>
        <w:rPr>
          <w:rFonts w:ascii="Times New Roman" w:eastAsia="Times New Roman"/>
          <w:spacing w:val="58"/>
        </w:rPr>
        <w:t xml:space="preserve"> </w:t>
      </w:r>
      <w:r>
        <w:rPr>
          <w:rFonts w:hint="eastAsia" w:ascii="黑体" w:eastAsia="黑体"/>
        </w:rPr>
        <w:t>保修责任</w:t>
      </w:r>
    </w:p>
    <w:p>
      <w:pPr>
        <w:pStyle w:val="11"/>
        <w:spacing w:before="11"/>
        <w:rPr>
          <w:rFonts w:ascii="黑体"/>
          <w:sz w:val="25"/>
        </w:rPr>
      </w:pPr>
    </w:p>
    <w:p>
      <w:pPr>
        <w:pStyle w:val="11"/>
        <w:ind w:left="904"/>
      </w:pPr>
      <w:r>
        <w:t>本款细化为：</w:t>
      </w:r>
    </w:p>
    <w:p>
      <w:pPr>
        <w:pStyle w:val="11"/>
        <w:spacing w:before="94" w:line="312" w:lineRule="auto"/>
        <w:ind w:left="424" w:right="384" w:firstLine="479"/>
        <w:jc w:val="both"/>
      </w:pPr>
      <w:r>
        <w:rPr>
          <w:spacing w:val="-15"/>
        </w:rPr>
        <w:t>（</w:t>
      </w:r>
      <w:r>
        <w:rPr>
          <w:rFonts w:ascii="Times New Roman" w:eastAsia="Times New Roman"/>
          <w:spacing w:val="-15"/>
        </w:rPr>
        <w:t>1</w:t>
      </w:r>
      <w:r>
        <w:rPr>
          <w:spacing w:val="-15"/>
        </w:rPr>
        <w:t>）</w:t>
      </w:r>
      <w:r>
        <w:rPr>
          <w:spacing w:val="-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Style w:val="11"/>
        <w:spacing w:line="312" w:lineRule="auto"/>
        <w:ind w:left="424" w:right="305" w:firstLine="479"/>
      </w:pPr>
      <w:r>
        <w:t>（</w:t>
      </w:r>
      <w:r>
        <w:rPr>
          <w:rFonts w:ascii="Times New Roman" w:eastAsia="Times New Roman"/>
        </w:rPr>
        <w:t>2</w:t>
      </w:r>
      <w:r>
        <w:t>）在全部工程交工验收前，已经发包人提前验收的单位工程，其保修期的起算日期相应提前。</w:t>
      </w:r>
    </w:p>
    <w:p>
      <w:pPr>
        <w:pStyle w:val="11"/>
        <w:spacing w:before="3"/>
        <w:ind w:left="904"/>
      </w:pPr>
      <w:r>
        <w:t>（</w:t>
      </w:r>
      <w:r>
        <w:rPr>
          <w:rFonts w:ascii="Times New Roman" w:eastAsia="Times New Roman"/>
        </w:rPr>
        <w:t>3</w:t>
      </w:r>
      <w:r>
        <w:t xml:space="preserve">）工程保修期终止后 </w:t>
      </w:r>
      <w:r>
        <w:rPr>
          <w:rFonts w:ascii="Times New Roman" w:eastAsia="Times New Roman"/>
        </w:rPr>
        <w:t xml:space="preserve">28 </w:t>
      </w:r>
      <w:r>
        <w:t>天内，监理人签发保修期终止证书。</w:t>
      </w:r>
    </w:p>
    <w:p>
      <w:pPr>
        <w:pStyle w:val="11"/>
        <w:spacing w:before="91" w:line="312" w:lineRule="auto"/>
        <w:ind w:left="424" w:right="305" w:firstLine="479"/>
      </w:pPr>
      <w:r>
        <w:t>（</w:t>
      </w:r>
      <w:r>
        <w:rPr>
          <w:rFonts w:ascii="Times New Roman" w:eastAsia="Times New Roman"/>
        </w:rPr>
        <w:t>4</w:t>
      </w:r>
      <w:r>
        <w:t>）若承包人不履行保修义务和责任，则承包人应承担由于违约造成的法律后果，并由发包人将其违约行为上报省级交通运输主管部门，作为不良记录纳入公路</w:t>
      </w:r>
    </w:p>
    <w:p>
      <w:pPr>
        <w:spacing w:line="312" w:lineRule="auto"/>
        <w:sectPr>
          <w:pgSz w:w="11910" w:h="16850"/>
          <w:pgMar w:top="1480" w:right="1200" w:bottom="1080" w:left="1220" w:header="883" w:footer="884" w:gutter="0"/>
          <w:cols w:space="720" w:num="1"/>
        </w:sectPr>
      </w:pPr>
    </w:p>
    <w:p>
      <w:pPr>
        <w:pStyle w:val="11"/>
        <w:spacing w:before="2"/>
        <w:rPr>
          <w:sz w:val="10"/>
        </w:rPr>
      </w:pPr>
    </w:p>
    <w:p>
      <w:pPr>
        <w:pStyle w:val="11"/>
        <w:spacing w:before="67"/>
        <w:ind w:left="424"/>
      </w:pPr>
      <w:r>
        <w:t>建设市场信用信息管理系统。</w:t>
      </w:r>
    </w:p>
    <w:p>
      <w:pPr>
        <w:pStyle w:val="11"/>
      </w:pPr>
    </w:p>
    <w:p>
      <w:pPr>
        <w:numPr>
          <w:ilvl w:val="0"/>
          <w:numId w:val="15"/>
        </w:numPr>
        <w:tabs>
          <w:tab w:val="left" w:pos="914"/>
        </w:tabs>
        <w:spacing w:before="192"/>
        <w:ind w:left="914" w:hanging="490"/>
        <w:rPr>
          <w:rFonts w:ascii="黑体" w:eastAsia="黑体"/>
          <w:sz w:val="28"/>
        </w:rPr>
      </w:pPr>
      <w:bookmarkStart w:id="227" w:name="_bookmark239"/>
      <w:bookmarkEnd w:id="227"/>
      <w:r>
        <w:rPr>
          <w:rFonts w:hint="eastAsia" w:ascii="黑体" w:eastAsia="黑体"/>
          <w:sz w:val="28"/>
        </w:rPr>
        <w:t>保险</w:t>
      </w:r>
    </w:p>
    <w:p>
      <w:pPr>
        <w:pStyle w:val="11"/>
        <w:spacing w:before="7"/>
        <w:rPr>
          <w:rFonts w:ascii="黑体"/>
        </w:rPr>
      </w:pPr>
    </w:p>
    <w:p>
      <w:pPr>
        <w:pStyle w:val="20"/>
        <w:numPr>
          <w:ilvl w:val="1"/>
          <w:numId w:val="15"/>
        </w:numPr>
        <w:tabs>
          <w:tab w:val="left" w:pos="905"/>
        </w:tabs>
        <w:ind w:left="904" w:hanging="480"/>
        <w:rPr>
          <w:rFonts w:ascii="黑体" w:eastAsia="黑体"/>
          <w:sz w:val="24"/>
        </w:rPr>
      </w:pPr>
      <w:bookmarkStart w:id="228" w:name="_bookmark240"/>
      <w:bookmarkEnd w:id="228"/>
      <w:r>
        <w:rPr>
          <w:rFonts w:hint="eastAsia" w:ascii="黑体" w:eastAsia="黑体"/>
          <w:sz w:val="24"/>
        </w:rPr>
        <w:t>工程保险</w:t>
      </w:r>
    </w:p>
    <w:p>
      <w:pPr>
        <w:pStyle w:val="11"/>
        <w:spacing w:before="11"/>
        <w:rPr>
          <w:rFonts w:ascii="黑体"/>
          <w:sz w:val="25"/>
        </w:rPr>
      </w:pPr>
    </w:p>
    <w:p>
      <w:pPr>
        <w:pStyle w:val="11"/>
        <w:ind w:left="904"/>
      </w:pPr>
      <w:r>
        <w:t>本款约定为：</w:t>
      </w:r>
    </w:p>
    <w:p>
      <w:pPr>
        <w:pStyle w:val="11"/>
        <w:spacing w:before="93" w:line="312" w:lineRule="auto"/>
        <w:ind w:left="424" w:right="388" w:firstLine="479"/>
      </w:pPr>
      <w:r>
        <w:t>建筑工程一切险的投保内容：为本合同工程的永久工程、临时工程和设备及已运至施工工地用于永久工程的材料和设备所投的保险。</w:t>
      </w:r>
    </w:p>
    <w:p>
      <w:pPr>
        <w:pStyle w:val="11"/>
        <w:ind w:left="904"/>
      </w:pPr>
      <w:r>
        <w:t xml:space="preserve">保险金额：工程量清单第 </w:t>
      </w:r>
      <w:r>
        <w:rPr>
          <w:rFonts w:ascii="Times New Roman" w:eastAsia="Times New Roman"/>
        </w:rPr>
        <w:t xml:space="preserve">100 </w:t>
      </w:r>
      <w:r>
        <w:t>章（不含建筑工程一切险及第三者责任险的保险</w:t>
      </w:r>
    </w:p>
    <w:p>
      <w:pPr>
        <w:pStyle w:val="11"/>
        <w:spacing w:before="94"/>
        <w:ind w:left="424"/>
      </w:pPr>
      <w:r>
        <w:t xml:space="preserve">费）至第 </w:t>
      </w:r>
      <w:r>
        <w:rPr>
          <w:rFonts w:ascii="Times New Roman" w:eastAsia="Times New Roman"/>
        </w:rPr>
        <w:t xml:space="preserve">700 </w:t>
      </w:r>
      <w:r>
        <w:t>章的合计金额。</w:t>
      </w:r>
    </w:p>
    <w:p>
      <w:pPr>
        <w:pStyle w:val="11"/>
        <w:spacing w:before="91"/>
        <w:ind w:left="904"/>
      </w:pPr>
      <w:r>
        <w:t>保险费率：在项目专用合同条款数据表中约定。</w:t>
      </w:r>
    </w:p>
    <w:p>
      <w:pPr>
        <w:pStyle w:val="11"/>
        <w:spacing w:before="93"/>
        <w:ind w:left="904"/>
      </w:pPr>
      <w:r>
        <w:t>保险期限：开工日起直至本合同工程签发缺陷责任期终止证书止（即合同工期</w:t>
      </w:r>
    </w:p>
    <w:p>
      <w:pPr>
        <w:pStyle w:val="11"/>
        <w:spacing w:before="93"/>
        <w:ind w:left="424"/>
      </w:pPr>
      <w:r>
        <w:t>＋缺陷责任期</w:t>
      </w:r>
      <w:r>
        <w:rPr>
          <w:spacing w:val="-120"/>
        </w:rPr>
        <w:t>）</w:t>
      </w:r>
      <w:r>
        <w:t>。</w:t>
      </w:r>
    </w:p>
    <w:p>
      <w:pPr>
        <w:pStyle w:val="11"/>
        <w:spacing w:before="91" w:line="312" w:lineRule="auto"/>
        <w:ind w:left="424" w:right="385" w:firstLine="479"/>
        <w:jc w:val="both"/>
      </w:pPr>
      <w:r>
        <w:t>承包人应以发包人和承包人的共同名义投保建筑工程一切险。建筑工程一切险</w:t>
      </w:r>
      <w:r>
        <w:rPr>
          <w:spacing w:val="-3"/>
        </w:rPr>
        <w:t xml:space="preserve">的保险费由承包人报价时列入工程量清单第 </w:t>
      </w:r>
      <w:r>
        <w:rPr>
          <w:rFonts w:ascii="Times New Roman" w:eastAsia="Times New Roman"/>
        </w:rPr>
        <w:t xml:space="preserve">100 </w:t>
      </w:r>
      <w:r>
        <w:t>章内。发包人在接到保险单后，将按照保险单的费用直接向承包人支付。</w:t>
      </w:r>
    </w:p>
    <w:p>
      <w:pPr>
        <w:pStyle w:val="11"/>
        <w:spacing w:before="4"/>
        <w:rPr>
          <w:sz w:val="17"/>
        </w:rPr>
      </w:pPr>
    </w:p>
    <w:p>
      <w:pPr>
        <w:pStyle w:val="20"/>
        <w:numPr>
          <w:ilvl w:val="1"/>
          <w:numId w:val="36"/>
        </w:numPr>
        <w:tabs>
          <w:tab w:val="left" w:pos="965"/>
        </w:tabs>
        <w:rPr>
          <w:rFonts w:ascii="黑体" w:eastAsia="黑体"/>
          <w:sz w:val="24"/>
        </w:rPr>
      </w:pPr>
      <w:bookmarkStart w:id="229" w:name="_bookmark241"/>
      <w:bookmarkEnd w:id="229"/>
      <w:r>
        <w:rPr>
          <w:rFonts w:hint="eastAsia" w:ascii="黑体" w:eastAsia="黑体"/>
          <w:sz w:val="24"/>
        </w:rPr>
        <w:t>第三者责任险</w:t>
      </w:r>
    </w:p>
    <w:p>
      <w:pPr>
        <w:pStyle w:val="11"/>
        <w:rPr>
          <w:rFonts w:ascii="黑体"/>
          <w:sz w:val="26"/>
        </w:rPr>
      </w:pPr>
    </w:p>
    <w:p>
      <w:pPr>
        <w:pStyle w:val="11"/>
        <w:ind w:left="904"/>
      </w:pPr>
      <w:r>
        <w:t xml:space="preserve">第 </w:t>
      </w:r>
      <w:r>
        <w:rPr>
          <w:rFonts w:ascii="Times New Roman" w:eastAsia="Times New Roman"/>
        </w:rPr>
        <w:t xml:space="preserve">20.4.2 </w:t>
      </w:r>
      <w:r>
        <w:t>项补充：</w:t>
      </w:r>
    </w:p>
    <w:p>
      <w:pPr>
        <w:pStyle w:val="11"/>
        <w:spacing w:before="91" w:line="312" w:lineRule="auto"/>
        <w:ind w:left="424" w:right="334" w:firstLine="479"/>
      </w:pPr>
      <w:r>
        <w:t xml:space="preserve">第三者责任险的保险费由承包人报价时列入工程量清单第 </w:t>
      </w:r>
      <w:r>
        <w:rPr>
          <w:rFonts w:ascii="Times New Roman" w:eastAsia="Times New Roman"/>
        </w:rPr>
        <w:t xml:space="preserve">100 </w:t>
      </w:r>
      <w:r>
        <w:t>章内。发包人在接到保险单后，将按照保险单的费用直接向承包人支付。</w:t>
      </w:r>
    </w:p>
    <w:p>
      <w:pPr>
        <w:pStyle w:val="11"/>
        <w:spacing w:before="5"/>
        <w:rPr>
          <w:sz w:val="17"/>
        </w:rPr>
      </w:pPr>
    </w:p>
    <w:p>
      <w:pPr>
        <w:pStyle w:val="20"/>
        <w:numPr>
          <w:ilvl w:val="1"/>
          <w:numId w:val="36"/>
        </w:numPr>
        <w:tabs>
          <w:tab w:val="left" w:pos="965"/>
        </w:tabs>
        <w:rPr>
          <w:rFonts w:ascii="黑体" w:eastAsia="黑体"/>
          <w:sz w:val="24"/>
        </w:rPr>
      </w:pPr>
      <w:bookmarkStart w:id="230" w:name="_bookmark242"/>
      <w:bookmarkEnd w:id="230"/>
      <w:r>
        <w:rPr>
          <w:rFonts w:hint="eastAsia" w:ascii="黑体" w:eastAsia="黑体"/>
          <w:sz w:val="24"/>
        </w:rPr>
        <w:t>其他保险</w:t>
      </w:r>
    </w:p>
    <w:p>
      <w:pPr>
        <w:pStyle w:val="11"/>
        <w:spacing w:before="11"/>
        <w:rPr>
          <w:rFonts w:ascii="黑体"/>
          <w:sz w:val="25"/>
        </w:rPr>
      </w:pPr>
    </w:p>
    <w:p>
      <w:pPr>
        <w:pStyle w:val="11"/>
        <w:spacing w:before="1"/>
        <w:ind w:left="904"/>
      </w:pPr>
      <w:r>
        <w:t>本款约定为：</w:t>
      </w:r>
    </w:p>
    <w:p>
      <w:pPr>
        <w:pStyle w:val="11"/>
        <w:spacing w:before="93" w:line="312" w:lineRule="auto"/>
        <w:ind w:left="424" w:right="389" w:firstLine="419"/>
        <w:jc w:val="both"/>
      </w:pPr>
      <w:r>
        <w:t>承包人应为其施工设备等办理保险，其投保金额应足以现场重置。办理本款保险的一切费用均由承包人承担，并包括在工程量清单的单价及总额价中，发包人不单独支付。</w:t>
      </w:r>
    </w:p>
    <w:p>
      <w:pPr>
        <w:pStyle w:val="11"/>
        <w:spacing w:before="3"/>
        <w:rPr>
          <w:sz w:val="17"/>
        </w:rPr>
      </w:pPr>
    </w:p>
    <w:p>
      <w:pPr>
        <w:pStyle w:val="20"/>
        <w:numPr>
          <w:ilvl w:val="1"/>
          <w:numId w:val="36"/>
        </w:numPr>
        <w:tabs>
          <w:tab w:val="left" w:pos="965"/>
        </w:tabs>
        <w:spacing w:before="1"/>
        <w:rPr>
          <w:rFonts w:ascii="黑体" w:eastAsia="黑体"/>
          <w:sz w:val="24"/>
        </w:rPr>
      </w:pPr>
      <w:bookmarkStart w:id="231" w:name="_bookmark243"/>
      <w:bookmarkEnd w:id="231"/>
      <w:r>
        <w:rPr>
          <w:rFonts w:hint="eastAsia" w:ascii="黑体" w:eastAsia="黑体"/>
          <w:sz w:val="24"/>
        </w:rPr>
        <w:t>对各项保险的一般要求</w:t>
      </w:r>
    </w:p>
    <w:p>
      <w:pPr>
        <w:pStyle w:val="11"/>
        <w:spacing w:before="10"/>
        <w:rPr>
          <w:rFonts w:ascii="黑体"/>
          <w:sz w:val="25"/>
        </w:rPr>
      </w:pPr>
    </w:p>
    <w:p>
      <w:pPr>
        <w:pStyle w:val="11"/>
        <w:ind w:left="815"/>
        <w:rPr>
          <w:rFonts w:ascii="黑体" w:eastAsia="黑体"/>
        </w:rPr>
      </w:pPr>
      <w:r>
        <w:rPr>
          <w:rFonts w:ascii="Times New Roman" w:eastAsia="Times New Roman"/>
        </w:rPr>
        <w:t xml:space="preserve">20.6.1 </w:t>
      </w:r>
      <w:r>
        <w:rPr>
          <w:rFonts w:hint="eastAsia" w:ascii="黑体" w:eastAsia="黑体"/>
        </w:rPr>
        <w:t>保险凭证</w:t>
      </w:r>
    </w:p>
    <w:p>
      <w:pPr>
        <w:pStyle w:val="11"/>
        <w:spacing w:before="94"/>
        <w:ind w:left="815"/>
      </w:pPr>
      <w:r>
        <w:t>本项约定为：</w:t>
      </w:r>
    </w:p>
    <w:p>
      <w:pPr>
        <w:pStyle w:val="11"/>
        <w:spacing w:before="91"/>
        <w:ind w:left="815"/>
      </w:pPr>
      <w:r>
        <w:t xml:space="preserve">承包人向发包人提交各项保险生效的证据和保险单副本的期限：开工后 </w:t>
      </w:r>
      <w:r>
        <w:rPr>
          <w:rFonts w:ascii="Times New Roman" w:eastAsia="Times New Roman"/>
        </w:rPr>
        <w:t xml:space="preserve">56 </w:t>
      </w:r>
      <w:r>
        <w:t>天内。</w:t>
      </w:r>
    </w:p>
    <w:p>
      <w:pPr>
        <w:pStyle w:val="20"/>
        <w:numPr>
          <w:ilvl w:val="2"/>
          <w:numId w:val="37"/>
        </w:numPr>
        <w:tabs>
          <w:tab w:val="left" w:pos="1536"/>
        </w:tabs>
        <w:spacing w:before="93"/>
        <w:rPr>
          <w:rFonts w:ascii="黑体" w:eastAsia="黑体"/>
          <w:sz w:val="24"/>
        </w:rPr>
      </w:pPr>
      <w:r>
        <w:rPr>
          <w:rFonts w:hint="eastAsia" w:ascii="黑体" w:eastAsia="黑体"/>
          <w:sz w:val="24"/>
        </w:rPr>
        <w:t>持续保险</w:t>
      </w:r>
    </w:p>
    <w:p>
      <w:pPr>
        <w:rPr>
          <w:rFonts w:ascii="黑体" w:eastAsia="黑体"/>
          <w:sz w:val="24"/>
        </w:rPr>
        <w:sectPr>
          <w:footerReference r:id="rId48" w:type="default"/>
          <w:footerReference r:id="rId49" w:type="even"/>
          <w:pgSz w:w="11910" w:h="16850"/>
          <w:pgMar w:top="1480" w:right="1200" w:bottom="1040" w:left="1220" w:header="876" w:footer="853" w:gutter="0"/>
          <w:pgNumType w:start="142"/>
          <w:cols w:space="720" w:num="1"/>
        </w:sectPr>
      </w:pPr>
    </w:p>
    <w:p>
      <w:pPr>
        <w:pStyle w:val="11"/>
        <w:spacing w:before="2"/>
        <w:rPr>
          <w:rFonts w:ascii="黑体"/>
          <w:sz w:val="10"/>
        </w:rPr>
      </w:pPr>
    </w:p>
    <w:p>
      <w:pPr>
        <w:pStyle w:val="11"/>
        <w:spacing w:before="67"/>
        <w:ind w:left="904"/>
      </w:pPr>
      <w:r>
        <w:t>本项补充：</w:t>
      </w:r>
    </w:p>
    <w:p>
      <w:pPr>
        <w:pStyle w:val="11"/>
        <w:spacing w:before="91"/>
        <w:ind w:left="904"/>
      </w:pPr>
      <w:r>
        <w:t>在整个合同期内，承包人应按合同条款规定保证足够的保险额。</w:t>
      </w:r>
    </w:p>
    <w:p>
      <w:pPr>
        <w:pStyle w:val="20"/>
        <w:numPr>
          <w:ilvl w:val="2"/>
          <w:numId w:val="37"/>
        </w:numPr>
        <w:tabs>
          <w:tab w:val="left" w:pos="1536"/>
        </w:tabs>
        <w:spacing w:before="93"/>
        <w:rPr>
          <w:rFonts w:ascii="黑体" w:eastAsia="黑体"/>
          <w:sz w:val="24"/>
        </w:rPr>
      </w:pPr>
      <w:r>
        <w:rPr>
          <w:rFonts w:hint="eastAsia" w:ascii="黑体" w:eastAsia="黑体"/>
          <w:sz w:val="24"/>
        </w:rPr>
        <w:t>保险金不足的补偿</w:t>
      </w:r>
    </w:p>
    <w:p>
      <w:pPr>
        <w:pStyle w:val="11"/>
        <w:spacing w:before="93"/>
        <w:ind w:left="904"/>
      </w:pPr>
      <w:r>
        <w:t>本项细化为：</w:t>
      </w:r>
    </w:p>
    <w:p>
      <w:pPr>
        <w:pStyle w:val="11"/>
        <w:spacing w:before="91"/>
        <w:ind w:left="904"/>
      </w:pPr>
      <w:r>
        <w:rPr>
          <w:spacing w:val="-4"/>
        </w:rPr>
        <w:t>保险金不足以补偿损失的</w:t>
      </w:r>
      <w:r>
        <w:t>（包括免赔额和超过赔偿限额的部分</w:t>
      </w:r>
      <w:r>
        <w:rPr>
          <w:spacing w:val="-82"/>
        </w:rPr>
        <w:t>）</w:t>
      </w:r>
      <w:r>
        <w:rPr>
          <w:spacing w:val="-13"/>
        </w:rPr>
        <w:t>，应由承包人和</w:t>
      </w:r>
    </w:p>
    <w:p>
      <w:pPr>
        <w:pStyle w:val="11"/>
        <w:spacing w:before="93"/>
        <w:ind w:left="424"/>
      </w:pPr>
      <w:r>
        <w:t>（或）发包人按合同约定负责补偿。</w:t>
      </w:r>
    </w:p>
    <w:p>
      <w:pPr>
        <w:pStyle w:val="20"/>
        <w:numPr>
          <w:ilvl w:val="2"/>
          <w:numId w:val="37"/>
        </w:numPr>
        <w:tabs>
          <w:tab w:val="left" w:pos="1536"/>
        </w:tabs>
        <w:spacing w:before="94"/>
        <w:rPr>
          <w:rFonts w:ascii="黑体" w:eastAsia="黑体"/>
          <w:sz w:val="24"/>
        </w:rPr>
      </w:pPr>
      <w:r>
        <w:rPr>
          <w:rFonts w:hint="eastAsia" w:ascii="黑体" w:eastAsia="黑体"/>
          <w:sz w:val="24"/>
        </w:rPr>
        <w:t>未按约定投保的补救</w:t>
      </w:r>
    </w:p>
    <w:p>
      <w:pPr>
        <w:pStyle w:val="11"/>
        <w:spacing w:before="91"/>
        <w:ind w:left="815"/>
      </w:pPr>
      <w:r>
        <w:t>本项（</w:t>
      </w:r>
      <w:r>
        <w:rPr>
          <w:rFonts w:ascii="Times New Roman" w:eastAsia="Times New Roman"/>
        </w:rPr>
        <w:t>2</w:t>
      </w:r>
      <w:r>
        <w:t>）目细化为：</w:t>
      </w:r>
    </w:p>
    <w:p>
      <w:pPr>
        <w:pStyle w:val="11"/>
        <w:spacing w:before="93" w:line="312" w:lineRule="auto"/>
        <w:ind w:left="424" w:right="263" w:firstLine="391"/>
      </w:pPr>
      <w:r>
        <w:t>（</w:t>
      </w:r>
      <w:r>
        <w:rPr>
          <w:rFonts w:ascii="Times New Roman" w:eastAsia="Times New Roman"/>
        </w:rPr>
        <w:t>2</w:t>
      </w:r>
      <w:r>
        <w:t>）由于负有投保义务的一方当事人未按合同约定办理某项保险，或未按保险</w:t>
      </w:r>
      <w:r>
        <w:rPr>
          <w:spacing w:val="-4"/>
        </w:rPr>
        <w:t>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pPr>
        <w:pStyle w:val="11"/>
        <w:spacing w:before="1"/>
        <w:rPr>
          <w:sz w:val="32"/>
        </w:rPr>
      </w:pPr>
    </w:p>
    <w:p>
      <w:pPr>
        <w:numPr>
          <w:ilvl w:val="0"/>
          <w:numId w:val="15"/>
        </w:numPr>
        <w:tabs>
          <w:tab w:val="left" w:pos="914"/>
        </w:tabs>
        <w:ind w:left="914" w:hanging="490"/>
        <w:rPr>
          <w:rFonts w:ascii="黑体" w:eastAsia="黑体"/>
          <w:sz w:val="28"/>
        </w:rPr>
      </w:pPr>
      <w:bookmarkStart w:id="232" w:name="_bookmark244"/>
      <w:bookmarkEnd w:id="232"/>
      <w:r>
        <w:rPr>
          <w:rFonts w:hint="eastAsia" w:ascii="黑体" w:eastAsia="黑体"/>
          <w:sz w:val="28"/>
        </w:rPr>
        <w:t>不可抗力</w:t>
      </w:r>
    </w:p>
    <w:p>
      <w:pPr>
        <w:pStyle w:val="11"/>
        <w:spacing w:before="5"/>
        <w:rPr>
          <w:rFonts w:ascii="黑体"/>
        </w:rPr>
      </w:pPr>
    </w:p>
    <w:p>
      <w:pPr>
        <w:pStyle w:val="20"/>
        <w:numPr>
          <w:ilvl w:val="1"/>
          <w:numId w:val="15"/>
        </w:numPr>
        <w:tabs>
          <w:tab w:val="left" w:pos="965"/>
        </w:tabs>
        <w:ind w:left="964" w:hanging="540"/>
        <w:rPr>
          <w:rFonts w:ascii="黑体" w:eastAsia="黑体"/>
          <w:sz w:val="24"/>
        </w:rPr>
      </w:pPr>
      <w:bookmarkStart w:id="233" w:name="_bookmark245"/>
      <w:bookmarkEnd w:id="233"/>
      <w:r>
        <w:rPr>
          <w:rFonts w:hint="eastAsia" w:ascii="黑体" w:eastAsia="黑体"/>
          <w:sz w:val="24"/>
        </w:rPr>
        <w:t>不可抗力的确认</w:t>
      </w:r>
    </w:p>
    <w:p>
      <w:pPr>
        <w:pStyle w:val="11"/>
        <w:spacing w:before="11"/>
        <w:rPr>
          <w:rFonts w:ascii="黑体"/>
          <w:sz w:val="25"/>
        </w:rPr>
      </w:pPr>
    </w:p>
    <w:p>
      <w:pPr>
        <w:pStyle w:val="11"/>
        <w:ind w:left="904"/>
      </w:pPr>
      <w:r>
        <w:t xml:space="preserve">第 </w:t>
      </w:r>
      <w:r>
        <w:rPr>
          <w:rFonts w:ascii="Times New Roman" w:eastAsia="Times New Roman"/>
        </w:rPr>
        <w:t xml:space="preserve">21.1.1 </w:t>
      </w:r>
      <w:r>
        <w:t>项细化为：</w:t>
      </w:r>
    </w:p>
    <w:p>
      <w:pPr>
        <w:pStyle w:val="11"/>
        <w:spacing w:before="93" w:line="312" w:lineRule="auto"/>
        <w:ind w:left="424" w:right="391" w:firstLine="479"/>
      </w:pPr>
      <w:r>
        <w:t>不可抗力是指承包人和发包人在订立合同时不可预见，在工程施工过程中不可避免发生并不能克服的自然灾害和社会性突发事件。包括但不限于：</w:t>
      </w:r>
    </w:p>
    <w:p>
      <w:pPr>
        <w:pStyle w:val="11"/>
        <w:spacing w:line="312" w:lineRule="auto"/>
        <w:ind w:left="424" w:right="388" w:firstLine="479"/>
      </w:pPr>
      <w:r>
        <w:t>（</w:t>
      </w:r>
      <w:r>
        <w:rPr>
          <w:rFonts w:ascii="Times New Roman" w:eastAsia="Times New Roman"/>
        </w:rPr>
        <w:t>1</w:t>
      </w:r>
      <w:r>
        <w:t>）地震、海啸、火山爆发、泥石流、暴雨（雪</w:t>
      </w:r>
      <w:r>
        <w:rPr>
          <w:spacing w:val="-118"/>
        </w:rPr>
        <w:t>）</w:t>
      </w:r>
      <w:r>
        <w:t>、台风、龙卷风、水灾等自然灾害；</w:t>
      </w:r>
    </w:p>
    <w:p>
      <w:pPr>
        <w:pStyle w:val="11"/>
        <w:spacing w:before="2" w:line="312" w:lineRule="auto"/>
        <w:ind w:left="424" w:right="384" w:firstLine="479"/>
      </w:pPr>
      <w:r>
        <w:rPr>
          <w:spacing w:val="-8"/>
        </w:rPr>
        <w:t>（</w:t>
      </w:r>
      <w:r>
        <w:rPr>
          <w:rFonts w:ascii="Times New Roman" w:eastAsia="Times New Roman"/>
          <w:spacing w:val="-8"/>
        </w:rPr>
        <w:t>2</w:t>
      </w:r>
      <w:r>
        <w:rPr>
          <w:spacing w:val="-8"/>
        </w:rPr>
        <w:t>）</w:t>
      </w:r>
      <w:r>
        <w:rPr>
          <w:spacing w:val="-9"/>
        </w:rPr>
        <w:t>战争、骚乱、暴动，但纯属承包人或其分包人派遣与雇用的人员由于本合同工程施工原因引起者除外；</w:t>
      </w:r>
    </w:p>
    <w:p>
      <w:pPr>
        <w:pStyle w:val="11"/>
        <w:ind w:left="904"/>
      </w:pPr>
      <w:r>
        <w:t>（</w:t>
      </w:r>
      <w:r>
        <w:rPr>
          <w:rFonts w:ascii="Times New Roman" w:eastAsia="Times New Roman"/>
        </w:rPr>
        <w:t>3</w:t>
      </w:r>
      <w:r>
        <w:t>）核反应、辐射或放射性污染；</w:t>
      </w:r>
    </w:p>
    <w:p>
      <w:pPr>
        <w:pStyle w:val="11"/>
        <w:spacing w:before="94"/>
        <w:ind w:left="904"/>
      </w:pPr>
      <w:r>
        <w:t>（</w:t>
      </w:r>
      <w:r>
        <w:rPr>
          <w:rFonts w:ascii="Times New Roman" w:eastAsia="Times New Roman"/>
        </w:rPr>
        <w:t>4</w:t>
      </w:r>
      <w:r>
        <w:t>）空中飞行物体坠落或非发包人或承包人责任造成的爆炸、火灾；</w:t>
      </w:r>
    </w:p>
    <w:p>
      <w:pPr>
        <w:pStyle w:val="11"/>
        <w:spacing w:before="91"/>
        <w:ind w:left="904"/>
      </w:pPr>
      <w:r>
        <w:t>（</w:t>
      </w:r>
      <w:r>
        <w:rPr>
          <w:rFonts w:ascii="Times New Roman" w:eastAsia="Times New Roman"/>
        </w:rPr>
        <w:t>5</w:t>
      </w:r>
      <w:r>
        <w:t>）瘟疫；</w:t>
      </w:r>
    </w:p>
    <w:p>
      <w:pPr>
        <w:pStyle w:val="11"/>
        <w:spacing w:before="93"/>
        <w:ind w:left="904"/>
      </w:pPr>
      <w:r>
        <w:t>（</w:t>
      </w:r>
      <w:r>
        <w:rPr>
          <w:rFonts w:ascii="Times New Roman" w:eastAsia="Times New Roman"/>
        </w:rPr>
        <w:t>6</w:t>
      </w:r>
      <w:r>
        <w:t>）项目专用合同条款约定的其他情形。</w:t>
      </w:r>
    </w:p>
    <w:p>
      <w:pPr>
        <w:pStyle w:val="11"/>
        <w:spacing w:before="6"/>
      </w:pPr>
    </w:p>
    <w:p>
      <w:pPr>
        <w:pStyle w:val="11"/>
        <w:spacing w:before="1"/>
        <w:ind w:left="424"/>
        <w:rPr>
          <w:rFonts w:ascii="黑体" w:eastAsia="黑体"/>
        </w:rPr>
      </w:pPr>
      <w:bookmarkStart w:id="234" w:name="_bookmark246"/>
      <w:bookmarkEnd w:id="234"/>
      <w:r>
        <w:rPr>
          <w:rFonts w:ascii="Times New Roman" w:eastAsia="Times New Roman"/>
        </w:rPr>
        <w:t>21.3</w:t>
      </w:r>
      <w:r>
        <w:rPr>
          <w:rFonts w:ascii="Times New Roman" w:eastAsia="Times New Roman"/>
          <w:spacing w:val="58"/>
        </w:rPr>
        <w:t xml:space="preserve"> </w:t>
      </w:r>
      <w:r>
        <w:rPr>
          <w:rFonts w:hint="eastAsia" w:ascii="黑体" w:eastAsia="黑体"/>
        </w:rPr>
        <w:t>不可抗力后果及其处理</w:t>
      </w:r>
    </w:p>
    <w:p>
      <w:pPr>
        <w:pStyle w:val="11"/>
        <w:spacing w:before="10"/>
        <w:rPr>
          <w:rFonts w:ascii="黑体"/>
          <w:sz w:val="25"/>
        </w:rPr>
      </w:pPr>
    </w:p>
    <w:p>
      <w:pPr>
        <w:pStyle w:val="11"/>
        <w:ind w:left="894"/>
        <w:rPr>
          <w:rFonts w:ascii="黑体" w:eastAsia="黑体"/>
        </w:rPr>
      </w:pPr>
      <w:r>
        <w:rPr>
          <w:rFonts w:ascii="Times New Roman" w:eastAsia="Times New Roman"/>
        </w:rPr>
        <w:t xml:space="preserve">21.3.4 </w:t>
      </w:r>
      <w:r>
        <w:rPr>
          <w:rFonts w:hint="eastAsia" w:ascii="黑体" w:eastAsia="黑体"/>
        </w:rPr>
        <w:t>因不可抗力解除合同</w:t>
      </w:r>
    </w:p>
    <w:p>
      <w:pPr>
        <w:pStyle w:val="11"/>
        <w:spacing w:before="94"/>
        <w:ind w:left="904"/>
      </w:pPr>
      <w:r>
        <w:t>本项细化为：</w:t>
      </w:r>
    </w:p>
    <w:p>
      <w:pPr>
        <w:pStyle w:val="11"/>
        <w:spacing w:before="91" w:line="312" w:lineRule="auto"/>
        <w:ind w:left="424" w:right="333" w:firstLine="479"/>
      </w:pPr>
      <w:r>
        <w:t xml:space="preserve">合同一方当事人因不可抗力不能履行合同的，应当及时通知对方解除合同。合同解除后，承包人应按照第 </w:t>
      </w:r>
      <w:r>
        <w:rPr>
          <w:rFonts w:ascii="Times New Roman" w:eastAsia="Times New Roman"/>
        </w:rPr>
        <w:t xml:space="preserve">22.2.5 </w:t>
      </w:r>
      <w:r>
        <w:t>项约定撤离施工场地。已经订货的材料、设备由</w:t>
      </w:r>
    </w:p>
    <w:p>
      <w:pPr>
        <w:spacing w:line="312" w:lineRule="auto"/>
        <w:sectPr>
          <w:pgSz w:w="11910" w:h="16850"/>
          <w:pgMar w:top="1480" w:right="1200" w:bottom="1080" w:left="1220" w:header="883" w:footer="884" w:gutter="0"/>
          <w:cols w:space="720" w:num="1"/>
        </w:sectPr>
      </w:pPr>
    </w:p>
    <w:p>
      <w:pPr>
        <w:pStyle w:val="11"/>
        <w:spacing w:before="2"/>
        <w:rPr>
          <w:sz w:val="10"/>
        </w:rPr>
      </w:pPr>
    </w:p>
    <w:p>
      <w:pPr>
        <w:pStyle w:val="11"/>
        <w:spacing w:before="67" w:line="312" w:lineRule="auto"/>
        <w:ind w:left="424" w:right="266"/>
      </w:pPr>
      <w:r>
        <w:t>订货方负责退货或解除订货合同，不能退还的货款和因退货、解除订货合同发生的</w:t>
      </w:r>
      <w:r>
        <w:rPr>
          <w:spacing w:val="-10"/>
        </w:rPr>
        <w:t xml:space="preserve">费用，由发包人承担，因未及时退货造成的损失由责任方承担。合同解除后的付款， </w:t>
      </w:r>
      <w:r>
        <w:rPr>
          <w:spacing w:val="-17"/>
        </w:rPr>
        <w:t xml:space="preserve">参照第 </w:t>
      </w:r>
      <w:r>
        <w:rPr>
          <w:rFonts w:ascii="Times New Roman" w:eastAsia="Times New Roman"/>
        </w:rPr>
        <w:t>22.2.4</w:t>
      </w:r>
      <w:r>
        <w:rPr>
          <w:rFonts w:ascii="Times New Roman" w:eastAsia="Times New Roman"/>
          <w:spacing w:val="22"/>
        </w:rPr>
        <w:t xml:space="preserve"> </w:t>
      </w:r>
      <w:r>
        <w:rPr>
          <w:spacing w:val="-4"/>
        </w:rPr>
        <w:t xml:space="preserve">项约定，由监理人按第 </w:t>
      </w:r>
      <w:r>
        <w:rPr>
          <w:rFonts w:ascii="Times New Roman" w:eastAsia="Times New Roman"/>
        </w:rPr>
        <w:t>3.5</w:t>
      </w:r>
      <w:r>
        <w:rPr>
          <w:rFonts w:ascii="Times New Roman" w:eastAsia="Times New Roman"/>
          <w:spacing w:val="22"/>
        </w:rPr>
        <w:t xml:space="preserve"> </w:t>
      </w:r>
      <w:r>
        <w:t>款商定或确定，但由于解除合同应赔偿的承包人损失不予考虑。</w:t>
      </w:r>
    </w:p>
    <w:p>
      <w:pPr>
        <w:pStyle w:val="11"/>
        <w:spacing w:before="10"/>
        <w:rPr>
          <w:sz w:val="31"/>
        </w:rPr>
      </w:pPr>
    </w:p>
    <w:p>
      <w:pPr>
        <w:numPr>
          <w:ilvl w:val="0"/>
          <w:numId w:val="15"/>
        </w:numPr>
        <w:tabs>
          <w:tab w:val="left" w:pos="914"/>
        </w:tabs>
        <w:spacing w:before="1"/>
        <w:ind w:left="914" w:hanging="490"/>
        <w:rPr>
          <w:rFonts w:ascii="黑体" w:eastAsia="黑体"/>
          <w:sz w:val="28"/>
        </w:rPr>
      </w:pPr>
      <w:bookmarkStart w:id="235" w:name="_bookmark247"/>
      <w:bookmarkEnd w:id="235"/>
      <w:r>
        <w:rPr>
          <w:rFonts w:hint="eastAsia" w:ascii="黑体" w:eastAsia="黑体"/>
          <w:sz w:val="28"/>
        </w:rPr>
        <w:t>违约</w:t>
      </w:r>
    </w:p>
    <w:p>
      <w:pPr>
        <w:pStyle w:val="11"/>
        <w:spacing w:before="7"/>
        <w:rPr>
          <w:rFonts w:ascii="黑体"/>
        </w:rPr>
      </w:pPr>
    </w:p>
    <w:p>
      <w:pPr>
        <w:pStyle w:val="20"/>
        <w:numPr>
          <w:ilvl w:val="1"/>
          <w:numId w:val="15"/>
        </w:numPr>
        <w:tabs>
          <w:tab w:val="left" w:pos="965"/>
        </w:tabs>
        <w:ind w:left="964" w:hanging="540"/>
        <w:rPr>
          <w:rFonts w:ascii="黑体" w:eastAsia="黑体"/>
          <w:sz w:val="24"/>
        </w:rPr>
      </w:pPr>
      <w:bookmarkStart w:id="236" w:name="_bookmark248"/>
      <w:bookmarkEnd w:id="236"/>
      <w:r>
        <w:rPr>
          <w:rFonts w:hint="eastAsia" w:ascii="黑体" w:eastAsia="黑体"/>
          <w:sz w:val="24"/>
        </w:rPr>
        <w:t>承包人违约</w:t>
      </w:r>
    </w:p>
    <w:p>
      <w:pPr>
        <w:pStyle w:val="11"/>
        <w:spacing w:before="11"/>
        <w:rPr>
          <w:rFonts w:ascii="黑体"/>
          <w:sz w:val="25"/>
        </w:rPr>
      </w:pPr>
    </w:p>
    <w:p>
      <w:pPr>
        <w:pStyle w:val="20"/>
        <w:numPr>
          <w:ilvl w:val="2"/>
          <w:numId w:val="38"/>
        </w:numPr>
        <w:tabs>
          <w:tab w:val="left" w:pos="1625"/>
        </w:tabs>
        <w:rPr>
          <w:rFonts w:ascii="黑体" w:eastAsia="黑体"/>
          <w:sz w:val="24"/>
        </w:rPr>
      </w:pPr>
      <w:r>
        <w:rPr>
          <w:rFonts w:hint="eastAsia" w:ascii="黑体" w:eastAsia="黑体"/>
          <w:sz w:val="24"/>
        </w:rPr>
        <w:t>承包人违约的情形</w:t>
      </w:r>
    </w:p>
    <w:p>
      <w:pPr>
        <w:pStyle w:val="11"/>
        <w:spacing w:before="94"/>
        <w:ind w:left="904"/>
      </w:pPr>
      <w:r>
        <w:t>本项（</w:t>
      </w:r>
      <w:r>
        <w:rPr>
          <w:rFonts w:ascii="Times New Roman" w:eastAsia="Times New Roman"/>
        </w:rPr>
        <w:t>2</w:t>
      </w:r>
      <w:r>
        <w:t>）目细化为：</w:t>
      </w:r>
    </w:p>
    <w:p>
      <w:pPr>
        <w:pStyle w:val="11"/>
        <w:spacing w:before="90" w:line="312" w:lineRule="auto"/>
        <w:ind w:left="424" w:right="303" w:firstLine="479"/>
      </w:pPr>
      <w:r>
        <w:t>（</w:t>
      </w:r>
      <w:r>
        <w:rPr>
          <w:rFonts w:ascii="Times New Roman" w:eastAsia="Times New Roman"/>
        </w:rPr>
        <w:t>2</w:t>
      </w:r>
      <w:r>
        <w:t xml:space="preserve">）承包人违反第 </w:t>
      </w:r>
      <w:r>
        <w:rPr>
          <w:rFonts w:ascii="Times New Roman" w:eastAsia="Times New Roman"/>
        </w:rPr>
        <w:t xml:space="preserve">5.3 </w:t>
      </w:r>
      <w:r>
        <w:t xml:space="preserve">款或第 </w:t>
      </w:r>
      <w:r>
        <w:rPr>
          <w:rFonts w:ascii="Times New Roman" w:eastAsia="Times New Roman"/>
        </w:rPr>
        <w:t xml:space="preserve">6.4 </w:t>
      </w:r>
      <w:r>
        <w:t>款的约定，未经监理人批准，私自将已按合同约定进入施工场地的施工设备、临时设施、材料或工程设备撤离施工场地；</w:t>
      </w:r>
    </w:p>
    <w:p>
      <w:pPr>
        <w:pStyle w:val="11"/>
        <w:spacing w:before="3"/>
        <w:ind w:left="904"/>
      </w:pPr>
      <w:r>
        <w:t>本项（</w:t>
      </w:r>
      <w:r>
        <w:rPr>
          <w:rFonts w:ascii="Times New Roman" w:eastAsia="Times New Roman"/>
        </w:rPr>
        <w:t>7</w:t>
      </w:r>
      <w:r>
        <w:t>）目细化为：</w:t>
      </w:r>
    </w:p>
    <w:p>
      <w:pPr>
        <w:pStyle w:val="11"/>
        <w:spacing w:before="90"/>
        <w:ind w:left="904"/>
      </w:pPr>
      <w:r>
        <w:t>（</w:t>
      </w:r>
      <w:r>
        <w:rPr>
          <w:rFonts w:ascii="Times New Roman" w:eastAsia="Times New Roman"/>
        </w:rPr>
        <w:t>7</w:t>
      </w:r>
      <w:r>
        <w:t>）承包人未能按期开工；</w:t>
      </w:r>
    </w:p>
    <w:p>
      <w:pPr>
        <w:pStyle w:val="11"/>
        <w:spacing w:before="94" w:line="312" w:lineRule="auto"/>
        <w:ind w:left="424" w:right="303" w:firstLine="479"/>
      </w:pPr>
      <w:r>
        <w:t>（</w:t>
      </w:r>
      <w:r>
        <w:rPr>
          <w:rFonts w:ascii="Times New Roman" w:eastAsia="Times New Roman"/>
        </w:rPr>
        <w:t>8</w:t>
      </w:r>
      <w:r>
        <w:t xml:space="preserve">）承包人违反第 </w:t>
      </w:r>
      <w:r>
        <w:rPr>
          <w:rFonts w:ascii="Times New Roman" w:eastAsia="Times New Roman"/>
        </w:rPr>
        <w:t xml:space="preserve">4.6 </w:t>
      </w:r>
      <w:r>
        <w:t xml:space="preserve">款或第 </w:t>
      </w:r>
      <w:r>
        <w:rPr>
          <w:rFonts w:ascii="Times New Roman" w:eastAsia="Times New Roman"/>
        </w:rPr>
        <w:t xml:space="preserve">6.3 </w:t>
      </w:r>
      <w:r>
        <w:t>款的规定，未按承诺或未按监理人的要求及时配备称职的主要管理人员、技术骨干或关键施工设备；</w:t>
      </w:r>
    </w:p>
    <w:p>
      <w:pPr>
        <w:pStyle w:val="11"/>
        <w:spacing w:line="312" w:lineRule="auto"/>
        <w:ind w:left="424" w:right="306" w:firstLine="479"/>
      </w:pPr>
      <w:r>
        <w:t>（</w:t>
      </w:r>
      <w:r>
        <w:rPr>
          <w:rFonts w:ascii="Times New Roman" w:eastAsia="Times New Roman"/>
        </w:rPr>
        <w:t>9</w:t>
      </w:r>
      <w:r>
        <w:t>）经监理人和发包人检查，发现承包人有安全问题或有违反安全管理规章制度的情况；</w:t>
      </w:r>
    </w:p>
    <w:p>
      <w:pPr>
        <w:pStyle w:val="11"/>
        <w:spacing w:before="2"/>
        <w:ind w:left="904"/>
      </w:pPr>
      <w:r>
        <w:t>（</w:t>
      </w:r>
      <w:r>
        <w:rPr>
          <w:rFonts w:ascii="Times New Roman" w:eastAsia="Times New Roman"/>
        </w:rPr>
        <w:t>10</w:t>
      </w:r>
      <w:r>
        <w:t>）承包人不按合同约定履行义务的其他情况。</w:t>
      </w:r>
    </w:p>
    <w:p>
      <w:pPr>
        <w:pStyle w:val="20"/>
        <w:numPr>
          <w:ilvl w:val="2"/>
          <w:numId w:val="38"/>
        </w:numPr>
        <w:tabs>
          <w:tab w:val="left" w:pos="1615"/>
        </w:tabs>
        <w:spacing w:before="91"/>
        <w:ind w:left="1614"/>
        <w:rPr>
          <w:rFonts w:ascii="黑体" w:eastAsia="黑体"/>
          <w:sz w:val="24"/>
        </w:rPr>
      </w:pPr>
      <w:r>
        <w:rPr>
          <w:rFonts w:hint="eastAsia" w:ascii="黑体" w:eastAsia="黑体"/>
          <w:sz w:val="24"/>
        </w:rPr>
        <w:t>对承包人违约的处理</w:t>
      </w:r>
    </w:p>
    <w:p>
      <w:pPr>
        <w:pStyle w:val="11"/>
        <w:spacing w:before="93"/>
        <w:ind w:left="904"/>
      </w:pPr>
      <w:r>
        <w:t>本项补充：</w:t>
      </w:r>
    </w:p>
    <w:p>
      <w:pPr>
        <w:pStyle w:val="11"/>
        <w:spacing w:before="93" w:line="312" w:lineRule="auto"/>
        <w:ind w:left="424" w:right="384" w:firstLine="479"/>
        <w:jc w:val="both"/>
      </w:pPr>
      <w:r>
        <w:rPr>
          <w:spacing w:val="-10"/>
        </w:rPr>
        <w:t>（</w:t>
      </w:r>
      <w:r>
        <w:rPr>
          <w:rFonts w:ascii="Times New Roman" w:eastAsia="Times New Roman"/>
          <w:spacing w:val="-10"/>
        </w:rPr>
        <w:t>4</w:t>
      </w:r>
      <w:r>
        <w:rPr>
          <w:spacing w:val="-10"/>
        </w:rPr>
        <w:t>）</w:t>
      </w:r>
      <w:r>
        <w:rPr>
          <w:spacing w:val="-9"/>
        </w:rPr>
        <w:t xml:space="preserve">承包人发生第 </w:t>
      </w:r>
      <w:r>
        <w:rPr>
          <w:rFonts w:ascii="Times New Roman" w:eastAsia="Times New Roman"/>
        </w:rPr>
        <w:t xml:space="preserve">22.1.1 </w:t>
      </w:r>
      <w:r>
        <w:rPr>
          <w:spacing w:val="-5"/>
        </w:rPr>
        <w:t>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pStyle w:val="11"/>
        <w:spacing w:before="3"/>
        <w:rPr>
          <w:sz w:val="17"/>
        </w:rPr>
      </w:pPr>
    </w:p>
    <w:p>
      <w:pPr>
        <w:pStyle w:val="20"/>
        <w:numPr>
          <w:ilvl w:val="1"/>
          <w:numId w:val="38"/>
        </w:numPr>
        <w:tabs>
          <w:tab w:val="left" w:pos="965"/>
        </w:tabs>
        <w:ind w:left="964" w:hanging="540"/>
        <w:jc w:val="left"/>
        <w:rPr>
          <w:rFonts w:ascii="Times New Roman" w:eastAsia="Times New Roman"/>
          <w:sz w:val="24"/>
        </w:rPr>
      </w:pPr>
      <w:bookmarkStart w:id="237" w:name="_bookmark249"/>
      <w:bookmarkEnd w:id="237"/>
      <w:r>
        <w:rPr>
          <w:rFonts w:hint="eastAsia" w:ascii="黑体" w:eastAsia="黑体"/>
          <w:sz w:val="24"/>
        </w:rPr>
        <w:t>发包人违约</w:t>
      </w:r>
    </w:p>
    <w:p>
      <w:pPr>
        <w:pStyle w:val="11"/>
        <w:rPr>
          <w:rFonts w:ascii="黑体"/>
          <w:sz w:val="26"/>
        </w:rPr>
      </w:pPr>
    </w:p>
    <w:p>
      <w:pPr>
        <w:pStyle w:val="20"/>
        <w:numPr>
          <w:ilvl w:val="2"/>
          <w:numId w:val="38"/>
        </w:numPr>
        <w:tabs>
          <w:tab w:val="left" w:pos="1565"/>
        </w:tabs>
        <w:spacing w:before="1"/>
        <w:ind w:left="1564" w:hanging="660"/>
        <w:rPr>
          <w:rFonts w:ascii="黑体" w:eastAsia="黑体"/>
          <w:sz w:val="24"/>
        </w:rPr>
      </w:pPr>
      <w:r>
        <w:rPr>
          <w:rFonts w:hint="eastAsia" w:ascii="黑体" w:eastAsia="黑体"/>
          <w:sz w:val="24"/>
        </w:rPr>
        <w:t>发包人违约的情形</w:t>
      </w:r>
    </w:p>
    <w:p>
      <w:pPr>
        <w:pStyle w:val="11"/>
        <w:spacing w:before="90"/>
        <w:ind w:left="904"/>
      </w:pPr>
      <w:r>
        <w:t>本项（</w:t>
      </w:r>
      <w:r>
        <w:rPr>
          <w:rFonts w:ascii="Times New Roman" w:eastAsia="Times New Roman"/>
        </w:rPr>
        <w:t>5</w:t>
      </w:r>
      <w:r>
        <w:t>）目细化为：</w:t>
      </w:r>
    </w:p>
    <w:p>
      <w:pPr>
        <w:pStyle w:val="11"/>
        <w:spacing w:before="94" w:line="312" w:lineRule="auto"/>
        <w:ind w:left="424" w:right="306" w:firstLine="479"/>
      </w:pPr>
      <w:r>
        <w:t>（</w:t>
      </w:r>
      <w:r>
        <w:rPr>
          <w:rFonts w:ascii="Times New Roman" w:eastAsia="Times New Roman"/>
        </w:rPr>
        <w:t>5</w:t>
      </w:r>
      <w:r>
        <w:t>）发包人无正当理由不按时返还履约保证金、质量保证金或农民工工资保证金的；</w:t>
      </w:r>
    </w:p>
    <w:p>
      <w:pPr>
        <w:pStyle w:val="11"/>
        <w:ind w:left="904"/>
      </w:pPr>
      <w:r>
        <w:t>（</w:t>
      </w:r>
      <w:r>
        <w:rPr>
          <w:rFonts w:ascii="Times New Roman" w:eastAsia="Times New Roman"/>
        </w:rPr>
        <w:t>6</w:t>
      </w:r>
      <w:r>
        <w:t>）发包人不履行合同约定其他义务的。</w:t>
      </w:r>
    </w:p>
    <w:p>
      <w:pPr>
        <w:pStyle w:val="20"/>
        <w:numPr>
          <w:ilvl w:val="2"/>
          <w:numId w:val="38"/>
        </w:numPr>
        <w:tabs>
          <w:tab w:val="left" w:pos="1615"/>
        </w:tabs>
        <w:spacing w:before="93"/>
        <w:ind w:left="1614"/>
        <w:rPr>
          <w:rFonts w:ascii="黑体" w:eastAsia="黑体"/>
          <w:sz w:val="24"/>
        </w:rPr>
      </w:pPr>
      <w:r>
        <w:rPr>
          <w:rFonts w:hint="eastAsia" w:ascii="黑体" w:eastAsia="黑体"/>
          <w:sz w:val="24"/>
        </w:rPr>
        <w:t>承包人有权暂停施工</w:t>
      </w:r>
    </w:p>
    <w:p>
      <w:pPr>
        <w:rPr>
          <w:rFonts w:ascii="黑体" w:eastAsia="黑体"/>
          <w:sz w:val="24"/>
        </w:rPr>
        <w:sectPr>
          <w:pgSz w:w="11910" w:h="16850"/>
          <w:pgMar w:top="1480" w:right="1200" w:bottom="1040" w:left="1220" w:header="876" w:footer="853" w:gutter="0"/>
          <w:cols w:space="720" w:num="1"/>
        </w:sectPr>
      </w:pPr>
    </w:p>
    <w:p>
      <w:pPr>
        <w:pStyle w:val="11"/>
        <w:spacing w:before="2"/>
        <w:rPr>
          <w:rFonts w:ascii="黑体"/>
          <w:sz w:val="10"/>
        </w:rPr>
      </w:pPr>
    </w:p>
    <w:p>
      <w:pPr>
        <w:pStyle w:val="11"/>
        <w:spacing w:before="67"/>
        <w:ind w:left="894"/>
      </w:pPr>
      <w:r>
        <w:t>本项细化为：</w:t>
      </w:r>
    </w:p>
    <w:p>
      <w:pPr>
        <w:pStyle w:val="11"/>
        <w:spacing w:before="91" w:line="312" w:lineRule="auto"/>
        <w:ind w:left="424" w:right="381" w:firstLine="470"/>
        <w:jc w:val="both"/>
      </w:pPr>
      <w:r>
        <w:t xml:space="preserve">发包人发生除第 </w:t>
      </w:r>
      <w:r>
        <w:rPr>
          <w:rFonts w:ascii="Times New Roman" w:eastAsia="Times New Roman"/>
        </w:rPr>
        <w:t>22.2.1</w:t>
      </w:r>
      <w:r>
        <w:rPr>
          <w:spacing w:val="1"/>
        </w:rPr>
        <w:t>（</w:t>
      </w:r>
      <w:r>
        <w:rPr>
          <w:rFonts w:ascii="Times New Roman" w:eastAsia="Times New Roman"/>
          <w:spacing w:val="1"/>
        </w:rPr>
        <w:t>4</w:t>
      </w:r>
      <w:r>
        <w:rPr>
          <w:spacing w:val="-120"/>
        </w:rPr>
        <w:t>）</w:t>
      </w:r>
      <w:r>
        <w:rPr>
          <w:spacing w:val="-118"/>
        </w:rPr>
        <w:t>、</w:t>
      </w:r>
      <w:r>
        <w:t>（</w:t>
      </w:r>
      <w:r>
        <w:rPr>
          <w:rFonts w:ascii="Times New Roman" w:eastAsia="Times New Roman"/>
          <w:spacing w:val="1"/>
        </w:rPr>
        <w:t>5</w:t>
      </w:r>
      <w:r>
        <w:rPr>
          <w:spacing w:val="1"/>
        </w:rPr>
        <w:t>）</w:t>
      </w:r>
      <w:r>
        <w:t>目以外的违约情况时，承包人可向发包人发</w:t>
      </w:r>
      <w:r>
        <w:rPr>
          <w:spacing w:val="-11"/>
        </w:rPr>
        <w:t xml:space="preserve">出通知，要求发包人采取有效措施纠正违约行为。发包人收到承包人通知后的 </w:t>
      </w:r>
      <w:r>
        <w:rPr>
          <w:rFonts w:ascii="Times New Roman" w:eastAsia="Times New Roman"/>
        </w:rPr>
        <w:t xml:space="preserve">28 </w:t>
      </w:r>
      <w:r>
        <w:t>天内仍不履行合同义务，承包人有权暂停施工，并通知监理人，发包人应承担由此增加的费用和（或）工期延误，并支付承包人合理利润。</w:t>
      </w:r>
    </w:p>
    <w:p>
      <w:pPr>
        <w:pStyle w:val="11"/>
        <w:spacing w:before="1" w:line="312" w:lineRule="auto"/>
        <w:ind w:left="424" w:right="382" w:firstLine="470"/>
        <w:jc w:val="both"/>
      </w:pPr>
      <w:r>
        <w:rPr>
          <w:spacing w:val="-10"/>
        </w:rPr>
        <w:t xml:space="preserve">发包人发生第 </w:t>
      </w:r>
      <w:r>
        <w:rPr>
          <w:rFonts w:ascii="Times New Roman" w:eastAsia="Times New Roman"/>
        </w:rPr>
        <w:t>22.2.1</w:t>
      </w:r>
      <w:r>
        <w:t>（</w:t>
      </w:r>
      <w:r>
        <w:rPr>
          <w:rFonts w:ascii="Times New Roman" w:eastAsia="Times New Roman"/>
        </w:rPr>
        <w:t>5</w:t>
      </w:r>
      <w:r>
        <w:t>）</w:t>
      </w:r>
      <w:r>
        <w:rPr>
          <w:spacing w:val="-2"/>
        </w:rPr>
        <w:t>目的违约情况时，承包人可向发包人发出通知，要求</w:t>
      </w:r>
      <w:r>
        <w:rPr>
          <w:spacing w:val="-10"/>
        </w:rPr>
        <w:t xml:space="preserve">发包人采取有效措施纠正违约行为。发包人收到承包人通知后的 </w:t>
      </w:r>
      <w:r>
        <w:rPr>
          <w:rFonts w:ascii="Times New Roman" w:eastAsia="Times New Roman"/>
        </w:rPr>
        <w:t xml:space="preserve">28 </w:t>
      </w:r>
      <w:r>
        <w:t>天内仍不返还履约保证金、质量保证金或农民工工资保证金的，发包人应按项目专用合同条款的约定向承包人支付逾期返还保证金的违约金。</w:t>
      </w:r>
    </w:p>
    <w:p>
      <w:pPr>
        <w:pStyle w:val="11"/>
        <w:spacing w:before="3"/>
        <w:ind w:left="894"/>
        <w:rPr>
          <w:rFonts w:ascii="黑体" w:eastAsia="黑体"/>
        </w:rPr>
      </w:pPr>
      <w:r>
        <w:rPr>
          <w:rFonts w:ascii="Times New Roman" w:eastAsia="Times New Roman"/>
        </w:rPr>
        <w:t xml:space="preserve">22.2.4 </w:t>
      </w:r>
      <w:r>
        <w:rPr>
          <w:rFonts w:hint="eastAsia" w:ascii="黑体" w:eastAsia="黑体"/>
        </w:rPr>
        <w:t>解除合同后的付款</w:t>
      </w:r>
    </w:p>
    <w:p>
      <w:pPr>
        <w:pStyle w:val="11"/>
        <w:spacing w:before="91"/>
        <w:ind w:left="904"/>
      </w:pPr>
      <w:r>
        <w:t>本项（</w:t>
      </w:r>
      <w:r>
        <w:rPr>
          <w:rFonts w:ascii="Times New Roman" w:eastAsia="Times New Roman"/>
        </w:rPr>
        <w:t>2</w:t>
      </w:r>
      <w:r>
        <w:t>）目细化为：</w:t>
      </w:r>
    </w:p>
    <w:p>
      <w:pPr>
        <w:pStyle w:val="11"/>
        <w:spacing w:before="93" w:line="312" w:lineRule="auto"/>
        <w:ind w:left="424" w:right="301" w:firstLine="479"/>
      </w:pPr>
      <w:r>
        <w:t>（</w:t>
      </w:r>
      <w:r>
        <w:rPr>
          <w:rFonts w:ascii="Times New Roman" w:eastAsia="Times New Roman"/>
        </w:rPr>
        <w:t>2</w:t>
      </w:r>
      <w:r>
        <w:t>）承包人为该工程施工订购并已付款的材料、工程设备和其他物品的金额。发包人付款后，该材料、工程设备和其他物品归发包人所有；</w:t>
      </w:r>
    </w:p>
    <w:p>
      <w:pPr>
        <w:pStyle w:val="11"/>
        <w:spacing w:before="11"/>
        <w:rPr>
          <w:sz w:val="31"/>
        </w:rPr>
      </w:pPr>
    </w:p>
    <w:p>
      <w:pPr>
        <w:numPr>
          <w:ilvl w:val="0"/>
          <w:numId w:val="15"/>
        </w:numPr>
        <w:tabs>
          <w:tab w:val="left" w:pos="914"/>
        </w:tabs>
        <w:ind w:left="914" w:hanging="490"/>
        <w:rPr>
          <w:rFonts w:ascii="黑体" w:eastAsia="黑体"/>
          <w:sz w:val="28"/>
        </w:rPr>
      </w:pPr>
      <w:bookmarkStart w:id="238" w:name="_bookmark250"/>
      <w:bookmarkEnd w:id="238"/>
      <w:r>
        <w:rPr>
          <w:rFonts w:hint="eastAsia" w:ascii="黑体" w:eastAsia="黑体"/>
          <w:sz w:val="28"/>
        </w:rPr>
        <w:t>索赔</w:t>
      </w:r>
    </w:p>
    <w:p>
      <w:pPr>
        <w:pStyle w:val="11"/>
        <w:spacing w:before="8"/>
        <w:rPr>
          <w:rFonts w:ascii="黑体"/>
        </w:rPr>
      </w:pPr>
    </w:p>
    <w:p>
      <w:pPr>
        <w:pStyle w:val="20"/>
        <w:numPr>
          <w:ilvl w:val="1"/>
          <w:numId w:val="15"/>
        </w:numPr>
        <w:tabs>
          <w:tab w:val="left" w:pos="965"/>
        </w:tabs>
        <w:ind w:left="964" w:hanging="540"/>
        <w:rPr>
          <w:rFonts w:ascii="黑体" w:eastAsia="黑体"/>
          <w:sz w:val="24"/>
        </w:rPr>
      </w:pPr>
      <w:bookmarkStart w:id="239" w:name="_bookmark251"/>
      <w:bookmarkEnd w:id="239"/>
      <w:r>
        <w:rPr>
          <w:rFonts w:hint="eastAsia" w:ascii="黑体" w:eastAsia="黑体"/>
          <w:sz w:val="24"/>
        </w:rPr>
        <w:t>承包人索赔的提出</w:t>
      </w:r>
    </w:p>
    <w:p>
      <w:pPr>
        <w:pStyle w:val="11"/>
        <w:spacing w:before="10"/>
        <w:rPr>
          <w:rFonts w:ascii="黑体"/>
          <w:sz w:val="25"/>
        </w:rPr>
      </w:pPr>
    </w:p>
    <w:p>
      <w:pPr>
        <w:pStyle w:val="11"/>
        <w:spacing w:before="1"/>
        <w:ind w:left="904"/>
      </w:pPr>
      <w:r>
        <w:t>本款第（</w:t>
      </w:r>
      <w:r>
        <w:rPr>
          <w:rFonts w:ascii="Times New Roman" w:eastAsia="Times New Roman"/>
        </w:rPr>
        <w:t>4</w:t>
      </w:r>
      <w:r>
        <w:t>）项细化为：</w:t>
      </w:r>
    </w:p>
    <w:p>
      <w:pPr>
        <w:pStyle w:val="11"/>
        <w:spacing w:before="93" w:line="312" w:lineRule="auto"/>
        <w:ind w:left="424" w:right="383" w:firstLine="479"/>
        <w:jc w:val="both"/>
      </w:pPr>
      <w:r>
        <w:t>（</w:t>
      </w:r>
      <w:r>
        <w:rPr>
          <w:rFonts w:ascii="Times New Roman" w:eastAsia="Times New Roman"/>
        </w:rPr>
        <w:t>4</w:t>
      </w:r>
      <w:r>
        <w:t>）</w:t>
      </w:r>
      <w:r>
        <w:rPr>
          <w:spacing w:val="-4"/>
        </w:rPr>
        <w:t xml:space="preserve">在索赔事件影响结束后的 </w:t>
      </w:r>
      <w:r>
        <w:rPr>
          <w:rFonts w:ascii="Times New Roman" w:eastAsia="Times New Roman"/>
        </w:rPr>
        <w:t xml:space="preserve">28 </w:t>
      </w:r>
      <w:r>
        <w:t>天内，承包人应向监理人递交最终索赔通知书，说明最终要求索赔的追加付款金额和（或）延长的工期，并附必要的记录和证明材料。</w:t>
      </w:r>
    </w:p>
    <w:p>
      <w:pPr>
        <w:pStyle w:val="11"/>
        <w:spacing w:before="3"/>
        <w:rPr>
          <w:sz w:val="17"/>
        </w:rPr>
      </w:pPr>
    </w:p>
    <w:p>
      <w:pPr>
        <w:pStyle w:val="20"/>
        <w:numPr>
          <w:ilvl w:val="1"/>
          <w:numId w:val="15"/>
        </w:numPr>
        <w:tabs>
          <w:tab w:val="left" w:pos="965"/>
        </w:tabs>
        <w:spacing w:before="1"/>
        <w:ind w:left="964" w:hanging="540"/>
        <w:rPr>
          <w:rFonts w:ascii="黑体" w:eastAsia="黑体"/>
          <w:sz w:val="24"/>
        </w:rPr>
      </w:pPr>
      <w:bookmarkStart w:id="240" w:name="_bookmark252"/>
      <w:bookmarkEnd w:id="240"/>
      <w:r>
        <w:rPr>
          <w:rFonts w:hint="eastAsia" w:ascii="黑体" w:eastAsia="黑体"/>
          <w:sz w:val="24"/>
        </w:rPr>
        <w:t>承包人索赔处理程序</w:t>
      </w:r>
    </w:p>
    <w:p>
      <w:pPr>
        <w:pStyle w:val="11"/>
        <w:spacing w:before="11"/>
        <w:rPr>
          <w:rFonts w:ascii="黑体"/>
          <w:sz w:val="25"/>
        </w:rPr>
      </w:pPr>
    </w:p>
    <w:p>
      <w:pPr>
        <w:pStyle w:val="11"/>
        <w:ind w:left="904"/>
      </w:pPr>
      <w:r>
        <w:t>本款第（</w:t>
      </w:r>
      <w:r>
        <w:rPr>
          <w:rFonts w:ascii="Times New Roman" w:eastAsia="Times New Roman"/>
        </w:rPr>
        <w:t>2</w:t>
      </w:r>
      <w:r>
        <w:t>）项细化为：</w:t>
      </w:r>
    </w:p>
    <w:p>
      <w:pPr>
        <w:pStyle w:val="11"/>
        <w:spacing w:before="93"/>
        <w:ind w:left="904"/>
      </w:pPr>
      <w:r>
        <w:t>（</w:t>
      </w:r>
      <w:r>
        <w:rPr>
          <w:rFonts w:ascii="Times New Roman" w:eastAsia="Times New Roman"/>
        </w:rPr>
        <w:t>2</w:t>
      </w:r>
      <w:r>
        <w:t xml:space="preserve">）监理人应按第 </w:t>
      </w:r>
      <w:r>
        <w:rPr>
          <w:rFonts w:ascii="Times New Roman" w:eastAsia="Times New Roman"/>
        </w:rPr>
        <w:t xml:space="preserve">3.5 </w:t>
      </w:r>
      <w:r>
        <w:t>款商定或确定追加的付款和（或）延长的工期，并在收</w:t>
      </w:r>
    </w:p>
    <w:p>
      <w:pPr>
        <w:pStyle w:val="11"/>
        <w:spacing w:before="91" w:line="312" w:lineRule="auto"/>
        <w:ind w:left="424" w:right="383"/>
        <w:jc w:val="both"/>
      </w:pPr>
      <w:r>
        <w:rPr>
          <w:spacing w:val="-3"/>
        </w:rPr>
        <w:t xml:space="preserve">到上述索赔通知书或有关索赔的进一步证明材料后的 </w:t>
      </w:r>
      <w:r>
        <w:rPr>
          <w:rFonts w:ascii="Times New Roman" w:eastAsia="Times New Roman"/>
        </w:rPr>
        <w:t xml:space="preserve">42 </w:t>
      </w:r>
      <w:r>
        <w:rPr>
          <w:spacing w:val="-10"/>
        </w:rPr>
        <w:t>天内，将索赔处理结果报发</w:t>
      </w:r>
      <w:r>
        <w:rPr>
          <w:spacing w:val="-13"/>
        </w:rPr>
        <w:t xml:space="preserve">包人批准后答复承包人。如果承包人提出的索赔要求未能遵守第 </w:t>
      </w:r>
      <w:r>
        <w:rPr>
          <w:rFonts w:ascii="Times New Roman" w:eastAsia="Times New Roman"/>
          <w:spacing w:val="-8"/>
        </w:rPr>
        <w:t>23.1</w:t>
      </w:r>
      <w:r>
        <w:rPr>
          <w:spacing w:val="-8"/>
        </w:rPr>
        <w:t>（</w:t>
      </w:r>
      <w:r>
        <w:rPr>
          <w:rFonts w:ascii="Times New Roman" w:eastAsia="Times New Roman"/>
          <w:spacing w:val="-8"/>
        </w:rPr>
        <w:t>2</w:t>
      </w:r>
      <w:r>
        <w:rPr>
          <w:spacing w:val="-8"/>
        </w:rPr>
        <w:t>）</w:t>
      </w:r>
      <w:r>
        <w:rPr>
          <w:rFonts w:ascii="Times New Roman" w:eastAsia="Times New Roman"/>
          <w:spacing w:val="-8"/>
        </w:rPr>
        <w:t>~</w:t>
      </w:r>
      <w:r>
        <w:rPr>
          <w:spacing w:val="-8"/>
        </w:rPr>
        <w:t>（</w:t>
      </w:r>
      <w:r>
        <w:rPr>
          <w:rFonts w:ascii="Times New Roman" w:eastAsia="Times New Roman"/>
          <w:spacing w:val="-8"/>
        </w:rPr>
        <w:t>4</w:t>
      </w:r>
      <w:r>
        <w:rPr>
          <w:spacing w:val="-8"/>
        </w:rPr>
        <w:t>）</w:t>
      </w:r>
      <w:r>
        <w:t>项的规定，则承包人只限于索赔由监理人按当时记录予以核实的那部分款额和（或） 工期延长天数。</w:t>
      </w:r>
    </w:p>
    <w:p>
      <w:pPr>
        <w:spacing w:line="312" w:lineRule="auto"/>
        <w:jc w:val="both"/>
        <w:sectPr>
          <w:pgSz w:w="11910" w:h="16850"/>
          <w:pgMar w:top="1480" w:right="1200" w:bottom="1080" w:left="1220" w:header="883" w:footer="884" w:gutter="0"/>
          <w:cols w:space="720" w:num="1"/>
        </w:sectPr>
      </w:pPr>
    </w:p>
    <w:p>
      <w:pPr>
        <w:numPr>
          <w:ilvl w:val="0"/>
          <w:numId w:val="15"/>
        </w:numPr>
        <w:tabs>
          <w:tab w:val="left" w:pos="914"/>
        </w:tabs>
        <w:spacing w:before="126"/>
        <w:ind w:left="914" w:hanging="490"/>
        <w:rPr>
          <w:rFonts w:ascii="黑体" w:eastAsia="黑体"/>
          <w:sz w:val="28"/>
        </w:rPr>
      </w:pPr>
      <w:bookmarkStart w:id="241" w:name="_bookmark253"/>
      <w:bookmarkEnd w:id="241"/>
      <w:r>
        <w:rPr>
          <w:rFonts w:hint="eastAsia" w:ascii="黑体" w:eastAsia="黑体"/>
          <w:sz w:val="28"/>
        </w:rPr>
        <w:t>争议的解决</w:t>
      </w:r>
    </w:p>
    <w:p>
      <w:pPr>
        <w:pStyle w:val="11"/>
        <w:spacing w:before="4"/>
        <w:rPr>
          <w:rFonts w:ascii="黑体"/>
        </w:rPr>
      </w:pPr>
    </w:p>
    <w:p>
      <w:pPr>
        <w:pStyle w:val="20"/>
        <w:numPr>
          <w:ilvl w:val="1"/>
          <w:numId w:val="39"/>
        </w:numPr>
        <w:tabs>
          <w:tab w:val="left" w:pos="965"/>
        </w:tabs>
        <w:spacing w:before="1"/>
        <w:rPr>
          <w:rFonts w:ascii="黑体" w:eastAsia="黑体"/>
          <w:sz w:val="24"/>
        </w:rPr>
      </w:pPr>
      <w:bookmarkStart w:id="242" w:name="_bookmark254"/>
      <w:bookmarkEnd w:id="242"/>
      <w:r>
        <w:rPr>
          <w:rFonts w:hint="eastAsia" w:ascii="黑体" w:eastAsia="黑体"/>
          <w:sz w:val="24"/>
        </w:rPr>
        <w:t>争议评审</w:t>
      </w:r>
    </w:p>
    <w:p>
      <w:pPr>
        <w:pStyle w:val="11"/>
        <w:spacing w:before="10"/>
        <w:rPr>
          <w:rFonts w:ascii="黑体"/>
          <w:sz w:val="25"/>
        </w:rPr>
      </w:pPr>
    </w:p>
    <w:p>
      <w:pPr>
        <w:pStyle w:val="11"/>
        <w:ind w:left="904"/>
      </w:pPr>
      <w:r>
        <w:t xml:space="preserve">第 </w:t>
      </w:r>
      <w:r>
        <w:rPr>
          <w:rFonts w:ascii="Times New Roman" w:eastAsia="Times New Roman"/>
        </w:rPr>
        <w:t xml:space="preserve">24.3.1 </w:t>
      </w:r>
      <w:r>
        <w:t>项补充：</w:t>
      </w:r>
    </w:p>
    <w:p>
      <w:pPr>
        <w:pStyle w:val="11"/>
        <w:spacing w:before="93" w:line="312" w:lineRule="auto"/>
        <w:ind w:left="424" w:right="383" w:firstLine="479"/>
        <w:jc w:val="both"/>
      </w:pPr>
      <w:r>
        <w:rPr>
          <w:spacing w:val="-8"/>
        </w:rPr>
        <w:t xml:space="preserve">争议评审组由 </w:t>
      </w:r>
      <w:r>
        <w:rPr>
          <w:rFonts w:ascii="Times New Roman" w:eastAsia="Times New Roman"/>
        </w:rPr>
        <w:t xml:space="preserve">3 </w:t>
      </w:r>
      <w:r>
        <w:rPr>
          <w:spacing w:val="-17"/>
        </w:rPr>
        <w:t xml:space="preserve">人或 </w:t>
      </w:r>
      <w:r>
        <w:rPr>
          <w:rFonts w:ascii="Times New Roman" w:eastAsia="Times New Roman"/>
        </w:rPr>
        <w:t xml:space="preserve">5 </w:t>
      </w:r>
      <w: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Style w:val="11"/>
        <w:spacing w:before="12"/>
        <w:rPr>
          <w:sz w:val="18"/>
        </w:rPr>
      </w:pPr>
    </w:p>
    <w:p>
      <w:pPr>
        <w:pStyle w:val="11"/>
        <w:ind w:left="424"/>
        <w:rPr>
          <w:rFonts w:ascii="黑体" w:eastAsia="黑体"/>
        </w:rPr>
      </w:pPr>
      <w:r>
        <w:rPr>
          <w:rFonts w:hint="eastAsia" w:ascii="黑体" w:eastAsia="黑体"/>
          <w:spacing w:val="-11"/>
        </w:rPr>
        <w:t xml:space="preserve">本条补充第 </w:t>
      </w:r>
      <w:r>
        <w:rPr>
          <w:rFonts w:ascii="Times New Roman" w:eastAsia="Times New Roman"/>
        </w:rPr>
        <w:t xml:space="preserve">24.4 </w:t>
      </w:r>
      <w:r>
        <w:rPr>
          <w:rFonts w:hint="eastAsia" w:ascii="黑体" w:eastAsia="黑体"/>
          <w:spacing w:val="-15"/>
        </w:rPr>
        <w:t xml:space="preserve">款、第 </w:t>
      </w:r>
      <w:r>
        <w:rPr>
          <w:rFonts w:ascii="Times New Roman" w:eastAsia="Times New Roman"/>
        </w:rPr>
        <w:t xml:space="preserve">24.5 </w:t>
      </w:r>
      <w:r>
        <w:rPr>
          <w:rFonts w:hint="eastAsia" w:ascii="黑体" w:eastAsia="黑体"/>
        </w:rPr>
        <w:t>款（适用于采用仲裁方式最终解决争议的项目</w:t>
      </w:r>
      <w:r>
        <w:rPr>
          <w:rFonts w:hint="eastAsia" w:ascii="黑体" w:eastAsia="黑体"/>
          <w:spacing w:val="-120"/>
        </w:rPr>
        <w:t>）</w:t>
      </w:r>
      <w:r>
        <w:rPr>
          <w:rFonts w:hint="eastAsia" w:ascii="黑体" w:eastAsia="黑体"/>
        </w:rPr>
        <w:t>：</w:t>
      </w:r>
    </w:p>
    <w:p>
      <w:pPr>
        <w:pStyle w:val="11"/>
        <w:spacing w:before="4"/>
        <w:rPr>
          <w:rFonts w:ascii="黑体"/>
        </w:rPr>
      </w:pPr>
    </w:p>
    <w:p>
      <w:pPr>
        <w:pStyle w:val="20"/>
        <w:numPr>
          <w:ilvl w:val="1"/>
          <w:numId w:val="39"/>
        </w:numPr>
        <w:tabs>
          <w:tab w:val="left" w:pos="965"/>
        </w:tabs>
        <w:rPr>
          <w:rFonts w:ascii="黑体" w:eastAsia="黑体"/>
          <w:sz w:val="24"/>
        </w:rPr>
      </w:pPr>
      <w:bookmarkStart w:id="243" w:name="_bookmark255"/>
      <w:bookmarkEnd w:id="243"/>
      <w:r>
        <w:rPr>
          <w:rFonts w:hint="eastAsia" w:ascii="黑体" w:eastAsia="黑体"/>
          <w:sz w:val="24"/>
        </w:rPr>
        <w:t>仲裁</w:t>
      </w:r>
    </w:p>
    <w:p>
      <w:pPr>
        <w:pStyle w:val="11"/>
        <w:rPr>
          <w:rFonts w:ascii="黑体"/>
          <w:sz w:val="26"/>
        </w:rPr>
      </w:pPr>
    </w:p>
    <w:p>
      <w:pPr>
        <w:pStyle w:val="11"/>
        <w:spacing w:before="1" w:line="312" w:lineRule="auto"/>
        <w:ind w:left="424" w:right="385" w:firstLine="479"/>
        <w:jc w:val="both"/>
      </w:pPr>
      <w:r>
        <w:rPr>
          <w:spacing w:val="-15"/>
        </w:rPr>
        <w:t>（</w:t>
      </w:r>
      <w:r>
        <w:rPr>
          <w:rFonts w:ascii="Times New Roman" w:eastAsia="Times New Roman"/>
          <w:spacing w:val="-15"/>
        </w:rPr>
        <w:t>1</w:t>
      </w:r>
      <w:r>
        <w:rPr>
          <w:spacing w:val="-15"/>
        </w:rPr>
        <w:t>）</w:t>
      </w:r>
      <w:r>
        <w:rPr>
          <w:spacing w:val="-2"/>
        </w:rPr>
        <w:t>对于未能友好解决或未能通过争议评审解决的争议，发包人或承包人任一</w:t>
      </w:r>
      <w:r>
        <w:rPr>
          <w:spacing w:val="-9"/>
        </w:rPr>
        <w:t xml:space="preserve">方均有权提交给第 </w:t>
      </w:r>
      <w:r>
        <w:rPr>
          <w:rFonts w:ascii="Times New Roman" w:eastAsia="Times New Roman"/>
        </w:rPr>
        <w:t xml:space="preserve">24.1 </w:t>
      </w:r>
      <w:r>
        <w:t>款约定的仲裁委员会仲裁。</w:t>
      </w:r>
    </w:p>
    <w:p>
      <w:pPr>
        <w:pStyle w:val="11"/>
        <w:spacing w:line="312" w:lineRule="auto"/>
        <w:ind w:left="424" w:right="385" w:firstLine="479"/>
        <w:jc w:val="both"/>
      </w:pPr>
      <w:r>
        <w:rPr>
          <w:spacing w:val="-10"/>
        </w:rPr>
        <w:t>（</w:t>
      </w:r>
      <w:r>
        <w:rPr>
          <w:rFonts w:ascii="Times New Roman" w:eastAsia="Times New Roman"/>
          <w:spacing w:val="-10"/>
        </w:rPr>
        <w:t>2</w:t>
      </w:r>
      <w:r>
        <w:rPr>
          <w:spacing w:val="-10"/>
        </w:rPr>
        <w:t>）</w:t>
      </w:r>
      <w:r>
        <w:rPr>
          <w:spacing w:val="-5"/>
        </w:rPr>
        <w:t>仲裁可在交工之前或之后进行，但发包人、监理人和承包人各自的义务不得因在工程实施期间进行仲裁而有所改变。如果仲裁是在终止合同的情况下进行， 则对合同工程应采取保护措施，措施费由败诉方承担。</w:t>
      </w:r>
    </w:p>
    <w:p>
      <w:pPr>
        <w:pStyle w:val="11"/>
        <w:ind w:left="904"/>
      </w:pPr>
      <w:r>
        <w:t>（</w:t>
      </w:r>
      <w:r>
        <w:rPr>
          <w:rFonts w:ascii="Times New Roman" w:eastAsia="Times New Roman"/>
        </w:rPr>
        <w:t>3</w:t>
      </w:r>
      <w:r>
        <w:t>）仲裁裁决是终局性的并对发包人和承包人双方具有约束力。</w:t>
      </w:r>
    </w:p>
    <w:p>
      <w:pPr>
        <w:pStyle w:val="11"/>
        <w:spacing w:before="94"/>
        <w:ind w:left="904"/>
      </w:pPr>
      <w:r>
        <w:t>（</w:t>
      </w:r>
      <w:r>
        <w:rPr>
          <w:rFonts w:ascii="Times New Roman" w:eastAsia="Times New Roman"/>
        </w:rPr>
        <w:t>4</w:t>
      </w:r>
      <w:r>
        <w:t>）全部仲裁费用应由败诉方承担；或按仲裁委员会裁决的比例分担。</w:t>
      </w:r>
    </w:p>
    <w:p>
      <w:pPr>
        <w:pStyle w:val="11"/>
        <w:spacing w:before="4"/>
      </w:pPr>
    </w:p>
    <w:p>
      <w:pPr>
        <w:pStyle w:val="20"/>
        <w:numPr>
          <w:ilvl w:val="1"/>
          <w:numId w:val="39"/>
        </w:numPr>
        <w:tabs>
          <w:tab w:val="left" w:pos="965"/>
        </w:tabs>
        <w:rPr>
          <w:rFonts w:ascii="黑体" w:eastAsia="黑体"/>
          <w:sz w:val="24"/>
        </w:rPr>
      </w:pPr>
      <w:bookmarkStart w:id="244" w:name="_bookmark256"/>
      <w:bookmarkEnd w:id="244"/>
      <w:r>
        <w:rPr>
          <w:rFonts w:hint="eastAsia" w:ascii="黑体" w:eastAsia="黑体"/>
          <w:sz w:val="24"/>
        </w:rPr>
        <w:t>仲裁的执行</w:t>
      </w:r>
    </w:p>
    <w:p>
      <w:pPr>
        <w:pStyle w:val="11"/>
        <w:rPr>
          <w:rFonts w:ascii="黑体"/>
          <w:sz w:val="26"/>
        </w:rPr>
      </w:pPr>
    </w:p>
    <w:p>
      <w:pPr>
        <w:pStyle w:val="11"/>
        <w:spacing w:line="312" w:lineRule="auto"/>
        <w:ind w:left="424" w:right="386" w:firstLine="479"/>
        <w:jc w:val="both"/>
      </w:pPr>
      <w:r>
        <w:rPr>
          <w:spacing w:val="-15"/>
        </w:rPr>
        <w:t>（</w:t>
      </w:r>
      <w:r>
        <w:rPr>
          <w:rFonts w:ascii="Times New Roman" w:eastAsia="Times New Roman"/>
          <w:spacing w:val="-15"/>
        </w:rPr>
        <w:t>1</w:t>
      </w:r>
      <w:r>
        <w:rPr>
          <w:spacing w:val="-15"/>
        </w:rPr>
        <w:t>）</w:t>
      </w:r>
      <w:r>
        <w:rPr>
          <w:spacing w:val="-3"/>
        </w:rPr>
        <w:t>任何一方不履行仲裁机构的裁决的，对方可以向有管辖权的人民法院申请执行。</w:t>
      </w:r>
    </w:p>
    <w:p>
      <w:pPr>
        <w:pStyle w:val="11"/>
        <w:spacing w:line="312" w:lineRule="auto"/>
        <w:ind w:left="424" w:right="384" w:firstLine="479"/>
        <w:jc w:val="both"/>
      </w:pPr>
      <w:r>
        <w:rPr>
          <w:spacing w:val="-10"/>
        </w:rPr>
        <w:t>（</w:t>
      </w:r>
      <w:r>
        <w:rPr>
          <w:rFonts w:ascii="Times New Roman" w:eastAsia="Times New Roman"/>
          <w:spacing w:val="-10"/>
        </w:rPr>
        <w:t>2</w:t>
      </w:r>
      <w:r>
        <w:rPr>
          <w:spacing w:val="-10"/>
        </w:rPr>
        <w:t>）</w:t>
      </w:r>
      <w:r>
        <w:rPr>
          <w:spacing w:val="-5"/>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spacing w:line="312" w:lineRule="auto"/>
        <w:jc w:val="both"/>
        <w:sectPr>
          <w:pgSz w:w="11910" w:h="16850"/>
          <w:pgMar w:top="1480" w:right="1200" w:bottom="1040" w:left="1220" w:header="876" w:footer="853" w:gutter="0"/>
          <w:cols w:space="720" w:num="1"/>
        </w:sectPr>
      </w:pPr>
    </w:p>
    <w:p>
      <w:pPr>
        <w:pStyle w:val="11"/>
        <w:spacing w:before="1"/>
        <w:rPr>
          <w:sz w:val="22"/>
        </w:rPr>
      </w:pPr>
    </w:p>
    <w:p>
      <w:pPr>
        <w:pStyle w:val="7"/>
        <w:spacing w:before="64"/>
        <w:ind w:left="3254"/>
      </w:pPr>
      <w:bookmarkStart w:id="245" w:name="_bookmark257"/>
      <w:bookmarkEnd w:id="245"/>
      <w:r>
        <w:rPr>
          <w:rFonts w:ascii="Times New Roman" w:eastAsia="Times New Roman"/>
        </w:rPr>
        <w:t>B.</w:t>
      </w:r>
      <w:r>
        <w:rPr>
          <w:rFonts w:ascii="Times New Roman" w:eastAsia="Times New Roman"/>
          <w:spacing w:val="77"/>
        </w:rPr>
        <w:t xml:space="preserve"> </w:t>
      </w:r>
      <w:r>
        <w:t>项目专用合同条款</w:t>
      </w:r>
    </w:p>
    <w:p>
      <w:pPr>
        <w:pStyle w:val="11"/>
        <w:rPr>
          <w:rFonts w:ascii="黑体"/>
          <w:sz w:val="34"/>
        </w:rPr>
      </w:pPr>
    </w:p>
    <w:p>
      <w:pPr>
        <w:pStyle w:val="11"/>
        <w:spacing w:before="5"/>
        <w:rPr>
          <w:rFonts w:ascii="黑体"/>
          <w:sz w:val="26"/>
        </w:rPr>
      </w:pPr>
    </w:p>
    <w:p>
      <w:pPr>
        <w:pStyle w:val="11"/>
        <w:tabs>
          <w:tab w:val="left" w:pos="904"/>
        </w:tabs>
        <w:spacing w:before="1"/>
        <w:ind w:left="424"/>
        <w:rPr>
          <w:rFonts w:ascii="黑体" w:eastAsia="黑体"/>
        </w:rPr>
      </w:pPr>
      <w:r>
        <w:rPr>
          <w:rFonts w:hint="eastAsia" w:ascii="黑体" w:eastAsia="黑体"/>
        </w:rPr>
        <w:t>说</w:t>
      </w:r>
      <w:r>
        <w:rPr>
          <w:rFonts w:hint="eastAsia" w:ascii="黑体" w:eastAsia="黑体"/>
        </w:rPr>
        <w:tab/>
      </w:r>
      <w:r>
        <w:rPr>
          <w:rFonts w:hint="eastAsia" w:ascii="黑体" w:eastAsia="黑体"/>
        </w:rPr>
        <w:t>明：</w:t>
      </w:r>
    </w:p>
    <w:p>
      <w:pPr>
        <w:pStyle w:val="11"/>
        <w:spacing w:before="189" w:line="326" w:lineRule="auto"/>
        <w:ind w:left="424" w:right="382" w:firstLine="719"/>
        <w:jc w:val="both"/>
      </w:pPr>
      <w:r>
        <w:rPr>
          <w:w w:val="95"/>
        </w:rPr>
        <w:t>1.</w:t>
      </w:r>
      <w:r>
        <w:rPr>
          <w:spacing w:val="-2"/>
          <w:w w:val="95"/>
        </w:rPr>
        <w:t xml:space="preserve">招标人在根据《公路工程标准施工招标文件》编制项目招标文件中的“项目 </w:t>
      </w:r>
      <w:r>
        <w:rPr>
          <w:spacing w:val="-6"/>
          <w:w w:val="95"/>
        </w:rPr>
        <w:t>专用合同条款”时，可根据招标项目的具体特点和实际需要，对“通用合同条款</w:t>
      </w:r>
      <w:r>
        <w:rPr>
          <w:w w:val="65"/>
        </w:rPr>
        <w:t>”及“</w:t>
      </w:r>
      <w:r>
        <w:rPr>
          <w:w w:val="95"/>
        </w:rPr>
        <w:t>公路工程专用合同条款</w:t>
      </w:r>
      <w:r>
        <w:rPr>
          <w:w w:val="65"/>
        </w:rPr>
        <w:t>”</w:t>
      </w:r>
      <w:r>
        <w:rPr>
          <w:w w:val="95"/>
        </w:rPr>
        <w:t>进行补充和细化，除</w:t>
      </w:r>
      <w:r>
        <w:rPr>
          <w:w w:val="65"/>
        </w:rPr>
        <w:t>“</w:t>
      </w:r>
      <w:r>
        <w:rPr>
          <w:w w:val="95"/>
        </w:rPr>
        <w:t>通用合同条款</w:t>
      </w:r>
      <w:r>
        <w:rPr>
          <w:w w:val="65"/>
        </w:rPr>
        <w:t>”</w:t>
      </w:r>
      <w:r>
        <w:rPr>
          <w:w w:val="95"/>
        </w:rPr>
        <w:t>明确</w:t>
      </w:r>
      <w:r>
        <w:rPr>
          <w:w w:val="65"/>
        </w:rPr>
        <w:t>“</w:t>
      </w:r>
      <w:r>
        <w:rPr>
          <w:w w:val="95"/>
        </w:rPr>
        <w:t>专用合同条款</w:t>
      </w:r>
      <w:r>
        <w:rPr>
          <w:w w:val="65"/>
        </w:rPr>
        <w:t>”</w:t>
      </w:r>
      <w:r>
        <w:rPr>
          <w:spacing w:val="2"/>
          <w:w w:val="95"/>
        </w:rPr>
        <w:t>可作出不同约定以及</w:t>
      </w:r>
      <w:r>
        <w:rPr>
          <w:spacing w:val="2"/>
          <w:w w:val="65"/>
        </w:rPr>
        <w:t>“</w:t>
      </w:r>
      <w:r>
        <w:rPr>
          <w:spacing w:val="2"/>
          <w:w w:val="95"/>
        </w:rPr>
        <w:t>公路工程专用合同条款</w:t>
      </w:r>
      <w:r>
        <w:rPr>
          <w:w w:val="65"/>
        </w:rPr>
        <w:t>”</w:t>
      </w:r>
      <w:r>
        <w:rPr>
          <w:spacing w:val="2"/>
          <w:w w:val="95"/>
        </w:rPr>
        <w:t>明确</w:t>
      </w:r>
      <w:r>
        <w:rPr>
          <w:w w:val="65"/>
        </w:rPr>
        <w:t>“</w:t>
      </w:r>
      <w:r>
        <w:rPr>
          <w:spacing w:val="2"/>
          <w:w w:val="95"/>
        </w:rPr>
        <w:t>项目专用合同条款</w:t>
      </w:r>
      <w:r>
        <w:rPr>
          <w:spacing w:val="5"/>
          <w:w w:val="65"/>
        </w:rPr>
        <w:t>”</w:t>
      </w:r>
      <w:r>
        <w:rPr>
          <w:spacing w:val="2"/>
          <w:w w:val="95"/>
        </w:rPr>
        <w:t>可作出不同约定</w:t>
      </w:r>
      <w:r>
        <w:rPr>
          <w:spacing w:val="-7"/>
          <w:w w:val="95"/>
        </w:rPr>
        <w:t>外，补充和细化的内容不得与“通用合同条款</w:t>
      </w:r>
      <w:r>
        <w:rPr>
          <w:w w:val="65"/>
        </w:rPr>
        <w:t>”及“</w:t>
      </w:r>
      <w:r>
        <w:rPr>
          <w:w w:val="95"/>
        </w:rPr>
        <w:t>公路工程专用合同条款”强制性规定</w:t>
      </w:r>
      <w:r>
        <w:t>相抵触。同时，补充、细化或约定的内容，不得违反法律、行政法规的强制性规定和平等、自愿、公平和诚实信用原则。</w:t>
      </w:r>
    </w:p>
    <w:p>
      <w:pPr>
        <w:pStyle w:val="11"/>
        <w:spacing w:before="119"/>
        <w:ind w:left="1144"/>
      </w:pPr>
      <w:r>
        <w:t>2.项目专用合同条款的编号应与通用合同条款和公路工程专用合同条款一</w:t>
      </w:r>
    </w:p>
    <w:p>
      <w:pPr>
        <w:pStyle w:val="11"/>
        <w:spacing w:before="110"/>
        <w:ind w:left="424"/>
      </w:pPr>
      <w:r>
        <w:t>致。</w:t>
      </w:r>
    </w:p>
    <w:p>
      <w:pPr>
        <w:pStyle w:val="11"/>
        <w:spacing w:before="233"/>
        <w:ind w:left="1144"/>
      </w:pPr>
      <w:r>
        <w:t>3.项目专用合同条款可对下列内容进行补充和细化：</w:t>
      </w:r>
    </w:p>
    <w:p>
      <w:pPr>
        <w:pStyle w:val="11"/>
        <w:spacing w:before="230"/>
        <w:ind w:left="1144"/>
      </w:pPr>
      <w:r>
        <w:t>（</w:t>
      </w:r>
      <w:r>
        <w:rPr>
          <w:w w:val="111"/>
        </w:rPr>
        <w:t>1</w:t>
      </w:r>
      <w:r>
        <w:rPr>
          <w:spacing w:val="-120"/>
        </w:rPr>
        <w:t>）</w:t>
      </w:r>
      <w:r>
        <w:rPr>
          <w:spacing w:val="-1"/>
          <w:w w:val="33"/>
        </w:rPr>
        <w:t>“</w:t>
      </w:r>
      <w:r>
        <w:t>通用合同条款</w:t>
      </w:r>
      <w:r>
        <w:rPr>
          <w:w w:val="66"/>
        </w:rPr>
        <w:t>”中</w:t>
      </w:r>
      <w:r>
        <w:t>明确指出</w:t>
      </w:r>
      <w:r>
        <w:rPr>
          <w:spacing w:val="-1"/>
          <w:w w:val="77"/>
        </w:rPr>
        <w:t>“专用</w:t>
      </w:r>
      <w:r>
        <w:t>合同条</w:t>
      </w:r>
      <w:r>
        <w:rPr>
          <w:w w:val="66"/>
        </w:rPr>
        <w:t>款”</w:t>
      </w:r>
      <w:r>
        <w:t>可对</w:t>
      </w:r>
      <w:r>
        <w:rPr>
          <w:w w:val="77"/>
        </w:rPr>
        <w:t>“通用</w:t>
      </w:r>
      <w:r>
        <w:t>合同条款</w:t>
      </w:r>
      <w:r>
        <w:rPr>
          <w:w w:val="33"/>
        </w:rPr>
        <w:t>”</w:t>
      </w:r>
      <w:r>
        <w:t>进行修改</w:t>
      </w:r>
    </w:p>
    <w:p>
      <w:pPr>
        <w:pStyle w:val="11"/>
        <w:spacing w:before="110" w:line="326" w:lineRule="auto"/>
        <w:ind w:left="424" w:right="300"/>
      </w:pPr>
      <w:r>
        <w:rPr>
          <w:w w:val="95"/>
        </w:rPr>
        <w:t>的内容（</w:t>
      </w:r>
      <w:r>
        <w:rPr>
          <w:spacing w:val="2"/>
          <w:w w:val="95"/>
        </w:rPr>
        <w:t>在</w:t>
      </w:r>
      <w:r>
        <w:rPr>
          <w:w w:val="65"/>
        </w:rPr>
        <w:t>“</w:t>
      </w:r>
      <w:r>
        <w:rPr>
          <w:w w:val="95"/>
        </w:rPr>
        <w:t>通用合同条款</w:t>
      </w:r>
      <w:r>
        <w:rPr>
          <w:w w:val="65"/>
        </w:rPr>
        <w:t>”</w:t>
      </w:r>
      <w:r>
        <w:rPr>
          <w:w w:val="95"/>
        </w:rPr>
        <w:t>中用</w:t>
      </w:r>
      <w:r>
        <w:rPr>
          <w:w w:val="65"/>
        </w:rPr>
        <w:t>“</w:t>
      </w:r>
      <w:r>
        <w:rPr>
          <w:w w:val="95"/>
        </w:rPr>
        <w:t>应按合同约定</w:t>
      </w:r>
      <w:r>
        <w:rPr>
          <w:spacing w:val="-39"/>
          <w:w w:val="65"/>
        </w:rPr>
        <w:t>”“</w:t>
      </w:r>
      <w:r>
        <w:rPr>
          <w:w w:val="95"/>
        </w:rPr>
        <w:t>应按专用合同条款约定</w:t>
      </w:r>
      <w:r>
        <w:rPr>
          <w:spacing w:val="-39"/>
          <w:w w:val="65"/>
        </w:rPr>
        <w:t>”“</w:t>
      </w:r>
      <w:r>
        <w:rPr>
          <w:w w:val="95"/>
        </w:rPr>
        <w:t>除合同另有</w:t>
      </w:r>
      <w:r>
        <w:rPr>
          <w:spacing w:val="-1"/>
        </w:rPr>
        <w:t>约定外</w:t>
      </w:r>
      <w:r>
        <w:rPr>
          <w:spacing w:val="-41"/>
          <w:w w:val="33"/>
        </w:rPr>
        <w:t>”“</w:t>
      </w:r>
      <w:r>
        <w:t>除专用合同条款另有约定外</w:t>
      </w:r>
      <w:r>
        <w:rPr>
          <w:spacing w:val="-41"/>
          <w:w w:val="33"/>
        </w:rPr>
        <w:t>”“</w:t>
      </w:r>
      <w:r>
        <w:rPr>
          <w:spacing w:val="-1"/>
          <w:w w:val="93"/>
        </w:rPr>
        <w:t>在专用合同条款中约定”</w:t>
      </w:r>
      <w:r>
        <w:t>等多种文字形式表达</w:t>
      </w:r>
      <w:r>
        <w:rPr>
          <w:spacing w:val="-120"/>
        </w:rPr>
        <w:t>）</w:t>
      </w:r>
      <w:r>
        <w:t>；</w:t>
      </w:r>
    </w:p>
    <w:p>
      <w:pPr>
        <w:pStyle w:val="11"/>
        <w:spacing w:before="119" w:line="326" w:lineRule="auto"/>
        <w:ind w:left="424" w:right="380" w:firstLine="719"/>
        <w:jc w:val="both"/>
      </w:pPr>
      <w:r>
        <w:rPr>
          <w:spacing w:val="1"/>
        </w:rPr>
        <w:t>（</w:t>
      </w:r>
      <w:r>
        <w:rPr>
          <w:spacing w:val="2"/>
          <w:w w:val="111"/>
        </w:rPr>
        <w:t>2</w:t>
      </w:r>
      <w:r>
        <w:rPr>
          <w:spacing w:val="-118"/>
        </w:rPr>
        <w:t>）</w:t>
      </w:r>
      <w:r>
        <w:rPr>
          <w:w w:val="33"/>
        </w:rPr>
        <w:t>“</w:t>
      </w:r>
      <w:r>
        <w:t>公路工程专用合同条款</w:t>
      </w:r>
      <w:r>
        <w:rPr>
          <w:w w:val="33"/>
        </w:rPr>
        <w:t>”</w:t>
      </w:r>
      <w:r>
        <w:t>中明确指出</w:t>
      </w:r>
      <w:r>
        <w:rPr>
          <w:spacing w:val="2"/>
          <w:w w:val="33"/>
        </w:rPr>
        <w:t>“</w:t>
      </w:r>
      <w:r>
        <w:rPr>
          <w:spacing w:val="1"/>
        </w:rPr>
        <w:t>项目专用合同条款</w:t>
      </w:r>
      <w:r>
        <w:rPr>
          <w:spacing w:val="2"/>
          <w:w w:val="33"/>
        </w:rPr>
        <w:t>”</w:t>
      </w:r>
      <w:r>
        <w:rPr>
          <w:spacing w:val="1"/>
        </w:rPr>
        <w:t>可对</w:t>
      </w:r>
      <w:r>
        <w:rPr>
          <w:spacing w:val="5"/>
          <w:w w:val="33"/>
        </w:rPr>
        <w:t>“</w:t>
      </w:r>
      <w:r>
        <w:rPr>
          <w:spacing w:val="1"/>
        </w:rPr>
        <w:t>公路工程</w:t>
      </w:r>
      <w:r>
        <w:rPr>
          <w:spacing w:val="-4"/>
          <w:w w:val="90"/>
        </w:rPr>
        <w:t>专用合同条款”进行修改的内容</w:t>
      </w:r>
      <w:r>
        <w:rPr>
          <w:w w:val="90"/>
        </w:rPr>
        <w:t>（在“公路工程专用合同条款”中用</w:t>
      </w:r>
      <w:r>
        <w:rPr>
          <w:w w:val="70"/>
        </w:rPr>
        <w:t>“</w:t>
      </w:r>
      <w:r>
        <w:rPr>
          <w:w w:val="90"/>
        </w:rPr>
        <w:t xml:space="preserve">除项目专用合同条  </w:t>
      </w:r>
      <w:r>
        <w:rPr>
          <w:w w:val="95"/>
        </w:rPr>
        <w:t>款另有约定外</w:t>
      </w:r>
      <w:r>
        <w:rPr>
          <w:spacing w:val="-40"/>
          <w:w w:val="70"/>
        </w:rPr>
        <w:t>”“</w:t>
      </w:r>
      <w:r>
        <w:rPr>
          <w:w w:val="95"/>
        </w:rPr>
        <w:t>项目专用合同条款可能约定的</w:t>
      </w:r>
      <w:r>
        <w:rPr>
          <w:spacing w:val="-40"/>
          <w:w w:val="70"/>
        </w:rPr>
        <w:t>”“</w:t>
      </w:r>
      <w:r>
        <w:rPr>
          <w:w w:val="95"/>
        </w:rPr>
        <w:t>项目专用合同条款约定的其他情形</w:t>
      </w:r>
      <w:r>
        <w:rPr>
          <w:w w:val="70"/>
        </w:rPr>
        <w:t>”</w:t>
      </w:r>
      <w:r>
        <w:rPr>
          <w:w w:val="95"/>
        </w:rPr>
        <w:t>等</w:t>
      </w:r>
      <w:r>
        <w:t>多种文字形式表达</w:t>
      </w:r>
      <w:r>
        <w:rPr>
          <w:spacing w:val="-120"/>
        </w:rPr>
        <w:t>）</w:t>
      </w:r>
      <w:r>
        <w:t>。</w:t>
      </w:r>
    </w:p>
    <w:p>
      <w:pPr>
        <w:pStyle w:val="11"/>
        <w:spacing w:before="120"/>
        <w:ind w:left="1144"/>
      </w:pPr>
      <w:r>
        <w:t>（3）其他需要补充、细化的内容。</w:t>
      </w:r>
    </w:p>
    <w:p>
      <w:pPr>
        <w:sectPr>
          <w:pgSz w:w="11910" w:h="16850"/>
          <w:pgMar w:top="1480" w:right="1200" w:bottom="1080" w:left="1220" w:header="883" w:footer="884" w:gutter="0"/>
          <w:cols w:space="720" w:num="1"/>
        </w:sectPr>
      </w:pPr>
    </w:p>
    <w:p>
      <w:pPr>
        <w:pStyle w:val="11"/>
        <w:spacing w:before="6"/>
        <w:rPr>
          <w:sz w:val="13"/>
        </w:rPr>
      </w:pPr>
      <w:r>
        <mc:AlternateContent>
          <mc:Choice Requires="wps">
            <w:drawing>
              <wp:anchor distT="0" distB="0" distL="114300" distR="114300" simplePos="0" relativeHeight="251685888" behindDoc="1" locked="0" layoutInCell="1" allowOverlap="1">
                <wp:simplePos x="0" y="0"/>
                <wp:positionH relativeFrom="page">
                  <wp:posOffset>2950845</wp:posOffset>
                </wp:positionH>
                <wp:positionV relativeFrom="page">
                  <wp:posOffset>4657725</wp:posOffset>
                </wp:positionV>
                <wp:extent cx="332740" cy="0"/>
                <wp:effectExtent l="0" t="0" r="0" b="0"/>
                <wp:wrapNone/>
                <wp:docPr id="72" name="直线 47"/>
                <wp:cNvGraphicFramePr/>
                <a:graphic xmlns:a="http://schemas.openxmlformats.org/drawingml/2006/main">
                  <a:graphicData uri="http://schemas.microsoft.com/office/word/2010/wordprocessingShape">
                    <wps:wsp>
                      <wps:cNvSpPr/>
                      <wps:spPr>
                        <a:xfrm>
                          <a:off x="0" y="0"/>
                          <a:ext cx="33274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7" o:spid="_x0000_s1026" o:spt="20" style="position:absolute;left:0pt;margin-left:232.35pt;margin-top:366.75pt;height:0pt;width:26.2pt;mso-position-horizontal-relative:page;mso-position-vertical-relative:page;z-index:-251630592;mso-width-relative:page;mso-height-relative:page;" filled="f" stroked="t" coordsize="21600,21600" o:gfxdata="UEsFBgAAAAAAAAAAAAAAAAAAAAAAAFBLAwQKAAAAAACHTuJAAAAAAAAAAAAAAAAABAAAAGRycy9Q&#10;SwMEFAAAAAgAh07iQDm6E87aAAAACwEAAA8AAABkcnMvZG93bnJldi54bWxNj01PwzAMhu9I/IfI&#10;SNxYWvbRrjTdAQTSDmhimzhnjdeWNk7VZOv27zESEhxtP3r9vPnqYjtxxsE3jhTEkwgEUulMQ5WC&#10;/e71IQXhgyajO0eo4IoeVsXtTa4z40b6wPM2VIJDyGdaQR1Cn0npyxqt9hPXI/Ht6AarA49DJc2g&#10;Rw63nXyMooW0uiH+UOsen2ss2+3JKnhP5YvbtJ/l9WvcvaXpul0m671S93dx9AQi4CX8wfCjz+pQ&#10;sNPBnch40SmYLWYJowqS6XQOgol5nMQgDr8bWeTyf4fiG1BLAwQUAAAACACHTuJA8I15WtABAACR&#10;AwAADgAAAGRycy9lMm9Eb2MueG1srVPNbhMxEL4j8Q6W72TTtEpglU0PhHJBUKnlASb+2bXkP3mc&#10;bPIsvAYnLjxOX4Oxk6ZALxUiB2fsGX/zfZ9nl9d7Z9lOJTTBd/xiMuVMeRGk8X3Hv97fvHnLGWbw&#10;EmzwquMHhfx69frVcoytmoUhWKkSIxCP7Rg7PuQc26ZBMSgHOAlReUrqkBxk2qa+kQlGQne2mU2n&#10;82YMScYUhEKk0/UxyVcVX2sl8hetUWVmO07ccl1TXTdlbVZLaPsEcTDiRAP+gYUD46npGWoNGdg2&#10;mWdQzogUMOg8EcE1QWsjVNVAai6mf6m5GyCqqoXMwXi2Cf8frPi8u03MyI4vZpx5cPRGD9++P/z4&#10;ya4WxZ0xYktFd/E2nXZIYZG618mVfxLB9tXRw9lRtc9M0OHl5WxxRb6Lx1TzdC8mzB9VcKwEHbfG&#10;F63Qwu4TZupFpY8l5dh6NnZ8Pn03JzigUdEWMoUuEnn0fb2LwRp5Y6wtNzD1m/c2sR2Ux6+/oohw&#10;/ygrTdaAw7Gupo5jMSiQH7xk+RDJFU/zywsFpyRnVtG4l4gAoc1g7EsqqbX1xKCYerSxRJsgD/QI&#10;25hMP5ATOW1VJVqS9O6V8mlGy2D9vq9gT1/S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5uhPO&#10;2gAAAAsBAAAPAAAAAAAAAAEAIAAAADgAAABkcnMvZG93bnJldi54bWxQSwECFAAUAAAACACHTuJA&#10;8I15WtABAACRAwAADgAAAAAAAAABACAAAAA/AQAAZHJzL2Uyb0RvYy54bWxQSwUGAAAAAAYABgBZ&#10;AQAAg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86912" behindDoc="1" locked="0" layoutInCell="1" allowOverlap="1">
                <wp:simplePos x="0" y="0"/>
                <wp:positionH relativeFrom="page">
                  <wp:posOffset>3280410</wp:posOffset>
                </wp:positionH>
                <wp:positionV relativeFrom="page">
                  <wp:posOffset>5349875</wp:posOffset>
                </wp:positionV>
                <wp:extent cx="117475" cy="0"/>
                <wp:effectExtent l="0" t="0" r="0" b="0"/>
                <wp:wrapNone/>
                <wp:docPr id="73" name="直线 46"/>
                <wp:cNvGraphicFramePr/>
                <a:graphic xmlns:a="http://schemas.openxmlformats.org/drawingml/2006/main">
                  <a:graphicData uri="http://schemas.microsoft.com/office/word/2010/wordprocessingShape">
                    <wps:wsp>
                      <wps:cNvSpPr/>
                      <wps:spPr>
                        <a:xfrm>
                          <a:off x="0" y="0"/>
                          <a:ext cx="11747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6" o:spid="_x0000_s1026" o:spt="20" style="position:absolute;left:0pt;margin-left:258.3pt;margin-top:421.25pt;height:0pt;width:9.25pt;mso-position-horizontal-relative:page;mso-position-vertical-relative:page;z-index:-251629568;mso-width-relative:page;mso-height-relative:page;" filled="f" stroked="t" coordsize="21600,21600" o:gfxdata="UEsFBgAAAAAAAAAAAAAAAAAAAAAAAFBLAwQKAAAAAACHTuJAAAAAAAAAAAAAAAAABAAAAGRycy9Q&#10;SwMEFAAAAAgAh07iQDX0uQ3aAAAACwEAAA8AAABkcnMvZG93bnJldi54bWxNj8tOwzAQRfdI/Qdr&#10;KrGjTgoJbojTBQikLlDVh1i78TQJicdR7Dbt32MkJLqcmaM75+bLi+nYGQfXWJIQzyJgSKXVDVUS&#10;9rv3BwHMeUVadZZQwhUdLIvJXa4ybUfa4HnrKxZCyGVKQu19n3HuyhqNcjPbI4Xb0Q5G+TAOFdeD&#10;GkO46fg8ilJuVEPhQ616fK2xbLcnI+FT8De7br/K6/e4+xBi1S6eV3sp76dx9ALM48X/w/CrH9Sh&#10;CE4HeyLtWCchidM0oBLE0zwBFojkMYmBHf42vMj5bYfiB1BLAwQUAAAACACHTuJAa/CQf9EBAACR&#10;AwAADgAAAGRycy9lMm9Eb2MueG1srVNLjhMxEN0jcQfLe9LJMCTQSmcWhGGDYKQZDlDxp9uSf3I5&#10;6eQsXIMVG44z16DsZDIws0GILJyyq/zqvefq5dXeWbZTCU3wHZ9NppwpL4I0vu/417vrV285wwxe&#10;gg1edfygkF+tXr5YjrFVF2EIVqrECMRjO8aODznHtmlQDMoBTkJUnpI6JAeZtqlvZIKR0J1tLqbT&#10;eTOGJGMKQiHS6fqY5KuKr7US+YvWqDKzHSduua6prpuyNqsltH2COBhxogH/wMKB8dT0DLWGDGyb&#10;zDMoZ0QKGHSeiOCaoLURqmogNbPpEzW3A0RVtZA5GM824f+DFZ93N4kZ2fHFa848OHqj+2/f73/8&#10;ZJfz4s4YsaWi23iTTjuksEjd6+TKP4lg++ro4eyo2mcm6HA2W1wu3nAmHlLN472YMH9UwbESdNwa&#10;X7RCC7tPmKkXlT6UlGPr2djx+fTdnOCARkVbyBS6SOTR9/UuBmvktbG23MDUb97bxHZQHr/+iiLC&#10;/aOsNFkDDse6mjqOxaBAfvCS5UMkVzzNLy8UnJKcWUXjXiIChDaDsX9TSa2tJwbF1KONJdoEeaBH&#10;2MZk+oGcyGmrKtGSpHevlE8zWgbr930Fe/ySV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fS5&#10;DdoAAAALAQAADwAAAAAAAAABACAAAAA4AAAAZHJzL2Rvd25yZXYueG1sUEsBAhQAFAAAAAgAh07i&#10;QGvwkH/RAQAAkQMAAA4AAAAAAAAAAQAgAAAAPw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87936" behindDoc="1" locked="0" layoutInCell="1" allowOverlap="1">
                <wp:simplePos x="0" y="0"/>
                <wp:positionH relativeFrom="page">
                  <wp:posOffset>3369945</wp:posOffset>
                </wp:positionH>
                <wp:positionV relativeFrom="page">
                  <wp:posOffset>6976745</wp:posOffset>
                </wp:positionV>
                <wp:extent cx="266700" cy="0"/>
                <wp:effectExtent l="0" t="0" r="0" b="0"/>
                <wp:wrapNone/>
                <wp:docPr id="74" name="直线 45"/>
                <wp:cNvGraphicFramePr/>
                <a:graphic xmlns:a="http://schemas.openxmlformats.org/drawingml/2006/main">
                  <a:graphicData uri="http://schemas.microsoft.com/office/word/2010/wordprocessingShape">
                    <wps:wsp>
                      <wps:cNvSpPr/>
                      <wps:spPr>
                        <a:xfrm>
                          <a:off x="0" y="0"/>
                          <a:ext cx="2667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5" o:spid="_x0000_s1026" o:spt="20" style="position:absolute;left:0pt;margin-left:265.35pt;margin-top:549.35pt;height:0pt;width:21pt;mso-position-horizontal-relative:page;mso-position-vertical-relative:page;z-index:-251628544;mso-width-relative:page;mso-height-relative:page;" filled="f" stroked="t" coordsize="21600,21600" o:gfxdata="UEsFBgAAAAAAAAAAAAAAAAAAAAAAAFBLAwQKAAAAAACHTuJAAAAAAAAAAAAAAAAABAAAAGRycy9Q&#10;SwMEFAAAAAgAh07iQA9vEU3YAAAADQEAAA8AAABkcnMvZG93bnJldi54bWxNj0FPwzAMhe9I/IfI&#10;SNxYsqHRrjTdAQTSDgixTZyzxmu7Nk7VZOv27zEHNG7Pfk/Pn/Pl2XXihENoPGmYThQIpNLbhioN&#10;283bQwoiREPWdJ5QwwUDLIvbm9xk1o/0had1rASXUMiMhjrGPpMylDU6Eya+R2Jv7wdnIo9DJe1g&#10;Ri53nZwp9SSdaYgv1KbHlxrLdn10Gj5S+eo/2+/ychg372m6ahfJaqv1/d1UPYOIeI7XMPziMzoU&#10;zLTzR7JBdBrmjyrhKBtqkbLiyDyZsdj9rWSRy/9fFD9QSwMEFAAAAAgAh07iQFkg2V3QAQAAkQMA&#10;AA4AAABkcnMvZTJvRG9jLnhtbK1TS44TMRDdI3EHy3vSPdGQgVY6syAMGwQjDRyg4k+3Jf/kctLJ&#10;WbgGKzYcZ65B2clk+GxGI7Jwyq7yq/eeq5fXe2fZTiU0wff8YtZyprwI0vih51+/3Lx6wxlm8BJs&#10;8KrnB4X8evXyxXKKnZqHMVipEiMQj90Uez7mHLumQTEqBzgLUXlK6pAcZNqmoZEJJkJ3tpm37aKZ&#10;QpIxBaEQ6XR9TPJVxddaifxZa1SZ2Z4Tt1zXVNdNWZvVErohQRyNONGAZ7BwYDw1PUOtIQPbJvMP&#10;lDMiBQw6z0RwTdDaCFU1kJqL9i81dyNEVbWQORjPNuH/gxWfdreJGdnzq0vOPDh6o/tv3+9//GSX&#10;r4s7U8SOiu7ibTrtkMIida+TK/8kgu2ro4ezo2qfmaDD+WJx1ZLv4iHVPN6LCfMHFRwrQc+t8UUr&#10;dLD7iJl6UelDSTm2nk09X7RvFwQHNCraQqbQRSKPfqh3MVgjb4y15QamYfPOJraD8vj1VxQR7h9l&#10;pckacDzW1dRxLEYF8r2XLB8iueJpfnmh4JTkzCoa9xIRIHQZjH1KJbW2nhgUU482lmgT5IEeYRuT&#10;GUZyIqetqkRLkt69Uj7NaBms3/cV7PFLWv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D28RTdgA&#10;AAANAQAADwAAAAAAAAABACAAAAA4AAAAZHJzL2Rvd25yZXYueG1sUEsBAhQAFAAAAAgAh07iQFkg&#10;2V3QAQAAkQMAAA4AAAAAAAAAAQAgAAAAPQEAAGRycy9lMm9Eb2MueG1sUEsFBgAAAAAGAAYAWQEA&#10;AH8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88960" behindDoc="1" locked="0" layoutInCell="1" allowOverlap="1">
                <wp:simplePos x="0" y="0"/>
                <wp:positionH relativeFrom="page">
                  <wp:posOffset>3636645</wp:posOffset>
                </wp:positionH>
                <wp:positionV relativeFrom="page">
                  <wp:posOffset>7211060</wp:posOffset>
                </wp:positionV>
                <wp:extent cx="265430" cy="0"/>
                <wp:effectExtent l="0" t="0" r="0" b="0"/>
                <wp:wrapNone/>
                <wp:docPr id="75" name="直线 44"/>
                <wp:cNvGraphicFramePr/>
                <a:graphic xmlns:a="http://schemas.openxmlformats.org/drawingml/2006/main">
                  <a:graphicData uri="http://schemas.microsoft.com/office/word/2010/wordprocessingShape">
                    <wps:wsp>
                      <wps:cNvSpPr/>
                      <wps:spPr>
                        <a:xfrm>
                          <a:off x="0" y="0"/>
                          <a:ext cx="265430" cy="0"/>
                        </a:xfrm>
                        <a:prstGeom prst="line">
                          <a:avLst/>
                        </a:prstGeom>
                        <a:ln w="6097" cap="flat" cmpd="sng">
                          <a:solidFill>
                            <a:srgbClr val="000000"/>
                          </a:solidFill>
                          <a:prstDash val="solid"/>
                          <a:headEnd type="none" w="med" len="med"/>
                          <a:tailEnd type="none" w="med" len="med"/>
                        </a:ln>
                      </wps:spPr>
                      <wps:bodyPr upright="true"/>
                    </wps:wsp>
                  </a:graphicData>
                </a:graphic>
              </wp:anchor>
            </w:drawing>
          </mc:Choice>
          <mc:Fallback>
            <w:pict>
              <v:line id="直线 44" o:spid="_x0000_s1026" o:spt="20" style="position:absolute;left:0pt;margin-left:286.35pt;margin-top:567.8pt;height:0pt;width:20.9pt;mso-position-horizontal-relative:page;mso-position-vertical-relative:page;z-index:-251627520;mso-width-relative:page;mso-height-relative:page;" filled="f" stroked="t" coordsize="21600,21600" o:gfxdata="UEsFBgAAAAAAAAAAAAAAAAAAAAAAAFBLAwQKAAAAAACHTuJAAAAAAAAAAAAAAAAABAAAAGRycy9Q&#10;SwMEFAAAAAgAh07iQM9qiU7YAAAADQEAAA8AAABkcnMvZG93bnJldi54bWxNj01Lw0AQhu+C/2EZ&#10;wZvdbNOkJWZTsCAInmzV8yY7JsH9CNltmvjrHQ+ix5n34Z1nyv1sDZtwDL13EsQqAYau8bp3rYTX&#10;0+PdDliIymllvEMJCwbYV9dXpSq0v7gXnI6xZVTiQqEkdDEOBeeh6dCqsPIDOso+/GhVpHFsuR7V&#10;hcqt4eskyblVvaMLnRrw0GHzeTxbCZtpXp6/DviQ1k9i2WXtWxrejZS3NyK5BxZxjn8w/OiTOlTk&#10;VPuz04EZCdl2vSWUApFmOTBCcrHJgNW/K16V/P8X1TdQSwMEFAAAAAgAh07iQExaEAvQAQAAkQMA&#10;AA4AAABkcnMvZTJvRG9jLnhtbK1TS44TMRDdI3EHy3vSmZDJMK10ZkEYNghGGjhAxZ9uS/7J5aST&#10;s3ANVmw4zlyDspPJwLBBiCycsqv86r3n6uXN3lm2UwlN8B2/mEw5U14EaXzf8S+fb1+94QwzeAk2&#10;eNXxg0J+s3r5YjnGVs3CEKxUiRGIx3aMHR9yjm3ToBiUA5yEqDwldUgOMm1T38gEI6E728ym00Uz&#10;hiRjCkIh0un6mOSriq+1EvmT1qgysx0nbrmuqa6bsjarJbR9gjgYcaIB/8DCgfHU9Ay1hgxsm8wf&#10;UM6IFDDoPBHBNUFrI1TVQGoups/U3A8QVdVC5mA824T/D1Z83N0lZmTHry458+DojR6+fnv4/oPN&#10;58WdMWJLRffxLp12SGGRutfJlX8SwfbV0cPZUbXPTNDhbHE5f02+i8dU83QvJszvVXCsBB23xhet&#10;0MLuA2bqRaWPJeXYejZ2fDG9viI4oFHRFjKFLhJ59H29i8EaeWusLTcw9Zu3NrEdlMevv6KIcH8r&#10;K03WgMOxrqaOYzEokO+8ZPkQyRVP88sLBackZ1bRuJeIAKHNYOzfVFJr64lBMfVoY4k2QR7oEbYx&#10;mX4gJ3Laqkq0JOndK+XTjJbB+nVfwZ6+pN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z2qJTtgA&#10;AAANAQAADwAAAAAAAAABACAAAAA4AAAAZHJzL2Rvd25yZXYueG1sUEsBAhQAFAAAAAgAh07iQExa&#10;EAvQAQAAkQMAAA4AAAAAAAAAAQAgAAAAPQEAAGRycy9lMm9Eb2MueG1sUEsFBgAAAAAGAAYAWQEA&#10;AH8FAAAAAA==&#10;">
                <v:fill on="f" focussize="0,0"/>
                <v:stroke weight="0.48007874015748pt" color="#000000" joinstyle="round"/>
                <v:imagedata o:title=""/>
                <o:lock v:ext="edit" aspectratio="f"/>
              </v:line>
            </w:pict>
          </mc:Fallback>
        </mc:AlternateContent>
      </w:r>
      <w:r>
        <mc:AlternateContent>
          <mc:Choice Requires="wps">
            <w:drawing>
              <wp:anchor distT="0" distB="0" distL="114300" distR="114300" simplePos="0" relativeHeight="251689984" behindDoc="1" locked="0" layoutInCell="1" allowOverlap="1">
                <wp:simplePos x="0" y="0"/>
                <wp:positionH relativeFrom="page">
                  <wp:posOffset>3369945</wp:posOffset>
                </wp:positionH>
                <wp:positionV relativeFrom="page">
                  <wp:posOffset>7446010</wp:posOffset>
                </wp:positionV>
                <wp:extent cx="266700" cy="0"/>
                <wp:effectExtent l="0" t="0" r="0" b="0"/>
                <wp:wrapNone/>
                <wp:docPr id="76" name="直线 43"/>
                <wp:cNvGraphicFramePr/>
                <a:graphic xmlns:a="http://schemas.openxmlformats.org/drawingml/2006/main">
                  <a:graphicData uri="http://schemas.microsoft.com/office/word/2010/wordprocessingShape">
                    <wps:wsp>
                      <wps:cNvSpPr/>
                      <wps:spPr>
                        <a:xfrm>
                          <a:off x="0" y="0"/>
                          <a:ext cx="2667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3" o:spid="_x0000_s1026" o:spt="20" style="position:absolute;left:0pt;margin-left:265.35pt;margin-top:586.3pt;height:0pt;width:21pt;mso-position-horizontal-relative:page;mso-position-vertical-relative:page;z-index:-251626496;mso-width-relative:page;mso-height-relative:page;" filled="f" stroked="t" coordsize="21600,21600" o:gfxdata="UEsFBgAAAAAAAAAAAAAAAAAAAAAAAFBLAwQKAAAAAACHTuJAAAAAAAAAAAAAAAAABAAAAGRycy9Q&#10;SwMEFAAAAAgAh07iQGzqXcfZAAAADQEAAA8AAABkcnMvZG93bnJldi54bWxNj8FOwzAQRO9I/IO1&#10;SNyok6A2IY3TAwikHhCirTi78TYJiddR7Dbt37McUDnuzNPsTLE6216ccPStIwXxLAKBVDnTUq1g&#10;t319yED4oMno3hEquKCHVXl7U+jcuIk+8bQJteAQ8rlW0IQw5FL6qkGr/cwNSOwd3Gh14HOspRn1&#10;xOG2l0kULaTVLfGHRg/43GDVbY5WwXsmX9xH91VdvqftW5atu6d0vVPq/i6OliACnsMVht/6XB1K&#10;7rR3RzJe9Armj1HKKBtxmixAMDJPE5b2f5IsC/l/RfkDUEsDBBQAAAAIAIdO4kAx+ONWzwEAAJED&#10;AAAOAAAAZHJzL2Uyb0RvYy54bWytU0uOEzEQ3SNxB8t70j0BZaCVziwIwwbBSDMcoOJPtyX/5HLS&#10;yVm4Bis2HGeuQdnJZIDZjBBZOGVX+dV7z9XLq72zbKcSmuB7fjFrOVNeBGn80POvd9ev3nKGGbwE&#10;G7zq+UEhv1q9fLGcYqfmYQxWqsQIxGM3xZ6POceuaVCMygHOQlSekjokB5m2aWhkgonQnW3mbbto&#10;ppBkTEEoRDpdH5N8VfG1ViJ/0RpVZrbnxC3XNdV1U9ZmtYRuSBBHI0404B9YODCemp6h1pCBbZN5&#10;AuWMSAGDzjMRXBO0NkJVDaTmov1Lze0IUVUtZA7Gs034/2DF591NYkb2/HLBmQdHb3T/7fv9j5/s&#10;zevizhSxo6LbeJNOO6SwSN3r5Mo/iWD76ujh7KjaZybocL5YXLbku3hINY/3YsL8UQXHStBza3zR&#10;Ch3sPmGmXlT6UFKOrWdTzxftO+IpgEZFW8gUukjk0Q/1LgZr5LWxttzANGze28R2UB6//ooiwv2j&#10;rDRZA47Hupo6jsWoQH7wkuVDJFc8zS8vFJySnFlF414iAoQug7HPqaTW1hODYurRxhJtgjzQI2xj&#10;MsNITuS0VZVoSdK7V8qnGS2D9fu+gj1+S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Opdx9kA&#10;AAANAQAADwAAAAAAAAABACAAAAA4AAAAZHJzL2Rvd25yZXYueG1sUEsBAhQAFAAAAAgAh07iQDH4&#10;41bPAQAAkQMAAA4AAAAAAAAAAQAgAAAAPgEAAGRycy9lMm9Eb2MueG1sUEsFBgAAAAAGAAYAWQEA&#10;AH8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91008" behindDoc="1" locked="0" layoutInCell="1" allowOverlap="1">
                <wp:simplePos x="0" y="0"/>
                <wp:positionH relativeFrom="page">
                  <wp:posOffset>3636645</wp:posOffset>
                </wp:positionH>
                <wp:positionV relativeFrom="page">
                  <wp:posOffset>7680960</wp:posOffset>
                </wp:positionV>
                <wp:extent cx="265430" cy="0"/>
                <wp:effectExtent l="0" t="0" r="0" b="0"/>
                <wp:wrapNone/>
                <wp:docPr id="77" name="直线 42"/>
                <wp:cNvGraphicFramePr/>
                <a:graphic xmlns:a="http://schemas.openxmlformats.org/drawingml/2006/main">
                  <a:graphicData uri="http://schemas.microsoft.com/office/word/2010/wordprocessingShape">
                    <wps:wsp>
                      <wps:cNvSpPr/>
                      <wps:spPr>
                        <a:xfrm>
                          <a:off x="0" y="0"/>
                          <a:ext cx="26543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2" o:spid="_x0000_s1026" o:spt="20" style="position:absolute;left:0pt;margin-left:286.35pt;margin-top:604.8pt;height:0pt;width:20.9pt;mso-position-horizontal-relative:page;mso-position-vertical-relative:page;z-index:-251625472;mso-width-relative:page;mso-height-relative:page;" filled="f" stroked="t" coordsize="21600,21600" o:gfxdata="UEsFBgAAAAAAAAAAAAAAAAAAAAAAAFBLAwQKAAAAAACHTuJAAAAAAAAAAAAAAAAABAAAAGRycy9Q&#10;SwMEFAAAAAgAh07iQMjiEG7ZAAAADQEAAA8AAABkcnMvZG93bnJldi54bWxNj8FOg0AQhu8mvsNm&#10;TLzZBWKBIksPGk16MMa28bxlR0DYWcJuS/v2jgejx5n/yz/flOuzHcQJJ985UhAvIhBItTMdNQr2&#10;u+e7HIQPmoweHKGCC3pYV9dXpS6Mm+kdT9vQCC4hX2gFbQhjIaWvW7TaL9yIxNmnm6wOPE6NNJOe&#10;udwOMomiVFrdEV9o9YiPLdb99mgVvObyyb31H/Xla9695PmmX2WbvVK3N3H0ACLgOfzB8KPP6lCx&#10;08EdyXgxKFhmScYoB0m0SkEwksb3SxCH35WsSvn/i+obUEsDBBQAAAAIAIdO4kCrKOZ80AEAAJED&#10;AAAOAAAAZHJzL2Uyb0RvYy54bWytU0uOEzEQ3SNxB8t70j1hyEArnVkQhg2CkWY4QMWfbkv+yeWk&#10;k7NwDVZsOM5cg7KTyfDZIEQWTtlVfvXec/Xyeu8s26mEJvieX8xazpQXQRo/9Pzz/c2L15xhBi/B&#10;Bq96flDIr1fPny2n2Kl5GIOVKjEC8dhNsedjzrFrGhSjcoCzEJWnpA7JQaZtGhqZYCJ0Z5t52y6a&#10;KSQZUxAKkU7XxyRfVXytlciftEaVme05cct1TXXdlLVZLaEbEsTRiBMN+AcWDoynpmeoNWRg22T+&#10;gHJGpIBB55kIrglaG6GqBlJz0f6m5m6EqKoWMgfj2Sb8f7Di4+42MSN7fnXFmQdHb/Tw5evDt+/s&#10;cl7cmSJ2VHQXb9NphxQWqXudXPknEWxfHT2cHVX7zAQdzhevLl+S7+Ix1TzdiwnzexUcK0HPrfFF&#10;K3Sw+4CZelHpY0k5tp5NPV+0bxYEBzQq2kKm0EUij36odzFYI2+MteUGpmHz1ia2g/L49VcUEe4v&#10;ZaXJGnA81tXUcSxGBfKdlywfIrniaX55oeCU5MwqGvcSESB0GYz9m0pqbT0xKKYebSzRJsgDPcI2&#10;JjOM5EROW1WJliS9e6V8mtEyWD/vK9jTl7T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MjiEG7Z&#10;AAAADQEAAA8AAAAAAAAAAQAgAAAAOAAAAGRycy9kb3ducmV2LnhtbFBLAQIUABQAAAAIAIdO4kCr&#10;KOZ80AEAAJEDAAAOAAAAAAAAAAEAIAAAAD4BAABkcnMvZTJvRG9jLnhtbFBLBQYAAAAABgAGAFkB&#10;AACABQAAAAA=&#10;">
                <v:fill on="f" focussize="0,0"/>
                <v:stroke weight="0.48pt" color="#000000" joinstyle="round"/>
                <v:imagedata o:title=""/>
                <o:lock v:ext="edit" aspectratio="f"/>
              </v:line>
            </w:pict>
          </mc:Fallback>
        </mc:AlternateContent>
      </w:r>
    </w:p>
    <w:p>
      <w:pPr>
        <w:pStyle w:val="7"/>
        <w:ind w:left="3002"/>
      </w:pPr>
      <w:bookmarkStart w:id="246" w:name="_bookmark258"/>
      <w:bookmarkEnd w:id="246"/>
      <w:r>
        <w:t>项目专用合同条款数据表</w:t>
      </w:r>
    </w:p>
    <w:p>
      <w:pPr>
        <w:pStyle w:val="11"/>
        <w:spacing w:before="3"/>
        <w:rPr>
          <w:rFonts w:ascii="黑体"/>
        </w:rPr>
      </w:pPr>
    </w:p>
    <w:p>
      <w:pPr>
        <w:pStyle w:val="11"/>
        <w:spacing w:line="326" w:lineRule="auto"/>
        <w:ind w:left="1084" w:right="384" w:hanging="660"/>
        <w:jc w:val="both"/>
      </w:pPr>
      <w:r>
        <w:rPr>
          <w:rFonts w:hint="eastAsia" w:ascii="黑体" w:hAnsi="黑体" w:eastAsia="黑体"/>
        </w:rPr>
        <w:t>说明：</w:t>
      </w:r>
      <w:r>
        <w:t xml:space="preserve">本数据表是项目专用合同条款中适用于本项目的信息和数据的归纳与提示， </w:t>
      </w:r>
      <w:r>
        <w:rPr>
          <w:w w:val="95"/>
        </w:rPr>
        <w:t>是项目专用合同条款的组成部分。第九章“投标文件格式”的投标函附录中的数</w:t>
      </w:r>
      <w:r>
        <w:t>据（供投标人确认）与本表所列有重复。编写招标文件的单位应仔细校核， 不使数据出现差错或不一致。</w:t>
      </w:r>
    </w:p>
    <w:p>
      <w:pPr>
        <w:pStyle w:val="11"/>
        <w:rPr>
          <w:sz w:val="26"/>
        </w:rPr>
      </w:pPr>
    </w:p>
    <w:tbl>
      <w:tblPr>
        <w:tblStyle w:val="19"/>
        <w:tblW w:w="904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9" w:type="dxa"/>
          </w:tcPr>
          <w:p>
            <w:pPr>
              <w:pStyle w:val="21"/>
              <w:spacing w:before="90" w:line="250" w:lineRule="exact"/>
              <w:ind w:left="83" w:right="74"/>
              <w:jc w:val="center"/>
              <w:rPr>
                <w:b/>
                <w:sz w:val="21"/>
              </w:rPr>
            </w:pPr>
            <w:r>
              <w:rPr>
                <w:b/>
                <w:sz w:val="21"/>
              </w:rPr>
              <w:t>序号</w:t>
            </w:r>
          </w:p>
        </w:tc>
        <w:tc>
          <w:tcPr>
            <w:tcW w:w="1111" w:type="dxa"/>
          </w:tcPr>
          <w:p>
            <w:pPr>
              <w:pStyle w:val="21"/>
              <w:spacing w:before="90" w:line="250" w:lineRule="exact"/>
              <w:ind w:left="84" w:right="78"/>
              <w:jc w:val="center"/>
              <w:rPr>
                <w:b/>
                <w:sz w:val="21"/>
              </w:rPr>
            </w:pPr>
            <w:r>
              <w:rPr>
                <w:b/>
                <w:sz w:val="21"/>
              </w:rPr>
              <w:t>条目号</w:t>
            </w:r>
          </w:p>
        </w:tc>
        <w:tc>
          <w:tcPr>
            <w:tcW w:w="7305" w:type="dxa"/>
          </w:tcPr>
          <w:p>
            <w:pPr>
              <w:pStyle w:val="21"/>
              <w:spacing w:before="90" w:line="250" w:lineRule="exact"/>
              <w:ind w:left="3106" w:right="3094"/>
              <w:jc w:val="center"/>
              <w:rPr>
                <w:b/>
                <w:sz w:val="21"/>
              </w:rPr>
            </w:pPr>
            <w:r>
              <w:rPr>
                <w:b/>
                <w:sz w:val="21"/>
              </w:rPr>
              <w:t>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pPr>
              <w:pStyle w:val="21"/>
              <w:spacing w:before="11"/>
            </w:pPr>
          </w:p>
          <w:p>
            <w:pPr>
              <w:pStyle w:val="21"/>
              <w:ind w:left="9"/>
              <w:jc w:val="center"/>
              <w:rPr>
                <w:rFonts w:ascii="Times New Roman"/>
                <w:sz w:val="21"/>
              </w:rPr>
            </w:pPr>
            <w:r>
              <w:rPr>
                <w:rFonts w:ascii="Times New Roman"/>
                <w:sz w:val="21"/>
              </w:rPr>
              <w:t>1</w:t>
            </w:r>
          </w:p>
        </w:tc>
        <w:tc>
          <w:tcPr>
            <w:tcW w:w="1111" w:type="dxa"/>
          </w:tcPr>
          <w:p>
            <w:pPr>
              <w:pStyle w:val="21"/>
              <w:spacing w:before="11"/>
            </w:pPr>
          </w:p>
          <w:p>
            <w:pPr>
              <w:pStyle w:val="21"/>
              <w:ind w:left="89" w:right="78"/>
              <w:jc w:val="center"/>
              <w:rPr>
                <w:rFonts w:ascii="Times New Roman"/>
                <w:sz w:val="21"/>
              </w:rPr>
            </w:pPr>
            <w:r>
              <w:rPr>
                <w:rFonts w:ascii="Times New Roman"/>
                <w:sz w:val="21"/>
              </w:rPr>
              <w:t>1.1.2.2</w:t>
            </w:r>
          </w:p>
        </w:tc>
        <w:tc>
          <w:tcPr>
            <w:tcW w:w="7305" w:type="dxa"/>
          </w:tcPr>
          <w:p>
            <w:pPr>
              <w:pStyle w:val="21"/>
              <w:spacing w:before="89"/>
              <w:ind w:left="347"/>
              <w:rPr>
                <w:sz w:val="21"/>
              </w:rPr>
            </w:pPr>
            <w:r>
              <w:rPr>
                <w:sz w:val="21"/>
              </w:rPr>
              <w:t>发 包 人：</w:t>
            </w:r>
          </w:p>
          <w:p>
            <w:pPr>
              <w:pStyle w:val="21"/>
              <w:tabs>
                <w:tab w:val="left" w:pos="979"/>
                <w:tab w:val="left" w:pos="3394"/>
              </w:tabs>
              <w:spacing w:before="91" w:line="250" w:lineRule="exact"/>
              <w:ind w:left="347"/>
              <w:rPr>
                <w:sz w:val="21"/>
              </w:rPr>
            </w:pPr>
            <w:r>
              <w:rPr>
                <w:sz w:val="21"/>
              </w:rPr>
              <w:t>地</w:t>
            </w:r>
            <w:r>
              <w:rPr>
                <w:sz w:val="21"/>
              </w:rPr>
              <w:tab/>
            </w:r>
            <w:r>
              <w:rPr>
                <w:sz w:val="21"/>
              </w:rPr>
              <w:t>址：</w:t>
            </w:r>
            <w:r>
              <w:rPr>
                <w:sz w:val="21"/>
              </w:rPr>
              <w:tab/>
            </w:r>
            <w:r>
              <w:rPr>
                <w:sz w:val="21"/>
              </w:rPr>
              <w:t>邮</w:t>
            </w:r>
            <w:r>
              <w:rPr>
                <w:spacing w:val="-3"/>
                <w:sz w:val="21"/>
              </w:rPr>
              <w:t>政</w:t>
            </w:r>
            <w:r>
              <w:rPr>
                <w:sz w:val="21"/>
              </w:rPr>
              <w:t>编</w:t>
            </w:r>
            <w:r>
              <w:rPr>
                <w:spacing w:val="-3"/>
                <w:sz w:val="21"/>
              </w:rPr>
              <w:t>码</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tcPr>
          <w:p>
            <w:pPr>
              <w:pStyle w:val="21"/>
              <w:spacing w:before="1"/>
              <w:rPr>
                <w:sz w:val="23"/>
              </w:rPr>
            </w:pPr>
          </w:p>
          <w:p>
            <w:pPr>
              <w:pStyle w:val="21"/>
              <w:ind w:left="9"/>
              <w:jc w:val="center"/>
              <w:rPr>
                <w:rFonts w:ascii="Times New Roman"/>
                <w:sz w:val="21"/>
              </w:rPr>
            </w:pPr>
            <w:r>
              <w:rPr>
                <w:rFonts w:ascii="Times New Roman"/>
                <w:sz w:val="21"/>
              </w:rPr>
              <w:t>2</w:t>
            </w:r>
          </w:p>
        </w:tc>
        <w:tc>
          <w:tcPr>
            <w:tcW w:w="1111" w:type="dxa"/>
          </w:tcPr>
          <w:p>
            <w:pPr>
              <w:pStyle w:val="21"/>
              <w:spacing w:before="1"/>
              <w:rPr>
                <w:sz w:val="23"/>
              </w:rPr>
            </w:pPr>
          </w:p>
          <w:p>
            <w:pPr>
              <w:pStyle w:val="21"/>
              <w:ind w:left="89" w:right="78"/>
              <w:jc w:val="center"/>
              <w:rPr>
                <w:rFonts w:ascii="Times New Roman"/>
                <w:sz w:val="21"/>
              </w:rPr>
            </w:pPr>
            <w:r>
              <w:rPr>
                <w:rFonts w:ascii="Times New Roman"/>
                <w:sz w:val="21"/>
              </w:rPr>
              <w:t>1.1.2.6</w:t>
            </w:r>
          </w:p>
        </w:tc>
        <w:tc>
          <w:tcPr>
            <w:tcW w:w="7305" w:type="dxa"/>
          </w:tcPr>
          <w:p>
            <w:pPr>
              <w:pStyle w:val="21"/>
              <w:spacing w:before="92"/>
              <w:ind w:left="347"/>
              <w:rPr>
                <w:sz w:val="21"/>
              </w:rPr>
            </w:pPr>
            <w:r>
              <w:rPr>
                <w:sz w:val="21"/>
              </w:rPr>
              <w:t>监 理 人：</w:t>
            </w:r>
          </w:p>
          <w:p>
            <w:pPr>
              <w:pStyle w:val="21"/>
              <w:tabs>
                <w:tab w:val="left" w:pos="979"/>
                <w:tab w:val="left" w:pos="3394"/>
              </w:tabs>
              <w:spacing w:before="91" w:line="250" w:lineRule="exact"/>
              <w:ind w:left="347"/>
              <w:rPr>
                <w:sz w:val="21"/>
              </w:rPr>
            </w:pPr>
            <w:r>
              <w:rPr>
                <w:sz w:val="21"/>
              </w:rPr>
              <w:t>地</w:t>
            </w:r>
            <w:r>
              <w:rPr>
                <w:sz w:val="21"/>
              </w:rPr>
              <w:tab/>
            </w:r>
            <w:r>
              <w:rPr>
                <w:sz w:val="21"/>
              </w:rPr>
              <w:t>址：</w:t>
            </w:r>
            <w:r>
              <w:rPr>
                <w:sz w:val="21"/>
              </w:rPr>
              <w:tab/>
            </w:r>
            <w:r>
              <w:rPr>
                <w:sz w:val="21"/>
              </w:rPr>
              <w:t>邮</w:t>
            </w:r>
            <w:r>
              <w:rPr>
                <w:spacing w:val="-3"/>
                <w:sz w:val="21"/>
              </w:rPr>
              <w:t>政</w:t>
            </w:r>
            <w:r>
              <w:rPr>
                <w:sz w:val="21"/>
              </w:rPr>
              <w:t>编</w:t>
            </w:r>
            <w:r>
              <w:rPr>
                <w:spacing w:val="-3"/>
                <w:sz w:val="21"/>
              </w:rPr>
              <w:t>码</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21"/>
              <w:spacing w:before="113" w:line="226" w:lineRule="exact"/>
              <w:ind w:left="9"/>
              <w:jc w:val="center"/>
              <w:rPr>
                <w:rFonts w:ascii="Times New Roman"/>
                <w:sz w:val="21"/>
              </w:rPr>
            </w:pPr>
            <w:r>
              <w:rPr>
                <w:rFonts w:ascii="Times New Roman"/>
                <w:sz w:val="21"/>
              </w:rPr>
              <w:t>3</w:t>
            </w:r>
          </w:p>
        </w:tc>
        <w:tc>
          <w:tcPr>
            <w:tcW w:w="1111" w:type="dxa"/>
          </w:tcPr>
          <w:p>
            <w:pPr>
              <w:pStyle w:val="21"/>
              <w:spacing w:before="113" w:line="226" w:lineRule="exact"/>
              <w:ind w:left="89" w:right="78"/>
              <w:jc w:val="center"/>
              <w:rPr>
                <w:rFonts w:ascii="Times New Roman"/>
                <w:sz w:val="21"/>
              </w:rPr>
            </w:pPr>
            <w:r>
              <w:rPr>
                <w:rFonts w:ascii="Times New Roman"/>
                <w:sz w:val="21"/>
              </w:rPr>
              <w:t>1.1.4.5</w:t>
            </w:r>
          </w:p>
        </w:tc>
        <w:tc>
          <w:tcPr>
            <w:tcW w:w="7305" w:type="dxa"/>
          </w:tcPr>
          <w:p>
            <w:pPr>
              <w:pStyle w:val="21"/>
              <w:tabs>
                <w:tab w:val="left" w:pos="4025"/>
              </w:tabs>
              <w:spacing w:before="89" w:line="250" w:lineRule="exact"/>
              <w:ind w:left="347"/>
              <w:rPr>
                <w:sz w:val="11"/>
              </w:rPr>
            </w:pPr>
            <w:r>
              <w:rPr>
                <w:sz w:val="21"/>
              </w:rPr>
              <w:t>缺陷</w:t>
            </w:r>
            <w:r>
              <w:rPr>
                <w:spacing w:val="-3"/>
                <w:sz w:val="21"/>
              </w:rPr>
              <w:t>责</w:t>
            </w:r>
            <w:r>
              <w:rPr>
                <w:sz w:val="21"/>
              </w:rPr>
              <w:t>任</w:t>
            </w:r>
            <w:r>
              <w:rPr>
                <w:spacing w:val="-3"/>
                <w:sz w:val="21"/>
              </w:rPr>
              <w:t>期</w:t>
            </w:r>
            <w:r>
              <w:rPr>
                <w:sz w:val="21"/>
              </w:rPr>
              <w:t>：</w:t>
            </w:r>
            <w:r>
              <w:rPr>
                <w:spacing w:val="-3"/>
                <w:sz w:val="21"/>
              </w:rPr>
              <w:t>自</w:t>
            </w:r>
            <w:r>
              <w:rPr>
                <w:sz w:val="21"/>
              </w:rPr>
              <w:t>实</w:t>
            </w:r>
            <w:r>
              <w:rPr>
                <w:spacing w:val="-3"/>
                <w:sz w:val="21"/>
              </w:rPr>
              <w:t>际</w:t>
            </w:r>
            <w:r>
              <w:rPr>
                <w:sz w:val="21"/>
              </w:rPr>
              <w:t>交</w:t>
            </w:r>
            <w:r>
              <w:rPr>
                <w:spacing w:val="-3"/>
                <w:sz w:val="21"/>
              </w:rPr>
              <w:t>工</w:t>
            </w:r>
            <w:r>
              <w:rPr>
                <w:sz w:val="21"/>
              </w:rPr>
              <w:t>日期</w:t>
            </w:r>
            <w:r>
              <w:rPr>
                <w:spacing w:val="-3"/>
                <w:sz w:val="21"/>
              </w:rPr>
              <w:t>起</w:t>
            </w:r>
            <w:r>
              <w:rPr>
                <w:sz w:val="21"/>
              </w:rPr>
              <w:t>计</w:t>
            </w:r>
            <w:r>
              <w:rPr>
                <w:spacing w:val="-3"/>
                <w:sz w:val="21"/>
              </w:rPr>
              <w:t>算</w:t>
            </w:r>
            <w:r>
              <w:rPr>
                <w:spacing w:val="-3"/>
                <w:sz w:val="21"/>
                <w:u w:val="single"/>
              </w:rPr>
              <w:t xml:space="preserve"> </w:t>
            </w:r>
            <w:r>
              <w:rPr>
                <w:spacing w:val="-3"/>
                <w:sz w:val="21"/>
                <w:u w:val="single"/>
              </w:rPr>
              <w:tab/>
            </w:r>
            <w:r>
              <w:rPr>
                <w:spacing w:val="-3"/>
                <w:sz w:val="21"/>
              </w:rPr>
              <w:t>年</w:t>
            </w:r>
            <w:r>
              <w:rPr>
                <w:position w:val="10"/>
                <w:sz w:val="11"/>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pPr>
              <w:pStyle w:val="21"/>
              <w:spacing w:before="11"/>
            </w:pPr>
          </w:p>
          <w:p>
            <w:pPr>
              <w:pStyle w:val="21"/>
              <w:ind w:left="9"/>
              <w:jc w:val="center"/>
              <w:rPr>
                <w:rFonts w:ascii="Times New Roman"/>
                <w:sz w:val="21"/>
              </w:rPr>
            </w:pPr>
            <w:r>
              <w:rPr>
                <w:rFonts w:ascii="Times New Roman"/>
                <w:sz w:val="21"/>
              </w:rPr>
              <w:t>4</w:t>
            </w:r>
          </w:p>
        </w:tc>
        <w:tc>
          <w:tcPr>
            <w:tcW w:w="1111" w:type="dxa"/>
          </w:tcPr>
          <w:p>
            <w:pPr>
              <w:pStyle w:val="21"/>
              <w:spacing w:before="11"/>
            </w:pPr>
          </w:p>
          <w:p>
            <w:pPr>
              <w:pStyle w:val="21"/>
              <w:ind w:left="89" w:right="78"/>
              <w:jc w:val="center"/>
              <w:rPr>
                <w:rFonts w:ascii="Times New Roman"/>
                <w:sz w:val="21"/>
              </w:rPr>
            </w:pPr>
            <w:r>
              <w:rPr>
                <w:rFonts w:ascii="Times New Roman"/>
                <w:sz w:val="21"/>
              </w:rPr>
              <w:t>1.6.3</w:t>
            </w:r>
          </w:p>
        </w:tc>
        <w:tc>
          <w:tcPr>
            <w:tcW w:w="7305" w:type="dxa"/>
          </w:tcPr>
          <w:p>
            <w:pPr>
              <w:pStyle w:val="21"/>
              <w:tabs>
                <w:tab w:val="left" w:pos="1893"/>
              </w:tabs>
              <w:spacing w:before="12" w:line="360" w:lineRule="exact"/>
              <w:ind w:left="107" w:right="91" w:firstLine="240"/>
              <w:rPr>
                <w:sz w:val="21"/>
              </w:rPr>
            </w:pPr>
            <w:r>
              <w:rPr>
                <w:sz w:val="21"/>
              </w:rPr>
              <w:t>图纸</w:t>
            </w:r>
            <w:r>
              <w:rPr>
                <w:spacing w:val="-3"/>
                <w:sz w:val="21"/>
              </w:rPr>
              <w:t>需</w:t>
            </w:r>
            <w:r>
              <w:rPr>
                <w:sz w:val="21"/>
              </w:rPr>
              <w:t>要</w:t>
            </w:r>
            <w:r>
              <w:rPr>
                <w:spacing w:val="-3"/>
                <w:sz w:val="21"/>
              </w:rPr>
              <w:t>修</w:t>
            </w:r>
            <w:r>
              <w:rPr>
                <w:sz w:val="21"/>
              </w:rPr>
              <w:t>改</w:t>
            </w:r>
            <w:r>
              <w:rPr>
                <w:spacing w:val="-3"/>
                <w:sz w:val="21"/>
              </w:rPr>
              <w:t>和</w:t>
            </w:r>
            <w:r>
              <w:rPr>
                <w:sz w:val="21"/>
              </w:rPr>
              <w:t>补</w:t>
            </w:r>
            <w:r>
              <w:rPr>
                <w:spacing w:val="-3"/>
                <w:sz w:val="21"/>
              </w:rPr>
              <w:t>充</w:t>
            </w:r>
            <w:r>
              <w:rPr>
                <w:sz w:val="21"/>
              </w:rPr>
              <w:t>的</w:t>
            </w:r>
            <w:r>
              <w:rPr>
                <w:spacing w:val="-44"/>
                <w:sz w:val="21"/>
              </w:rPr>
              <w:t>，</w:t>
            </w:r>
            <w:r>
              <w:rPr>
                <w:sz w:val="21"/>
              </w:rPr>
              <w:t>应由</w:t>
            </w:r>
            <w:r>
              <w:rPr>
                <w:spacing w:val="-3"/>
                <w:sz w:val="21"/>
              </w:rPr>
              <w:t>监</w:t>
            </w:r>
            <w:r>
              <w:rPr>
                <w:sz w:val="21"/>
              </w:rPr>
              <w:t>理</w:t>
            </w:r>
            <w:r>
              <w:rPr>
                <w:spacing w:val="-3"/>
                <w:sz w:val="21"/>
              </w:rPr>
              <w:t>人</w:t>
            </w:r>
            <w:r>
              <w:rPr>
                <w:sz w:val="21"/>
              </w:rPr>
              <w:t>取</w:t>
            </w:r>
            <w:r>
              <w:rPr>
                <w:spacing w:val="-3"/>
                <w:sz w:val="21"/>
              </w:rPr>
              <w:t>得</w:t>
            </w:r>
            <w:r>
              <w:rPr>
                <w:sz w:val="21"/>
              </w:rPr>
              <w:t>发</w:t>
            </w:r>
            <w:r>
              <w:rPr>
                <w:spacing w:val="-3"/>
                <w:sz w:val="21"/>
              </w:rPr>
              <w:t>包</w:t>
            </w:r>
            <w:r>
              <w:rPr>
                <w:sz w:val="21"/>
              </w:rPr>
              <w:t>人</w:t>
            </w:r>
            <w:r>
              <w:rPr>
                <w:spacing w:val="-3"/>
                <w:sz w:val="21"/>
              </w:rPr>
              <w:t>同</w:t>
            </w:r>
            <w:r>
              <w:rPr>
                <w:sz w:val="21"/>
              </w:rPr>
              <w:t>意后</w:t>
            </w:r>
            <w:r>
              <w:rPr>
                <w:spacing w:val="-44"/>
                <w:sz w:val="21"/>
              </w:rPr>
              <w:t>，</w:t>
            </w:r>
            <w:r>
              <w:rPr>
                <w:sz w:val="21"/>
              </w:rPr>
              <w:t>在</w:t>
            </w:r>
            <w:r>
              <w:rPr>
                <w:spacing w:val="-3"/>
                <w:sz w:val="21"/>
              </w:rPr>
              <w:t>该</w:t>
            </w:r>
            <w:r>
              <w:rPr>
                <w:sz w:val="21"/>
              </w:rPr>
              <w:t>工</w:t>
            </w:r>
            <w:r>
              <w:rPr>
                <w:spacing w:val="-3"/>
                <w:sz w:val="21"/>
              </w:rPr>
              <w:t>程</w:t>
            </w:r>
            <w:r>
              <w:rPr>
                <w:sz w:val="21"/>
              </w:rPr>
              <w:t>或</w:t>
            </w:r>
            <w:r>
              <w:rPr>
                <w:spacing w:val="-3"/>
                <w:sz w:val="21"/>
              </w:rPr>
              <w:t>工程</w:t>
            </w:r>
            <w:r>
              <w:rPr>
                <w:sz w:val="21"/>
              </w:rPr>
              <w:t>相应部</w:t>
            </w:r>
            <w:r>
              <w:rPr>
                <w:spacing w:val="-3"/>
                <w:sz w:val="21"/>
              </w:rPr>
              <w:t>位</w:t>
            </w:r>
            <w:r>
              <w:rPr>
                <w:sz w:val="21"/>
              </w:rPr>
              <w:t>施</w:t>
            </w:r>
            <w:r>
              <w:rPr>
                <w:spacing w:val="-3"/>
                <w:sz w:val="21"/>
              </w:rPr>
              <w:t>工</w:t>
            </w:r>
            <w:r>
              <w:rPr>
                <w:sz w:val="21"/>
              </w:rPr>
              <w:t>前</w:t>
            </w:r>
            <w:r>
              <w:rPr>
                <w:sz w:val="21"/>
              </w:rPr>
              <w:tab/>
            </w:r>
            <w:r>
              <w:rPr>
                <w:sz w:val="21"/>
              </w:rPr>
              <w:t>天</w:t>
            </w:r>
            <w:r>
              <w:rPr>
                <w:spacing w:val="-3"/>
                <w:sz w:val="21"/>
              </w:rPr>
              <w:t>签发</w:t>
            </w:r>
            <w:r>
              <w:rPr>
                <w:sz w:val="21"/>
              </w:rPr>
              <w:t>图纸</w:t>
            </w:r>
            <w:r>
              <w:rPr>
                <w:spacing w:val="-3"/>
                <w:sz w:val="21"/>
              </w:rPr>
              <w:t>修</w:t>
            </w:r>
            <w:r>
              <w:rPr>
                <w:sz w:val="21"/>
              </w:rPr>
              <w:t>改</w:t>
            </w:r>
            <w:r>
              <w:rPr>
                <w:spacing w:val="-3"/>
                <w:sz w:val="21"/>
              </w:rPr>
              <w:t>图</w:t>
            </w:r>
            <w:r>
              <w:rPr>
                <w:sz w:val="21"/>
              </w:rPr>
              <w:t>给</w:t>
            </w:r>
            <w:r>
              <w:rPr>
                <w:spacing w:val="-3"/>
                <w:sz w:val="21"/>
              </w:rPr>
              <w:t>承</w:t>
            </w:r>
            <w:r>
              <w:rPr>
                <w:sz w:val="21"/>
              </w:rPr>
              <w:t>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629" w:type="dxa"/>
          </w:tcPr>
          <w:p>
            <w:pPr>
              <w:pStyle w:val="21"/>
            </w:pPr>
          </w:p>
          <w:p>
            <w:pPr>
              <w:pStyle w:val="21"/>
              <w:spacing w:before="179"/>
              <w:ind w:left="9"/>
              <w:jc w:val="center"/>
              <w:rPr>
                <w:rFonts w:ascii="Times New Roman"/>
                <w:sz w:val="21"/>
              </w:rPr>
            </w:pPr>
            <w:r>
              <w:rPr>
                <w:rFonts w:ascii="Times New Roman"/>
                <w:sz w:val="21"/>
              </w:rPr>
              <w:t>5</w:t>
            </w:r>
          </w:p>
        </w:tc>
        <w:tc>
          <w:tcPr>
            <w:tcW w:w="1111" w:type="dxa"/>
          </w:tcPr>
          <w:p>
            <w:pPr>
              <w:pStyle w:val="21"/>
            </w:pPr>
          </w:p>
          <w:p>
            <w:pPr>
              <w:pStyle w:val="21"/>
              <w:spacing w:before="179"/>
              <w:ind w:left="89" w:right="78"/>
              <w:jc w:val="center"/>
              <w:rPr>
                <w:rFonts w:ascii="Times New Roman"/>
                <w:sz w:val="21"/>
              </w:rPr>
            </w:pPr>
            <w:r>
              <w:rPr>
                <w:rFonts w:ascii="Times New Roman"/>
                <w:sz w:val="21"/>
              </w:rPr>
              <w:t>3.1.1</w:t>
            </w:r>
          </w:p>
        </w:tc>
        <w:tc>
          <w:tcPr>
            <w:tcW w:w="7305" w:type="dxa"/>
          </w:tcPr>
          <w:p>
            <w:pPr>
              <w:pStyle w:val="21"/>
              <w:spacing w:before="77"/>
              <w:ind w:left="347"/>
              <w:rPr>
                <w:sz w:val="21"/>
              </w:rPr>
            </w:pPr>
            <w:r>
              <w:rPr>
                <w:sz w:val="21"/>
              </w:rPr>
              <w:t>监理人在行使下列权力前需要经发包人事先批准：</w:t>
            </w:r>
          </w:p>
          <w:p>
            <w:pPr>
              <w:pStyle w:val="21"/>
              <w:spacing w:before="1" w:line="360" w:lineRule="atLeast"/>
              <w:ind w:left="107" w:right="83" w:firstLine="225"/>
              <w:rPr>
                <w:rFonts w:ascii="Times New Roman" w:eastAsia="Times New Roman"/>
                <w:sz w:val="21"/>
              </w:rPr>
            </w:pPr>
            <w:r>
              <w:rPr>
                <w:spacing w:val="-14"/>
                <w:sz w:val="21"/>
              </w:rPr>
              <w:t>（</w:t>
            </w:r>
            <w:r>
              <w:rPr>
                <w:rFonts w:ascii="Times New Roman" w:eastAsia="Times New Roman"/>
                <w:spacing w:val="-14"/>
                <w:sz w:val="21"/>
              </w:rPr>
              <w:t>6</w:t>
            </w:r>
            <w:r>
              <w:rPr>
                <w:spacing w:val="-14"/>
                <w:sz w:val="21"/>
              </w:rPr>
              <w:t>）</w:t>
            </w:r>
            <w:r>
              <w:rPr>
                <w:sz w:val="21"/>
              </w:rPr>
              <w:t>根据第</w:t>
            </w:r>
            <w:r>
              <w:rPr>
                <w:rFonts w:ascii="Times New Roman" w:eastAsia="Times New Roman"/>
                <w:spacing w:val="-6"/>
                <w:sz w:val="21"/>
              </w:rPr>
              <w:t xml:space="preserve">15.3 </w:t>
            </w:r>
            <w:r>
              <w:rPr>
                <w:spacing w:val="-16"/>
                <w:sz w:val="21"/>
              </w:rPr>
              <w:t>款发出的变更指示，其单项工程变更涉及的金额超过了该单项</w:t>
            </w:r>
            <w:r>
              <w:rPr>
                <w:spacing w:val="-6"/>
                <w:sz w:val="21"/>
              </w:rPr>
              <w:t xml:space="preserve">工程签约时合同价的 </w:t>
            </w:r>
            <w:r>
              <w:rPr>
                <w:rFonts w:ascii="Times New Roman" w:eastAsia="Times New Roman"/>
                <w:spacing w:val="-6"/>
                <w:sz w:val="21"/>
              </w:rPr>
              <w:t>%</w:t>
            </w:r>
            <w:r>
              <w:rPr>
                <w:spacing w:val="-15"/>
                <w:sz w:val="21"/>
              </w:rPr>
              <w:t>或累计变更超过了签约合同价的</w:t>
            </w:r>
            <w:r>
              <w:rPr>
                <w:spacing w:val="-15"/>
                <w:sz w:val="21"/>
                <w:u w:val="single"/>
              </w:rPr>
              <w:t xml:space="preserve"> </w:t>
            </w:r>
            <w:r>
              <w:rPr>
                <w:rFonts w:asci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pPr>
              <w:pStyle w:val="21"/>
              <w:spacing w:before="11"/>
            </w:pPr>
          </w:p>
          <w:p>
            <w:pPr>
              <w:pStyle w:val="21"/>
              <w:ind w:left="9"/>
              <w:jc w:val="center"/>
              <w:rPr>
                <w:rFonts w:ascii="Times New Roman"/>
                <w:sz w:val="21"/>
              </w:rPr>
            </w:pPr>
            <w:r>
              <w:rPr>
                <w:rFonts w:ascii="Times New Roman"/>
                <w:sz w:val="21"/>
              </w:rPr>
              <w:t>6</w:t>
            </w:r>
          </w:p>
        </w:tc>
        <w:tc>
          <w:tcPr>
            <w:tcW w:w="1111" w:type="dxa"/>
          </w:tcPr>
          <w:p>
            <w:pPr>
              <w:pStyle w:val="21"/>
              <w:spacing w:before="11"/>
            </w:pPr>
          </w:p>
          <w:p>
            <w:pPr>
              <w:pStyle w:val="21"/>
              <w:ind w:left="89" w:right="78"/>
              <w:jc w:val="center"/>
              <w:rPr>
                <w:rFonts w:ascii="Times New Roman"/>
                <w:sz w:val="21"/>
              </w:rPr>
            </w:pPr>
            <w:r>
              <w:rPr>
                <w:rFonts w:ascii="Times New Roman"/>
                <w:sz w:val="21"/>
              </w:rPr>
              <w:t>5.2.1</w:t>
            </w:r>
          </w:p>
        </w:tc>
        <w:tc>
          <w:tcPr>
            <w:tcW w:w="7305" w:type="dxa"/>
          </w:tcPr>
          <w:p>
            <w:pPr>
              <w:pStyle w:val="21"/>
              <w:tabs>
                <w:tab w:val="left" w:pos="4445"/>
              </w:tabs>
              <w:spacing w:before="89"/>
              <w:ind w:left="347"/>
              <w:rPr>
                <w:sz w:val="21"/>
              </w:rPr>
            </w:pPr>
            <w:r>
              <w:rPr>
                <w:sz w:val="21"/>
              </w:rPr>
              <w:t>发包</w:t>
            </w:r>
            <w:r>
              <w:rPr>
                <w:spacing w:val="-3"/>
                <w:sz w:val="21"/>
              </w:rPr>
              <w:t>人</w:t>
            </w:r>
            <w:r>
              <w:rPr>
                <w:sz w:val="21"/>
              </w:rPr>
              <w:t>是</w:t>
            </w:r>
            <w:r>
              <w:rPr>
                <w:spacing w:val="-3"/>
                <w:sz w:val="21"/>
              </w:rPr>
              <w:t>否</w:t>
            </w:r>
            <w:r>
              <w:rPr>
                <w:sz w:val="21"/>
              </w:rPr>
              <w:t>提</w:t>
            </w:r>
            <w:r>
              <w:rPr>
                <w:spacing w:val="-3"/>
                <w:sz w:val="21"/>
              </w:rPr>
              <w:t>供</w:t>
            </w:r>
            <w:r>
              <w:rPr>
                <w:sz w:val="21"/>
              </w:rPr>
              <w:t>材</w:t>
            </w:r>
            <w:r>
              <w:rPr>
                <w:spacing w:val="-3"/>
                <w:sz w:val="21"/>
              </w:rPr>
              <w:t>料</w:t>
            </w:r>
            <w:r>
              <w:rPr>
                <w:sz w:val="21"/>
              </w:rPr>
              <w:t>或</w:t>
            </w:r>
            <w:r>
              <w:rPr>
                <w:spacing w:val="-3"/>
                <w:sz w:val="21"/>
              </w:rPr>
              <w:t>工</w:t>
            </w:r>
            <w:r>
              <w:rPr>
                <w:sz w:val="21"/>
              </w:rPr>
              <w:t>程设</w:t>
            </w:r>
            <w:r>
              <w:rPr>
                <w:spacing w:val="-3"/>
                <w:sz w:val="21"/>
              </w:rPr>
              <w:t>备</w:t>
            </w:r>
            <w:r>
              <w:rPr>
                <w:sz w:val="21"/>
              </w:rPr>
              <w:t>：</w:t>
            </w:r>
            <w:r>
              <w:rPr>
                <w:spacing w:val="17"/>
                <w:sz w:val="21"/>
                <w:u w:val="single"/>
              </w:rPr>
              <w:t xml:space="preserve"> </w:t>
            </w:r>
            <w:r>
              <w:rPr>
                <w:sz w:val="21"/>
                <w:u w:val="single"/>
              </w:rPr>
              <w:t>是</w:t>
            </w:r>
            <w:r>
              <w:rPr>
                <w:spacing w:val="-3"/>
                <w:sz w:val="21"/>
                <w:u w:val="single"/>
              </w:rPr>
              <w:t>或</w:t>
            </w:r>
            <w:r>
              <w:rPr>
                <w:sz w:val="21"/>
                <w:u w:val="single"/>
              </w:rPr>
              <w:t>否</w:t>
            </w:r>
            <w:r>
              <w:rPr>
                <w:sz w:val="21"/>
                <w:u w:val="single"/>
              </w:rPr>
              <w:tab/>
            </w:r>
          </w:p>
          <w:p>
            <w:pPr>
              <w:pStyle w:val="21"/>
              <w:tabs>
                <w:tab w:val="left" w:pos="7244"/>
              </w:tabs>
              <w:spacing w:before="91" w:line="250" w:lineRule="exact"/>
              <w:ind w:left="347"/>
              <w:rPr>
                <w:rFonts w:ascii="Times New Roman" w:eastAsia="Times New Roman"/>
                <w:sz w:val="21"/>
              </w:rPr>
            </w:pPr>
            <w:r>
              <w:rPr>
                <w:spacing w:val="-1"/>
                <w:sz w:val="21"/>
              </w:rPr>
              <w:t>如发</w:t>
            </w:r>
            <w:r>
              <w:rPr>
                <w:spacing w:val="-3"/>
                <w:sz w:val="21"/>
              </w:rPr>
              <w:t>包</w:t>
            </w:r>
            <w:r>
              <w:rPr>
                <w:sz w:val="21"/>
              </w:rPr>
              <w:t>人</w:t>
            </w:r>
            <w:r>
              <w:rPr>
                <w:spacing w:val="-3"/>
                <w:sz w:val="21"/>
              </w:rPr>
              <w:t>负</w:t>
            </w:r>
            <w:r>
              <w:rPr>
                <w:sz w:val="21"/>
              </w:rPr>
              <w:t>责</w:t>
            </w:r>
            <w:r>
              <w:rPr>
                <w:spacing w:val="-3"/>
                <w:sz w:val="21"/>
              </w:rPr>
              <w:t>提</w:t>
            </w:r>
            <w:r>
              <w:rPr>
                <w:sz w:val="21"/>
              </w:rPr>
              <w:t>供</w:t>
            </w:r>
            <w:r>
              <w:rPr>
                <w:spacing w:val="-3"/>
                <w:sz w:val="21"/>
              </w:rPr>
              <w:t>部</w:t>
            </w:r>
            <w:r>
              <w:rPr>
                <w:sz w:val="21"/>
              </w:rPr>
              <w:t>分</w:t>
            </w:r>
            <w:r>
              <w:rPr>
                <w:spacing w:val="-3"/>
                <w:sz w:val="21"/>
              </w:rPr>
              <w:t>材</w:t>
            </w:r>
            <w:r>
              <w:rPr>
                <w:sz w:val="21"/>
              </w:rPr>
              <w:t>料或</w:t>
            </w:r>
            <w:r>
              <w:rPr>
                <w:spacing w:val="-3"/>
                <w:sz w:val="21"/>
              </w:rPr>
              <w:t>工</w:t>
            </w:r>
            <w:r>
              <w:rPr>
                <w:sz w:val="21"/>
              </w:rPr>
              <w:t>程</w:t>
            </w:r>
            <w:r>
              <w:rPr>
                <w:spacing w:val="-3"/>
                <w:sz w:val="21"/>
              </w:rPr>
              <w:t>设</w:t>
            </w:r>
            <w:r>
              <w:rPr>
                <w:sz w:val="21"/>
              </w:rPr>
              <w:t>备</w:t>
            </w:r>
            <w:r>
              <w:rPr>
                <w:spacing w:val="-3"/>
                <w:sz w:val="21"/>
              </w:rPr>
              <w:t>，</w:t>
            </w:r>
            <w:r>
              <w:rPr>
                <w:sz w:val="21"/>
              </w:rPr>
              <w:t>相</w:t>
            </w:r>
            <w:r>
              <w:rPr>
                <w:spacing w:val="-3"/>
                <w:sz w:val="21"/>
              </w:rPr>
              <w:t>关</w:t>
            </w:r>
            <w:r>
              <w:rPr>
                <w:sz w:val="21"/>
              </w:rPr>
              <w:t>规</w:t>
            </w:r>
            <w:r>
              <w:rPr>
                <w:spacing w:val="-3"/>
                <w:sz w:val="21"/>
              </w:rPr>
              <w:t>定</w:t>
            </w:r>
            <w:r>
              <w:rPr>
                <w:sz w:val="21"/>
              </w:rPr>
              <w:t>如下：</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pPr>
              <w:pStyle w:val="21"/>
              <w:spacing w:before="11"/>
            </w:pPr>
          </w:p>
          <w:p>
            <w:pPr>
              <w:pStyle w:val="21"/>
              <w:ind w:left="9"/>
              <w:jc w:val="center"/>
              <w:rPr>
                <w:rFonts w:ascii="Times New Roman"/>
                <w:sz w:val="21"/>
              </w:rPr>
            </w:pPr>
            <w:r>
              <w:rPr>
                <w:rFonts w:ascii="Times New Roman"/>
                <w:sz w:val="21"/>
              </w:rPr>
              <w:t>7</w:t>
            </w:r>
          </w:p>
        </w:tc>
        <w:tc>
          <w:tcPr>
            <w:tcW w:w="1111" w:type="dxa"/>
          </w:tcPr>
          <w:p>
            <w:pPr>
              <w:pStyle w:val="21"/>
              <w:spacing w:before="11"/>
            </w:pPr>
          </w:p>
          <w:p>
            <w:pPr>
              <w:pStyle w:val="21"/>
              <w:ind w:left="89" w:right="78"/>
              <w:jc w:val="center"/>
              <w:rPr>
                <w:rFonts w:ascii="Times New Roman"/>
                <w:sz w:val="21"/>
              </w:rPr>
            </w:pPr>
            <w:r>
              <w:rPr>
                <w:rFonts w:ascii="Times New Roman"/>
                <w:sz w:val="21"/>
              </w:rPr>
              <w:t>6.2</w:t>
            </w:r>
          </w:p>
        </w:tc>
        <w:tc>
          <w:tcPr>
            <w:tcW w:w="7305" w:type="dxa"/>
          </w:tcPr>
          <w:p>
            <w:pPr>
              <w:pStyle w:val="21"/>
              <w:tabs>
                <w:tab w:val="left" w:pos="4865"/>
              </w:tabs>
              <w:spacing w:before="89"/>
              <w:ind w:left="347"/>
              <w:rPr>
                <w:sz w:val="21"/>
              </w:rPr>
            </w:pPr>
            <w:r>
              <w:rPr>
                <w:sz w:val="21"/>
              </w:rPr>
              <w:t>发包</w:t>
            </w:r>
            <w:r>
              <w:rPr>
                <w:spacing w:val="-3"/>
                <w:sz w:val="21"/>
              </w:rPr>
              <w:t>人</w:t>
            </w:r>
            <w:r>
              <w:rPr>
                <w:sz w:val="21"/>
              </w:rPr>
              <w:t>是</w:t>
            </w:r>
            <w:r>
              <w:rPr>
                <w:spacing w:val="-3"/>
                <w:sz w:val="21"/>
              </w:rPr>
              <w:t>否</w:t>
            </w:r>
            <w:r>
              <w:rPr>
                <w:sz w:val="21"/>
              </w:rPr>
              <w:t>提</w:t>
            </w:r>
            <w:r>
              <w:rPr>
                <w:spacing w:val="-3"/>
                <w:sz w:val="21"/>
              </w:rPr>
              <w:t>供</w:t>
            </w:r>
            <w:r>
              <w:rPr>
                <w:sz w:val="21"/>
              </w:rPr>
              <w:t>施</w:t>
            </w:r>
            <w:r>
              <w:rPr>
                <w:spacing w:val="-3"/>
                <w:sz w:val="21"/>
              </w:rPr>
              <w:t>工</w:t>
            </w:r>
            <w:r>
              <w:rPr>
                <w:sz w:val="21"/>
              </w:rPr>
              <w:t>设</w:t>
            </w:r>
            <w:r>
              <w:rPr>
                <w:spacing w:val="-3"/>
                <w:sz w:val="21"/>
              </w:rPr>
              <w:t>备</w:t>
            </w:r>
            <w:r>
              <w:rPr>
                <w:sz w:val="21"/>
              </w:rPr>
              <w:t>和临</w:t>
            </w:r>
            <w:r>
              <w:rPr>
                <w:spacing w:val="-3"/>
                <w:sz w:val="21"/>
              </w:rPr>
              <w:t>时</w:t>
            </w:r>
            <w:r>
              <w:rPr>
                <w:sz w:val="21"/>
              </w:rPr>
              <w:t>设</w:t>
            </w:r>
            <w:r>
              <w:rPr>
                <w:spacing w:val="-3"/>
                <w:sz w:val="21"/>
              </w:rPr>
              <w:t>施</w:t>
            </w:r>
            <w:r>
              <w:rPr>
                <w:sz w:val="21"/>
              </w:rPr>
              <w:t>：</w:t>
            </w:r>
            <w:r>
              <w:rPr>
                <w:spacing w:val="20"/>
                <w:sz w:val="21"/>
                <w:u w:val="single"/>
              </w:rPr>
              <w:t xml:space="preserve"> </w:t>
            </w:r>
            <w:r>
              <w:rPr>
                <w:sz w:val="21"/>
                <w:u w:val="single"/>
              </w:rPr>
              <w:t>是</w:t>
            </w:r>
            <w:r>
              <w:rPr>
                <w:spacing w:val="-3"/>
                <w:sz w:val="21"/>
                <w:u w:val="single"/>
              </w:rPr>
              <w:t>或</w:t>
            </w:r>
            <w:r>
              <w:rPr>
                <w:sz w:val="21"/>
                <w:u w:val="single"/>
              </w:rPr>
              <w:t>否</w:t>
            </w:r>
            <w:r>
              <w:rPr>
                <w:sz w:val="21"/>
                <w:u w:val="single"/>
              </w:rPr>
              <w:tab/>
            </w:r>
          </w:p>
          <w:p>
            <w:pPr>
              <w:pStyle w:val="21"/>
              <w:tabs>
                <w:tab w:val="left" w:pos="7244"/>
              </w:tabs>
              <w:spacing w:before="91" w:line="250" w:lineRule="exact"/>
              <w:ind w:left="347"/>
              <w:rPr>
                <w:rFonts w:ascii="Times New Roman" w:eastAsia="Times New Roman"/>
                <w:sz w:val="21"/>
              </w:rPr>
            </w:pPr>
            <w:r>
              <w:rPr>
                <w:spacing w:val="-1"/>
                <w:sz w:val="21"/>
              </w:rPr>
              <w:t>如发</w:t>
            </w:r>
            <w:r>
              <w:rPr>
                <w:spacing w:val="-3"/>
                <w:sz w:val="21"/>
              </w:rPr>
              <w:t>包</w:t>
            </w:r>
            <w:r>
              <w:rPr>
                <w:sz w:val="21"/>
              </w:rPr>
              <w:t>人</w:t>
            </w:r>
            <w:r>
              <w:rPr>
                <w:spacing w:val="-3"/>
                <w:sz w:val="21"/>
              </w:rPr>
              <w:t>负</w:t>
            </w:r>
            <w:r>
              <w:rPr>
                <w:sz w:val="21"/>
              </w:rPr>
              <w:t>责</w:t>
            </w:r>
            <w:r>
              <w:rPr>
                <w:spacing w:val="-3"/>
                <w:sz w:val="21"/>
              </w:rPr>
              <w:t>提</w:t>
            </w:r>
            <w:r>
              <w:rPr>
                <w:sz w:val="21"/>
              </w:rPr>
              <w:t>供</w:t>
            </w:r>
            <w:r>
              <w:rPr>
                <w:spacing w:val="-3"/>
                <w:sz w:val="21"/>
              </w:rPr>
              <w:t>部</w:t>
            </w:r>
            <w:r>
              <w:rPr>
                <w:sz w:val="21"/>
              </w:rPr>
              <w:t>分</w:t>
            </w:r>
            <w:r>
              <w:rPr>
                <w:spacing w:val="-3"/>
                <w:sz w:val="21"/>
              </w:rPr>
              <w:t>施</w:t>
            </w:r>
            <w:r>
              <w:rPr>
                <w:sz w:val="21"/>
              </w:rPr>
              <w:t>工设</w:t>
            </w:r>
            <w:r>
              <w:rPr>
                <w:spacing w:val="-3"/>
                <w:sz w:val="21"/>
              </w:rPr>
              <w:t>备</w:t>
            </w:r>
            <w:r>
              <w:rPr>
                <w:sz w:val="21"/>
              </w:rPr>
              <w:t>和</w:t>
            </w:r>
            <w:r>
              <w:rPr>
                <w:spacing w:val="-3"/>
                <w:sz w:val="21"/>
              </w:rPr>
              <w:t>临</w:t>
            </w:r>
            <w:r>
              <w:rPr>
                <w:sz w:val="21"/>
              </w:rPr>
              <w:t>时</w:t>
            </w:r>
            <w:r>
              <w:rPr>
                <w:spacing w:val="-3"/>
                <w:sz w:val="21"/>
              </w:rPr>
              <w:t>设</w:t>
            </w:r>
            <w:r>
              <w:rPr>
                <w:sz w:val="21"/>
              </w:rPr>
              <w:t>施</w:t>
            </w:r>
            <w:r>
              <w:rPr>
                <w:spacing w:val="-3"/>
                <w:sz w:val="21"/>
              </w:rPr>
              <w:t>，</w:t>
            </w:r>
            <w:r>
              <w:rPr>
                <w:sz w:val="21"/>
              </w:rPr>
              <w:t>相</w:t>
            </w:r>
            <w:r>
              <w:rPr>
                <w:spacing w:val="-3"/>
                <w:sz w:val="21"/>
              </w:rPr>
              <w:t>关</w:t>
            </w:r>
            <w:r>
              <w:rPr>
                <w:sz w:val="21"/>
              </w:rPr>
              <w:t>规定</w:t>
            </w:r>
            <w:r>
              <w:rPr>
                <w:spacing w:val="-3"/>
                <w:sz w:val="21"/>
              </w:rPr>
              <w:t>如</w:t>
            </w:r>
            <w:r>
              <w:rPr>
                <w:sz w:val="21"/>
              </w:rPr>
              <w:t>下：</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tcPr>
          <w:p>
            <w:pPr>
              <w:pStyle w:val="21"/>
              <w:spacing w:before="1"/>
              <w:rPr>
                <w:sz w:val="23"/>
              </w:rPr>
            </w:pPr>
          </w:p>
          <w:p>
            <w:pPr>
              <w:pStyle w:val="21"/>
              <w:ind w:left="9"/>
              <w:jc w:val="center"/>
              <w:rPr>
                <w:rFonts w:ascii="Times New Roman"/>
                <w:sz w:val="21"/>
              </w:rPr>
            </w:pPr>
            <w:r>
              <w:rPr>
                <w:rFonts w:ascii="Times New Roman"/>
                <w:sz w:val="21"/>
              </w:rPr>
              <w:t>8</w:t>
            </w:r>
          </w:p>
        </w:tc>
        <w:tc>
          <w:tcPr>
            <w:tcW w:w="1111" w:type="dxa"/>
          </w:tcPr>
          <w:p>
            <w:pPr>
              <w:pStyle w:val="21"/>
              <w:spacing w:before="1"/>
              <w:rPr>
                <w:sz w:val="23"/>
              </w:rPr>
            </w:pPr>
          </w:p>
          <w:p>
            <w:pPr>
              <w:pStyle w:val="21"/>
              <w:ind w:left="89" w:right="78"/>
              <w:jc w:val="center"/>
              <w:rPr>
                <w:rFonts w:ascii="Times New Roman"/>
                <w:sz w:val="21"/>
              </w:rPr>
            </w:pPr>
            <w:r>
              <w:rPr>
                <w:rFonts w:ascii="Times New Roman"/>
                <w:sz w:val="21"/>
              </w:rPr>
              <w:t>8.1.1</w:t>
            </w:r>
          </w:p>
        </w:tc>
        <w:tc>
          <w:tcPr>
            <w:tcW w:w="7305" w:type="dxa"/>
          </w:tcPr>
          <w:p>
            <w:pPr>
              <w:pStyle w:val="21"/>
              <w:tabs>
                <w:tab w:val="left" w:pos="6908"/>
                <w:tab w:val="left" w:pos="7244"/>
              </w:tabs>
              <w:spacing w:before="1" w:line="360" w:lineRule="atLeast"/>
              <w:ind w:left="347" w:right="48"/>
              <w:rPr>
                <w:rFonts w:ascii="Times New Roman" w:eastAsia="Times New Roman"/>
                <w:sz w:val="21"/>
              </w:rPr>
            </w:pPr>
            <w:r>
              <w:rPr>
                <w:sz w:val="21"/>
              </w:rPr>
              <w:t>发包</w:t>
            </w:r>
            <w:r>
              <w:rPr>
                <w:spacing w:val="-3"/>
                <w:sz w:val="21"/>
              </w:rPr>
              <w:t>人</w:t>
            </w:r>
            <w:r>
              <w:rPr>
                <w:sz w:val="21"/>
              </w:rPr>
              <w:t>提</w:t>
            </w:r>
            <w:r>
              <w:rPr>
                <w:spacing w:val="-3"/>
                <w:sz w:val="21"/>
              </w:rPr>
              <w:t>供</w:t>
            </w:r>
            <w:r>
              <w:rPr>
                <w:sz w:val="21"/>
              </w:rPr>
              <w:t>测</w:t>
            </w:r>
            <w:r>
              <w:rPr>
                <w:spacing w:val="-3"/>
                <w:sz w:val="21"/>
              </w:rPr>
              <w:t>量</w:t>
            </w:r>
            <w:r>
              <w:rPr>
                <w:sz w:val="21"/>
              </w:rPr>
              <w:t>基</w:t>
            </w:r>
            <w:r>
              <w:rPr>
                <w:spacing w:val="-3"/>
                <w:sz w:val="21"/>
              </w:rPr>
              <w:t>准</w:t>
            </w:r>
            <w:r>
              <w:rPr>
                <w:sz w:val="21"/>
              </w:rPr>
              <w:t>点</w:t>
            </w:r>
            <w:r>
              <w:rPr>
                <w:spacing w:val="-3"/>
                <w:sz w:val="21"/>
              </w:rPr>
              <w:t>、</w:t>
            </w:r>
            <w:r>
              <w:rPr>
                <w:sz w:val="21"/>
              </w:rPr>
              <w:t>基准</w:t>
            </w:r>
            <w:r>
              <w:rPr>
                <w:spacing w:val="-3"/>
                <w:sz w:val="21"/>
              </w:rPr>
              <w:t>线</w:t>
            </w:r>
            <w:r>
              <w:rPr>
                <w:sz w:val="21"/>
              </w:rPr>
              <w:t>和</w:t>
            </w:r>
            <w:r>
              <w:rPr>
                <w:spacing w:val="-3"/>
                <w:sz w:val="21"/>
              </w:rPr>
              <w:t>水</w:t>
            </w:r>
            <w:r>
              <w:rPr>
                <w:sz w:val="21"/>
              </w:rPr>
              <w:t>准</w:t>
            </w:r>
            <w:r>
              <w:rPr>
                <w:spacing w:val="-3"/>
                <w:sz w:val="21"/>
              </w:rPr>
              <w:t>点</w:t>
            </w:r>
            <w:r>
              <w:rPr>
                <w:sz w:val="21"/>
              </w:rPr>
              <w:t>及</w:t>
            </w:r>
            <w:r>
              <w:rPr>
                <w:spacing w:val="-3"/>
                <w:sz w:val="21"/>
              </w:rPr>
              <w:t>其</w:t>
            </w:r>
            <w:r>
              <w:rPr>
                <w:sz w:val="21"/>
              </w:rPr>
              <w:t>书</w:t>
            </w:r>
            <w:r>
              <w:rPr>
                <w:spacing w:val="-3"/>
                <w:sz w:val="21"/>
              </w:rPr>
              <w:t>面</w:t>
            </w:r>
            <w:r>
              <w:rPr>
                <w:sz w:val="21"/>
              </w:rPr>
              <w:t>资料</w:t>
            </w:r>
            <w:r>
              <w:rPr>
                <w:spacing w:val="-3"/>
                <w:sz w:val="21"/>
              </w:rPr>
              <w:t>的</w:t>
            </w:r>
            <w:r>
              <w:rPr>
                <w:sz w:val="21"/>
              </w:rPr>
              <w:t>期</w:t>
            </w:r>
            <w:r>
              <w:rPr>
                <w:spacing w:val="-3"/>
                <w:sz w:val="21"/>
              </w:rPr>
              <w:t>限</w:t>
            </w:r>
            <w:r>
              <w:rPr>
                <w:sz w:val="21"/>
              </w:rPr>
              <w:t>：</w:t>
            </w:r>
            <w:r>
              <w:rPr>
                <w:sz w:val="21"/>
                <w:u w:val="single"/>
              </w:rPr>
              <w:tab/>
            </w:r>
            <w:r>
              <w:rPr>
                <w:sz w:val="21"/>
                <w:u w:val="single"/>
              </w:rPr>
              <w:tab/>
            </w:r>
            <w:r>
              <w:rPr>
                <w:sz w:val="21"/>
                <w:u w:val="single"/>
              </w:rPr>
              <w:t xml:space="preserve">        </w:t>
            </w:r>
            <w:r>
              <w:rPr>
                <w:sz w:val="21"/>
              </w:rPr>
              <w:t>承包</w:t>
            </w:r>
            <w:r>
              <w:rPr>
                <w:spacing w:val="-3"/>
                <w:sz w:val="21"/>
              </w:rPr>
              <w:t>人</w:t>
            </w:r>
            <w:r>
              <w:rPr>
                <w:sz w:val="21"/>
              </w:rPr>
              <w:t>将</w:t>
            </w:r>
            <w:r>
              <w:rPr>
                <w:spacing w:val="-3"/>
                <w:sz w:val="21"/>
              </w:rPr>
              <w:t>施</w:t>
            </w:r>
            <w:r>
              <w:rPr>
                <w:sz w:val="21"/>
              </w:rPr>
              <w:t>工</w:t>
            </w:r>
            <w:r>
              <w:rPr>
                <w:spacing w:val="-3"/>
                <w:sz w:val="21"/>
              </w:rPr>
              <w:t>控</w:t>
            </w:r>
            <w:r>
              <w:rPr>
                <w:sz w:val="21"/>
              </w:rPr>
              <w:t>制</w:t>
            </w:r>
            <w:r>
              <w:rPr>
                <w:spacing w:val="-3"/>
                <w:sz w:val="21"/>
              </w:rPr>
              <w:t>网</w:t>
            </w:r>
            <w:r>
              <w:rPr>
                <w:sz w:val="21"/>
              </w:rPr>
              <w:t>资</w:t>
            </w:r>
            <w:r>
              <w:rPr>
                <w:spacing w:val="-3"/>
                <w:sz w:val="21"/>
              </w:rPr>
              <w:t>料</w:t>
            </w:r>
            <w:r>
              <w:rPr>
                <w:sz w:val="21"/>
              </w:rPr>
              <w:t>报送</w:t>
            </w:r>
            <w:r>
              <w:rPr>
                <w:spacing w:val="-3"/>
                <w:sz w:val="21"/>
              </w:rPr>
              <w:t>监</w:t>
            </w:r>
            <w:r>
              <w:rPr>
                <w:sz w:val="21"/>
              </w:rPr>
              <w:t>理</w:t>
            </w:r>
            <w:r>
              <w:rPr>
                <w:spacing w:val="-3"/>
                <w:sz w:val="21"/>
              </w:rPr>
              <w:t>人</w:t>
            </w:r>
            <w:r>
              <w:rPr>
                <w:sz w:val="21"/>
              </w:rPr>
              <w:t>审</w:t>
            </w:r>
            <w:r>
              <w:rPr>
                <w:spacing w:val="-3"/>
                <w:sz w:val="21"/>
              </w:rPr>
              <w:t>批</w:t>
            </w:r>
            <w:r>
              <w:rPr>
                <w:sz w:val="21"/>
              </w:rPr>
              <w:t>的</w:t>
            </w:r>
            <w:r>
              <w:rPr>
                <w:spacing w:val="-3"/>
                <w:sz w:val="21"/>
              </w:rPr>
              <w:t>期</w:t>
            </w:r>
            <w:r>
              <w:rPr>
                <w:sz w:val="21"/>
              </w:rPr>
              <w:t>限</w:t>
            </w:r>
            <w:r>
              <w:rPr>
                <w:spacing w:val="-3"/>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9" w:type="dxa"/>
          </w:tcPr>
          <w:p>
            <w:pPr>
              <w:pStyle w:val="21"/>
              <w:spacing w:before="114" w:line="226" w:lineRule="exact"/>
              <w:ind w:left="9"/>
              <w:jc w:val="center"/>
              <w:rPr>
                <w:rFonts w:ascii="Times New Roman"/>
                <w:sz w:val="21"/>
              </w:rPr>
            </w:pPr>
            <w:r>
              <w:rPr>
                <w:rFonts w:ascii="Times New Roman"/>
                <w:sz w:val="21"/>
              </w:rPr>
              <w:t>9</w:t>
            </w:r>
          </w:p>
        </w:tc>
        <w:tc>
          <w:tcPr>
            <w:tcW w:w="1111" w:type="dxa"/>
          </w:tcPr>
          <w:p>
            <w:pPr>
              <w:pStyle w:val="21"/>
              <w:spacing w:before="90" w:line="250" w:lineRule="exact"/>
              <w:ind w:left="89" w:right="78"/>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7305" w:type="dxa"/>
          </w:tcPr>
          <w:p>
            <w:pPr>
              <w:pStyle w:val="21"/>
              <w:tabs>
                <w:tab w:val="left" w:pos="2450"/>
              </w:tabs>
              <w:spacing w:before="90" w:line="250" w:lineRule="exact"/>
              <w:ind w:left="347"/>
              <w:rPr>
                <w:sz w:val="21"/>
              </w:rPr>
            </w:pPr>
            <w:r>
              <w:rPr>
                <w:sz w:val="21"/>
              </w:rPr>
              <w:t>逾期</w:t>
            </w:r>
            <w:r>
              <w:rPr>
                <w:spacing w:val="-3"/>
                <w:sz w:val="21"/>
              </w:rPr>
              <w:t>交</w:t>
            </w:r>
            <w:r>
              <w:rPr>
                <w:sz w:val="21"/>
              </w:rPr>
              <w:t>工</w:t>
            </w:r>
            <w:r>
              <w:rPr>
                <w:spacing w:val="-3"/>
                <w:sz w:val="21"/>
              </w:rPr>
              <w:t>违</w:t>
            </w:r>
            <w:r>
              <w:rPr>
                <w:sz w:val="21"/>
              </w:rPr>
              <w:t>约</w:t>
            </w:r>
            <w:r>
              <w:rPr>
                <w:spacing w:val="-3"/>
                <w:sz w:val="21"/>
              </w:rPr>
              <w:t>金</w:t>
            </w:r>
            <w:r>
              <w:rPr>
                <w:sz w:val="21"/>
              </w:rPr>
              <w:t>：</w:t>
            </w:r>
            <w:r>
              <w:rPr>
                <w:sz w:val="21"/>
              </w:rPr>
              <w:tab/>
            </w:r>
            <w:r>
              <w:rPr>
                <w:sz w:val="21"/>
              </w:rPr>
              <w:t>元</w:t>
            </w:r>
            <w:r>
              <w:rPr>
                <w:rFonts w:ascii="Times New Roman" w:eastAsia="Times New Roman"/>
                <w:spacing w:val="-4"/>
                <w:sz w:val="21"/>
              </w:rPr>
              <w:t>/</w:t>
            </w:r>
            <w:r>
              <w:rPr>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21"/>
              <w:spacing w:before="113" w:line="226" w:lineRule="exact"/>
              <w:ind w:left="83" w:right="74"/>
              <w:jc w:val="center"/>
              <w:rPr>
                <w:rFonts w:ascii="Times New Roman"/>
                <w:sz w:val="21"/>
              </w:rPr>
            </w:pPr>
            <w:r>
              <w:rPr>
                <w:rFonts w:ascii="Times New Roman"/>
                <w:sz w:val="21"/>
              </w:rPr>
              <w:t>10</w:t>
            </w:r>
          </w:p>
        </w:tc>
        <w:tc>
          <w:tcPr>
            <w:tcW w:w="1111" w:type="dxa"/>
          </w:tcPr>
          <w:p>
            <w:pPr>
              <w:pStyle w:val="21"/>
              <w:spacing w:before="89" w:line="250" w:lineRule="exact"/>
              <w:ind w:left="89" w:right="78"/>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7305" w:type="dxa"/>
          </w:tcPr>
          <w:p>
            <w:pPr>
              <w:pStyle w:val="21"/>
              <w:tabs>
                <w:tab w:val="left" w:pos="2868"/>
              </w:tabs>
              <w:spacing w:before="89" w:line="250" w:lineRule="exact"/>
              <w:ind w:left="347"/>
              <w:rPr>
                <w:sz w:val="11"/>
              </w:rPr>
            </w:pPr>
            <w:r>
              <w:rPr>
                <w:sz w:val="21"/>
              </w:rPr>
              <w:t>逾期</w:t>
            </w:r>
            <w:r>
              <w:rPr>
                <w:spacing w:val="-3"/>
                <w:sz w:val="21"/>
              </w:rPr>
              <w:t>交</w:t>
            </w:r>
            <w:r>
              <w:rPr>
                <w:sz w:val="21"/>
              </w:rPr>
              <w:t>工</w:t>
            </w:r>
            <w:r>
              <w:rPr>
                <w:spacing w:val="-3"/>
                <w:sz w:val="21"/>
              </w:rPr>
              <w:t>违</w:t>
            </w:r>
            <w:r>
              <w:rPr>
                <w:sz w:val="21"/>
              </w:rPr>
              <w:t>约</w:t>
            </w:r>
            <w:r>
              <w:rPr>
                <w:spacing w:val="-3"/>
                <w:sz w:val="21"/>
              </w:rPr>
              <w:t>金</w:t>
            </w:r>
            <w:r>
              <w:rPr>
                <w:sz w:val="21"/>
              </w:rPr>
              <w:t>限</w:t>
            </w:r>
            <w:r>
              <w:rPr>
                <w:spacing w:val="-3"/>
                <w:sz w:val="21"/>
              </w:rPr>
              <w:t>额</w:t>
            </w:r>
            <w:r>
              <w:rPr>
                <w:sz w:val="21"/>
              </w:rPr>
              <w:t>：</w:t>
            </w:r>
            <w:r>
              <w:rPr>
                <w:sz w:val="21"/>
              </w:rPr>
              <w:tab/>
            </w:r>
            <w:r>
              <w:rPr>
                <w:rFonts w:ascii="Times New Roman" w:hAnsi="Times New Roman" w:eastAsia="Times New Roman"/>
                <w:sz w:val="21"/>
              </w:rPr>
              <w:t>%</w:t>
            </w:r>
            <w:r>
              <w:rPr>
                <w:sz w:val="21"/>
              </w:rPr>
              <w:t>签</w:t>
            </w:r>
            <w:r>
              <w:rPr>
                <w:spacing w:val="-3"/>
                <w:sz w:val="21"/>
              </w:rPr>
              <w:t>约</w:t>
            </w:r>
            <w:r>
              <w:rPr>
                <w:sz w:val="21"/>
              </w:rPr>
              <w:t>合</w:t>
            </w:r>
            <w:r>
              <w:rPr>
                <w:spacing w:val="-3"/>
                <w:sz w:val="21"/>
              </w:rPr>
              <w:t>同价</w:t>
            </w:r>
            <w:r>
              <w:rPr>
                <w:position w:val="10"/>
                <w:sz w:val="11"/>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21"/>
              <w:spacing w:before="113" w:line="226" w:lineRule="exact"/>
              <w:ind w:left="78" w:right="74"/>
              <w:jc w:val="center"/>
              <w:rPr>
                <w:rFonts w:ascii="Times New Roman"/>
                <w:sz w:val="21"/>
              </w:rPr>
            </w:pPr>
            <w:r>
              <w:rPr>
                <w:rFonts w:ascii="Times New Roman"/>
                <w:sz w:val="21"/>
              </w:rPr>
              <w:t>11</w:t>
            </w:r>
          </w:p>
        </w:tc>
        <w:tc>
          <w:tcPr>
            <w:tcW w:w="1111" w:type="dxa"/>
          </w:tcPr>
          <w:p>
            <w:pPr>
              <w:pStyle w:val="21"/>
              <w:spacing w:before="113" w:line="226" w:lineRule="exact"/>
              <w:ind w:left="87" w:right="78"/>
              <w:jc w:val="center"/>
              <w:rPr>
                <w:rFonts w:ascii="Times New Roman"/>
                <w:sz w:val="21"/>
              </w:rPr>
            </w:pPr>
            <w:r>
              <w:rPr>
                <w:rFonts w:ascii="Times New Roman"/>
                <w:sz w:val="21"/>
              </w:rPr>
              <w:t>11.6</w:t>
            </w:r>
          </w:p>
        </w:tc>
        <w:tc>
          <w:tcPr>
            <w:tcW w:w="7305" w:type="dxa"/>
          </w:tcPr>
          <w:p>
            <w:pPr>
              <w:pStyle w:val="21"/>
              <w:tabs>
                <w:tab w:val="left" w:pos="2450"/>
              </w:tabs>
              <w:spacing w:before="90" w:line="250" w:lineRule="exact"/>
              <w:ind w:left="347"/>
              <w:rPr>
                <w:sz w:val="21"/>
              </w:rPr>
            </w:pPr>
            <w:r>
              <w:rPr>
                <w:sz w:val="21"/>
              </w:rPr>
              <w:t>提前</w:t>
            </w:r>
            <w:r>
              <w:rPr>
                <w:spacing w:val="-3"/>
                <w:sz w:val="21"/>
              </w:rPr>
              <w:t>交</w:t>
            </w:r>
            <w:r>
              <w:rPr>
                <w:sz w:val="21"/>
              </w:rPr>
              <w:t>工</w:t>
            </w:r>
            <w:r>
              <w:rPr>
                <w:spacing w:val="-3"/>
                <w:sz w:val="21"/>
              </w:rPr>
              <w:t>的</w:t>
            </w:r>
            <w:r>
              <w:rPr>
                <w:sz w:val="21"/>
              </w:rPr>
              <w:t>奖</w:t>
            </w:r>
            <w:r>
              <w:rPr>
                <w:spacing w:val="-3"/>
                <w:sz w:val="21"/>
              </w:rPr>
              <w:t>金</w:t>
            </w:r>
            <w:r>
              <w:rPr>
                <w:sz w:val="21"/>
              </w:rPr>
              <w:t>：</w:t>
            </w:r>
            <w:r>
              <w:rPr>
                <w:sz w:val="21"/>
              </w:rPr>
              <w:tab/>
            </w:r>
            <w:r>
              <w:rPr>
                <w:sz w:val="21"/>
              </w:rPr>
              <w:t>元</w:t>
            </w:r>
            <w:r>
              <w:rPr>
                <w:rFonts w:ascii="Times New Roman" w:eastAsia="Times New Roman"/>
                <w:spacing w:val="-4"/>
                <w:sz w:val="21"/>
              </w:rPr>
              <w:t>/</w:t>
            </w:r>
            <w:r>
              <w:rPr>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21"/>
              <w:spacing w:before="113" w:line="226" w:lineRule="exact"/>
              <w:ind w:left="83" w:right="74"/>
              <w:jc w:val="center"/>
              <w:rPr>
                <w:rFonts w:ascii="Times New Roman"/>
                <w:sz w:val="21"/>
              </w:rPr>
            </w:pPr>
            <w:r>
              <w:rPr>
                <w:rFonts w:ascii="Times New Roman"/>
                <w:sz w:val="21"/>
              </w:rPr>
              <w:t>12</w:t>
            </w:r>
          </w:p>
        </w:tc>
        <w:tc>
          <w:tcPr>
            <w:tcW w:w="1111" w:type="dxa"/>
          </w:tcPr>
          <w:p>
            <w:pPr>
              <w:pStyle w:val="21"/>
              <w:spacing w:before="113" w:line="226" w:lineRule="exact"/>
              <w:ind w:left="87" w:right="78"/>
              <w:jc w:val="center"/>
              <w:rPr>
                <w:rFonts w:ascii="Times New Roman"/>
                <w:sz w:val="21"/>
              </w:rPr>
            </w:pPr>
            <w:r>
              <w:rPr>
                <w:rFonts w:ascii="Times New Roman"/>
                <w:sz w:val="21"/>
              </w:rPr>
              <w:t>11.6</w:t>
            </w:r>
          </w:p>
        </w:tc>
        <w:tc>
          <w:tcPr>
            <w:tcW w:w="7305" w:type="dxa"/>
          </w:tcPr>
          <w:p>
            <w:pPr>
              <w:pStyle w:val="21"/>
              <w:tabs>
                <w:tab w:val="left" w:pos="2868"/>
              </w:tabs>
              <w:spacing w:before="89" w:line="250" w:lineRule="exact"/>
              <w:ind w:left="347"/>
              <w:rPr>
                <w:sz w:val="21"/>
              </w:rPr>
            </w:pPr>
            <w:r>
              <w:rPr>
                <w:sz w:val="21"/>
              </w:rPr>
              <w:t>提前</w:t>
            </w:r>
            <w:r>
              <w:rPr>
                <w:spacing w:val="-3"/>
                <w:sz w:val="21"/>
              </w:rPr>
              <w:t>交</w:t>
            </w:r>
            <w:r>
              <w:rPr>
                <w:sz w:val="21"/>
              </w:rPr>
              <w:t>工</w:t>
            </w:r>
            <w:r>
              <w:rPr>
                <w:spacing w:val="-3"/>
                <w:sz w:val="21"/>
              </w:rPr>
              <w:t>的</w:t>
            </w:r>
            <w:r>
              <w:rPr>
                <w:sz w:val="21"/>
              </w:rPr>
              <w:t>奖</w:t>
            </w:r>
            <w:r>
              <w:rPr>
                <w:spacing w:val="-3"/>
                <w:sz w:val="21"/>
              </w:rPr>
              <w:t>金</w:t>
            </w:r>
            <w:r>
              <w:rPr>
                <w:sz w:val="21"/>
              </w:rPr>
              <w:t>限</w:t>
            </w:r>
            <w:r>
              <w:rPr>
                <w:spacing w:val="-3"/>
                <w:sz w:val="21"/>
              </w:rPr>
              <w:t>额</w:t>
            </w:r>
            <w:r>
              <w:rPr>
                <w:sz w:val="21"/>
              </w:rPr>
              <w:t>：</w:t>
            </w:r>
            <w:r>
              <w:rPr>
                <w:sz w:val="21"/>
              </w:rPr>
              <w:tab/>
            </w:r>
            <w:r>
              <w:rPr>
                <w:rFonts w:ascii="Times New Roman" w:eastAsia="Times New Roman"/>
                <w:sz w:val="21"/>
              </w:rPr>
              <w:t>%</w:t>
            </w:r>
            <w:r>
              <w:rPr>
                <w:sz w:val="21"/>
              </w:rPr>
              <w:t>签</w:t>
            </w:r>
            <w:r>
              <w:rPr>
                <w:spacing w:val="-3"/>
                <w:sz w:val="21"/>
              </w:rPr>
              <w:t>约</w:t>
            </w:r>
            <w:r>
              <w:rPr>
                <w:sz w:val="21"/>
              </w:rPr>
              <w:t>合</w:t>
            </w:r>
            <w:r>
              <w:rPr>
                <w:spacing w:val="-3"/>
                <w:sz w:val="21"/>
              </w:rPr>
              <w:t>同</w:t>
            </w:r>
            <w:r>
              <w:rPr>
                <w:sz w:val="21"/>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pPr>
              <w:pStyle w:val="21"/>
              <w:spacing w:before="11"/>
            </w:pPr>
          </w:p>
          <w:p>
            <w:pPr>
              <w:pStyle w:val="21"/>
              <w:ind w:left="83" w:right="74"/>
              <w:jc w:val="center"/>
              <w:rPr>
                <w:rFonts w:ascii="Times New Roman"/>
                <w:sz w:val="21"/>
              </w:rPr>
            </w:pPr>
            <w:r>
              <w:rPr>
                <w:rFonts w:ascii="Times New Roman"/>
                <w:sz w:val="21"/>
              </w:rPr>
              <w:t>13</w:t>
            </w:r>
          </w:p>
        </w:tc>
        <w:tc>
          <w:tcPr>
            <w:tcW w:w="1111" w:type="dxa"/>
          </w:tcPr>
          <w:p>
            <w:pPr>
              <w:pStyle w:val="21"/>
              <w:spacing w:before="11"/>
            </w:pPr>
          </w:p>
          <w:p>
            <w:pPr>
              <w:pStyle w:val="21"/>
              <w:ind w:left="89" w:right="78"/>
              <w:jc w:val="center"/>
              <w:rPr>
                <w:rFonts w:ascii="Times New Roman"/>
                <w:sz w:val="21"/>
              </w:rPr>
            </w:pPr>
            <w:r>
              <w:rPr>
                <w:rFonts w:ascii="Times New Roman"/>
                <w:sz w:val="21"/>
              </w:rPr>
              <w:t>15.5.2</w:t>
            </w:r>
          </w:p>
        </w:tc>
        <w:tc>
          <w:tcPr>
            <w:tcW w:w="7305" w:type="dxa"/>
          </w:tcPr>
          <w:p>
            <w:pPr>
              <w:pStyle w:val="21"/>
              <w:tabs>
                <w:tab w:val="left" w:pos="2210"/>
                <w:tab w:val="left" w:pos="4066"/>
              </w:tabs>
              <w:spacing w:before="11" w:line="360" w:lineRule="exact"/>
              <w:ind w:left="107" w:right="91" w:firstLine="240"/>
              <w:rPr>
                <w:sz w:val="21"/>
              </w:rPr>
            </w:pPr>
            <w:r>
              <w:rPr>
                <w:sz w:val="21"/>
              </w:rPr>
              <w:t>承包</w:t>
            </w:r>
            <w:r>
              <w:rPr>
                <w:spacing w:val="-3"/>
                <w:sz w:val="21"/>
              </w:rPr>
              <w:t>人</w:t>
            </w:r>
            <w:r>
              <w:rPr>
                <w:sz w:val="21"/>
              </w:rPr>
              <w:t>提出的</w:t>
            </w:r>
            <w:r>
              <w:rPr>
                <w:spacing w:val="-3"/>
                <w:sz w:val="21"/>
              </w:rPr>
              <w:t>合</w:t>
            </w:r>
            <w:r>
              <w:rPr>
                <w:sz w:val="21"/>
              </w:rPr>
              <w:t>理</w:t>
            </w:r>
            <w:r>
              <w:rPr>
                <w:spacing w:val="-3"/>
                <w:sz w:val="21"/>
              </w:rPr>
              <w:t>化</w:t>
            </w:r>
            <w:r>
              <w:rPr>
                <w:sz w:val="21"/>
              </w:rPr>
              <w:t>建</w:t>
            </w:r>
            <w:r>
              <w:rPr>
                <w:spacing w:val="-3"/>
                <w:sz w:val="21"/>
              </w:rPr>
              <w:t>议</w:t>
            </w:r>
            <w:r>
              <w:rPr>
                <w:sz w:val="21"/>
              </w:rPr>
              <w:t>降低</w:t>
            </w:r>
            <w:r>
              <w:rPr>
                <w:spacing w:val="-3"/>
                <w:sz w:val="21"/>
              </w:rPr>
              <w:t>了</w:t>
            </w:r>
            <w:r>
              <w:rPr>
                <w:sz w:val="21"/>
              </w:rPr>
              <w:t>合</w:t>
            </w:r>
            <w:r>
              <w:rPr>
                <w:spacing w:val="-3"/>
                <w:sz w:val="21"/>
              </w:rPr>
              <w:t>同</w:t>
            </w:r>
            <w:r>
              <w:rPr>
                <w:sz w:val="21"/>
              </w:rPr>
              <w:t>价</w:t>
            </w:r>
            <w:r>
              <w:rPr>
                <w:spacing w:val="-3"/>
                <w:sz w:val="21"/>
              </w:rPr>
              <w:t>格</w:t>
            </w:r>
            <w:r>
              <w:rPr>
                <w:sz w:val="21"/>
              </w:rPr>
              <w:t>或</w:t>
            </w:r>
            <w:r>
              <w:rPr>
                <w:spacing w:val="-3"/>
                <w:sz w:val="21"/>
              </w:rPr>
              <w:t>者</w:t>
            </w:r>
            <w:r>
              <w:rPr>
                <w:sz w:val="21"/>
              </w:rPr>
              <w:t>提</w:t>
            </w:r>
            <w:r>
              <w:rPr>
                <w:spacing w:val="-3"/>
                <w:sz w:val="21"/>
              </w:rPr>
              <w:t>高</w:t>
            </w:r>
            <w:r>
              <w:rPr>
                <w:sz w:val="21"/>
              </w:rPr>
              <w:t>了工</w:t>
            </w:r>
            <w:r>
              <w:rPr>
                <w:spacing w:val="-3"/>
                <w:sz w:val="21"/>
              </w:rPr>
              <w:t>程</w:t>
            </w:r>
            <w:r>
              <w:rPr>
                <w:sz w:val="21"/>
              </w:rPr>
              <w:t>经</w:t>
            </w:r>
            <w:r>
              <w:rPr>
                <w:spacing w:val="-3"/>
                <w:sz w:val="21"/>
              </w:rPr>
              <w:t>济</w:t>
            </w:r>
            <w:r>
              <w:rPr>
                <w:sz w:val="21"/>
              </w:rPr>
              <w:t>效</w:t>
            </w:r>
            <w:r>
              <w:rPr>
                <w:spacing w:val="-3"/>
                <w:sz w:val="21"/>
              </w:rPr>
              <w:t>益</w:t>
            </w:r>
            <w:r>
              <w:rPr>
                <w:sz w:val="21"/>
              </w:rPr>
              <w:t>的</w:t>
            </w:r>
            <w:r>
              <w:rPr>
                <w:spacing w:val="-85"/>
                <w:sz w:val="21"/>
              </w:rPr>
              <w:t>，</w:t>
            </w:r>
            <w:r>
              <w:rPr>
                <w:spacing w:val="-3"/>
                <w:sz w:val="21"/>
              </w:rPr>
              <w:t>发</w:t>
            </w:r>
            <w:r>
              <w:rPr>
                <w:sz w:val="21"/>
              </w:rPr>
              <w:t>包人按</w:t>
            </w:r>
            <w:r>
              <w:rPr>
                <w:spacing w:val="-3"/>
                <w:sz w:val="21"/>
              </w:rPr>
              <w:t>所</w:t>
            </w:r>
            <w:r>
              <w:rPr>
                <w:sz w:val="21"/>
              </w:rPr>
              <w:t>节</w:t>
            </w:r>
            <w:r>
              <w:rPr>
                <w:spacing w:val="-3"/>
                <w:sz w:val="21"/>
              </w:rPr>
              <w:t>约</w:t>
            </w:r>
            <w:r>
              <w:rPr>
                <w:sz w:val="21"/>
              </w:rPr>
              <w:t>成本的</w:t>
            </w:r>
            <w:r>
              <w:rPr>
                <w:sz w:val="21"/>
                <w:u w:val="single"/>
              </w:rPr>
              <w:t xml:space="preserve"> </w:t>
            </w:r>
            <w:r>
              <w:rPr>
                <w:sz w:val="21"/>
                <w:u w:val="single"/>
              </w:rPr>
              <w:tab/>
            </w:r>
            <w:r>
              <w:rPr>
                <w:rFonts w:ascii="Times New Roman" w:eastAsia="Times New Roman"/>
                <w:spacing w:val="-4"/>
                <w:sz w:val="21"/>
              </w:rPr>
              <w:t>%</w:t>
            </w:r>
            <w:r>
              <w:rPr>
                <w:sz w:val="21"/>
              </w:rPr>
              <w:t>或增</w:t>
            </w:r>
            <w:r>
              <w:rPr>
                <w:spacing w:val="-3"/>
                <w:sz w:val="21"/>
              </w:rPr>
              <w:t>加</w:t>
            </w:r>
            <w:r>
              <w:rPr>
                <w:sz w:val="21"/>
              </w:rPr>
              <w:t>收</w:t>
            </w:r>
            <w:r>
              <w:rPr>
                <w:spacing w:val="-3"/>
                <w:sz w:val="21"/>
              </w:rPr>
              <w:t>益</w:t>
            </w:r>
            <w:r>
              <w:rPr>
                <w:sz w:val="21"/>
              </w:rPr>
              <w:t>的</w:t>
            </w:r>
            <w:r>
              <w:rPr>
                <w:sz w:val="21"/>
                <w:u w:val="single"/>
              </w:rPr>
              <w:t xml:space="preserve"> </w:t>
            </w:r>
            <w:r>
              <w:rPr>
                <w:sz w:val="21"/>
                <w:u w:val="single"/>
              </w:rPr>
              <w:tab/>
            </w:r>
            <w:r>
              <w:rPr>
                <w:rFonts w:ascii="Times New Roman" w:eastAsia="Times New Roman"/>
                <w:spacing w:val="-4"/>
                <w:sz w:val="21"/>
              </w:rPr>
              <w:t>%</w:t>
            </w:r>
            <w:r>
              <w:rPr>
                <w:sz w:val="21"/>
              </w:rPr>
              <w:t>给</w:t>
            </w:r>
            <w:r>
              <w:rPr>
                <w:spacing w:val="-3"/>
                <w:sz w:val="21"/>
              </w:rPr>
              <w:t>予</w:t>
            </w:r>
            <w:r>
              <w:rPr>
                <w:sz w:val="21"/>
              </w:rPr>
              <w:t>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629" w:type="dxa"/>
          </w:tcPr>
          <w:p>
            <w:pPr>
              <w:pStyle w:val="21"/>
            </w:pPr>
          </w:p>
          <w:p>
            <w:pPr>
              <w:pStyle w:val="21"/>
              <w:spacing w:before="6"/>
              <w:rPr>
                <w:sz w:val="28"/>
              </w:rPr>
            </w:pPr>
          </w:p>
          <w:p>
            <w:pPr>
              <w:pStyle w:val="21"/>
              <w:ind w:left="83" w:right="74"/>
              <w:jc w:val="center"/>
              <w:rPr>
                <w:rFonts w:ascii="Times New Roman"/>
                <w:sz w:val="21"/>
              </w:rPr>
            </w:pPr>
            <w:r>
              <w:rPr>
                <w:rFonts w:ascii="Times New Roman"/>
                <w:sz w:val="21"/>
              </w:rPr>
              <w:t>14</w:t>
            </w:r>
          </w:p>
        </w:tc>
        <w:tc>
          <w:tcPr>
            <w:tcW w:w="1111" w:type="dxa"/>
          </w:tcPr>
          <w:p>
            <w:pPr>
              <w:pStyle w:val="21"/>
            </w:pPr>
          </w:p>
          <w:p>
            <w:pPr>
              <w:pStyle w:val="21"/>
              <w:spacing w:before="6"/>
              <w:rPr>
                <w:sz w:val="28"/>
              </w:rPr>
            </w:pPr>
          </w:p>
          <w:p>
            <w:pPr>
              <w:pStyle w:val="21"/>
              <w:ind w:left="89" w:right="78"/>
              <w:jc w:val="center"/>
              <w:rPr>
                <w:rFonts w:ascii="Times New Roman"/>
                <w:sz w:val="21"/>
              </w:rPr>
            </w:pPr>
            <w:r>
              <w:rPr>
                <w:rFonts w:ascii="Times New Roman"/>
                <w:sz w:val="21"/>
              </w:rPr>
              <w:t>16.1</w:t>
            </w:r>
          </w:p>
        </w:tc>
        <w:tc>
          <w:tcPr>
            <w:tcW w:w="7305" w:type="dxa"/>
          </w:tcPr>
          <w:p>
            <w:pPr>
              <w:pStyle w:val="21"/>
              <w:spacing w:line="350" w:lineRule="exact"/>
              <w:ind w:left="472"/>
              <w:rPr>
                <w:sz w:val="21"/>
              </w:rPr>
            </w:pPr>
            <w:r>
              <w:rPr>
                <w:rFonts w:ascii="Times New Roman" w:hAnsi="Times New Roman" w:eastAsia="Times New Roman"/>
                <w:sz w:val="32"/>
              </w:rPr>
              <w:t>□</w:t>
            </w:r>
            <w:r>
              <w:rPr>
                <w:sz w:val="21"/>
              </w:rPr>
              <w:t>因物价波动引起的价格调整按照</w:t>
            </w:r>
            <w:r>
              <w:rPr>
                <w:sz w:val="21"/>
                <w:u w:val="single"/>
              </w:rPr>
              <w:t xml:space="preserve"> 第 </w:t>
            </w:r>
            <w:r>
              <w:rPr>
                <w:rFonts w:ascii="Times New Roman" w:hAnsi="Times New Roman" w:eastAsia="Times New Roman"/>
                <w:sz w:val="21"/>
                <w:u w:val="single"/>
              </w:rPr>
              <w:t xml:space="preserve">16.1.1 </w:t>
            </w:r>
            <w:r>
              <w:rPr>
                <w:sz w:val="21"/>
                <w:u w:val="single"/>
              </w:rPr>
              <w:t xml:space="preserve">项或第 </w:t>
            </w:r>
            <w:r>
              <w:rPr>
                <w:rFonts w:ascii="Times New Roman" w:hAnsi="Times New Roman" w:eastAsia="Times New Roman"/>
                <w:sz w:val="21"/>
                <w:u w:val="single"/>
              </w:rPr>
              <w:t xml:space="preserve">16.1.2 </w:t>
            </w:r>
            <w:r>
              <w:rPr>
                <w:sz w:val="21"/>
                <w:u w:val="single"/>
              </w:rPr>
              <w:t>项</w:t>
            </w:r>
            <w:r>
              <w:rPr>
                <w:sz w:val="21"/>
              </w:rPr>
              <w:t xml:space="preserve"> 约定的原则</w:t>
            </w:r>
          </w:p>
          <w:p>
            <w:pPr>
              <w:pStyle w:val="21"/>
              <w:spacing w:before="97"/>
              <w:ind w:left="107"/>
              <w:rPr>
                <w:sz w:val="21"/>
              </w:rPr>
            </w:pPr>
            <w:r>
              <w:rPr>
                <w:sz w:val="21"/>
              </w:rPr>
              <w:t>处理</w:t>
            </w:r>
          </w:p>
          <w:p>
            <w:pPr>
              <w:pStyle w:val="21"/>
              <w:spacing w:before="13" w:line="360" w:lineRule="exact"/>
              <w:ind w:left="107" w:right="91" w:firstLine="240"/>
              <w:rPr>
                <w:sz w:val="21"/>
              </w:rPr>
            </w:pPr>
            <w:r>
              <w:rPr>
                <w:spacing w:val="-11"/>
                <w:sz w:val="21"/>
              </w:rPr>
              <w:t xml:space="preserve">若按第 </w:t>
            </w:r>
            <w:r>
              <w:rPr>
                <w:rFonts w:ascii="Times New Roman" w:eastAsia="Times New Roman"/>
                <w:sz w:val="21"/>
              </w:rPr>
              <w:t xml:space="preserve">16.1.1 </w:t>
            </w:r>
            <w:r>
              <w:rPr>
                <w:spacing w:val="-8"/>
                <w:sz w:val="21"/>
              </w:rPr>
              <w:t>项的约定采用价格调整公式进行调价，</w:t>
            </w:r>
            <w:r>
              <w:rPr>
                <w:spacing w:val="-2"/>
                <w:sz w:val="21"/>
                <w:u w:val="single"/>
              </w:rPr>
              <w:t>每半年或一年</w:t>
            </w:r>
            <w:r>
              <w:rPr>
                <w:spacing w:val="-3"/>
                <w:sz w:val="21"/>
              </w:rPr>
              <w:t>按价格调整公式进行一次调整</w:t>
            </w:r>
          </w:p>
        </w:tc>
      </w:tr>
    </w:tbl>
    <w:p>
      <w:pPr>
        <w:pStyle w:val="11"/>
        <w:spacing w:before="9"/>
        <w:rPr>
          <w:sz w:val="23"/>
        </w:rPr>
      </w:pPr>
      <w:r>
        <mc:AlternateContent>
          <mc:Choice Requires="wps">
            <w:drawing>
              <wp:anchor distT="0" distB="0" distL="114300" distR="114300" simplePos="0" relativeHeight="251664384" behindDoc="0" locked="0" layoutInCell="1" allowOverlap="1">
                <wp:simplePos x="0" y="0"/>
                <wp:positionH relativeFrom="page">
                  <wp:posOffset>1043940</wp:posOffset>
                </wp:positionH>
                <wp:positionV relativeFrom="paragraph">
                  <wp:posOffset>220980</wp:posOffset>
                </wp:positionV>
                <wp:extent cx="1829435" cy="0"/>
                <wp:effectExtent l="0" t="0" r="0" b="0"/>
                <wp:wrapTopAndBottom/>
                <wp:docPr id="38" name="直线 41"/>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1" o:spid="_x0000_s1026" o:spt="20" style="position:absolute;left:0pt;margin-left:82.2pt;margin-top:17.4pt;height:0pt;width:144.05pt;mso-position-horizontal-relative:page;mso-wrap-distance-bottom:0pt;mso-wrap-distance-top:0pt;z-index:251664384;mso-width-relative:page;mso-height-relative:page;" filled="f" stroked="t" coordsize="21600,21600" o:gfxdata="UEsFBgAAAAAAAAAAAAAAAAAAAAAAAFBLAwQKAAAAAACHTuJAAAAAAAAAAAAAAAAABAAAAGRycy9Q&#10;SwMEFAAAAAgAh07iQDMzN4jYAAAACQEAAA8AAABkcnMvZG93bnJldi54bWxNj81OwzAQhO9IfQdr&#10;kbhRpyVtQxqnhyKQekCoP+LsxtskJF5Hsdu0b88iDnCc2U+zM9nqaltxwd7XjhRMxhEIpMKZmkoF&#10;h/3rYwLCB01Gt45QwQ09rPLRXaZT4wba4mUXSsEh5FOtoAqhS6X0RYVW+7HrkPh2cr3VgWVfStPr&#10;gcNtK6dRNJdW18QfKt3husKi2Z2tgvdEvriP5rO4fQ37tyTZNM+LzUGph/tJtAQR8Br+YPipz9Uh&#10;505HdybjRct6HseMKniKeQID8Ww6A3H8NWSeyf8L8m9QSwMEFAAAAAgAh07iQNyIueTRAQAAkgMA&#10;AA4AAABkcnMvZTJvRG9jLnhtbK1TzW4TMRC+I/EOlu9kk7RE7SqbHgjlgqBS4QEm/tm15D95nGzy&#10;LLwGJy48Tl+DsZOmLVwQIgdn7Bl//r5vZpc3e2fZTiU0wXd8NplyprwI0vi+41+/3L654gwzeAk2&#10;eNXxg0J+s3r9ajnGVs3DEKxUiRGIx3aMHR9yjm3ToBiUA5yEqDwldUgOMm1T38gEI6E728yn00Uz&#10;hiRjCkIh0un6mOSriq+1Evmz1qgysx0nbrmuqa6bsjarJbR9gjgYcaIB/8DCgfH06BlqDRnYNpk/&#10;oJwRKWDQeSKCa4LWRqiqgdTMpr+puR8gqqqFzMF4tgn/H6z4tLtLzMiOX1CnPDjq0cO37w8/frLL&#10;WXFnjNhS0X28S6cdUlik7nVy5Z9EsH119HB2VO0zE3Q4u5pfX1685Uw85pqnizFh/qCCYyXouDW+&#10;iIUWdh8x02NU+lhSjq1nY8cX0+sFwQHNiraQKXSR2KPv610M1shbY225ganfvLOJ7aB0v/6KJMJ9&#10;UVYeWQMOx7qaOs7FoEC+95LlQyRbPA0wLxSckpxZRfNeIgKENoOxf1NJT1tPDIqrRx9LtAnyQF3Y&#10;xmT6gZzIaasq0ZKkxlfKpyEtk/V8X8GePqX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DMzN4jY&#10;AAAACQEAAA8AAAAAAAAAAQAgAAAAOAAAAGRycy9kb3ducmV2LnhtbFBLAQIUABQAAAAIAIdO4kDc&#10;iLnk0QEAAJIDAAAOAAAAAAAAAAEAIAAAAD0BAABkcnMvZTJvRG9jLnhtbFBLBQYAAAAABgAGAFkB&#10;AACABQAAAAA=&#10;">
                <v:fill on="f" focussize="0,0"/>
                <v:stroke weight="0.48pt" color="#000000" joinstyle="round"/>
                <v:imagedata o:title=""/>
                <o:lock v:ext="edit" aspectratio="f"/>
                <w10:wrap type="topAndBottom"/>
              </v:line>
            </w:pict>
          </mc:Fallback>
        </mc:AlternateContent>
      </w:r>
    </w:p>
    <w:p>
      <w:pPr>
        <w:spacing w:before="129"/>
        <w:ind w:left="424"/>
        <w:rPr>
          <w:sz w:val="18"/>
        </w:rPr>
      </w:pPr>
      <w:r>
        <w:rPr>
          <w:position w:val="8"/>
          <w:sz w:val="9"/>
        </w:rPr>
        <w:t xml:space="preserve">① </w:t>
      </w:r>
      <w:r>
        <w:rPr>
          <w:sz w:val="18"/>
        </w:rPr>
        <w:t xml:space="preserve">缺陷责任期一般为自实际交工日期起计算 </w:t>
      </w:r>
      <w:r>
        <w:rPr>
          <w:rFonts w:ascii="Times New Roman" w:hAnsi="Times New Roman" w:eastAsia="Times New Roman"/>
          <w:sz w:val="18"/>
        </w:rPr>
        <w:t xml:space="preserve">1 </w:t>
      </w:r>
      <w:r>
        <w:rPr>
          <w:sz w:val="18"/>
        </w:rPr>
        <w:t xml:space="preserve">年，最长不超过 </w:t>
      </w:r>
      <w:r>
        <w:rPr>
          <w:rFonts w:ascii="Times New Roman" w:hAnsi="Times New Roman" w:eastAsia="Times New Roman"/>
          <w:sz w:val="18"/>
        </w:rPr>
        <w:t xml:space="preserve">2 </w:t>
      </w:r>
      <w:r>
        <w:rPr>
          <w:sz w:val="18"/>
        </w:rPr>
        <w:t>年。</w:t>
      </w:r>
    </w:p>
    <w:p>
      <w:pPr>
        <w:spacing w:before="69"/>
        <w:ind w:left="424"/>
        <w:rPr>
          <w:sz w:val="18"/>
        </w:rPr>
      </w:pPr>
      <w:r>
        <w:rPr>
          <w:position w:val="8"/>
          <w:sz w:val="9"/>
        </w:rPr>
        <w:t xml:space="preserve">② </w:t>
      </w:r>
      <w:r>
        <w:rPr>
          <w:sz w:val="18"/>
        </w:rPr>
        <w:t xml:space="preserve">逾期交工违约金限额一般应为 </w:t>
      </w:r>
      <w:r>
        <w:rPr>
          <w:rFonts w:ascii="Times New Roman" w:hAnsi="Times New Roman" w:eastAsia="Times New Roman"/>
          <w:sz w:val="18"/>
        </w:rPr>
        <w:t>10%</w:t>
      </w:r>
      <w:r>
        <w:rPr>
          <w:sz w:val="18"/>
        </w:rPr>
        <w:t>签约合同价。</w:t>
      </w:r>
    </w:p>
    <w:p>
      <w:pPr>
        <w:rPr>
          <w:sz w:val="18"/>
        </w:rPr>
        <w:sectPr>
          <w:pgSz w:w="11910" w:h="16850"/>
          <w:pgMar w:top="1480" w:right="1200" w:bottom="1040" w:left="1220" w:header="876" w:footer="853" w:gutter="0"/>
          <w:cols w:space="720" w:num="1"/>
        </w:sectPr>
      </w:pPr>
    </w:p>
    <w:p>
      <w:pPr>
        <w:pStyle w:val="11"/>
        <w:spacing w:before="5"/>
        <w:rPr>
          <w:sz w:val="8"/>
        </w:rPr>
      </w:pPr>
    </w:p>
    <w:tbl>
      <w:tblPr>
        <w:tblStyle w:val="19"/>
        <w:tblW w:w="9045"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21"/>
              <w:spacing w:before="90" w:line="250" w:lineRule="exact"/>
              <w:ind w:left="83" w:right="74"/>
              <w:jc w:val="center"/>
              <w:rPr>
                <w:b/>
                <w:sz w:val="21"/>
              </w:rPr>
            </w:pPr>
            <w:r>
              <w:rPr>
                <w:b/>
                <w:sz w:val="21"/>
              </w:rPr>
              <w:t>序号</w:t>
            </w:r>
          </w:p>
        </w:tc>
        <w:tc>
          <w:tcPr>
            <w:tcW w:w="1111" w:type="dxa"/>
          </w:tcPr>
          <w:p>
            <w:pPr>
              <w:pStyle w:val="21"/>
              <w:spacing w:before="90" w:line="250" w:lineRule="exact"/>
              <w:ind w:left="237"/>
              <w:rPr>
                <w:b/>
                <w:sz w:val="21"/>
              </w:rPr>
            </w:pPr>
            <w:r>
              <w:rPr>
                <w:b/>
                <w:sz w:val="21"/>
              </w:rPr>
              <w:t>条目号</w:t>
            </w:r>
          </w:p>
        </w:tc>
        <w:tc>
          <w:tcPr>
            <w:tcW w:w="7305" w:type="dxa"/>
          </w:tcPr>
          <w:p>
            <w:pPr>
              <w:pStyle w:val="21"/>
              <w:spacing w:before="90" w:line="250" w:lineRule="exact"/>
              <w:ind w:left="3106" w:right="3094"/>
              <w:jc w:val="center"/>
              <w:rPr>
                <w:b/>
                <w:sz w:val="21"/>
              </w:rPr>
            </w:pPr>
            <w:r>
              <w:rPr>
                <w:b/>
                <w:sz w:val="21"/>
              </w:rPr>
              <w:t>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29" w:type="dxa"/>
          </w:tcPr>
          <w:p>
            <w:pPr>
              <w:pStyle w:val="21"/>
              <w:rPr>
                <w:rFonts w:ascii="Times New Roman"/>
                <w:sz w:val="18"/>
              </w:rPr>
            </w:pPr>
          </w:p>
        </w:tc>
        <w:tc>
          <w:tcPr>
            <w:tcW w:w="1111" w:type="dxa"/>
          </w:tcPr>
          <w:p>
            <w:pPr>
              <w:pStyle w:val="21"/>
              <w:rPr>
                <w:rFonts w:ascii="Times New Roman"/>
                <w:sz w:val="18"/>
              </w:rPr>
            </w:pPr>
          </w:p>
        </w:tc>
        <w:tc>
          <w:tcPr>
            <w:tcW w:w="7305" w:type="dxa"/>
          </w:tcPr>
          <w:p>
            <w:pPr>
              <w:pStyle w:val="21"/>
              <w:spacing w:line="347" w:lineRule="exact"/>
              <w:ind w:left="472"/>
              <w:rPr>
                <w:sz w:val="11"/>
              </w:rPr>
            </w:pPr>
            <w:r>
              <w:rPr>
                <w:rFonts w:ascii="Times New Roman" w:hAnsi="Times New Roman" w:eastAsia="Times New Roman"/>
                <w:sz w:val="32"/>
              </w:rPr>
              <w:t>□</w:t>
            </w:r>
            <w:r>
              <w:rPr>
                <w:sz w:val="21"/>
              </w:rPr>
              <w:t>合同期内不调价</w:t>
            </w:r>
            <w:r>
              <w:rPr>
                <w:position w:val="10"/>
                <w:sz w:val="11"/>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21"/>
              <w:spacing w:before="113" w:line="226" w:lineRule="exact"/>
              <w:ind w:left="83" w:right="74"/>
              <w:jc w:val="center"/>
              <w:rPr>
                <w:rFonts w:ascii="Times New Roman"/>
                <w:sz w:val="21"/>
              </w:rPr>
            </w:pPr>
            <w:r>
              <w:rPr>
                <w:rFonts w:ascii="Times New Roman"/>
                <w:sz w:val="21"/>
              </w:rPr>
              <w:t>15</w:t>
            </w:r>
          </w:p>
        </w:tc>
        <w:tc>
          <w:tcPr>
            <w:tcW w:w="1111" w:type="dxa"/>
          </w:tcPr>
          <w:p>
            <w:pPr>
              <w:pStyle w:val="21"/>
              <w:spacing w:before="89" w:line="250" w:lineRule="exact"/>
              <w:ind w:left="107" w:right="-15"/>
              <w:rPr>
                <w:sz w:val="21"/>
              </w:rPr>
            </w:pPr>
            <w:r>
              <w:rPr>
                <w:rFonts w:ascii="Times New Roman" w:eastAsia="Times New Roman"/>
                <w:spacing w:val="-6"/>
                <w:sz w:val="21"/>
              </w:rPr>
              <w:t>17.2.1</w:t>
            </w:r>
            <w:r>
              <w:rPr>
                <w:spacing w:val="-6"/>
                <w:sz w:val="21"/>
              </w:rPr>
              <w:t>（</w:t>
            </w:r>
            <w:r>
              <w:rPr>
                <w:rFonts w:ascii="Times New Roman" w:eastAsia="Times New Roman"/>
                <w:spacing w:val="-6"/>
                <w:sz w:val="21"/>
              </w:rPr>
              <w:t>1</w:t>
            </w:r>
            <w:r>
              <w:rPr>
                <w:spacing w:val="-6"/>
                <w:sz w:val="21"/>
              </w:rPr>
              <w:t>）</w:t>
            </w:r>
          </w:p>
        </w:tc>
        <w:tc>
          <w:tcPr>
            <w:tcW w:w="7305" w:type="dxa"/>
          </w:tcPr>
          <w:p>
            <w:pPr>
              <w:pStyle w:val="21"/>
              <w:spacing w:before="89" w:line="250" w:lineRule="exact"/>
              <w:ind w:left="347"/>
              <w:rPr>
                <w:sz w:val="11"/>
              </w:rPr>
            </w:pPr>
            <w:r>
              <w:rPr>
                <w:spacing w:val="-3"/>
                <w:sz w:val="21"/>
              </w:rPr>
              <w:t>开工预付款金额：</w:t>
            </w:r>
            <w:r>
              <w:rPr>
                <w:spacing w:val="102"/>
                <w:sz w:val="21"/>
                <w:u w:val="single"/>
              </w:rPr>
              <w:t xml:space="preserve"> </w:t>
            </w:r>
            <w:r>
              <w:rPr>
                <w:rFonts w:ascii="Times New Roman" w:hAnsi="Times New Roman" w:eastAsia="Times New Roman"/>
                <w:sz w:val="21"/>
              </w:rPr>
              <w:t>%</w:t>
            </w:r>
            <w:r>
              <w:rPr>
                <w:spacing w:val="-3"/>
                <w:sz w:val="21"/>
              </w:rPr>
              <w:t>签约合同价</w:t>
            </w:r>
            <w:r>
              <w:rPr>
                <w:position w:val="10"/>
                <w:sz w:val="11"/>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29" w:type="dxa"/>
          </w:tcPr>
          <w:p>
            <w:pPr>
              <w:pStyle w:val="21"/>
              <w:spacing w:before="115" w:line="226" w:lineRule="exact"/>
              <w:ind w:left="83" w:right="74"/>
              <w:jc w:val="center"/>
              <w:rPr>
                <w:rFonts w:ascii="Times New Roman"/>
                <w:sz w:val="21"/>
              </w:rPr>
            </w:pPr>
            <w:r>
              <w:rPr>
                <w:rFonts w:ascii="Times New Roman"/>
                <w:sz w:val="21"/>
              </w:rPr>
              <w:t>16</w:t>
            </w:r>
          </w:p>
        </w:tc>
        <w:tc>
          <w:tcPr>
            <w:tcW w:w="1111" w:type="dxa"/>
          </w:tcPr>
          <w:p>
            <w:pPr>
              <w:pStyle w:val="21"/>
              <w:spacing w:before="92" w:line="250" w:lineRule="exact"/>
              <w:ind w:left="107" w:right="-15"/>
              <w:rPr>
                <w:sz w:val="21"/>
              </w:rPr>
            </w:pPr>
            <w:r>
              <w:rPr>
                <w:rFonts w:ascii="Times New Roman" w:eastAsia="Times New Roman"/>
                <w:spacing w:val="-6"/>
                <w:sz w:val="21"/>
              </w:rPr>
              <w:t>17.2.1</w:t>
            </w:r>
            <w:r>
              <w:rPr>
                <w:spacing w:val="-6"/>
                <w:sz w:val="21"/>
              </w:rPr>
              <w:t>（</w:t>
            </w:r>
            <w:r>
              <w:rPr>
                <w:rFonts w:ascii="Times New Roman" w:eastAsia="Times New Roman"/>
                <w:spacing w:val="-6"/>
                <w:sz w:val="21"/>
              </w:rPr>
              <w:t>2</w:t>
            </w:r>
            <w:r>
              <w:rPr>
                <w:spacing w:val="-6"/>
                <w:sz w:val="21"/>
              </w:rPr>
              <w:t>）</w:t>
            </w:r>
          </w:p>
        </w:tc>
        <w:tc>
          <w:tcPr>
            <w:tcW w:w="7305" w:type="dxa"/>
          </w:tcPr>
          <w:p>
            <w:pPr>
              <w:pStyle w:val="21"/>
              <w:tabs>
                <w:tab w:val="left" w:pos="2973"/>
              </w:tabs>
              <w:spacing w:before="92" w:line="250" w:lineRule="exact"/>
              <w:ind w:left="347"/>
              <w:rPr>
                <w:sz w:val="11"/>
              </w:rPr>
            </w:pPr>
            <w:r>
              <w:rPr>
                <w:sz w:val="21"/>
              </w:rPr>
              <w:t>材料</w:t>
            </w:r>
            <w:r>
              <w:rPr>
                <w:spacing w:val="-3"/>
                <w:sz w:val="21"/>
              </w:rPr>
              <w:t>、</w:t>
            </w:r>
            <w:r>
              <w:rPr>
                <w:sz w:val="21"/>
              </w:rPr>
              <w:t>设</w:t>
            </w:r>
            <w:r>
              <w:rPr>
                <w:spacing w:val="-3"/>
                <w:sz w:val="21"/>
              </w:rPr>
              <w:t>备</w:t>
            </w:r>
            <w:r>
              <w:rPr>
                <w:sz w:val="21"/>
              </w:rPr>
              <w:t>预</w:t>
            </w:r>
            <w:r>
              <w:rPr>
                <w:spacing w:val="-3"/>
                <w:sz w:val="21"/>
              </w:rPr>
              <w:t>付</w:t>
            </w:r>
            <w:r>
              <w:rPr>
                <w:sz w:val="21"/>
              </w:rPr>
              <w:t>款</w:t>
            </w:r>
            <w:r>
              <w:rPr>
                <w:spacing w:val="-3"/>
                <w:sz w:val="21"/>
              </w:rPr>
              <w:t>比</w:t>
            </w:r>
            <w:r>
              <w:rPr>
                <w:sz w:val="21"/>
              </w:rPr>
              <w:t>例</w:t>
            </w:r>
            <w:r>
              <w:rPr>
                <w:spacing w:val="-3"/>
                <w:sz w:val="21"/>
              </w:rPr>
              <w:t>：</w:t>
            </w:r>
            <w:r>
              <w:rPr>
                <w:spacing w:val="-3"/>
                <w:sz w:val="21"/>
                <w:u w:val="single"/>
              </w:rPr>
              <w:t xml:space="preserve"> </w:t>
            </w:r>
            <w:r>
              <w:rPr>
                <w:spacing w:val="-3"/>
                <w:sz w:val="21"/>
                <w:u w:val="single"/>
              </w:rPr>
              <w:tab/>
            </w:r>
            <w:r>
              <w:rPr>
                <w:sz w:val="21"/>
              </w:rPr>
              <w:t>等</w:t>
            </w:r>
            <w:r>
              <w:rPr>
                <w:spacing w:val="-3"/>
                <w:sz w:val="21"/>
              </w:rPr>
              <w:t>主</w:t>
            </w:r>
            <w:r>
              <w:rPr>
                <w:sz w:val="21"/>
              </w:rPr>
              <w:t>要</w:t>
            </w:r>
            <w:r>
              <w:rPr>
                <w:spacing w:val="-3"/>
                <w:sz w:val="21"/>
              </w:rPr>
              <w:t>材</w:t>
            </w:r>
            <w:r>
              <w:rPr>
                <w:sz w:val="21"/>
              </w:rPr>
              <w:t>料</w:t>
            </w:r>
            <w:r>
              <w:rPr>
                <w:spacing w:val="-3"/>
                <w:sz w:val="21"/>
              </w:rPr>
              <w:t>、</w:t>
            </w:r>
            <w:r>
              <w:rPr>
                <w:sz w:val="21"/>
              </w:rPr>
              <w:t>设</w:t>
            </w:r>
            <w:r>
              <w:rPr>
                <w:spacing w:val="-3"/>
                <w:sz w:val="21"/>
              </w:rPr>
              <w:t>备</w:t>
            </w:r>
            <w:r>
              <w:rPr>
                <w:sz w:val="21"/>
              </w:rPr>
              <w:t>单</w:t>
            </w:r>
            <w:r>
              <w:rPr>
                <w:spacing w:val="-3"/>
                <w:sz w:val="21"/>
              </w:rPr>
              <w:t>据</w:t>
            </w:r>
            <w:r>
              <w:rPr>
                <w:sz w:val="21"/>
              </w:rPr>
              <w:t>所列</w:t>
            </w:r>
            <w:r>
              <w:rPr>
                <w:spacing w:val="-3"/>
                <w:sz w:val="21"/>
              </w:rPr>
              <w:t>费</w:t>
            </w:r>
            <w:r>
              <w:rPr>
                <w:sz w:val="21"/>
              </w:rPr>
              <w:t>用的</w:t>
            </w:r>
            <w:r>
              <w:rPr>
                <w:spacing w:val="3"/>
                <w:sz w:val="21"/>
                <w:u w:val="single"/>
              </w:rPr>
              <w:t xml:space="preserve"> </w:t>
            </w:r>
            <w:r>
              <w:rPr>
                <w:rFonts w:ascii="Times New Roman" w:hAnsi="Times New Roman" w:eastAsia="Times New Roman"/>
                <w:sz w:val="21"/>
              </w:rPr>
              <w:t>%</w:t>
            </w:r>
            <w:r>
              <w:rPr>
                <w:rFonts w:ascii="Times New Roman" w:hAnsi="Times New Roman" w:eastAsia="Times New Roman"/>
                <w:spacing w:val="13"/>
                <w:sz w:val="21"/>
              </w:rPr>
              <w:t xml:space="preserve"> </w:t>
            </w:r>
            <w:r>
              <w:rPr>
                <w:position w:val="10"/>
                <w:sz w:val="11"/>
              </w:rPr>
              <w:t>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21"/>
              <w:spacing w:before="113" w:line="226" w:lineRule="exact"/>
              <w:ind w:left="83" w:right="74"/>
              <w:jc w:val="center"/>
              <w:rPr>
                <w:rFonts w:ascii="Times New Roman"/>
                <w:sz w:val="21"/>
              </w:rPr>
            </w:pPr>
            <w:r>
              <w:rPr>
                <w:rFonts w:ascii="Times New Roman"/>
                <w:sz w:val="21"/>
              </w:rPr>
              <w:t>17</w:t>
            </w:r>
          </w:p>
        </w:tc>
        <w:tc>
          <w:tcPr>
            <w:tcW w:w="1111" w:type="dxa"/>
          </w:tcPr>
          <w:p>
            <w:pPr>
              <w:pStyle w:val="21"/>
              <w:spacing w:before="113" w:line="226" w:lineRule="exact"/>
              <w:ind w:left="292"/>
              <w:rPr>
                <w:rFonts w:ascii="Times New Roman"/>
                <w:sz w:val="21"/>
              </w:rPr>
            </w:pPr>
            <w:r>
              <w:rPr>
                <w:rFonts w:ascii="Times New Roman"/>
                <w:sz w:val="21"/>
              </w:rPr>
              <w:t>17.3.2</w:t>
            </w:r>
          </w:p>
        </w:tc>
        <w:tc>
          <w:tcPr>
            <w:tcW w:w="7305" w:type="dxa"/>
          </w:tcPr>
          <w:p>
            <w:pPr>
              <w:pStyle w:val="21"/>
              <w:spacing w:before="89" w:line="250" w:lineRule="exact"/>
              <w:ind w:left="342"/>
              <w:rPr>
                <w:sz w:val="21"/>
              </w:rPr>
            </w:pPr>
            <w:r>
              <w:rPr>
                <w:sz w:val="21"/>
              </w:rPr>
              <w:t>承包人在每个付款周期末向监理人提交进度付款申请单的份数：</w:t>
            </w:r>
            <w:r>
              <w:rPr>
                <w:sz w:val="21"/>
                <w:u w:val="single"/>
              </w:rPr>
              <w:t xml:space="preserve"> </w:t>
            </w:r>
            <w:r>
              <w:rPr>
                <w:sz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21"/>
              <w:spacing w:before="113" w:line="226" w:lineRule="exact"/>
              <w:ind w:left="83" w:right="74"/>
              <w:jc w:val="center"/>
              <w:rPr>
                <w:rFonts w:ascii="Times New Roman"/>
                <w:sz w:val="21"/>
              </w:rPr>
            </w:pPr>
            <w:r>
              <w:rPr>
                <w:rFonts w:ascii="Times New Roman"/>
                <w:sz w:val="21"/>
              </w:rPr>
              <w:t>18</w:t>
            </w:r>
          </w:p>
        </w:tc>
        <w:tc>
          <w:tcPr>
            <w:tcW w:w="1111" w:type="dxa"/>
          </w:tcPr>
          <w:p>
            <w:pPr>
              <w:pStyle w:val="21"/>
              <w:spacing w:before="90" w:line="250" w:lineRule="exact"/>
              <w:ind w:left="107" w:right="-15"/>
              <w:rPr>
                <w:sz w:val="21"/>
              </w:rPr>
            </w:pPr>
            <w:r>
              <w:rPr>
                <w:rFonts w:ascii="Times New Roman" w:eastAsia="Times New Roman"/>
                <w:spacing w:val="-6"/>
                <w:sz w:val="21"/>
              </w:rPr>
              <w:t>17.3.3</w:t>
            </w:r>
            <w:r>
              <w:rPr>
                <w:spacing w:val="-6"/>
                <w:sz w:val="21"/>
              </w:rPr>
              <w:t>（</w:t>
            </w:r>
            <w:r>
              <w:rPr>
                <w:rFonts w:ascii="Times New Roman" w:eastAsia="Times New Roman"/>
                <w:spacing w:val="-6"/>
                <w:sz w:val="21"/>
              </w:rPr>
              <w:t>1</w:t>
            </w:r>
            <w:r>
              <w:rPr>
                <w:spacing w:val="-6"/>
                <w:sz w:val="21"/>
              </w:rPr>
              <w:t>）</w:t>
            </w:r>
          </w:p>
        </w:tc>
        <w:tc>
          <w:tcPr>
            <w:tcW w:w="7305" w:type="dxa"/>
          </w:tcPr>
          <w:p>
            <w:pPr>
              <w:pStyle w:val="21"/>
              <w:tabs>
                <w:tab w:val="left" w:pos="3079"/>
                <w:tab w:val="left" w:pos="4935"/>
              </w:tabs>
              <w:spacing w:before="90" w:line="250" w:lineRule="exact"/>
              <w:ind w:left="347"/>
              <w:rPr>
                <w:sz w:val="11"/>
              </w:rPr>
            </w:pPr>
            <w:r>
              <w:rPr>
                <w:sz w:val="21"/>
              </w:rPr>
              <w:t>进度</w:t>
            </w:r>
            <w:r>
              <w:rPr>
                <w:spacing w:val="-3"/>
                <w:sz w:val="21"/>
              </w:rPr>
              <w:t>付</w:t>
            </w:r>
            <w:r>
              <w:rPr>
                <w:sz w:val="21"/>
              </w:rPr>
              <w:t>款</w:t>
            </w:r>
            <w:r>
              <w:rPr>
                <w:spacing w:val="-3"/>
                <w:sz w:val="21"/>
              </w:rPr>
              <w:t>证</w:t>
            </w:r>
            <w:r>
              <w:rPr>
                <w:sz w:val="21"/>
              </w:rPr>
              <w:t>书</w:t>
            </w:r>
            <w:r>
              <w:rPr>
                <w:spacing w:val="-3"/>
                <w:sz w:val="21"/>
              </w:rPr>
              <w:t>最</w:t>
            </w:r>
            <w:r>
              <w:rPr>
                <w:sz w:val="21"/>
              </w:rPr>
              <w:t>低</w:t>
            </w:r>
            <w:r>
              <w:rPr>
                <w:spacing w:val="-3"/>
                <w:sz w:val="21"/>
              </w:rPr>
              <w:t>限</w:t>
            </w:r>
            <w:r>
              <w:rPr>
                <w:sz w:val="21"/>
              </w:rPr>
              <w:t>额</w:t>
            </w:r>
            <w:r>
              <w:rPr>
                <w:spacing w:val="-3"/>
                <w:sz w:val="21"/>
              </w:rPr>
              <w:t>：</w:t>
            </w:r>
            <w:r>
              <w:rPr>
                <w:spacing w:val="-3"/>
                <w:sz w:val="21"/>
                <w:u w:val="single"/>
              </w:rPr>
              <w:t xml:space="preserve"> </w:t>
            </w:r>
            <w:r>
              <w:rPr>
                <w:spacing w:val="-3"/>
                <w:sz w:val="21"/>
                <w:u w:val="single"/>
              </w:rPr>
              <w:tab/>
            </w:r>
            <w:r>
              <w:rPr>
                <w:rFonts w:ascii="Times New Roman" w:hAnsi="Times New Roman" w:eastAsia="Times New Roman"/>
                <w:sz w:val="21"/>
              </w:rPr>
              <w:t>%</w:t>
            </w:r>
            <w:r>
              <w:rPr>
                <w:spacing w:val="-3"/>
                <w:sz w:val="21"/>
              </w:rPr>
              <w:t>签</w:t>
            </w:r>
            <w:r>
              <w:rPr>
                <w:sz w:val="21"/>
              </w:rPr>
              <w:t>约</w:t>
            </w:r>
            <w:r>
              <w:rPr>
                <w:spacing w:val="-3"/>
                <w:sz w:val="21"/>
              </w:rPr>
              <w:t>合</w:t>
            </w:r>
            <w:r>
              <w:rPr>
                <w:sz w:val="21"/>
              </w:rPr>
              <w:t>同</w:t>
            </w:r>
            <w:r>
              <w:rPr>
                <w:spacing w:val="-3"/>
                <w:sz w:val="21"/>
              </w:rPr>
              <w:t>价</w:t>
            </w:r>
            <w:r>
              <w:rPr>
                <w:sz w:val="21"/>
              </w:rPr>
              <w:t>或</w:t>
            </w:r>
            <w:r>
              <w:rPr>
                <w:sz w:val="21"/>
                <w:u w:val="single"/>
              </w:rPr>
              <w:t xml:space="preserve"> </w:t>
            </w:r>
            <w:r>
              <w:rPr>
                <w:sz w:val="21"/>
                <w:u w:val="single"/>
              </w:rPr>
              <w:tab/>
            </w:r>
            <w:r>
              <w:rPr>
                <w:spacing w:val="-3"/>
                <w:sz w:val="21"/>
              </w:rPr>
              <w:t>万</w:t>
            </w:r>
            <w:r>
              <w:rPr>
                <w:sz w:val="21"/>
              </w:rPr>
              <w:t>元</w:t>
            </w:r>
            <w:r>
              <w:rPr>
                <w:position w:val="10"/>
                <w:sz w:val="11"/>
              </w:rPr>
              <w:t>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21"/>
              <w:spacing w:before="113" w:line="226" w:lineRule="exact"/>
              <w:ind w:left="83" w:right="74"/>
              <w:jc w:val="center"/>
              <w:rPr>
                <w:rFonts w:ascii="Times New Roman"/>
                <w:sz w:val="21"/>
              </w:rPr>
            </w:pPr>
            <w:r>
              <w:rPr>
                <w:rFonts w:ascii="Times New Roman"/>
                <w:sz w:val="21"/>
              </w:rPr>
              <w:t>19</w:t>
            </w:r>
          </w:p>
        </w:tc>
        <w:tc>
          <w:tcPr>
            <w:tcW w:w="1111" w:type="dxa"/>
          </w:tcPr>
          <w:p>
            <w:pPr>
              <w:pStyle w:val="21"/>
              <w:spacing w:before="90" w:line="250" w:lineRule="exact"/>
              <w:ind w:left="107" w:right="-15"/>
              <w:rPr>
                <w:sz w:val="21"/>
              </w:rPr>
            </w:pPr>
            <w:r>
              <w:rPr>
                <w:rFonts w:ascii="Times New Roman" w:eastAsia="Times New Roman"/>
                <w:spacing w:val="-6"/>
                <w:sz w:val="21"/>
              </w:rPr>
              <w:t>17.3.3</w:t>
            </w:r>
            <w:r>
              <w:rPr>
                <w:spacing w:val="-6"/>
                <w:sz w:val="21"/>
              </w:rPr>
              <w:t>（</w:t>
            </w:r>
            <w:r>
              <w:rPr>
                <w:rFonts w:ascii="Times New Roman" w:eastAsia="Times New Roman"/>
                <w:spacing w:val="-6"/>
                <w:sz w:val="21"/>
              </w:rPr>
              <w:t>2</w:t>
            </w:r>
            <w:r>
              <w:rPr>
                <w:spacing w:val="-6"/>
                <w:sz w:val="21"/>
              </w:rPr>
              <w:t>）</w:t>
            </w:r>
          </w:p>
        </w:tc>
        <w:tc>
          <w:tcPr>
            <w:tcW w:w="7305" w:type="dxa"/>
          </w:tcPr>
          <w:p>
            <w:pPr>
              <w:pStyle w:val="21"/>
              <w:tabs>
                <w:tab w:val="left" w:pos="3185"/>
              </w:tabs>
              <w:spacing w:before="90" w:line="250" w:lineRule="exact"/>
              <w:ind w:left="347"/>
              <w:rPr>
                <w:sz w:val="11"/>
              </w:rPr>
            </w:pPr>
            <w:r>
              <w:rPr>
                <w:sz w:val="21"/>
              </w:rPr>
              <w:t>逾期</w:t>
            </w:r>
            <w:r>
              <w:rPr>
                <w:spacing w:val="-3"/>
                <w:sz w:val="21"/>
              </w:rPr>
              <w:t>付</w:t>
            </w:r>
            <w:r>
              <w:rPr>
                <w:sz w:val="21"/>
              </w:rPr>
              <w:t>款</w:t>
            </w:r>
            <w:r>
              <w:rPr>
                <w:spacing w:val="-3"/>
                <w:sz w:val="21"/>
              </w:rPr>
              <w:t>违</w:t>
            </w:r>
            <w:r>
              <w:rPr>
                <w:sz w:val="21"/>
              </w:rPr>
              <w:t>约</w:t>
            </w:r>
            <w:r>
              <w:rPr>
                <w:spacing w:val="-3"/>
                <w:sz w:val="21"/>
              </w:rPr>
              <w:t>金</w:t>
            </w:r>
            <w:r>
              <w:rPr>
                <w:sz w:val="21"/>
              </w:rPr>
              <w:t>的</w:t>
            </w:r>
            <w:r>
              <w:rPr>
                <w:spacing w:val="-3"/>
                <w:sz w:val="21"/>
              </w:rPr>
              <w:t>利</w:t>
            </w:r>
            <w:r>
              <w:rPr>
                <w:sz w:val="21"/>
              </w:rPr>
              <w:t>率</w:t>
            </w:r>
            <w:r>
              <w:rPr>
                <w:spacing w:val="-3"/>
                <w:sz w:val="21"/>
              </w:rPr>
              <w:t>：</w:t>
            </w:r>
            <w:r>
              <w:rPr>
                <w:spacing w:val="-3"/>
                <w:sz w:val="21"/>
                <w:u w:val="single"/>
              </w:rPr>
              <w:t xml:space="preserve"> </w:t>
            </w:r>
            <w:r>
              <w:rPr>
                <w:spacing w:val="-3"/>
                <w:sz w:val="21"/>
                <w:u w:val="single"/>
              </w:rPr>
              <w:tab/>
            </w:r>
            <w:r>
              <w:rPr>
                <w:rFonts w:ascii="Times New Roman" w:hAnsi="Times New Roman" w:eastAsia="Times New Roman"/>
                <w:sz w:val="21"/>
              </w:rPr>
              <w:t>‰/</w:t>
            </w:r>
            <w:r>
              <w:rPr>
                <w:spacing w:val="-3"/>
                <w:sz w:val="21"/>
              </w:rPr>
              <w:t>天</w:t>
            </w:r>
            <w:r>
              <w:rPr>
                <w:position w:val="10"/>
                <w:sz w:val="11"/>
              </w:rPr>
              <w:t>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629" w:type="dxa"/>
          </w:tcPr>
          <w:p>
            <w:pPr>
              <w:pStyle w:val="21"/>
            </w:pPr>
          </w:p>
          <w:p>
            <w:pPr>
              <w:pStyle w:val="21"/>
            </w:pPr>
          </w:p>
          <w:p>
            <w:pPr>
              <w:pStyle w:val="21"/>
            </w:pPr>
          </w:p>
          <w:p>
            <w:pPr>
              <w:pStyle w:val="21"/>
              <w:spacing w:before="178"/>
              <w:ind w:left="83" w:right="74"/>
              <w:jc w:val="center"/>
              <w:rPr>
                <w:rFonts w:ascii="Times New Roman"/>
                <w:sz w:val="21"/>
              </w:rPr>
            </w:pPr>
            <w:r>
              <w:rPr>
                <w:rFonts w:ascii="Times New Roman"/>
                <w:sz w:val="21"/>
              </w:rPr>
              <w:t>20</w:t>
            </w:r>
          </w:p>
        </w:tc>
        <w:tc>
          <w:tcPr>
            <w:tcW w:w="1111" w:type="dxa"/>
          </w:tcPr>
          <w:p>
            <w:pPr>
              <w:pStyle w:val="21"/>
            </w:pPr>
          </w:p>
          <w:p>
            <w:pPr>
              <w:pStyle w:val="21"/>
            </w:pPr>
          </w:p>
          <w:p>
            <w:pPr>
              <w:pStyle w:val="21"/>
            </w:pPr>
          </w:p>
          <w:p>
            <w:pPr>
              <w:pStyle w:val="21"/>
              <w:spacing w:before="178"/>
              <w:ind w:left="292"/>
              <w:rPr>
                <w:rFonts w:ascii="Times New Roman"/>
                <w:sz w:val="21"/>
              </w:rPr>
            </w:pPr>
            <w:r>
              <w:rPr>
                <w:rFonts w:ascii="Times New Roman"/>
                <w:sz w:val="21"/>
              </w:rPr>
              <w:t>17.4.1</w:t>
            </w:r>
          </w:p>
        </w:tc>
        <w:tc>
          <w:tcPr>
            <w:tcW w:w="7305" w:type="dxa"/>
          </w:tcPr>
          <w:p>
            <w:pPr>
              <w:pStyle w:val="21"/>
              <w:spacing w:before="89" w:line="321" w:lineRule="auto"/>
              <w:ind w:left="107" w:right="91" w:firstLine="240"/>
              <w:jc w:val="both"/>
              <w:rPr>
                <w:sz w:val="11"/>
              </w:rPr>
            </w:pPr>
            <w:r>
              <w:rPr>
                <w:spacing w:val="-6"/>
                <w:sz w:val="21"/>
              </w:rPr>
              <w:t>质量保证金金额：</w:t>
            </w:r>
            <w:r>
              <w:rPr>
                <w:spacing w:val="-25"/>
                <w:sz w:val="21"/>
                <w:u w:val="single"/>
              </w:rPr>
              <w:t xml:space="preserve">     </w:t>
            </w:r>
            <w:r>
              <w:rPr>
                <w:rFonts w:ascii="Times New Roman" w:hAnsi="Times New Roman" w:eastAsia="Times New Roman"/>
                <w:spacing w:val="-4"/>
                <w:sz w:val="21"/>
              </w:rPr>
              <w:t>%</w:t>
            </w:r>
            <w:r>
              <w:rPr>
                <w:spacing w:val="-2"/>
                <w:sz w:val="21"/>
              </w:rPr>
              <w:t>合同价格</w:t>
            </w:r>
            <w:r>
              <w:rPr>
                <w:spacing w:val="-14"/>
                <w:position w:val="10"/>
                <w:sz w:val="11"/>
              </w:rPr>
              <w:t>⑥</w:t>
            </w:r>
            <w:r>
              <w:rPr>
                <w:spacing w:val="-5"/>
                <w:sz w:val="21"/>
              </w:rPr>
              <w:t>，若交工验收时承包人具备被招标项目所在地省级交通运输主管部门评定的最高信用等级，发包人给予</w:t>
            </w:r>
            <w:r>
              <w:rPr>
                <w:spacing w:val="36"/>
                <w:sz w:val="21"/>
                <w:u w:val="single"/>
              </w:rPr>
              <w:t xml:space="preserve">  </w:t>
            </w:r>
            <w:r>
              <w:rPr>
                <w:rFonts w:ascii="Times New Roman" w:hAnsi="Times New Roman" w:eastAsia="Times New Roman"/>
                <w:sz w:val="21"/>
              </w:rPr>
              <w:t>%</w:t>
            </w:r>
            <w:r>
              <w:rPr>
                <w:sz w:val="21"/>
              </w:rPr>
              <w:t>合同价</w:t>
            </w:r>
            <w:r>
              <w:rPr>
                <w:spacing w:val="-3"/>
                <w:sz w:val="21"/>
              </w:rPr>
              <w:t>格质量保证金的优惠。</w:t>
            </w:r>
            <w:r>
              <w:rPr>
                <w:position w:val="10"/>
                <w:sz w:val="11"/>
              </w:rPr>
              <w:t>⑦</w:t>
            </w:r>
          </w:p>
          <w:p>
            <w:pPr>
              <w:pStyle w:val="21"/>
              <w:spacing w:line="264" w:lineRule="exact"/>
              <w:ind w:left="347"/>
              <w:rPr>
                <w:sz w:val="21"/>
              </w:rPr>
            </w:pPr>
            <w:r>
              <w:rPr>
                <w:sz w:val="21"/>
              </w:rPr>
              <w:t xml:space="preserve">质量保证金是否计付利息：    </w:t>
            </w:r>
          </w:p>
          <w:p>
            <w:pPr>
              <w:pStyle w:val="21"/>
              <w:spacing w:line="364" w:lineRule="exact"/>
              <w:ind w:left="472"/>
              <w:rPr>
                <w:sz w:val="21"/>
              </w:rPr>
            </w:pPr>
            <w:r>
              <w:rPr>
                <w:rFonts w:ascii="Times New Roman" w:hAnsi="Times New Roman" w:eastAsia="Times New Roman"/>
                <w:sz w:val="32"/>
              </w:rPr>
              <w:t>□</w:t>
            </w:r>
            <w:r>
              <w:rPr>
                <w:sz w:val="21"/>
              </w:rPr>
              <w:t>是，利息的计算方式：</w:t>
            </w:r>
            <w:r>
              <w:rPr>
                <w:sz w:val="21"/>
                <w:u w:val="single"/>
              </w:rPr>
              <w:t xml:space="preserve">              </w:t>
            </w:r>
            <w:r>
              <w:rPr>
                <w:sz w:val="21"/>
              </w:rPr>
              <w:t xml:space="preserve"> </w:t>
            </w:r>
          </w:p>
          <w:p>
            <w:pPr>
              <w:pStyle w:val="21"/>
              <w:spacing w:before="2" w:line="355" w:lineRule="exact"/>
              <w:ind w:left="472"/>
              <w:rPr>
                <w:sz w:val="21"/>
              </w:rPr>
            </w:pPr>
            <w:r>
              <w:rPr>
                <w:rFonts w:ascii="Times New Roman" w:hAnsi="Times New Roman" w:eastAsia="Times New Roman"/>
                <w:sz w:val="32"/>
              </w:rPr>
              <w:t>□</w:t>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pPr>
              <w:pStyle w:val="21"/>
              <w:spacing w:before="11"/>
            </w:pPr>
          </w:p>
          <w:p>
            <w:pPr>
              <w:pStyle w:val="21"/>
              <w:ind w:left="83" w:right="74"/>
              <w:jc w:val="center"/>
              <w:rPr>
                <w:rFonts w:ascii="Times New Roman"/>
                <w:sz w:val="21"/>
              </w:rPr>
            </w:pPr>
            <w:r>
              <w:rPr>
                <w:rFonts w:ascii="Times New Roman"/>
                <w:sz w:val="21"/>
              </w:rPr>
              <w:t>21</w:t>
            </w:r>
          </w:p>
        </w:tc>
        <w:tc>
          <w:tcPr>
            <w:tcW w:w="1111" w:type="dxa"/>
          </w:tcPr>
          <w:p>
            <w:pPr>
              <w:pStyle w:val="21"/>
              <w:rPr>
                <w:sz w:val="21"/>
              </w:rPr>
            </w:pPr>
          </w:p>
          <w:p>
            <w:pPr>
              <w:pStyle w:val="21"/>
              <w:ind w:left="107" w:right="-15"/>
              <w:rPr>
                <w:sz w:val="21"/>
              </w:rPr>
            </w:pPr>
            <w:r>
              <w:rPr>
                <w:rFonts w:ascii="Times New Roman" w:eastAsia="Times New Roman"/>
                <w:spacing w:val="-6"/>
                <w:sz w:val="21"/>
              </w:rPr>
              <w:t>17.5.1</w:t>
            </w:r>
            <w:r>
              <w:rPr>
                <w:spacing w:val="-6"/>
                <w:sz w:val="21"/>
              </w:rPr>
              <w:t>（</w:t>
            </w:r>
            <w:r>
              <w:rPr>
                <w:rFonts w:ascii="Times New Roman" w:eastAsia="Times New Roman"/>
                <w:spacing w:val="-6"/>
                <w:sz w:val="21"/>
              </w:rPr>
              <w:t>1</w:t>
            </w:r>
            <w:r>
              <w:rPr>
                <w:spacing w:val="-6"/>
                <w:sz w:val="21"/>
              </w:rPr>
              <w:t>）</w:t>
            </w:r>
          </w:p>
        </w:tc>
        <w:tc>
          <w:tcPr>
            <w:tcW w:w="7305" w:type="dxa"/>
          </w:tcPr>
          <w:p>
            <w:pPr>
              <w:pStyle w:val="21"/>
              <w:spacing w:before="89"/>
              <w:ind w:left="347"/>
              <w:rPr>
                <w:sz w:val="21"/>
              </w:rPr>
            </w:pPr>
            <w:r>
              <w:rPr>
                <w:sz w:val="21"/>
              </w:rPr>
              <w:t>承包人向监理人提交交工付款申请单（包括相关证明材料）的份数：</w:t>
            </w:r>
          </w:p>
          <w:p>
            <w:pPr>
              <w:pStyle w:val="21"/>
              <w:tabs>
                <w:tab w:val="left" w:pos="770"/>
              </w:tabs>
              <w:spacing w:before="91" w:line="250" w:lineRule="exact"/>
              <w:ind w:left="347"/>
              <w:rPr>
                <w:sz w:val="21"/>
              </w:rPr>
            </w:pPr>
            <w:r>
              <w:rPr>
                <w:rFonts w:ascii="Times New Roman" w:eastAsia="Times New Roman"/>
                <w:sz w:val="21"/>
                <w:u w:val="single"/>
              </w:rPr>
              <w:t xml:space="preserve"> </w:t>
            </w:r>
            <w:r>
              <w:rPr>
                <w:rFonts w:ascii="Times New Roman" w:eastAsia="Times New Roman"/>
                <w:sz w:val="21"/>
                <w:u w:val="single"/>
              </w:rPr>
              <w:tab/>
            </w:r>
            <w:r>
              <w:rPr>
                <w:sz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9" w:type="dxa"/>
          </w:tcPr>
          <w:p>
            <w:pPr>
              <w:pStyle w:val="21"/>
              <w:spacing w:before="11"/>
            </w:pPr>
          </w:p>
          <w:p>
            <w:pPr>
              <w:pStyle w:val="21"/>
              <w:ind w:left="83" w:right="74"/>
              <w:jc w:val="center"/>
              <w:rPr>
                <w:rFonts w:ascii="Times New Roman"/>
                <w:sz w:val="21"/>
              </w:rPr>
            </w:pPr>
            <w:r>
              <w:rPr>
                <w:rFonts w:ascii="Times New Roman"/>
                <w:sz w:val="21"/>
              </w:rPr>
              <w:t>22</w:t>
            </w:r>
          </w:p>
        </w:tc>
        <w:tc>
          <w:tcPr>
            <w:tcW w:w="1111" w:type="dxa"/>
          </w:tcPr>
          <w:p>
            <w:pPr>
              <w:pStyle w:val="21"/>
              <w:rPr>
                <w:sz w:val="21"/>
              </w:rPr>
            </w:pPr>
          </w:p>
          <w:p>
            <w:pPr>
              <w:pStyle w:val="21"/>
              <w:ind w:left="107" w:right="-15"/>
              <w:rPr>
                <w:sz w:val="21"/>
              </w:rPr>
            </w:pPr>
            <w:r>
              <w:rPr>
                <w:rFonts w:ascii="Times New Roman" w:eastAsia="Times New Roman"/>
                <w:spacing w:val="-6"/>
                <w:sz w:val="21"/>
              </w:rPr>
              <w:t>17.6.1</w:t>
            </w:r>
            <w:r>
              <w:rPr>
                <w:spacing w:val="-6"/>
                <w:sz w:val="21"/>
              </w:rPr>
              <w:t>（</w:t>
            </w:r>
            <w:r>
              <w:rPr>
                <w:rFonts w:ascii="Times New Roman" w:eastAsia="Times New Roman"/>
                <w:spacing w:val="-6"/>
                <w:sz w:val="21"/>
              </w:rPr>
              <w:t>1</w:t>
            </w:r>
            <w:r>
              <w:rPr>
                <w:spacing w:val="-6"/>
                <w:sz w:val="21"/>
              </w:rPr>
              <w:t>）</w:t>
            </w:r>
          </w:p>
        </w:tc>
        <w:tc>
          <w:tcPr>
            <w:tcW w:w="7305" w:type="dxa"/>
          </w:tcPr>
          <w:p>
            <w:pPr>
              <w:pStyle w:val="21"/>
              <w:spacing w:before="90"/>
              <w:ind w:left="347"/>
              <w:rPr>
                <w:sz w:val="21"/>
              </w:rPr>
            </w:pPr>
            <w:r>
              <w:rPr>
                <w:sz w:val="21"/>
              </w:rPr>
              <w:t>承包人向监理人提交最终结清申请单（包括相关证明材料）的份数：</w:t>
            </w:r>
          </w:p>
          <w:p>
            <w:pPr>
              <w:pStyle w:val="21"/>
              <w:tabs>
                <w:tab w:val="left" w:pos="979"/>
              </w:tabs>
              <w:spacing w:before="91" w:line="250" w:lineRule="exact"/>
              <w:ind w:left="347"/>
              <w:rPr>
                <w:sz w:val="21"/>
              </w:rPr>
            </w:pPr>
            <w:r>
              <w:rPr>
                <w:rFonts w:ascii="Times New Roman" w:eastAsia="Times New Roman"/>
                <w:sz w:val="21"/>
                <w:u w:val="single"/>
              </w:rPr>
              <w:t xml:space="preserve"> </w:t>
            </w:r>
            <w:r>
              <w:rPr>
                <w:rFonts w:ascii="Times New Roman" w:eastAsia="Times New Roman"/>
                <w:sz w:val="21"/>
                <w:u w:val="single"/>
              </w:rPr>
              <w:tab/>
            </w:r>
            <w:r>
              <w:rPr>
                <w:sz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21"/>
              <w:spacing w:before="113" w:line="226" w:lineRule="exact"/>
              <w:ind w:left="83" w:right="74"/>
              <w:jc w:val="center"/>
              <w:rPr>
                <w:rFonts w:ascii="Times New Roman"/>
                <w:sz w:val="21"/>
              </w:rPr>
            </w:pPr>
            <w:r>
              <w:rPr>
                <w:rFonts w:ascii="Times New Roman"/>
                <w:sz w:val="21"/>
              </w:rPr>
              <w:t>23</w:t>
            </w:r>
          </w:p>
        </w:tc>
        <w:tc>
          <w:tcPr>
            <w:tcW w:w="1111" w:type="dxa"/>
          </w:tcPr>
          <w:p>
            <w:pPr>
              <w:pStyle w:val="21"/>
              <w:spacing w:before="90" w:line="250" w:lineRule="exact"/>
              <w:ind w:left="107"/>
              <w:rPr>
                <w:sz w:val="21"/>
              </w:rPr>
            </w:pPr>
            <w:r>
              <w:rPr>
                <w:rFonts w:ascii="Times New Roman" w:eastAsia="Times New Roman"/>
                <w:sz w:val="21"/>
              </w:rPr>
              <w:t>18.2</w:t>
            </w:r>
            <w:r>
              <w:rPr>
                <w:sz w:val="21"/>
              </w:rPr>
              <w:t>（</w:t>
            </w:r>
            <w:r>
              <w:rPr>
                <w:rFonts w:ascii="Times New Roman" w:eastAsia="Times New Roman"/>
                <w:sz w:val="21"/>
              </w:rPr>
              <w:t>2</w:t>
            </w:r>
            <w:r>
              <w:rPr>
                <w:sz w:val="21"/>
              </w:rPr>
              <w:t>）</w:t>
            </w:r>
          </w:p>
        </w:tc>
        <w:tc>
          <w:tcPr>
            <w:tcW w:w="7305" w:type="dxa"/>
          </w:tcPr>
          <w:p>
            <w:pPr>
              <w:pStyle w:val="21"/>
              <w:tabs>
                <w:tab w:val="left" w:pos="2659"/>
              </w:tabs>
              <w:spacing w:before="90" w:line="250" w:lineRule="exact"/>
              <w:ind w:left="347"/>
              <w:rPr>
                <w:sz w:val="21"/>
              </w:rPr>
            </w:pPr>
            <w:r>
              <w:rPr>
                <w:sz w:val="21"/>
              </w:rPr>
              <w:t>竣工</w:t>
            </w:r>
            <w:r>
              <w:rPr>
                <w:spacing w:val="-3"/>
                <w:sz w:val="21"/>
              </w:rPr>
              <w:t>资</w:t>
            </w:r>
            <w:r>
              <w:rPr>
                <w:sz w:val="21"/>
              </w:rPr>
              <w:t>料</w:t>
            </w:r>
            <w:r>
              <w:rPr>
                <w:spacing w:val="-3"/>
                <w:sz w:val="21"/>
              </w:rPr>
              <w:t>的</w:t>
            </w:r>
            <w:r>
              <w:rPr>
                <w:sz w:val="21"/>
              </w:rPr>
              <w:t>份</w:t>
            </w:r>
            <w:r>
              <w:rPr>
                <w:spacing w:val="-3"/>
                <w:sz w:val="21"/>
              </w:rPr>
              <w:t>数</w:t>
            </w:r>
            <w:r>
              <w:rPr>
                <w:sz w:val="21"/>
              </w:rPr>
              <w:t>：</w:t>
            </w:r>
            <w:r>
              <w:rPr>
                <w:sz w:val="21"/>
                <w:u w:val="single"/>
              </w:rPr>
              <w:t xml:space="preserve"> </w:t>
            </w:r>
            <w:r>
              <w:rPr>
                <w:sz w:val="21"/>
                <w:u w:val="single"/>
              </w:rPr>
              <w:tab/>
            </w:r>
            <w:r>
              <w:rPr>
                <w:sz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629" w:type="dxa"/>
          </w:tcPr>
          <w:p>
            <w:pPr>
              <w:pStyle w:val="21"/>
            </w:pPr>
          </w:p>
          <w:p>
            <w:pPr>
              <w:pStyle w:val="21"/>
              <w:spacing w:before="194"/>
              <w:ind w:left="83" w:right="74"/>
              <w:jc w:val="center"/>
              <w:rPr>
                <w:rFonts w:ascii="Times New Roman"/>
                <w:sz w:val="21"/>
              </w:rPr>
            </w:pPr>
            <w:r>
              <w:rPr>
                <w:rFonts w:ascii="Times New Roman"/>
                <w:sz w:val="21"/>
              </w:rPr>
              <w:t>24</w:t>
            </w:r>
          </w:p>
        </w:tc>
        <w:tc>
          <w:tcPr>
            <w:tcW w:w="1111" w:type="dxa"/>
          </w:tcPr>
          <w:p>
            <w:pPr>
              <w:pStyle w:val="21"/>
            </w:pPr>
          </w:p>
          <w:p>
            <w:pPr>
              <w:pStyle w:val="21"/>
              <w:spacing w:before="194"/>
              <w:ind w:left="292"/>
              <w:rPr>
                <w:rFonts w:ascii="Times New Roman"/>
                <w:sz w:val="21"/>
              </w:rPr>
            </w:pPr>
            <w:r>
              <w:rPr>
                <w:rFonts w:ascii="Times New Roman"/>
                <w:sz w:val="21"/>
              </w:rPr>
              <w:t>18.5.1</w:t>
            </w:r>
          </w:p>
        </w:tc>
        <w:tc>
          <w:tcPr>
            <w:tcW w:w="7305" w:type="dxa"/>
          </w:tcPr>
          <w:p>
            <w:pPr>
              <w:pStyle w:val="21"/>
              <w:spacing w:before="92"/>
              <w:ind w:left="347"/>
              <w:rPr>
                <w:sz w:val="21"/>
              </w:rPr>
            </w:pPr>
            <w:r>
              <w:rPr>
                <w:sz w:val="21"/>
              </w:rPr>
              <w:t>单位工程或工程设备是否需投入施工期运行：</w:t>
            </w:r>
            <w:r>
              <w:rPr>
                <w:sz w:val="21"/>
                <w:u w:val="single"/>
              </w:rPr>
              <w:t xml:space="preserve"> 是或否 </w:t>
            </w:r>
          </w:p>
          <w:p>
            <w:pPr>
              <w:pStyle w:val="21"/>
              <w:tabs>
                <w:tab w:val="left" w:pos="4462"/>
              </w:tabs>
              <w:spacing w:line="360" w:lineRule="atLeast"/>
              <w:ind w:left="107" w:right="92" w:firstLine="240"/>
              <w:rPr>
                <w:rFonts w:ascii="Times New Roman" w:eastAsia="Times New Roman"/>
                <w:sz w:val="21"/>
              </w:rPr>
            </w:pPr>
            <w:r>
              <w:rPr>
                <w:sz w:val="21"/>
              </w:rPr>
              <w:t>如单</w:t>
            </w:r>
            <w:r>
              <w:rPr>
                <w:spacing w:val="-3"/>
                <w:sz w:val="21"/>
              </w:rPr>
              <w:t>位</w:t>
            </w:r>
            <w:r>
              <w:rPr>
                <w:sz w:val="21"/>
              </w:rPr>
              <w:t>工</w:t>
            </w:r>
            <w:r>
              <w:rPr>
                <w:spacing w:val="-3"/>
                <w:sz w:val="21"/>
              </w:rPr>
              <w:t>程</w:t>
            </w:r>
            <w:r>
              <w:rPr>
                <w:sz w:val="21"/>
              </w:rPr>
              <w:t>或</w:t>
            </w:r>
            <w:r>
              <w:rPr>
                <w:spacing w:val="-3"/>
                <w:sz w:val="21"/>
              </w:rPr>
              <w:t>工</w:t>
            </w:r>
            <w:r>
              <w:rPr>
                <w:sz w:val="21"/>
              </w:rPr>
              <w:t>程</w:t>
            </w:r>
            <w:r>
              <w:rPr>
                <w:spacing w:val="-3"/>
                <w:sz w:val="21"/>
              </w:rPr>
              <w:t>设</w:t>
            </w:r>
            <w:r>
              <w:rPr>
                <w:sz w:val="21"/>
              </w:rPr>
              <w:t>备</w:t>
            </w:r>
            <w:r>
              <w:rPr>
                <w:spacing w:val="-3"/>
                <w:sz w:val="21"/>
              </w:rPr>
              <w:t>需</w:t>
            </w:r>
            <w:r>
              <w:rPr>
                <w:sz w:val="21"/>
              </w:rPr>
              <w:t>要进</w:t>
            </w:r>
            <w:r>
              <w:rPr>
                <w:spacing w:val="-3"/>
                <w:sz w:val="21"/>
              </w:rPr>
              <w:t>行</w:t>
            </w:r>
            <w:r>
              <w:rPr>
                <w:sz w:val="21"/>
              </w:rPr>
              <w:t>施</w:t>
            </w:r>
            <w:r>
              <w:rPr>
                <w:spacing w:val="-3"/>
                <w:sz w:val="21"/>
              </w:rPr>
              <w:t>工</w:t>
            </w:r>
            <w:r>
              <w:rPr>
                <w:sz w:val="21"/>
              </w:rPr>
              <w:t>期</w:t>
            </w:r>
            <w:r>
              <w:rPr>
                <w:spacing w:val="-3"/>
                <w:sz w:val="21"/>
              </w:rPr>
              <w:t>运</w:t>
            </w:r>
            <w:r>
              <w:rPr>
                <w:sz w:val="21"/>
              </w:rPr>
              <w:t>行</w:t>
            </w:r>
            <w:r>
              <w:rPr>
                <w:spacing w:val="-85"/>
                <w:sz w:val="21"/>
              </w:rPr>
              <w:t>，</w:t>
            </w:r>
            <w:r>
              <w:rPr>
                <w:sz w:val="21"/>
              </w:rPr>
              <w:t>需</w:t>
            </w:r>
            <w:r>
              <w:rPr>
                <w:spacing w:val="-3"/>
                <w:sz w:val="21"/>
              </w:rPr>
              <w:t>要施</w:t>
            </w:r>
            <w:r>
              <w:rPr>
                <w:sz w:val="21"/>
              </w:rPr>
              <w:t>工期</w:t>
            </w:r>
            <w:r>
              <w:rPr>
                <w:spacing w:val="-3"/>
                <w:sz w:val="21"/>
              </w:rPr>
              <w:t>运</w:t>
            </w:r>
            <w:r>
              <w:rPr>
                <w:sz w:val="21"/>
              </w:rPr>
              <w:t>行</w:t>
            </w:r>
            <w:r>
              <w:rPr>
                <w:spacing w:val="-3"/>
                <w:sz w:val="21"/>
              </w:rPr>
              <w:t>的</w:t>
            </w:r>
            <w:r>
              <w:rPr>
                <w:sz w:val="21"/>
              </w:rPr>
              <w:t>单</w:t>
            </w:r>
            <w:r>
              <w:rPr>
                <w:spacing w:val="-3"/>
                <w:sz w:val="21"/>
              </w:rPr>
              <w:t>位</w:t>
            </w:r>
            <w:r>
              <w:rPr>
                <w:sz w:val="21"/>
              </w:rPr>
              <w:t>工</w:t>
            </w:r>
            <w:r>
              <w:rPr>
                <w:spacing w:val="-3"/>
                <w:sz w:val="21"/>
              </w:rPr>
              <w:t>程</w:t>
            </w:r>
            <w:r>
              <w:rPr>
                <w:sz w:val="21"/>
              </w:rPr>
              <w:t>或工程</w:t>
            </w:r>
            <w:r>
              <w:rPr>
                <w:spacing w:val="-3"/>
                <w:sz w:val="21"/>
              </w:rPr>
              <w:t>设</w:t>
            </w:r>
            <w:r>
              <w:rPr>
                <w:sz w:val="21"/>
              </w:rPr>
              <w:t>备</w:t>
            </w:r>
            <w:r>
              <w:rPr>
                <w:spacing w:val="-3"/>
                <w:sz w:val="21"/>
              </w:rPr>
              <w:t>规</w:t>
            </w:r>
            <w:r>
              <w:rPr>
                <w:sz w:val="21"/>
              </w:rPr>
              <w:t>定</w:t>
            </w:r>
            <w:r>
              <w:rPr>
                <w:spacing w:val="-3"/>
                <w:sz w:val="21"/>
              </w:rPr>
              <w:t>如</w:t>
            </w:r>
            <w:r>
              <w:rPr>
                <w:sz w:val="21"/>
              </w:rPr>
              <w:t>下</w:t>
            </w:r>
            <w:r>
              <w:rPr>
                <w:spacing w:val="-3"/>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pPr>
              <w:pStyle w:val="21"/>
              <w:spacing w:before="11"/>
            </w:pPr>
          </w:p>
          <w:p>
            <w:pPr>
              <w:pStyle w:val="21"/>
              <w:ind w:left="83" w:right="74"/>
              <w:jc w:val="center"/>
              <w:rPr>
                <w:rFonts w:ascii="Times New Roman"/>
                <w:sz w:val="21"/>
              </w:rPr>
            </w:pPr>
            <w:r>
              <w:rPr>
                <w:rFonts w:ascii="Times New Roman"/>
                <w:sz w:val="21"/>
              </w:rPr>
              <w:t>25</w:t>
            </w:r>
          </w:p>
        </w:tc>
        <w:tc>
          <w:tcPr>
            <w:tcW w:w="1111" w:type="dxa"/>
          </w:tcPr>
          <w:p>
            <w:pPr>
              <w:pStyle w:val="21"/>
              <w:spacing w:before="11"/>
            </w:pPr>
          </w:p>
          <w:p>
            <w:pPr>
              <w:pStyle w:val="21"/>
              <w:ind w:left="292"/>
              <w:rPr>
                <w:rFonts w:ascii="Times New Roman"/>
                <w:sz w:val="21"/>
              </w:rPr>
            </w:pPr>
            <w:r>
              <w:rPr>
                <w:rFonts w:ascii="Times New Roman"/>
                <w:sz w:val="21"/>
              </w:rPr>
              <w:t>18.6.1</w:t>
            </w:r>
          </w:p>
        </w:tc>
        <w:tc>
          <w:tcPr>
            <w:tcW w:w="7305" w:type="dxa"/>
          </w:tcPr>
          <w:p>
            <w:pPr>
              <w:pStyle w:val="21"/>
              <w:spacing w:before="89"/>
              <w:ind w:left="347"/>
              <w:rPr>
                <w:sz w:val="21"/>
              </w:rPr>
            </w:pPr>
            <w:r>
              <w:rPr>
                <w:sz w:val="21"/>
              </w:rPr>
              <w:t>本工程及工程设备是否进行试运行：</w:t>
            </w:r>
            <w:r>
              <w:rPr>
                <w:sz w:val="21"/>
                <w:u w:val="single"/>
              </w:rPr>
              <w:t xml:space="preserve"> 是或否</w:t>
            </w:r>
          </w:p>
          <w:p>
            <w:pPr>
              <w:pStyle w:val="21"/>
              <w:tabs>
                <w:tab w:val="left" w:pos="7244"/>
              </w:tabs>
              <w:spacing w:before="91" w:line="250" w:lineRule="exact"/>
              <w:ind w:left="347"/>
              <w:rPr>
                <w:rFonts w:ascii="Times New Roman" w:eastAsia="Times New Roman"/>
                <w:sz w:val="21"/>
              </w:rPr>
            </w:pPr>
            <w:r>
              <w:rPr>
                <w:sz w:val="21"/>
              </w:rPr>
              <w:t>如本</w:t>
            </w:r>
            <w:r>
              <w:rPr>
                <w:spacing w:val="-3"/>
                <w:sz w:val="21"/>
              </w:rPr>
              <w:t>工</w:t>
            </w:r>
            <w:r>
              <w:rPr>
                <w:sz w:val="21"/>
              </w:rPr>
              <w:t>程</w:t>
            </w:r>
            <w:r>
              <w:rPr>
                <w:spacing w:val="-3"/>
                <w:sz w:val="21"/>
              </w:rPr>
              <w:t>及</w:t>
            </w:r>
            <w:r>
              <w:rPr>
                <w:sz w:val="21"/>
              </w:rPr>
              <w:t>工</w:t>
            </w:r>
            <w:r>
              <w:rPr>
                <w:spacing w:val="-3"/>
                <w:sz w:val="21"/>
              </w:rPr>
              <w:t>程</w:t>
            </w:r>
            <w:r>
              <w:rPr>
                <w:sz w:val="21"/>
              </w:rPr>
              <w:t>设</w:t>
            </w:r>
            <w:r>
              <w:rPr>
                <w:spacing w:val="-3"/>
                <w:sz w:val="21"/>
              </w:rPr>
              <w:t>备</w:t>
            </w:r>
            <w:r>
              <w:rPr>
                <w:sz w:val="21"/>
              </w:rPr>
              <w:t>需</w:t>
            </w:r>
            <w:r>
              <w:rPr>
                <w:spacing w:val="-3"/>
                <w:sz w:val="21"/>
              </w:rPr>
              <w:t>要</w:t>
            </w:r>
            <w:r>
              <w:rPr>
                <w:sz w:val="21"/>
              </w:rPr>
              <w:t>进行</w:t>
            </w:r>
            <w:r>
              <w:rPr>
                <w:spacing w:val="-3"/>
                <w:sz w:val="21"/>
              </w:rPr>
              <w:t>试</w:t>
            </w:r>
            <w:r>
              <w:rPr>
                <w:sz w:val="21"/>
              </w:rPr>
              <w:t>运</w:t>
            </w:r>
            <w:r>
              <w:rPr>
                <w:spacing w:val="-3"/>
                <w:sz w:val="21"/>
              </w:rPr>
              <w:t>行</w:t>
            </w:r>
            <w:r>
              <w:rPr>
                <w:sz w:val="21"/>
              </w:rPr>
              <w:t>，</w:t>
            </w:r>
            <w:r>
              <w:rPr>
                <w:spacing w:val="-3"/>
                <w:sz w:val="21"/>
              </w:rPr>
              <w:t>试</w:t>
            </w:r>
            <w:r>
              <w:rPr>
                <w:sz w:val="21"/>
              </w:rPr>
              <w:t>运</w:t>
            </w:r>
            <w:r>
              <w:rPr>
                <w:spacing w:val="-3"/>
                <w:sz w:val="21"/>
              </w:rPr>
              <w:t>行</w:t>
            </w:r>
            <w:r>
              <w:rPr>
                <w:sz w:val="21"/>
              </w:rPr>
              <w:t>的</w:t>
            </w:r>
            <w:r>
              <w:rPr>
                <w:spacing w:val="-3"/>
                <w:sz w:val="21"/>
              </w:rPr>
              <w:t>具</w:t>
            </w:r>
            <w:r>
              <w:rPr>
                <w:sz w:val="21"/>
              </w:rPr>
              <w:t>体规</w:t>
            </w:r>
            <w:r>
              <w:rPr>
                <w:spacing w:val="-3"/>
                <w:sz w:val="21"/>
              </w:rPr>
              <w:t>定</w:t>
            </w:r>
            <w:r>
              <w:rPr>
                <w:sz w:val="21"/>
              </w:rPr>
              <w:t>如</w:t>
            </w:r>
            <w:r>
              <w:rPr>
                <w:spacing w:val="-3"/>
                <w:sz w:val="21"/>
              </w:rPr>
              <w:t>下</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21"/>
              <w:spacing w:before="113" w:line="226" w:lineRule="exact"/>
              <w:ind w:left="83" w:right="74"/>
              <w:jc w:val="center"/>
              <w:rPr>
                <w:rFonts w:ascii="Times New Roman"/>
                <w:sz w:val="21"/>
              </w:rPr>
            </w:pPr>
            <w:r>
              <w:rPr>
                <w:rFonts w:ascii="Times New Roman"/>
                <w:sz w:val="21"/>
              </w:rPr>
              <w:t>26</w:t>
            </w:r>
          </w:p>
        </w:tc>
        <w:tc>
          <w:tcPr>
            <w:tcW w:w="1111" w:type="dxa"/>
          </w:tcPr>
          <w:p>
            <w:pPr>
              <w:pStyle w:val="21"/>
              <w:spacing w:before="89" w:line="250" w:lineRule="exact"/>
              <w:ind w:left="107"/>
              <w:rPr>
                <w:sz w:val="21"/>
              </w:rPr>
            </w:pPr>
            <w:r>
              <w:rPr>
                <w:rFonts w:ascii="Times New Roman" w:eastAsia="Times New Roman"/>
                <w:sz w:val="21"/>
              </w:rPr>
              <w:t>19.7</w:t>
            </w:r>
            <w:r>
              <w:rPr>
                <w:sz w:val="21"/>
              </w:rPr>
              <w:t>（</w:t>
            </w:r>
            <w:r>
              <w:rPr>
                <w:rFonts w:ascii="Times New Roman" w:eastAsia="Times New Roman"/>
                <w:sz w:val="21"/>
              </w:rPr>
              <w:t>1</w:t>
            </w:r>
            <w:r>
              <w:rPr>
                <w:sz w:val="21"/>
              </w:rPr>
              <w:t>）</w:t>
            </w:r>
          </w:p>
        </w:tc>
        <w:tc>
          <w:tcPr>
            <w:tcW w:w="7305" w:type="dxa"/>
          </w:tcPr>
          <w:p>
            <w:pPr>
              <w:pStyle w:val="21"/>
              <w:tabs>
                <w:tab w:val="left" w:pos="3816"/>
              </w:tabs>
              <w:spacing w:before="89" w:line="250" w:lineRule="exact"/>
              <w:ind w:left="347"/>
              <w:rPr>
                <w:sz w:val="11"/>
              </w:rPr>
            </w:pPr>
            <w:r>
              <w:rPr>
                <w:sz w:val="21"/>
              </w:rPr>
              <w:t>保修</w:t>
            </w:r>
            <w:r>
              <w:rPr>
                <w:spacing w:val="-3"/>
                <w:sz w:val="21"/>
              </w:rPr>
              <w:t>期</w:t>
            </w:r>
            <w:r>
              <w:rPr>
                <w:sz w:val="21"/>
              </w:rPr>
              <w:t>：</w:t>
            </w:r>
            <w:r>
              <w:rPr>
                <w:spacing w:val="-3"/>
                <w:sz w:val="21"/>
              </w:rPr>
              <w:t>自</w:t>
            </w:r>
            <w:r>
              <w:rPr>
                <w:sz w:val="21"/>
              </w:rPr>
              <w:t>实</w:t>
            </w:r>
            <w:r>
              <w:rPr>
                <w:spacing w:val="-3"/>
                <w:sz w:val="21"/>
              </w:rPr>
              <w:t>际</w:t>
            </w:r>
            <w:r>
              <w:rPr>
                <w:sz w:val="21"/>
              </w:rPr>
              <w:t>交</w:t>
            </w:r>
            <w:r>
              <w:rPr>
                <w:spacing w:val="-3"/>
                <w:sz w:val="21"/>
              </w:rPr>
              <w:t>工</w:t>
            </w:r>
            <w:r>
              <w:rPr>
                <w:sz w:val="21"/>
              </w:rPr>
              <w:t>日</w:t>
            </w:r>
            <w:r>
              <w:rPr>
                <w:spacing w:val="-3"/>
                <w:sz w:val="21"/>
              </w:rPr>
              <w:t>期</w:t>
            </w:r>
            <w:r>
              <w:rPr>
                <w:sz w:val="21"/>
              </w:rPr>
              <w:t>起计算</w:t>
            </w:r>
            <w:r>
              <w:rPr>
                <w:sz w:val="21"/>
                <w:u w:val="single"/>
              </w:rPr>
              <w:t xml:space="preserve"> </w:t>
            </w:r>
            <w:r>
              <w:rPr>
                <w:sz w:val="21"/>
                <w:u w:val="single"/>
              </w:rPr>
              <w:tab/>
            </w:r>
            <w:r>
              <w:rPr>
                <w:spacing w:val="-3"/>
                <w:sz w:val="21"/>
              </w:rPr>
              <w:t>年</w:t>
            </w:r>
            <w:r>
              <w:rPr>
                <w:position w:val="10"/>
                <w:sz w:val="11"/>
              </w:rPr>
              <w:t>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21"/>
              <w:spacing w:before="113" w:line="226" w:lineRule="exact"/>
              <w:ind w:left="83" w:right="74"/>
              <w:jc w:val="center"/>
              <w:rPr>
                <w:rFonts w:ascii="Times New Roman"/>
                <w:sz w:val="21"/>
              </w:rPr>
            </w:pPr>
            <w:r>
              <w:rPr>
                <w:rFonts w:ascii="Times New Roman"/>
                <w:sz w:val="21"/>
              </w:rPr>
              <w:t>27</w:t>
            </w:r>
          </w:p>
        </w:tc>
        <w:tc>
          <w:tcPr>
            <w:tcW w:w="1111" w:type="dxa"/>
          </w:tcPr>
          <w:p>
            <w:pPr>
              <w:pStyle w:val="21"/>
              <w:spacing w:before="113" w:line="226" w:lineRule="exact"/>
              <w:ind w:left="371"/>
              <w:rPr>
                <w:rFonts w:ascii="Times New Roman"/>
                <w:sz w:val="21"/>
              </w:rPr>
            </w:pPr>
            <w:r>
              <w:rPr>
                <w:rFonts w:ascii="Times New Roman"/>
                <w:sz w:val="21"/>
              </w:rPr>
              <w:t>20.1</w:t>
            </w:r>
          </w:p>
        </w:tc>
        <w:tc>
          <w:tcPr>
            <w:tcW w:w="7305" w:type="dxa"/>
          </w:tcPr>
          <w:p>
            <w:pPr>
              <w:pStyle w:val="21"/>
              <w:tabs>
                <w:tab w:val="left" w:pos="3502"/>
              </w:tabs>
              <w:spacing w:before="89" w:line="250" w:lineRule="exact"/>
              <w:ind w:left="347"/>
              <w:rPr>
                <w:rFonts w:ascii="Times New Roman" w:hAnsi="Times New Roman" w:eastAsia="Times New Roman"/>
                <w:sz w:val="21"/>
              </w:rPr>
            </w:pPr>
            <w:r>
              <w:rPr>
                <w:sz w:val="21"/>
              </w:rPr>
              <w:t>建筑</w:t>
            </w:r>
            <w:r>
              <w:rPr>
                <w:spacing w:val="-3"/>
                <w:sz w:val="21"/>
              </w:rPr>
              <w:t>工</w:t>
            </w:r>
            <w:r>
              <w:rPr>
                <w:sz w:val="21"/>
              </w:rPr>
              <w:t>程</w:t>
            </w:r>
            <w:r>
              <w:rPr>
                <w:spacing w:val="-3"/>
                <w:sz w:val="21"/>
              </w:rPr>
              <w:t>一</w:t>
            </w:r>
            <w:r>
              <w:rPr>
                <w:sz w:val="21"/>
              </w:rPr>
              <w:t>切</w:t>
            </w:r>
            <w:r>
              <w:rPr>
                <w:spacing w:val="-3"/>
                <w:sz w:val="21"/>
              </w:rPr>
              <w:t>险</w:t>
            </w:r>
            <w:r>
              <w:rPr>
                <w:sz w:val="21"/>
              </w:rPr>
              <w:t>的</w:t>
            </w:r>
            <w:r>
              <w:rPr>
                <w:spacing w:val="-3"/>
                <w:sz w:val="21"/>
              </w:rPr>
              <w:t>保</w:t>
            </w:r>
            <w:r>
              <w:rPr>
                <w:sz w:val="21"/>
              </w:rPr>
              <w:t>险</w:t>
            </w:r>
            <w:r>
              <w:rPr>
                <w:spacing w:val="-3"/>
                <w:sz w:val="21"/>
              </w:rPr>
              <w:t>费</w:t>
            </w:r>
            <w:r>
              <w:rPr>
                <w:sz w:val="21"/>
              </w:rPr>
              <w:t>率：</w:t>
            </w:r>
            <w:r>
              <w:rPr>
                <w:sz w:val="21"/>
                <w:u w:val="single"/>
              </w:rPr>
              <w:t xml:space="preserve"> </w:t>
            </w:r>
            <w:r>
              <w:rPr>
                <w:sz w:val="21"/>
                <w:u w:val="single"/>
              </w:rPr>
              <w:tab/>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29" w:type="dxa"/>
          </w:tcPr>
          <w:p>
            <w:pPr>
              <w:pStyle w:val="21"/>
              <w:spacing w:before="12"/>
            </w:pPr>
          </w:p>
          <w:p>
            <w:pPr>
              <w:pStyle w:val="21"/>
              <w:ind w:left="83" w:right="74"/>
              <w:jc w:val="center"/>
              <w:rPr>
                <w:rFonts w:ascii="Times New Roman"/>
                <w:sz w:val="21"/>
              </w:rPr>
            </w:pPr>
            <w:r>
              <w:rPr>
                <w:rFonts w:ascii="Times New Roman"/>
                <w:sz w:val="21"/>
              </w:rPr>
              <w:t>28</w:t>
            </w:r>
          </w:p>
        </w:tc>
        <w:tc>
          <w:tcPr>
            <w:tcW w:w="1111" w:type="dxa"/>
          </w:tcPr>
          <w:p>
            <w:pPr>
              <w:pStyle w:val="21"/>
              <w:spacing w:before="12"/>
            </w:pPr>
          </w:p>
          <w:p>
            <w:pPr>
              <w:pStyle w:val="21"/>
              <w:ind w:left="292"/>
              <w:rPr>
                <w:rFonts w:ascii="Times New Roman"/>
                <w:sz w:val="21"/>
              </w:rPr>
            </w:pPr>
            <w:r>
              <w:rPr>
                <w:rFonts w:ascii="Times New Roman"/>
                <w:sz w:val="21"/>
              </w:rPr>
              <w:t>20.4.2</w:t>
            </w:r>
          </w:p>
        </w:tc>
        <w:tc>
          <w:tcPr>
            <w:tcW w:w="7305" w:type="dxa"/>
          </w:tcPr>
          <w:p>
            <w:pPr>
              <w:pStyle w:val="21"/>
              <w:tabs>
                <w:tab w:val="left" w:pos="1817"/>
                <w:tab w:val="left" w:pos="3814"/>
              </w:tabs>
              <w:spacing w:before="12" w:line="360" w:lineRule="exact"/>
              <w:ind w:left="345" w:right="118"/>
              <w:rPr>
                <w:rFonts w:ascii="Times New Roman" w:hAnsi="Times New Roman" w:eastAsia="Times New Roman"/>
                <w:sz w:val="21"/>
              </w:rPr>
            </w:pPr>
            <w:r>
              <w:rPr>
                <w:sz w:val="21"/>
              </w:rPr>
              <w:t>第三</w:t>
            </w:r>
            <w:r>
              <w:rPr>
                <w:spacing w:val="-3"/>
                <w:sz w:val="21"/>
              </w:rPr>
              <w:t>者</w:t>
            </w:r>
            <w:r>
              <w:rPr>
                <w:sz w:val="21"/>
              </w:rPr>
              <w:t>责</w:t>
            </w:r>
            <w:r>
              <w:rPr>
                <w:spacing w:val="-3"/>
                <w:sz w:val="21"/>
              </w:rPr>
              <w:t>任</w:t>
            </w:r>
            <w:r>
              <w:rPr>
                <w:sz w:val="21"/>
              </w:rPr>
              <w:t>险</w:t>
            </w:r>
            <w:r>
              <w:rPr>
                <w:spacing w:val="-3"/>
                <w:sz w:val="21"/>
              </w:rPr>
              <w:t>的</w:t>
            </w:r>
            <w:r>
              <w:rPr>
                <w:sz w:val="21"/>
              </w:rPr>
              <w:t>最</w:t>
            </w:r>
            <w:r>
              <w:rPr>
                <w:spacing w:val="-3"/>
                <w:sz w:val="21"/>
              </w:rPr>
              <w:t>低</w:t>
            </w:r>
            <w:r>
              <w:rPr>
                <w:sz w:val="21"/>
              </w:rPr>
              <w:t>投</w:t>
            </w:r>
            <w:r>
              <w:rPr>
                <w:spacing w:val="-3"/>
                <w:sz w:val="21"/>
              </w:rPr>
              <w:t>保</w:t>
            </w:r>
            <w:r>
              <w:rPr>
                <w:sz w:val="21"/>
              </w:rPr>
              <w:t>金额：</w:t>
            </w:r>
            <w:r>
              <w:rPr>
                <w:sz w:val="21"/>
                <w:u w:val="single"/>
              </w:rPr>
              <w:t xml:space="preserve"> </w:t>
            </w:r>
            <w:r>
              <w:rPr>
                <w:sz w:val="21"/>
                <w:u w:val="single"/>
              </w:rPr>
              <w:tab/>
            </w:r>
            <w:r>
              <w:rPr>
                <w:spacing w:val="-3"/>
                <w:sz w:val="21"/>
              </w:rPr>
              <w:t>万</w:t>
            </w:r>
            <w:r>
              <w:rPr>
                <w:sz w:val="21"/>
              </w:rPr>
              <w:t>元</w:t>
            </w:r>
            <w:r>
              <w:rPr>
                <w:spacing w:val="-3"/>
                <w:sz w:val="21"/>
              </w:rPr>
              <w:t>，</w:t>
            </w:r>
            <w:r>
              <w:rPr>
                <w:sz w:val="21"/>
              </w:rPr>
              <w:t>事</w:t>
            </w:r>
            <w:r>
              <w:rPr>
                <w:spacing w:val="-3"/>
                <w:sz w:val="21"/>
              </w:rPr>
              <w:t>故次</w:t>
            </w:r>
            <w:r>
              <w:rPr>
                <w:sz w:val="21"/>
              </w:rPr>
              <w:t>数不</w:t>
            </w:r>
            <w:r>
              <w:rPr>
                <w:spacing w:val="-3"/>
                <w:sz w:val="21"/>
              </w:rPr>
              <w:t>限</w:t>
            </w:r>
            <w:r>
              <w:rPr>
                <w:sz w:val="21"/>
              </w:rPr>
              <w:t>（</w:t>
            </w:r>
            <w:r>
              <w:rPr>
                <w:spacing w:val="-3"/>
                <w:sz w:val="21"/>
              </w:rPr>
              <w:t>不</w:t>
            </w:r>
            <w:r>
              <w:rPr>
                <w:sz w:val="21"/>
              </w:rPr>
              <w:t>计</w:t>
            </w:r>
            <w:r>
              <w:rPr>
                <w:spacing w:val="-3"/>
                <w:sz w:val="21"/>
              </w:rPr>
              <w:t>免</w:t>
            </w:r>
            <w:r>
              <w:rPr>
                <w:sz w:val="21"/>
              </w:rPr>
              <w:t>赔</w:t>
            </w:r>
            <w:r>
              <w:rPr>
                <w:spacing w:val="-3"/>
                <w:sz w:val="21"/>
              </w:rPr>
              <w:t>额</w:t>
            </w:r>
            <w:r>
              <w:rPr>
                <w:sz w:val="21"/>
              </w:rPr>
              <w:t>） 保险</w:t>
            </w:r>
            <w:r>
              <w:rPr>
                <w:spacing w:val="-3"/>
                <w:sz w:val="21"/>
              </w:rPr>
              <w:t>费</w:t>
            </w:r>
            <w:r>
              <w:rPr>
                <w:sz w:val="21"/>
              </w:rPr>
              <w:t>率：</w:t>
            </w:r>
            <w:r>
              <w:rPr>
                <w:sz w:val="21"/>
                <w:u w:val="single"/>
              </w:rPr>
              <w:t xml:space="preserve"> </w:t>
            </w:r>
            <w:r>
              <w:rPr>
                <w:sz w:val="21"/>
                <w:u w:val="single"/>
              </w:rPr>
              <w:tab/>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29" w:type="dxa"/>
          </w:tcPr>
          <w:p>
            <w:pPr>
              <w:pStyle w:val="21"/>
              <w:spacing w:before="12"/>
              <w:rPr>
                <w:sz w:val="21"/>
              </w:rPr>
            </w:pPr>
          </w:p>
          <w:p>
            <w:pPr>
              <w:pStyle w:val="21"/>
              <w:ind w:left="83" w:right="74"/>
              <w:jc w:val="center"/>
              <w:rPr>
                <w:rFonts w:ascii="Times New Roman"/>
                <w:sz w:val="21"/>
              </w:rPr>
            </w:pPr>
            <w:r>
              <w:rPr>
                <w:rFonts w:ascii="Times New Roman"/>
                <w:sz w:val="21"/>
              </w:rPr>
              <w:t>29</w:t>
            </w:r>
          </w:p>
        </w:tc>
        <w:tc>
          <w:tcPr>
            <w:tcW w:w="1111" w:type="dxa"/>
          </w:tcPr>
          <w:p>
            <w:pPr>
              <w:pStyle w:val="21"/>
              <w:spacing w:before="12"/>
              <w:rPr>
                <w:sz w:val="21"/>
              </w:rPr>
            </w:pPr>
          </w:p>
          <w:p>
            <w:pPr>
              <w:pStyle w:val="21"/>
              <w:ind w:left="371"/>
              <w:rPr>
                <w:rFonts w:ascii="Times New Roman"/>
                <w:sz w:val="21"/>
              </w:rPr>
            </w:pPr>
            <w:r>
              <w:rPr>
                <w:rFonts w:ascii="Times New Roman"/>
                <w:sz w:val="21"/>
              </w:rPr>
              <w:t>24.1</w:t>
            </w:r>
          </w:p>
        </w:tc>
        <w:tc>
          <w:tcPr>
            <w:tcW w:w="7305" w:type="dxa"/>
          </w:tcPr>
          <w:p>
            <w:pPr>
              <w:pStyle w:val="21"/>
              <w:tabs>
                <w:tab w:val="left" w:pos="3900"/>
              </w:tabs>
              <w:spacing w:before="78"/>
              <w:ind w:left="328"/>
              <w:rPr>
                <w:sz w:val="21"/>
              </w:rPr>
            </w:pPr>
            <w:r>
              <w:rPr>
                <w:sz w:val="21"/>
              </w:rPr>
              <w:t>争议</w:t>
            </w:r>
            <w:r>
              <w:rPr>
                <w:spacing w:val="-3"/>
                <w:sz w:val="21"/>
              </w:rPr>
              <w:t>的</w:t>
            </w:r>
            <w:r>
              <w:rPr>
                <w:sz w:val="21"/>
              </w:rPr>
              <w:t>最</w:t>
            </w:r>
            <w:r>
              <w:rPr>
                <w:spacing w:val="-3"/>
                <w:sz w:val="21"/>
              </w:rPr>
              <w:t>终</w:t>
            </w:r>
            <w:r>
              <w:rPr>
                <w:sz w:val="21"/>
              </w:rPr>
              <w:t>解</w:t>
            </w:r>
            <w:r>
              <w:rPr>
                <w:spacing w:val="-3"/>
                <w:sz w:val="21"/>
              </w:rPr>
              <w:t>决</w:t>
            </w:r>
            <w:r>
              <w:rPr>
                <w:sz w:val="21"/>
              </w:rPr>
              <w:t>方</w:t>
            </w:r>
            <w:r>
              <w:rPr>
                <w:spacing w:val="-3"/>
                <w:sz w:val="21"/>
              </w:rPr>
              <w:t>式</w:t>
            </w:r>
            <w:r>
              <w:rPr>
                <w:sz w:val="21"/>
              </w:rPr>
              <w:t>：</w:t>
            </w:r>
            <w:r>
              <w:rPr>
                <w:spacing w:val="15"/>
                <w:sz w:val="21"/>
                <w:u w:val="single"/>
              </w:rPr>
              <w:t xml:space="preserve"> </w:t>
            </w:r>
            <w:r>
              <w:rPr>
                <w:sz w:val="21"/>
                <w:u w:val="single"/>
              </w:rPr>
              <w:t>仲裁</w:t>
            </w:r>
            <w:r>
              <w:rPr>
                <w:spacing w:val="-3"/>
                <w:sz w:val="21"/>
                <w:u w:val="single"/>
              </w:rPr>
              <w:t>或</w:t>
            </w:r>
            <w:r>
              <w:rPr>
                <w:sz w:val="21"/>
                <w:u w:val="single"/>
              </w:rPr>
              <w:t>诉讼</w:t>
            </w:r>
            <w:r>
              <w:rPr>
                <w:sz w:val="21"/>
                <w:u w:val="single"/>
              </w:rPr>
              <w:tab/>
            </w:r>
          </w:p>
          <w:p>
            <w:pPr>
              <w:pStyle w:val="21"/>
              <w:tabs>
                <w:tab w:val="left" w:pos="6171"/>
              </w:tabs>
              <w:spacing w:before="91" w:line="252" w:lineRule="exact"/>
              <w:ind w:left="345"/>
              <w:rPr>
                <w:rFonts w:ascii="Times New Roman" w:eastAsia="Times New Roman"/>
                <w:sz w:val="21"/>
              </w:rPr>
            </w:pPr>
            <w:r>
              <w:rPr>
                <w:spacing w:val="-1"/>
                <w:sz w:val="21"/>
              </w:rPr>
              <w:t>如采</w:t>
            </w:r>
            <w:r>
              <w:rPr>
                <w:spacing w:val="-3"/>
                <w:sz w:val="21"/>
              </w:rPr>
              <w:t>用</w:t>
            </w:r>
            <w:r>
              <w:rPr>
                <w:sz w:val="21"/>
              </w:rPr>
              <w:t>仲</w:t>
            </w:r>
            <w:r>
              <w:rPr>
                <w:spacing w:val="-3"/>
                <w:sz w:val="21"/>
              </w:rPr>
              <w:t>裁</w:t>
            </w:r>
            <w:r>
              <w:rPr>
                <w:sz w:val="21"/>
              </w:rPr>
              <w:t>，</w:t>
            </w:r>
            <w:r>
              <w:rPr>
                <w:spacing w:val="-3"/>
                <w:sz w:val="21"/>
              </w:rPr>
              <w:t>仲</w:t>
            </w:r>
            <w:r>
              <w:rPr>
                <w:sz w:val="21"/>
              </w:rPr>
              <w:t>裁</w:t>
            </w:r>
            <w:r>
              <w:rPr>
                <w:spacing w:val="-3"/>
                <w:sz w:val="21"/>
              </w:rPr>
              <w:t>委</w:t>
            </w:r>
            <w:r>
              <w:rPr>
                <w:sz w:val="21"/>
              </w:rPr>
              <w:t>员</w:t>
            </w:r>
            <w:r>
              <w:rPr>
                <w:spacing w:val="-3"/>
                <w:sz w:val="21"/>
              </w:rPr>
              <w:t>会</w:t>
            </w:r>
            <w:r>
              <w:rPr>
                <w:sz w:val="21"/>
              </w:rPr>
              <w:t>名称：</w:t>
            </w:r>
            <w:r>
              <w:rPr>
                <w:rFonts w:ascii="Times New Roman" w:eastAsia="Times New Roman"/>
                <w:sz w:val="21"/>
                <w:u w:val="single"/>
              </w:rPr>
              <w:t xml:space="preserve"> </w:t>
            </w:r>
            <w:r>
              <w:rPr>
                <w:rFonts w:ascii="Times New Roman" w:eastAsia="Times New Roman"/>
                <w:sz w:val="21"/>
                <w:u w:val="single"/>
              </w:rPr>
              <w:tab/>
            </w:r>
          </w:p>
        </w:tc>
      </w:tr>
    </w:tbl>
    <w:p>
      <w:pPr>
        <w:pStyle w:val="11"/>
        <w:spacing w:before="1"/>
        <w:rPr>
          <w:sz w:val="15"/>
        </w:rPr>
      </w:pPr>
      <w:r>
        <mc:AlternateContent>
          <mc:Choice Requires="wps">
            <w:drawing>
              <wp:anchor distT="0" distB="0" distL="114300" distR="114300" simplePos="0" relativeHeight="251665408" behindDoc="0" locked="0" layoutInCell="1" allowOverlap="1">
                <wp:simplePos x="0" y="0"/>
                <wp:positionH relativeFrom="page">
                  <wp:posOffset>1043940</wp:posOffset>
                </wp:positionH>
                <wp:positionV relativeFrom="paragraph">
                  <wp:posOffset>151130</wp:posOffset>
                </wp:positionV>
                <wp:extent cx="1829435" cy="0"/>
                <wp:effectExtent l="0" t="0" r="0" b="0"/>
                <wp:wrapTopAndBottom/>
                <wp:docPr id="39" name="直线 40"/>
                <wp:cNvGraphicFramePr/>
                <a:graphic xmlns:a="http://schemas.openxmlformats.org/drawingml/2006/main">
                  <a:graphicData uri="http://schemas.microsoft.com/office/word/2010/wordprocessingShape">
                    <wps:wsp>
                      <wps:cNvSpPr/>
                      <wps:spPr>
                        <a:xfrm>
                          <a:off x="0" y="0"/>
                          <a:ext cx="1829435" cy="0"/>
                        </a:xfrm>
                        <a:prstGeom prst="line">
                          <a:avLst/>
                        </a:prstGeom>
                        <a:ln w="6097" cap="flat" cmpd="sng">
                          <a:solidFill>
                            <a:srgbClr val="000000"/>
                          </a:solidFill>
                          <a:prstDash val="solid"/>
                          <a:headEnd type="none" w="med" len="med"/>
                          <a:tailEnd type="none" w="med" len="med"/>
                        </a:ln>
                      </wps:spPr>
                      <wps:bodyPr upright="true"/>
                    </wps:wsp>
                  </a:graphicData>
                </a:graphic>
              </wp:anchor>
            </w:drawing>
          </mc:Choice>
          <mc:Fallback>
            <w:pict>
              <v:line id="直线 40" o:spid="_x0000_s1026" o:spt="20" style="position:absolute;left:0pt;margin-left:82.2pt;margin-top:11.9pt;height:0pt;width:144.05pt;mso-position-horizontal-relative:page;mso-wrap-distance-bottom:0pt;mso-wrap-distance-top:0pt;z-index:251665408;mso-width-relative:page;mso-height-relative:page;" filled="f" stroked="t" coordsize="21600,21600" o:gfxdata="UEsFBgAAAAAAAAAAAAAAAAAAAAAAAFBLAwQKAAAAAACHTuJAAAAAAAAAAAAAAAAABAAAAGRycy9Q&#10;SwMEFAAAAAgAh07iQBcnwLTVAAAACQEAAA8AAABkcnMvZG93bnJldi54bWxNj81KxEAQhO+C7zC0&#10;4M2d/C5LzGTBBUHw5Lp6niRtEpzpCZnZbOLT2+JBj1X9UV1V7hdrxIyTHxwpiDcRCKTGtQN1Ck6v&#10;j3c7ED5oarVxhApW9LCvrq9KXbTuQi84H0MnOIR8oRX0IYyFlL7p0Wq/cSMS3z7cZHVgOXWynfSF&#10;w62RSRRtpdUD8Ydej3josfk8nq2CbF7W568DPqT1U7zu8u4t9e9GqdubOLoHEXAJfzD81OfqUHGn&#10;2p2p9cKw3mYZowqSlCcwkOVJDqL+NWRVyv8Lqm9QSwMEFAAAAAgAh07iQN0rpLLQAQAAkgMAAA4A&#10;AABkcnMvZTJvRG9jLnhtbK1TS24bMQzdF+gdBO3rsZ00jQceZ1E33RRtgKQHoPWZEaAfRNljn6XX&#10;6KqbHifXKCUndj+bougsNJRIPT4+UsubvbNspxKa4Ds+m0w5U14EaXzf8c8Pt6+uOcMMXoINXnX8&#10;oJDfrF6+WI6xVfMwBCtVYgTisR1jx4ecY9s0KAblACchKk9OHZKDTNvUNzLBSOjONvPp9KoZQ5Ix&#10;BaEQ6XR9dPJVxddaifxJa1SZ2Y4Tt1zXVNdNWZvVEto+QRyMeKIB/8DCgfGU9AS1hgxsm8wfUM6I&#10;FDDoPBHBNUFrI1StgaqZTX+r5n6AqGotJA7Gk0z4/2DFx91dYkZ2/GLBmQdHPXr88vXx23d2WdUZ&#10;I7YUdB/vEmlVdkhmKXWvkyt/KoLtq6KHk6Jqn5mgw9n1fHF58Zoz8exrzhdjwvxeBceK0XFrfCkW&#10;Wth9wEzJKPQ5pBxbz8aOX00XbwgOaFa0hUymi8QefV/vYrBG3hpryw1M/eatTWwHpfv1Kw0n3F/C&#10;SpI14HCMq67jXAwK5DsvWT5EksXTAPNCwSnJmVU078WqE5TB2L+JpNTWE4OzjsXaBHmgLmxjMv1A&#10;SuS0VZVocVLjK+WnIS2T9fO+gp2f0u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FyfAtNUAAAAJ&#10;AQAADwAAAAAAAAABACAAAAA4AAAAZHJzL2Rvd25yZXYueG1sUEsBAhQAFAAAAAgAh07iQN0rpLLQ&#10;AQAAkgMAAA4AAAAAAAAAAQAgAAAAOgEAAGRycy9lMm9Eb2MueG1sUEsFBgAAAAAGAAYAWQEAAHwF&#10;AAAAAA==&#10;">
                <v:fill on="f" focussize="0,0"/>
                <v:stroke weight="0.48007874015748pt" color="#000000" joinstyle="round"/>
                <v:imagedata o:title=""/>
                <o:lock v:ext="edit" aspectratio="f"/>
                <w10:wrap type="topAndBottom"/>
              </v:line>
            </w:pict>
          </mc:Fallback>
        </mc:AlternateContent>
      </w:r>
    </w:p>
    <w:p>
      <w:pPr>
        <w:spacing w:before="107"/>
        <w:ind w:left="424"/>
        <w:rPr>
          <w:sz w:val="18"/>
        </w:rPr>
      </w:pPr>
      <w:r>
        <w:rPr>
          <w:position w:val="8"/>
          <w:sz w:val="9"/>
        </w:rPr>
        <w:t xml:space="preserve">① </w:t>
      </w:r>
      <w:r>
        <w:rPr>
          <w:sz w:val="18"/>
        </w:rPr>
        <w:t xml:space="preserve">对于工程规模不大、工期较短的工程（例如工期不超过 </w:t>
      </w:r>
      <w:r>
        <w:rPr>
          <w:rFonts w:ascii="Times New Roman" w:hAnsi="Times New Roman" w:eastAsia="Times New Roman"/>
          <w:sz w:val="18"/>
        </w:rPr>
        <w:t xml:space="preserve">12 </w:t>
      </w:r>
      <w:r>
        <w:rPr>
          <w:sz w:val="18"/>
        </w:rPr>
        <w:t>个月的），可以不进行调价。</w:t>
      </w:r>
    </w:p>
    <w:p>
      <w:pPr>
        <w:spacing w:before="50"/>
        <w:ind w:left="424"/>
        <w:rPr>
          <w:sz w:val="18"/>
        </w:rPr>
      </w:pPr>
      <w:r>
        <w:rPr>
          <w:position w:val="8"/>
          <w:sz w:val="9"/>
        </w:rPr>
        <w:t xml:space="preserve">② </w:t>
      </w:r>
      <w:r>
        <w:rPr>
          <w:sz w:val="18"/>
        </w:rPr>
        <w:t xml:space="preserve">开工预付款金额一般应为 </w:t>
      </w:r>
      <w:r>
        <w:rPr>
          <w:rFonts w:ascii="Times New Roman" w:hAnsi="Times New Roman" w:eastAsia="Times New Roman"/>
          <w:sz w:val="18"/>
        </w:rPr>
        <w:t>10</w:t>
      </w:r>
      <w:r>
        <w:rPr>
          <w:sz w:val="18"/>
        </w:rPr>
        <w:t>％签约合同价。</w:t>
      </w:r>
    </w:p>
    <w:p>
      <w:pPr>
        <w:spacing w:before="48"/>
        <w:ind w:left="424"/>
        <w:rPr>
          <w:sz w:val="18"/>
        </w:rPr>
      </w:pPr>
      <w:r>
        <w:rPr>
          <w:position w:val="8"/>
          <w:sz w:val="9"/>
        </w:rPr>
        <w:t xml:space="preserve">③ </w:t>
      </w:r>
      <w:r>
        <w:rPr>
          <w:sz w:val="18"/>
        </w:rPr>
        <w:t xml:space="preserve">指主要材料，一般应为 </w:t>
      </w:r>
      <w:r>
        <w:rPr>
          <w:rFonts w:ascii="Times New Roman" w:hAnsi="Times New Roman" w:eastAsia="Times New Roman"/>
          <w:sz w:val="18"/>
        </w:rPr>
        <w:t>70%</w:t>
      </w:r>
      <w:r>
        <w:rPr>
          <w:sz w:val="18"/>
        </w:rPr>
        <w:t>～</w:t>
      </w:r>
      <w:r>
        <w:rPr>
          <w:rFonts w:ascii="Times New Roman" w:hAnsi="Times New Roman" w:eastAsia="Times New Roman"/>
          <w:sz w:val="18"/>
        </w:rPr>
        <w:t>75%</w:t>
      </w:r>
      <w:r>
        <w:rPr>
          <w:sz w:val="18"/>
        </w:rPr>
        <w:t xml:space="preserve">，最低不少于 </w:t>
      </w:r>
      <w:r>
        <w:rPr>
          <w:rFonts w:ascii="Times New Roman" w:hAnsi="Times New Roman" w:eastAsia="Times New Roman"/>
          <w:sz w:val="18"/>
        </w:rPr>
        <w:t>60%</w:t>
      </w:r>
      <w:r>
        <w:rPr>
          <w:sz w:val="18"/>
        </w:rPr>
        <w:t>。</w:t>
      </w:r>
    </w:p>
    <w:p>
      <w:pPr>
        <w:spacing w:before="49"/>
        <w:ind w:left="424"/>
        <w:rPr>
          <w:sz w:val="18"/>
        </w:rPr>
      </w:pPr>
      <w:r>
        <w:rPr>
          <w:position w:val="8"/>
          <w:sz w:val="9"/>
        </w:rPr>
        <w:t xml:space="preserve">④ </w:t>
      </w:r>
      <w:r>
        <w:rPr>
          <w:sz w:val="18"/>
        </w:rPr>
        <w:t xml:space="preserve">国际上一般按月平均支付额的 </w:t>
      </w:r>
      <w:r>
        <w:rPr>
          <w:rFonts w:ascii="Times New Roman" w:hAnsi="Times New Roman" w:eastAsia="Times New Roman"/>
          <w:sz w:val="18"/>
        </w:rPr>
        <w:t>0.3</w:t>
      </w:r>
      <w:r>
        <w:rPr>
          <w:rFonts w:ascii="Symbol" w:hAnsi="Symbol" w:eastAsia="Symbol"/>
          <w:sz w:val="18"/>
        </w:rPr>
        <w:t></w:t>
      </w:r>
      <w:r>
        <w:rPr>
          <w:rFonts w:ascii="Times New Roman" w:hAnsi="Times New Roman" w:eastAsia="Times New Roman"/>
          <w:sz w:val="18"/>
        </w:rPr>
        <w:t xml:space="preserve">0.5 </w:t>
      </w:r>
      <w:r>
        <w:rPr>
          <w:sz w:val="18"/>
        </w:rPr>
        <w:t xml:space="preserve">倍计算，我国可按 </w:t>
      </w:r>
      <w:r>
        <w:rPr>
          <w:rFonts w:ascii="Times New Roman" w:hAnsi="Times New Roman" w:eastAsia="Times New Roman"/>
          <w:sz w:val="18"/>
        </w:rPr>
        <w:t>0.2</w:t>
      </w:r>
      <w:r>
        <w:rPr>
          <w:rFonts w:ascii="Symbol" w:hAnsi="Symbol" w:eastAsia="Symbol"/>
          <w:sz w:val="18"/>
        </w:rPr>
        <w:t></w:t>
      </w:r>
      <w:r>
        <w:rPr>
          <w:rFonts w:ascii="Times New Roman" w:hAnsi="Times New Roman" w:eastAsia="Times New Roman"/>
          <w:sz w:val="18"/>
        </w:rPr>
        <w:t xml:space="preserve">0.3 </w:t>
      </w:r>
      <w:r>
        <w:rPr>
          <w:sz w:val="18"/>
        </w:rPr>
        <w:t>倍计，以利承包人资金周转。</w:t>
      </w:r>
    </w:p>
    <w:p>
      <w:pPr>
        <w:spacing w:before="51"/>
        <w:ind w:left="424"/>
        <w:rPr>
          <w:sz w:val="18"/>
        </w:rPr>
      </w:pPr>
      <w:r>
        <w:rPr>
          <w:position w:val="8"/>
          <w:sz w:val="9"/>
        </w:rPr>
        <w:t xml:space="preserve">⑤ </w:t>
      </w:r>
      <w:r>
        <w:rPr>
          <w:sz w:val="18"/>
        </w:rPr>
        <w:t>相当于中国人民银行短期贷款利率加手续费。招标人不能自行取消本项内容或降低利率。</w:t>
      </w:r>
    </w:p>
    <w:p>
      <w:pPr>
        <w:spacing w:before="48"/>
        <w:ind w:left="424"/>
        <w:rPr>
          <w:sz w:val="18"/>
        </w:rPr>
      </w:pPr>
      <w:r>
        <w:rPr>
          <w:position w:val="8"/>
          <w:sz w:val="9"/>
        </w:rPr>
        <w:t xml:space="preserve">⑥ </w:t>
      </w:r>
      <w:r>
        <w:rPr>
          <w:sz w:val="18"/>
        </w:rPr>
        <w:t xml:space="preserve">质量保证金最高不超过合同价格的 </w:t>
      </w:r>
      <w:r>
        <w:rPr>
          <w:rFonts w:ascii="Times New Roman" w:hAnsi="Times New Roman" w:eastAsia="Times New Roman"/>
          <w:sz w:val="18"/>
        </w:rPr>
        <w:t>3%</w:t>
      </w:r>
      <w:r>
        <w:rPr>
          <w:sz w:val="18"/>
        </w:rPr>
        <w:t>。</w:t>
      </w:r>
    </w:p>
    <w:p>
      <w:pPr>
        <w:spacing w:before="50" w:line="290" w:lineRule="auto"/>
        <w:ind w:left="604" w:right="493" w:hanging="180"/>
        <w:jc w:val="both"/>
        <w:rPr>
          <w:sz w:val="18"/>
        </w:rPr>
      </w:pPr>
      <w:r>
        <w:rPr>
          <w:position w:val="8"/>
          <w:sz w:val="9"/>
        </w:rPr>
        <w:t xml:space="preserve">⑦ </w:t>
      </w:r>
      <w:r>
        <w:rPr>
          <w:spacing w:val="-1"/>
          <w:sz w:val="18"/>
        </w:rPr>
        <w:t>若交工验收时承包人具备被招标项目所在地省级交通运输主管部门评定的最高信用等级，发包人可在质量</w:t>
      </w:r>
      <w:r>
        <w:rPr>
          <w:spacing w:val="-3"/>
          <w:sz w:val="18"/>
        </w:rPr>
        <w:t xml:space="preserve">保证金方面给予一定的优惠奖励，例如发包人可给予承包人 </w:t>
      </w:r>
      <w:r>
        <w:rPr>
          <w:rFonts w:ascii="Times New Roman" w:hAnsi="Times New Roman" w:eastAsia="Times New Roman"/>
          <w:sz w:val="18"/>
        </w:rPr>
        <w:t>2%</w:t>
      </w:r>
      <w:r>
        <w:rPr>
          <w:sz w:val="18"/>
        </w:rPr>
        <w:t>合同价格质量保证金的优惠，具体优惠幅度由发包人自行确定。</w:t>
      </w:r>
    </w:p>
    <w:p>
      <w:pPr>
        <w:spacing w:before="3"/>
        <w:ind w:left="424"/>
        <w:rPr>
          <w:sz w:val="18"/>
        </w:rPr>
      </w:pPr>
      <w:r>
        <w:rPr>
          <w:position w:val="8"/>
          <w:sz w:val="9"/>
        </w:rPr>
        <w:t xml:space="preserve">⑧ </w:t>
      </w:r>
      <w:r>
        <w:rPr>
          <w:sz w:val="18"/>
        </w:rPr>
        <w:t xml:space="preserve">保修期一般应为自实际交工日期起计算 </w:t>
      </w:r>
      <w:r>
        <w:rPr>
          <w:rFonts w:ascii="Times New Roman" w:hAnsi="Times New Roman" w:eastAsia="Times New Roman"/>
          <w:sz w:val="18"/>
        </w:rPr>
        <w:t xml:space="preserve">5 </w:t>
      </w:r>
      <w:r>
        <w:rPr>
          <w:sz w:val="18"/>
        </w:rPr>
        <w:t>年。</w:t>
      </w:r>
    </w:p>
    <w:p>
      <w:pPr>
        <w:rPr>
          <w:sz w:val="18"/>
        </w:rPr>
        <w:sectPr>
          <w:pgSz w:w="11910" w:h="16850"/>
          <w:pgMar w:top="1480" w:right="1200" w:bottom="1080" w:left="1220" w:header="883" w:footer="884" w:gutter="0"/>
          <w:cols w:space="720" w:num="1"/>
        </w:sectPr>
      </w:pPr>
    </w:p>
    <w:p>
      <w:pPr>
        <w:pStyle w:val="11"/>
        <w:rPr>
          <w:sz w:val="20"/>
        </w:rPr>
      </w:pPr>
    </w:p>
    <w:p>
      <w:pPr>
        <w:pStyle w:val="11"/>
        <w:rPr>
          <w:sz w:val="20"/>
        </w:rPr>
      </w:pPr>
    </w:p>
    <w:p>
      <w:pPr>
        <w:pStyle w:val="7"/>
        <w:spacing w:before="214"/>
        <w:ind w:left="3482"/>
      </w:pPr>
      <w:bookmarkStart w:id="247" w:name="_bookmark259"/>
      <w:bookmarkEnd w:id="247"/>
      <w:r>
        <w:t>项目专用合同条款</w:t>
      </w:r>
    </w:p>
    <w:p>
      <w:pPr>
        <w:pStyle w:val="11"/>
        <w:spacing w:before="2"/>
        <w:rPr>
          <w:rFonts w:ascii="黑体"/>
          <w:sz w:val="43"/>
        </w:rPr>
      </w:pPr>
    </w:p>
    <w:p>
      <w:pPr>
        <w:pStyle w:val="11"/>
        <w:spacing w:line="326" w:lineRule="auto"/>
        <w:ind w:left="1084" w:right="389" w:hanging="660"/>
        <w:jc w:val="both"/>
      </w:pPr>
      <w:r>
        <w:rPr>
          <w:rFonts w:hint="eastAsia" w:ascii="黑体" w:hAnsi="黑体" w:eastAsia="黑体"/>
          <w:w w:val="95"/>
        </w:rPr>
        <w:t>说明：</w:t>
      </w:r>
      <w:r>
        <w:rPr>
          <w:w w:val="95"/>
        </w:rPr>
        <w:t>本部分所列的项目专用合同条款是对</w:t>
      </w:r>
      <w:r>
        <w:rPr>
          <w:spacing w:val="6"/>
          <w:w w:val="65"/>
        </w:rPr>
        <w:t>“</w:t>
      </w:r>
      <w:r>
        <w:rPr>
          <w:w w:val="95"/>
        </w:rPr>
        <w:t>公路工程专用合同条款</w:t>
      </w:r>
      <w:r>
        <w:rPr>
          <w:w w:val="65"/>
        </w:rPr>
        <w:t>”</w:t>
      </w:r>
      <w:r>
        <w:rPr>
          <w:w w:val="95"/>
        </w:rPr>
        <w:t xml:space="preserve">中规定必须在  </w:t>
      </w:r>
      <w:r>
        <w:rPr>
          <w:spacing w:val="2"/>
          <w:w w:val="95"/>
        </w:rPr>
        <w:t>项目专用合同条款中明确的内容的集中，招标人编制的</w:t>
      </w:r>
      <w:r>
        <w:rPr>
          <w:spacing w:val="5"/>
          <w:w w:val="65"/>
        </w:rPr>
        <w:t>“</w:t>
      </w:r>
      <w:r>
        <w:rPr>
          <w:spacing w:val="2"/>
          <w:w w:val="95"/>
        </w:rPr>
        <w:t>项目专用合同条款</w:t>
      </w:r>
      <w:r>
        <w:rPr>
          <w:w w:val="65"/>
        </w:rPr>
        <w:t xml:space="preserve">” </w:t>
      </w:r>
      <w:r>
        <w:t>不限于本部分所列内容。</w:t>
      </w:r>
    </w:p>
    <w:p>
      <w:pPr>
        <w:pStyle w:val="11"/>
        <w:spacing w:before="244"/>
        <w:ind w:left="424"/>
        <w:rPr>
          <w:rFonts w:ascii="黑体" w:eastAsia="黑体"/>
        </w:rPr>
      </w:pPr>
      <w:bookmarkStart w:id="248" w:name="_bookmark260"/>
      <w:bookmarkEnd w:id="248"/>
      <w:r>
        <w:rPr>
          <w:rFonts w:ascii="Times New Roman" w:eastAsia="Times New Roman"/>
        </w:rPr>
        <w:t>4.1</w:t>
      </w:r>
      <w:r>
        <w:rPr>
          <w:rFonts w:ascii="Times New Roman" w:eastAsia="Times New Roman"/>
          <w:spacing w:val="58"/>
        </w:rPr>
        <w:t xml:space="preserve"> </w:t>
      </w:r>
      <w:r>
        <w:rPr>
          <w:rFonts w:hint="eastAsia" w:ascii="黑体" w:eastAsia="黑体"/>
        </w:rPr>
        <w:t>承包人的一般义务</w:t>
      </w:r>
    </w:p>
    <w:p>
      <w:pPr>
        <w:pStyle w:val="11"/>
        <w:rPr>
          <w:rFonts w:ascii="黑体"/>
          <w:sz w:val="26"/>
        </w:rPr>
      </w:pPr>
    </w:p>
    <w:p>
      <w:pPr>
        <w:pStyle w:val="11"/>
        <w:ind w:left="894"/>
        <w:rPr>
          <w:rFonts w:ascii="黑体" w:eastAsia="黑体"/>
        </w:rPr>
      </w:pPr>
      <w:r>
        <w:rPr>
          <w:rFonts w:ascii="Times New Roman" w:eastAsia="Times New Roman"/>
        </w:rPr>
        <w:t xml:space="preserve">4.1.10 </w:t>
      </w:r>
      <w:r>
        <w:rPr>
          <w:rFonts w:hint="eastAsia" w:ascii="黑体" w:eastAsia="黑体"/>
        </w:rPr>
        <w:t>其他义务</w:t>
      </w:r>
    </w:p>
    <w:p>
      <w:pPr>
        <w:pStyle w:val="11"/>
        <w:tabs>
          <w:tab w:val="left" w:pos="7111"/>
        </w:tabs>
        <w:spacing w:before="91"/>
        <w:ind w:left="815"/>
        <w:rPr>
          <w:rFonts w:ascii="Times New Roman" w:eastAsia="Times New Roman"/>
        </w:rPr>
      </w:pPr>
      <w:r>
        <w:t>（</w:t>
      </w:r>
      <w:r>
        <w:rPr>
          <w:rFonts w:ascii="Times New Roman" w:eastAsia="Times New Roman"/>
        </w:rPr>
        <w:t>4</w:t>
      </w:r>
      <w:r>
        <w:t>）承包人应履行的其他义务：</w:t>
      </w:r>
      <w:r>
        <w:rPr>
          <w:rFonts w:ascii="Times New Roman" w:eastAsia="Times New Roman"/>
          <w:u w:val="single"/>
        </w:rPr>
        <w:t xml:space="preserve"> </w:t>
      </w:r>
      <w:r>
        <w:rPr>
          <w:rFonts w:ascii="Times New Roman" w:eastAsia="Times New Roman"/>
          <w:u w:val="single"/>
        </w:rPr>
        <w:tab/>
      </w:r>
    </w:p>
    <w:p>
      <w:pPr>
        <w:pStyle w:val="11"/>
        <w:spacing w:before="10"/>
        <w:rPr>
          <w:rFonts w:ascii="Times New Roman"/>
          <w:sz w:val="20"/>
        </w:rPr>
      </w:pPr>
    </w:p>
    <w:p>
      <w:pPr>
        <w:pStyle w:val="11"/>
        <w:spacing w:before="74"/>
        <w:ind w:left="424"/>
        <w:rPr>
          <w:rFonts w:ascii="黑体" w:eastAsia="黑体"/>
        </w:rPr>
      </w:pPr>
      <w:bookmarkStart w:id="249" w:name="_bookmark261"/>
      <w:bookmarkEnd w:id="249"/>
      <w:r>
        <w:rPr>
          <w:rFonts w:ascii="Times New Roman" w:eastAsia="Times New Roman"/>
        </w:rPr>
        <w:t>4.11</w:t>
      </w:r>
      <w:r>
        <w:rPr>
          <w:rFonts w:ascii="Times New Roman" w:eastAsia="Times New Roman"/>
          <w:spacing w:val="58"/>
        </w:rPr>
        <w:t xml:space="preserve"> </w:t>
      </w:r>
      <w:r>
        <w:rPr>
          <w:rFonts w:hint="eastAsia" w:ascii="黑体" w:eastAsia="黑体"/>
        </w:rPr>
        <w:t>不利物质条件</w:t>
      </w:r>
    </w:p>
    <w:p>
      <w:pPr>
        <w:pStyle w:val="11"/>
        <w:spacing w:before="4"/>
        <w:rPr>
          <w:rFonts w:ascii="黑体"/>
        </w:rPr>
      </w:pPr>
    </w:p>
    <w:p>
      <w:pPr>
        <w:pStyle w:val="11"/>
        <w:tabs>
          <w:tab w:val="left" w:pos="6830"/>
        </w:tabs>
        <w:ind w:left="904"/>
        <w:rPr>
          <w:rFonts w:ascii="Times New Roman" w:eastAsia="Times New Roman"/>
        </w:rPr>
      </w:pPr>
      <w:r>
        <w:rPr>
          <w:rFonts w:ascii="Times New Roman" w:eastAsia="Times New Roman"/>
        </w:rPr>
        <w:t>4.11.1</w:t>
      </w:r>
      <w:r>
        <w:rPr>
          <w:rFonts w:ascii="Times New Roman" w:eastAsia="Times New Roman"/>
          <w:spacing w:val="50"/>
        </w:rPr>
        <w:t xml:space="preserve"> </w:t>
      </w:r>
      <w:r>
        <w:t>不利物质条件的范围：</w:t>
      </w:r>
      <w:r>
        <w:rPr>
          <w:rFonts w:ascii="Times New Roman" w:eastAsia="Times New Roman"/>
          <w:u w:val="single"/>
        </w:rPr>
        <w:t xml:space="preserve"> </w:t>
      </w:r>
      <w:r>
        <w:rPr>
          <w:rFonts w:ascii="Times New Roman" w:eastAsia="Times New Roman"/>
          <w:u w:val="single"/>
        </w:rPr>
        <w:tab/>
      </w:r>
    </w:p>
    <w:p>
      <w:pPr>
        <w:pStyle w:val="11"/>
        <w:spacing w:before="11"/>
        <w:rPr>
          <w:rFonts w:ascii="Times New Roman"/>
          <w:sz w:val="20"/>
        </w:rPr>
      </w:pPr>
    </w:p>
    <w:p>
      <w:pPr>
        <w:pStyle w:val="11"/>
        <w:spacing w:before="74"/>
        <w:ind w:left="424"/>
        <w:rPr>
          <w:rFonts w:ascii="黑体" w:eastAsia="黑体"/>
        </w:rPr>
      </w:pPr>
      <w:bookmarkStart w:id="250" w:name="_bookmark262"/>
      <w:bookmarkEnd w:id="250"/>
      <w:r>
        <w:rPr>
          <w:rFonts w:ascii="Times New Roman" w:eastAsia="Times New Roman"/>
        </w:rPr>
        <w:t>10.1</w:t>
      </w:r>
      <w:r>
        <w:rPr>
          <w:rFonts w:ascii="Times New Roman" w:eastAsia="Times New Roman"/>
          <w:spacing w:val="58"/>
        </w:rPr>
        <w:t xml:space="preserve"> </w:t>
      </w:r>
      <w:r>
        <w:rPr>
          <w:rFonts w:hint="eastAsia" w:ascii="黑体" w:eastAsia="黑体"/>
        </w:rPr>
        <w:t>合同进度计划</w:t>
      </w:r>
    </w:p>
    <w:p>
      <w:pPr>
        <w:pStyle w:val="11"/>
        <w:spacing w:before="4"/>
        <w:rPr>
          <w:rFonts w:ascii="黑体"/>
        </w:rPr>
      </w:pPr>
    </w:p>
    <w:p>
      <w:pPr>
        <w:pStyle w:val="11"/>
        <w:tabs>
          <w:tab w:val="left" w:pos="5760"/>
        </w:tabs>
        <w:ind w:left="904"/>
        <w:rPr>
          <w:rFonts w:ascii="Times New Roman" w:eastAsia="Times New Roman"/>
        </w:rPr>
      </w:pPr>
      <w:r>
        <w:t>承包人编制施工方案的内容：</w:t>
      </w:r>
      <w:r>
        <w:rPr>
          <w:rFonts w:ascii="Times New Roman" w:eastAsia="Times New Roman"/>
          <w:u w:val="single"/>
        </w:rPr>
        <w:t xml:space="preserve"> </w:t>
      </w:r>
      <w:r>
        <w:rPr>
          <w:rFonts w:ascii="Times New Roman" w:eastAsia="Times New Roman"/>
          <w:u w:val="single"/>
        </w:rPr>
        <w:tab/>
      </w:r>
    </w:p>
    <w:p>
      <w:pPr>
        <w:pStyle w:val="11"/>
        <w:spacing w:before="8"/>
        <w:rPr>
          <w:rFonts w:ascii="Times New Roman"/>
          <w:sz w:val="20"/>
        </w:rPr>
      </w:pPr>
    </w:p>
    <w:p>
      <w:pPr>
        <w:pStyle w:val="11"/>
        <w:spacing w:before="74"/>
        <w:ind w:left="424"/>
        <w:rPr>
          <w:rFonts w:ascii="黑体" w:eastAsia="黑体"/>
        </w:rPr>
      </w:pPr>
      <w:bookmarkStart w:id="251" w:name="_bookmark263"/>
      <w:bookmarkEnd w:id="251"/>
      <w:r>
        <w:rPr>
          <w:rFonts w:ascii="Times New Roman" w:eastAsia="Times New Roman"/>
        </w:rPr>
        <w:t xml:space="preserve">11.4 </w:t>
      </w:r>
      <w:r>
        <w:rPr>
          <w:rFonts w:hint="eastAsia" w:ascii="黑体" w:eastAsia="黑体"/>
        </w:rPr>
        <w:t>异常恶劣的气候条件</w:t>
      </w:r>
    </w:p>
    <w:p>
      <w:pPr>
        <w:pStyle w:val="11"/>
        <w:rPr>
          <w:rFonts w:ascii="黑体"/>
          <w:sz w:val="26"/>
        </w:rPr>
      </w:pPr>
    </w:p>
    <w:p>
      <w:pPr>
        <w:pStyle w:val="11"/>
        <w:tabs>
          <w:tab w:val="left" w:pos="5760"/>
        </w:tabs>
        <w:ind w:left="904"/>
        <w:rPr>
          <w:rFonts w:ascii="Times New Roman" w:eastAsia="Times New Roman"/>
        </w:rPr>
      </w:pPr>
      <w:r>
        <w:t>异常恶劣的气候条件的范围：</w:t>
      </w:r>
      <w:r>
        <w:rPr>
          <w:rFonts w:ascii="Times New Roman" w:eastAsia="Times New Roman"/>
          <w:u w:val="single"/>
        </w:rPr>
        <w:t xml:space="preserve"> </w:t>
      </w:r>
      <w:r>
        <w:rPr>
          <w:rFonts w:ascii="Times New Roman" w:eastAsia="Times New Roman"/>
          <w:u w:val="single"/>
        </w:rPr>
        <w:tab/>
      </w:r>
    </w:p>
    <w:p>
      <w:pPr>
        <w:pStyle w:val="11"/>
        <w:spacing w:before="7"/>
        <w:rPr>
          <w:rFonts w:ascii="Times New Roman"/>
          <w:sz w:val="20"/>
        </w:rPr>
      </w:pPr>
    </w:p>
    <w:p>
      <w:pPr>
        <w:pStyle w:val="11"/>
        <w:spacing w:before="74"/>
        <w:ind w:left="424"/>
        <w:rPr>
          <w:rFonts w:ascii="黑体" w:eastAsia="黑体"/>
        </w:rPr>
      </w:pPr>
      <w:bookmarkStart w:id="252" w:name="_bookmark264"/>
      <w:bookmarkEnd w:id="252"/>
      <w:r>
        <w:rPr>
          <w:rFonts w:ascii="Times New Roman" w:eastAsia="Times New Roman"/>
        </w:rPr>
        <w:t>12.1</w:t>
      </w:r>
      <w:r>
        <w:rPr>
          <w:rFonts w:ascii="Times New Roman" w:eastAsia="Times New Roman"/>
          <w:spacing w:val="58"/>
        </w:rPr>
        <w:t xml:space="preserve"> </w:t>
      </w:r>
      <w:r>
        <w:rPr>
          <w:rFonts w:hint="eastAsia" w:ascii="黑体" w:eastAsia="黑体"/>
        </w:rPr>
        <w:t>承包人暂停施工的责任</w:t>
      </w:r>
    </w:p>
    <w:p>
      <w:pPr>
        <w:pStyle w:val="11"/>
        <w:spacing w:before="1"/>
        <w:rPr>
          <w:rFonts w:ascii="黑体"/>
          <w:sz w:val="26"/>
        </w:rPr>
      </w:pPr>
    </w:p>
    <w:p>
      <w:pPr>
        <w:pStyle w:val="11"/>
        <w:tabs>
          <w:tab w:val="left" w:pos="8220"/>
        </w:tabs>
        <w:ind w:left="904"/>
        <w:rPr>
          <w:rFonts w:ascii="Times New Roman" w:eastAsia="Times New Roman"/>
        </w:rPr>
      </w:pPr>
      <w:r>
        <w:rPr>
          <w:rFonts w:ascii="Times New Roman" w:eastAsia="Times New Roman"/>
        </w:rPr>
        <w:t xml:space="preserve">12.1 </w:t>
      </w:r>
      <w:r>
        <w:t>（</w:t>
      </w:r>
      <w:r>
        <w:rPr>
          <w:rFonts w:ascii="Times New Roman" w:eastAsia="Times New Roman"/>
        </w:rPr>
        <w:t>6</w:t>
      </w:r>
      <w:r>
        <w:t>）由承包人承担的其他暂停施工：</w:t>
      </w:r>
      <w:r>
        <w:rPr>
          <w:rFonts w:ascii="Times New Roman" w:eastAsia="Times New Roman"/>
          <w:u w:val="single"/>
        </w:rPr>
        <w:t xml:space="preserve"> </w:t>
      </w:r>
      <w:r>
        <w:rPr>
          <w:rFonts w:ascii="Times New Roman" w:eastAsia="Times New Roman"/>
          <w:u w:val="single"/>
        </w:rPr>
        <w:tab/>
      </w:r>
    </w:p>
    <w:p>
      <w:pPr>
        <w:pStyle w:val="11"/>
        <w:spacing w:before="8"/>
        <w:rPr>
          <w:rFonts w:ascii="Times New Roman"/>
          <w:sz w:val="20"/>
        </w:rPr>
      </w:pPr>
    </w:p>
    <w:p>
      <w:pPr>
        <w:pStyle w:val="11"/>
        <w:spacing w:before="74"/>
        <w:ind w:left="424"/>
        <w:rPr>
          <w:rFonts w:ascii="黑体" w:eastAsia="黑体"/>
        </w:rPr>
      </w:pPr>
      <w:r>
        <w:rPr>
          <w:rFonts w:ascii="Times New Roman" w:eastAsia="Times New Roman"/>
        </w:rPr>
        <w:t>17.1</w:t>
      </w:r>
      <w:r>
        <w:rPr>
          <w:rFonts w:ascii="Times New Roman" w:eastAsia="Times New Roman"/>
          <w:spacing w:val="58"/>
        </w:rPr>
        <w:t xml:space="preserve"> </w:t>
      </w:r>
      <w:r>
        <w:rPr>
          <w:rFonts w:hint="eastAsia" w:ascii="黑体" w:eastAsia="黑体"/>
        </w:rPr>
        <w:t>计量</w:t>
      </w:r>
    </w:p>
    <w:p>
      <w:pPr>
        <w:pStyle w:val="11"/>
        <w:rPr>
          <w:rFonts w:ascii="黑体"/>
          <w:sz w:val="26"/>
        </w:rPr>
      </w:pPr>
    </w:p>
    <w:p>
      <w:pPr>
        <w:pStyle w:val="11"/>
        <w:tabs>
          <w:tab w:val="left" w:pos="9120"/>
        </w:tabs>
        <w:ind w:left="904"/>
        <w:rPr>
          <w:rFonts w:ascii="Times New Roman" w:eastAsia="Times New Roman"/>
        </w:rPr>
      </w:pPr>
      <w:r>
        <w:rPr>
          <w:rFonts w:ascii="Times New Roman" w:eastAsia="Times New Roman"/>
        </w:rPr>
        <w:t xml:space="preserve">17.1.5 </w:t>
      </w:r>
      <w:r>
        <w:t>本项目工程量清单中总额价子目的支付原则和支付进度：</w:t>
      </w:r>
      <w:r>
        <w:rPr>
          <w:rFonts w:ascii="Times New Roman" w:eastAsia="Times New Roman"/>
          <w:u w:val="single"/>
        </w:rPr>
        <w:t xml:space="preserve"> </w:t>
      </w:r>
      <w:r>
        <w:rPr>
          <w:rFonts w:ascii="Times New Roman" w:eastAsia="Times New Roman"/>
          <w:u w:val="single"/>
        </w:rPr>
        <w:tab/>
      </w:r>
    </w:p>
    <w:p>
      <w:pPr>
        <w:pStyle w:val="11"/>
        <w:spacing w:before="8"/>
        <w:rPr>
          <w:rFonts w:ascii="Times New Roman"/>
          <w:sz w:val="20"/>
        </w:rPr>
      </w:pPr>
    </w:p>
    <w:p>
      <w:pPr>
        <w:pStyle w:val="11"/>
        <w:spacing w:before="74"/>
        <w:ind w:left="424"/>
        <w:rPr>
          <w:rFonts w:ascii="黑体" w:eastAsia="黑体"/>
        </w:rPr>
      </w:pPr>
      <w:bookmarkStart w:id="253" w:name="_bookmark265"/>
      <w:bookmarkEnd w:id="253"/>
      <w:r>
        <w:rPr>
          <w:rFonts w:ascii="Times New Roman" w:eastAsia="Times New Roman"/>
        </w:rPr>
        <w:t>17.3</w:t>
      </w:r>
      <w:r>
        <w:rPr>
          <w:rFonts w:ascii="Times New Roman" w:eastAsia="Times New Roman"/>
          <w:spacing w:val="58"/>
        </w:rPr>
        <w:t xml:space="preserve"> </w:t>
      </w:r>
      <w:r>
        <w:rPr>
          <w:rFonts w:hint="eastAsia" w:ascii="黑体" w:eastAsia="黑体"/>
        </w:rPr>
        <w:t>工程进度付款</w:t>
      </w:r>
    </w:p>
    <w:p>
      <w:pPr>
        <w:pStyle w:val="11"/>
        <w:spacing w:before="9"/>
        <w:rPr>
          <w:rFonts w:ascii="黑体"/>
          <w:sz w:val="27"/>
        </w:rPr>
      </w:pPr>
    </w:p>
    <w:p>
      <w:pPr>
        <w:pStyle w:val="11"/>
        <w:tabs>
          <w:tab w:val="left" w:pos="7070"/>
          <w:tab w:val="left" w:pos="7791"/>
        </w:tabs>
        <w:spacing w:line="328" w:lineRule="auto"/>
        <w:ind w:left="894" w:right="1693"/>
        <w:rPr>
          <w:rFonts w:ascii="Times New Roman" w:eastAsia="Times New Roman"/>
        </w:rPr>
      </w:pPr>
      <w:r>
        <w:rPr>
          <w:rFonts w:ascii="Times New Roman" w:eastAsia="Times New Roman"/>
        </w:rPr>
        <w:t xml:space="preserve">17.3.5 </w:t>
      </w:r>
      <w:r>
        <w:t>农民工工资保证金的缴存时间：</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 xml:space="preserve"> 农民工工资保证金的缴存金额：</w:t>
      </w:r>
      <w:r>
        <w:rPr>
          <w:rFonts w:ascii="Times New Roman" w:eastAsia="Times New Roman"/>
          <w:u w:val="single"/>
        </w:rPr>
        <w:t xml:space="preserve"> </w:t>
      </w:r>
      <w:r>
        <w:rPr>
          <w:rFonts w:ascii="Times New Roman" w:eastAsia="Times New Roman"/>
          <w:u w:val="single"/>
        </w:rPr>
        <w:tab/>
      </w:r>
    </w:p>
    <w:p>
      <w:pPr>
        <w:pStyle w:val="11"/>
        <w:tabs>
          <w:tab w:val="left" w:pos="7070"/>
        </w:tabs>
        <w:spacing w:line="328" w:lineRule="auto"/>
        <w:ind w:left="904" w:right="2404" w:hanging="10"/>
        <w:rPr>
          <w:rFonts w:ascii="Times New Roman" w:eastAsia="Times New Roman"/>
        </w:rPr>
      </w:pPr>
      <w:r>
        <w:t>农民工工资保证金的扣留条件：</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农民工工资保证金的返还时间：</w:t>
      </w:r>
      <w:r>
        <w:rPr>
          <w:rFonts w:ascii="Times New Roman" w:eastAsia="Times New Roman"/>
          <w:u w:val="single"/>
        </w:rPr>
        <w:t xml:space="preserve"> </w:t>
      </w:r>
      <w:r>
        <w:rPr>
          <w:rFonts w:ascii="Times New Roman" w:eastAsia="Times New Roman"/>
          <w:u w:val="single"/>
        </w:rPr>
        <w:tab/>
      </w:r>
    </w:p>
    <w:p>
      <w:pPr>
        <w:spacing w:line="328" w:lineRule="auto"/>
        <w:rPr>
          <w:rFonts w:ascii="Times New Roman" w:eastAsia="Times New Roman"/>
        </w:rPr>
        <w:sectPr>
          <w:footerReference r:id="rId50" w:type="default"/>
          <w:footerReference r:id="rId51" w:type="even"/>
          <w:pgSz w:w="11910" w:h="16850"/>
          <w:pgMar w:top="1480" w:right="1200" w:bottom="1040" w:left="1220" w:header="876" w:footer="853" w:gutter="0"/>
          <w:cols w:space="720" w:num="1"/>
        </w:sectPr>
      </w:pPr>
    </w:p>
    <w:p>
      <w:pPr>
        <w:pStyle w:val="11"/>
        <w:rPr>
          <w:rFonts w:ascii="Times New Roman"/>
          <w:sz w:val="9"/>
        </w:rPr>
      </w:pPr>
    </w:p>
    <w:p>
      <w:pPr>
        <w:pStyle w:val="11"/>
        <w:spacing w:before="74"/>
        <w:ind w:left="424"/>
        <w:rPr>
          <w:rFonts w:ascii="黑体" w:eastAsia="黑体"/>
        </w:rPr>
      </w:pPr>
      <w:bookmarkStart w:id="254" w:name="_bookmark266"/>
      <w:bookmarkEnd w:id="254"/>
      <w:r>
        <w:rPr>
          <w:rFonts w:ascii="Times New Roman" w:eastAsia="Times New Roman"/>
        </w:rPr>
        <w:t>21.1</w:t>
      </w:r>
      <w:r>
        <w:rPr>
          <w:rFonts w:ascii="Times New Roman" w:eastAsia="Times New Roman"/>
          <w:spacing w:val="58"/>
        </w:rPr>
        <w:t xml:space="preserve"> </w:t>
      </w:r>
      <w:r>
        <w:rPr>
          <w:rFonts w:hint="eastAsia" w:ascii="黑体" w:eastAsia="黑体"/>
        </w:rPr>
        <w:t>不可抗力的确认</w:t>
      </w:r>
    </w:p>
    <w:p>
      <w:pPr>
        <w:pStyle w:val="11"/>
        <w:spacing w:before="10"/>
        <w:rPr>
          <w:rFonts w:ascii="黑体"/>
          <w:sz w:val="25"/>
        </w:rPr>
      </w:pPr>
    </w:p>
    <w:p>
      <w:pPr>
        <w:pStyle w:val="11"/>
        <w:tabs>
          <w:tab w:val="left" w:pos="8040"/>
        </w:tabs>
        <w:spacing w:before="1"/>
        <w:ind w:left="904"/>
        <w:rPr>
          <w:rFonts w:ascii="Times New Roman" w:eastAsia="Times New Roman"/>
        </w:rPr>
      </w:pPr>
      <w:r>
        <w:rPr>
          <w:rFonts w:ascii="Times New Roman" w:eastAsia="Times New Roman"/>
        </w:rPr>
        <w:t xml:space="preserve">21.1.1 </w:t>
      </w:r>
      <w:r>
        <w:t>（</w:t>
      </w:r>
      <w:r>
        <w:rPr>
          <w:rFonts w:ascii="Times New Roman" w:eastAsia="Times New Roman"/>
        </w:rPr>
        <w:t>6</w:t>
      </w:r>
      <w:r>
        <w:t>）不可抗力的其他情形：</w:t>
      </w:r>
      <w:r>
        <w:rPr>
          <w:rFonts w:ascii="Times New Roman" w:eastAsia="Times New Roman"/>
          <w:u w:val="single"/>
        </w:rPr>
        <w:t xml:space="preserve"> </w:t>
      </w:r>
      <w:r>
        <w:rPr>
          <w:rFonts w:ascii="Times New Roman" w:eastAsia="Times New Roman"/>
          <w:u w:val="single"/>
        </w:rPr>
        <w:tab/>
      </w:r>
    </w:p>
    <w:p>
      <w:pPr>
        <w:pStyle w:val="11"/>
        <w:spacing w:before="10"/>
        <w:rPr>
          <w:rFonts w:ascii="Times New Roman"/>
          <w:sz w:val="20"/>
        </w:rPr>
      </w:pPr>
    </w:p>
    <w:p>
      <w:pPr>
        <w:pStyle w:val="20"/>
        <w:numPr>
          <w:ilvl w:val="1"/>
          <w:numId w:val="40"/>
        </w:numPr>
        <w:tabs>
          <w:tab w:val="left" w:pos="965"/>
        </w:tabs>
        <w:spacing w:before="74"/>
        <w:rPr>
          <w:rFonts w:ascii="黑体" w:eastAsia="黑体"/>
          <w:sz w:val="24"/>
        </w:rPr>
      </w:pPr>
      <w:bookmarkStart w:id="255" w:name="_bookmark267"/>
      <w:bookmarkEnd w:id="255"/>
      <w:r>
        <w:rPr>
          <w:rFonts w:hint="eastAsia" w:ascii="黑体" w:eastAsia="黑体"/>
          <w:sz w:val="24"/>
        </w:rPr>
        <w:t>承包人违约</w:t>
      </w:r>
    </w:p>
    <w:p>
      <w:pPr>
        <w:pStyle w:val="11"/>
        <w:spacing w:before="10"/>
        <w:rPr>
          <w:rFonts w:ascii="黑体"/>
          <w:sz w:val="25"/>
        </w:rPr>
      </w:pPr>
    </w:p>
    <w:p>
      <w:pPr>
        <w:pStyle w:val="20"/>
        <w:numPr>
          <w:ilvl w:val="2"/>
          <w:numId w:val="40"/>
        </w:numPr>
        <w:tabs>
          <w:tab w:val="left" w:pos="1625"/>
          <w:tab w:val="left" w:pos="6840"/>
        </w:tabs>
        <w:spacing w:line="312" w:lineRule="auto"/>
        <w:ind w:right="383" w:firstLine="480"/>
        <w:rPr>
          <w:rFonts w:ascii="Times New Roman" w:eastAsia="Times New Roman"/>
          <w:sz w:val="24"/>
        </w:rPr>
      </w:pPr>
      <w:r>
        <w:rPr>
          <w:sz w:val="24"/>
        </w:rPr>
        <w:t>当承包人发生第</w:t>
      </w:r>
      <w:r>
        <w:rPr>
          <w:spacing w:val="-43"/>
          <w:sz w:val="24"/>
        </w:rPr>
        <w:t xml:space="preserve"> </w:t>
      </w:r>
      <w:r>
        <w:rPr>
          <w:rFonts w:ascii="Times New Roman" w:eastAsia="Times New Roman"/>
          <w:sz w:val="24"/>
        </w:rPr>
        <w:t>22.1.1</w:t>
      </w:r>
      <w:r>
        <w:rPr>
          <w:rFonts w:ascii="Times New Roman" w:eastAsia="Times New Roman"/>
          <w:spacing w:val="15"/>
          <w:sz w:val="24"/>
        </w:rPr>
        <w:t xml:space="preserve"> </w:t>
      </w:r>
      <w:r>
        <w:rPr>
          <w:sz w:val="24"/>
        </w:rPr>
        <w:t>项约定的违约情况时，发包人有权向承包人课以违约金，具体约定如下：</w:t>
      </w:r>
      <w:r>
        <w:rPr>
          <w:rFonts w:ascii="Times New Roman" w:eastAsia="Times New Roman"/>
          <w:sz w:val="24"/>
          <w:u w:val="single"/>
        </w:rPr>
        <w:t xml:space="preserve"> </w:t>
      </w:r>
      <w:r>
        <w:rPr>
          <w:rFonts w:ascii="Times New Roman" w:eastAsia="Times New Roman"/>
          <w:sz w:val="24"/>
          <w:u w:val="single"/>
        </w:rPr>
        <w:tab/>
      </w:r>
    </w:p>
    <w:p>
      <w:pPr>
        <w:pStyle w:val="11"/>
        <w:spacing w:before="9"/>
        <w:rPr>
          <w:rFonts w:ascii="Times New Roman"/>
          <w:sz w:val="12"/>
        </w:rPr>
      </w:pPr>
    </w:p>
    <w:p>
      <w:pPr>
        <w:pStyle w:val="20"/>
        <w:numPr>
          <w:ilvl w:val="1"/>
          <w:numId w:val="40"/>
        </w:numPr>
        <w:tabs>
          <w:tab w:val="left" w:pos="965"/>
        </w:tabs>
        <w:spacing w:before="75"/>
        <w:rPr>
          <w:rFonts w:ascii="黑体" w:eastAsia="黑体"/>
          <w:sz w:val="24"/>
        </w:rPr>
      </w:pPr>
      <w:bookmarkStart w:id="256" w:name="_bookmark268"/>
      <w:bookmarkEnd w:id="256"/>
      <w:r>
        <w:rPr>
          <w:rFonts w:hint="eastAsia" w:ascii="黑体" w:eastAsia="黑体"/>
          <w:sz w:val="24"/>
        </w:rPr>
        <w:t>发包人违约</w:t>
      </w:r>
    </w:p>
    <w:p>
      <w:pPr>
        <w:pStyle w:val="11"/>
        <w:spacing w:before="12"/>
        <w:rPr>
          <w:rFonts w:ascii="黑体"/>
          <w:sz w:val="25"/>
        </w:rPr>
      </w:pPr>
    </w:p>
    <w:p>
      <w:pPr>
        <w:pStyle w:val="20"/>
        <w:numPr>
          <w:ilvl w:val="2"/>
          <w:numId w:val="40"/>
        </w:numPr>
        <w:tabs>
          <w:tab w:val="left" w:pos="1625"/>
          <w:tab w:val="left" w:pos="9156"/>
        </w:tabs>
        <w:spacing w:before="1" w:line="312" w:lineRule="auto"/>
        <w:ind w:right="327" w:firstLine="480"/>
        <w:rPr>
          <w:rFonts w:ascii="Times New Roman" w:eastAsia="Times New Roman"/>
          <w:sz w:val="24"/>
        </w:rPr>
      </w:pPr>
      <w:r>
        <w:rPr>
          <w:sz w:val="24"/>
        </w:rPr>
        <w:t>发包人无正当理由不按时返还履约保证金、质量保证金或农民工工资保证金的，发包人应向承包人支付的违约金如下：</w:t>
      </w:r>
      <w:r>
        <w:rPr>
          <w:rFonts w:ascii="Times New Roman" w:eastAsia="Times New Roman"/>
          <w:sz w:val="24"/>
          <w:u w:val="single"/>
        </w:rPr>
        <w:t xml:space="preserve"> </w:t>
      </w:r>
      <w:r>
        <w:rPr>
          <w:rFonts w:ascii="Times New Roman" w:eastAsia="Times New Roman"/>
          <w:sz w:val="24"/>
          <w:u w:val="single"/>
        </w:rPr>
        <w:tab/>
      </w:r>
    </w:p>
    <w:p>
      <w:pPr>
        <w:pStyle w:val="11"/>
        <w:spacing w:before="27"/>
        <w:ind w:left="904"/>
        <w:rPr>
          <w:rFonts w:ascii="Times New Roman" w:hAnsi="Times New Roman"/>
        </w:rPr>
      </w:pPr>
      <w:r>
        <w:rPr>
          <w:rFonts w:ascii="Times New Roman" w:hAnsi="Times New Roman"/>
        </w:rPr>
        <w:t>………</w:t>
      </w:r>
    </w:p>
    <w:p>
      <w:pPr>
        <w:rPr>
          <w:rFonts w:ascii="Times New Roman" w:hAnsi="Times New Roman"/>
        </w:rPr>
        <w:sectPr>
          <w:pgSz w:w="11910" w:h="16850"/>
          <w:pgMar w:top="1480" w:right="1200" w:bottom="1080" w:left="1220" w:header="883" w:footer="884" w:gutter="0"/>
          <w:cols w:space="720" w:num="1"/>
        </w:sectPr>
      </w:pPr>
    </w:p>
    <w:p>
      <w:pPr>
        <w:pStyle w:val="11"/>
        <w:rPr>
          <w:rFonts w:ascii="Times New Roman"/>
          <w:sz w:val="20"/>
        </w:rPr>
      </w:pPr>
    </w:p>
    <w:p>
      <w:pPr>
        <w:pStyle w:val="11"/>
        <w:rPr>
          <w:rFonts w:ascii="Times New Roman"/>
          <w:sz w:val="20"/>
        </w:rPr>
      </w:pPr>
    </w:p>
    <w:p>
      <w:pPr>
        <w:pStyle w:val="11"/>
        <w:spacing w:before="8"/>
        <w:rPr>
          <w:rFonts w:ascii="Times New Roman"/>
          <w:sz w:val="19"/>
        </w:rPr>
      </w:pPr>
    </w:p>
    <w:p>
      <w:pPr>
        <w:tabs>
          <w:tab w:val="left" w:pos="4341"/>
        </w:tabs>
        <w:spacing w:before="41"/>
        <w:ind w:left="2661"/>
        <w:rPr>
          <w:rFonts w:ascii="黑体" w:eastAsia="黑体"/>
          <w:sz w:val="42"/>
        </w:rPr>
      </w:pPr>
      <w:bookmarkStart w:id="257" w:name="_bookmark269"/>
      <w:bookmarkEnd w:id="257"/>
      <w:r>
        <w:rPr>
          <w:rFonts w:hint="eastAsia" w:ascii="黑体" w:eastAsia="黑体"/>
          <w:sz w:val="42"/>
        </w:rPr>
        <w:t>第三节</w:t>
      </w:r>
      <w:r>
        <w:rPr>
          <w:rFonts w:hint="eastAsia" w:ascii="黑体" w:eastAsia="黑体"/>
          <w:sz w:val="42"/>
        </w:rPr>
        <w:tab/>
      </w:r>
      <w:r>
        <w:rPr>
          <w:rFonts w:hint="eastAsia" w:ascii="黑体" w:eastAsia="黑体"/>
          <w:sz w:val="42"/>
        </w:rPr>
        <w:t>合同附件格式</w:t>
      </w:r>
    </w:p>
    <w:p>
      <w:pPr>
        <w:rPr>
          <w:rFonts w:ascii="黑体" w:eastAsia="黑体"/>
          <w:sz w:val="42"/>
        </w:rPr>
        <w:sectPr>
          <w:footerReference r:id="rId52" w:type="default"/>
          <w:footerReference r:id="rId53" w:type="even"/>
          <w:pgSz w:w="11910" w:h="16850"/>
          <w:pgMar w:top="1480" w:right="1200" w:bottom="1040" w:left="1220" w:header="876" w:footer="853" w:gutter="0"/>
          <w:pgNumType w:start="152"/>
          <w:cols w:space="720" w:num="1"/>
        </w:sectPr>
      </w:pPr>
    </w:p>
    <w:p>
      <w:pPr>
        <w:pStyle w:val="11"/>
        <w:spacing w:before="9"/>
        <w:rPr>
          <w:rFonts w:ascii="黑体"/>
          <w:sz w:val="8"/>
        </w:rPr>
      </w:pPr>
    </w:p>
    <w:p>
      <w:pPr>
        <w:rPr>
          <w:rFonts w:ascii="黑体"/>
          <w:sz w:val="8"/>
        </w:rPr>
        <w:sectPr>
          <w:pgSz w:w="11910" w:h="16850"/>
          <w:pgMar w:top="1480" w:right="1200" w:bottom="1080" w:left="1220" w:header="883" w:footer="884" w:gutter="0"/>
          <w:cols w:space="720" w:num="1"/>
        </w:sectPr>
      </w:pPr>
    </w:p>
    <w:p>
      <w:pPr>
        <w:pStyle w:val="11"/>
        <w:spacing w:before="66"/>
        <w:ind w:left="424"/>
        <w:rPr>
          <w:rFonts w:ascii="黑体" w:eastAsia="黑体"/>
        </w:rPr>
      </w:pPr>
      <w:bookmarkStart w:id="258" w:name="_bookmark270"/>
      <w:bookmarkEnd w:id="258"/>
      <w:r>
        <w:rPr>
          <w:rFonts w:hint="eastAsia" w:ascii="黑体" w:eastAsia="黑体"/>
        </w:rPr>
        <w:t>附件一 合同协议书</w:t>
      </w:r>
    </w:p>
    <w:p>
      <w:pPr>
        <w:pStyle w:val="11"/>
        <w:rPr>
          <w:rFonts w:ascii="黑体"/>
          <w:sz w:val="35"/>
        </w:rPr>
      </w:pPr>
      <w:r>
        <w:br w:type="column"/>
      </w:r>
    </w:p>
    <w:p>
      <w:pPr>
        <w:ind w:left="424"/>
        <w:rPr>
          <w:rFonts w:ascii="黑体" w:eastAsia="黑体"/>
          <w:sz w:val="28"/>
        </w:rPr>
      </w:pPr>
      <w:r>
        <w:rPr>
          <w:rFonts w:hint="eastAsia" w:ascii="黑体" w:eastAsia="黑体"/>
          <w:sz w:val="28"/>
        </w:rPr>
        <w:t>合 同 协 议 书</w:t>
      </w:r>
    </w:p>
    <w:p>
      <w:pPr>
        <w:rPr>
          <w:rFonts w:ascii="黑体" w:eastAsia="黑体"/>
          <w:sz w:val="28"/>
        </w:rPr>
        <w:sectPr>
          <w:type w:val="continuous"/>
          <w:pgSz w:w="11910" w:h="16850"/>
          <w:pgMar w:top="1600" w:right="1200" w:bottom="280" w:left="1220" w:header="720" w:footer="720" w:gutter="0"/>
          <w:cols w:equalWidth="0" w:num="2">
            <w:col w:w="2505" w:space="853"/>
            <w:col w:w="6132"/>
          </w:cols>
        </w:sectPr>
      </w:pPr>
    </w:p>
    <w:p>
      <w:pPr>
        <w:pStyle w:val="11"/>
        <w:rPr>
          <w:rFonts w:ascii="黑体"/>
          <w:sz w:val="20"/>
        </w:rPr>
      </w:pPr>
    </w:p>
    <w:p>
      <w:pPr>
        <w:pStyle w:val="11"/>
        <w:spacing w:before="1"/>
        <w:rPr>
          <w:rFonts w:ascii="黑体"/>
          <w:sz w:val="18"/>
        </w:rPr>
      </w:pPr>
    </w:p>
    <w:p>
      <w:pPr>
        <w:pStyle w:val="11"/>
        <w:tabs>
          <w:tab w:val="left" w:pos="2104"/>
          <w:tab w:val="left" w:pos="3156"/>
          <w:tab w:val="left" w:pos="8619"/>
          <w:tab w:val="left" w:pos="8861"/>
        </w:tabs>
        <w:spacing w:before="74" w:line="343" w:lineRule="auto"/>
        <w:ind w:left="424" w:right="382" w:firstLine="479"/>
        <w:jc w:val="both"/>
      </w:pPr>
      <w:r>
        <w:rPr>
          <w:rFonts w:ascii="Times New Roman" w:hAnsi="Times New Roman" w:eastAsia="Times New Roman"/>
          <w:u w:val="single"/>
        </w:rPr>
        <w:t xml:space="preserve"> </w:t>
      </w:r>
      <w:r>
        <w:rPr>
          <w:rFonts w:ascii="Times New Roman" w:hAnsi="Times New Roman" w:eastAsia="Times New Roman"/>
          <w:u w:val="single"/>
        </w:rPr>
        <w:tab/>
      </w:r>
      <w:r>
        <w:t>（发包人名称</w:t>
      </w:r>
      <w:r>
        <w:rPr>
          <w:spacing w:val="-60"/>
        </w:rPr>
        <w:t>，</w:t>
      </w:r>
      <w:r>
        <w:t>以下简称</w:t>
      </w:r>
      <w:r>
        <w:rPr>
          <w:rFonts w:ascii="Times New Roman" w:hAnsi="Times New Roman" w:eastAsia="Times New Roman"/>
        </w:rPr>
        <w:t>“</w:t>
      </w:r>
      <w:r>
        <w:t>发包人</w:t>
      </w:r>
      <w:r>
        <w:rPr>
          <w:rFonts w:ascii="Times New Roman" w:hAnsi="Times New Roman" w:eastAsia="Times New Roman"/>
          <w:spacing w:val="-30"/>
        </w:rPr>
        <w:t>”</w:t>
      </w:r>
      <w:r>
        <w:rPr>
          <w:spacing w:val="-30"/>
        </w:rPr>
        <w:t>）</w:t>
      </w:r>
      <w:r>
        <w:t>为实施</w:t>
      </w:r>
      <w:r>
        <w:rPr>
          <w:u w:val="single"/>
        </w:rPr>
        <w:t xml:space="preserve"> </w:t>
      </w:r>
      <w:r>
        <w:rPr>
          <w:u w:val="single"/>
        </w:rPr>
        <w:tab/>
      </w:r>
      <w:r>
        <w:rPr>
          <w:u w:val="single"/>
        </w:rPr>
        <w:t>（</w:t>
      </w:r>
      <w:r>
        <w:t>项目名</w:t>
      </w:r>
      <w:r>
        <w:rPr>
          <w:spacing w:val="-1"/>
        </w:rPr>
        <w:t>称</w:t>
      </w:r>
      <w:r>
        <w:rPr>
          <w:spacing w:val="-120"/>
        </w:rPr>
        <w:t>）</w:t>
      </w:r>
      <w:r>
        <w:rPr>
          <w:spacing w:val="-15"/>
        </w:rPr>
        <w:t>，</w:t>
      </w:r>
      <w:r>
        <w:t>已接受</w:t>
      </w:r>
      <w:r>
        <w:rPr>
          <w:rFonts w:ascii="Times New Roman" w:hAnsi="Times New Roman" w:eastAsia="Times New Roman"/>
          <w:u w:val="single"/>
        </w:rPr>
        <w:t xml:space="preserve"> </w:t>
      </w:r>
      <w:r>
        <w:rPr>
          <w:rFonts w:ascii="Times New Roman" w:hAnsi="Times New Roman" w:eastAsia="Times New Roman"/>
          <w:u w:val="single"/>
        </w:rPr>
        <w:tab/>
      </w:r>
      <w:r>
        <w:t>（承包人名称</w:t>
      </w:r>
      <w:r>
        <w:rPr>
          <w:spacing w:val="-15"/>
        </w:rPr>
        <w:t>，</w:t>
      </w:r>
      <w:r>
        <w:t>以下简称</w:t>
      </w:r>
      <w:r>
        <w:rPr>
          <w:rFonts w:ascii="Times New Roman" w:hAnsi="Times New Roman" w:eastAsia="Times New Roman"/>
          <w:spacing w:val="-1"/>
        </w:rPr>
        <w:t>“</w:t>
      </w:r>
      <w:r>
        <w:t>承包人</w:t>
      </w:r>
      <w:r>
        <w:rPr>
          <w:rFonts w:ascii="Times New Roman" w:hAnsi="Times New Roman" w:eastAsia="Times New Roman"/>
          <w:spacing w:val="-1"/>
        </w:rPr>
        <w:t>”</w:t>
      </w:r>
      <w:r>
        <w:rPr>
          <w:spacing w:val="-15"/>
        </w:rPr>
        <w:t>）</w:t>
      </w:r>
      <w:r>
        <w:t>对</w:t>
      </w:r>
      <w:r>
        <w:rPr>
          <w:spacing w:val="1"/>
        </w:rPr>
        <w:t>该</w:t>
      </w:r>
      <w:r>
        <w:t>项目</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t>标段施工的投标。发包人和承包人共同达成如下协议。</w:t>
      </w:r>
    </w:p>
    <w:p>
      <w:pPr>
        <w:pStyle w:val="20"/>
        <w:numPr>
          <w:ilvl w:val="3"/>
          <w:numId w:val="40"/>
        </w:numPr>
        <w:tabs>
          <w:tab w:val="left" w:pos="1342"/>
          <w:tab w:val="left" w:pos="2224"/>
        </w:tabs>
        <w:spacing w:before="1" w:line="343" w:lineRule="auto"/>
        <w:ind w:right="384" w:firstLine="617"/>
        <w:jc w:val="both"/>
        <w:rPr>
          <w:sz w:val="24"/>
        </w:rPr>
      </w:pPr>
      <w:r>
        <w:rPr>
          <w:sz w:val="24"/>
        </w:rPr>
        <w:t>第</w:t>
      </w:r>
      <w:r>
        <w:rPr>
          <w:sz w:val="24"/>
          <w:u w:val="single"/>
        </w:rPr>
        <w:t xml:space="preserve"> </w:t>
      </w:r>
      <w:r>
        <w:rPr>
          <w:spacing w:val="118"/>
          <w:sz w:val="24"/>
        </w:rPr>
        <w:t xml:space="preserve"> </w:t>
      </w:r>
      <w:r>
        <w:rPr>
          <w:sz w:val="24"/>
        </w:rPr>
        <w:t>标段由</w:t>
      </w:r>
      <w:r>
        <w:rPr>
          <w:spacing w:val="-49"/>
          <w:sz w:val="24"/>
        </w:rPr>
        <w:t xml:space="preserve"> </w:t>
      </w:r>
      <w:r>
        <w:rPr>
          <w:rFonts w:ascii="Times New Roman" w:eastAsia="Times New Roman"/>
          <w:sz w:val="24"/>
        </w:rPr>
        <w:t>K</w:t>
      </w:r>
      <w:r>
        <w:rPr>
          <w:rFonts w:ascii="Times New Roman" w:eastAsia="Times New Roman"/>
          <w:sz w:val="24"/>
          <w:u w:val="single"/>
        </w:rPr>
        <w:t xml:space="preserve">  </w:t>
      </w:r>
      <w:r>
        <w:rPr>
          <w:rFonts w:ascii="Times New Roman" w:eastAsia="Times New Roman"/>
          <w:spacing w:val="58"/>
          <w:sz w:val="24"/>
        </w:rPr>
        <w:t xml:space="preserve"> </w:t>
      </w:r>
      <w:r>
        <w:rPr>
          <w:sz w:val="24"/>
        </w:rPr>
        <w:t>＋</w:t>
      </w:r>
      <w:r>
        <w:rPr>
          <w:sz w:val="24"/>
          <w:u w:val="single"/>
        </w:rPr>
        <w:t xml:space="preserve"> </w:t>
      </w:r>
      <w:r>
        <w:rPr>
          <w:spacing w:val="118"/>
          <w:sz w:val="24"/>
        </w:rPr>
        <w:t xml:space="preserve"> </w:t>
      </w:r>
      <w:r>
        <w:rPr>
          <w:sz w:val="24"/>
        </w:rPr>
        <w:t>至</w:t>
      </w:r>
      <w:r>
        <w:rPr>
          <w:spacing w:val="-49"/>
          <w:sz w:val="24"/>
        </w:rPr>
        <w:t xml:space="preserve"> </w:t>
      </w:r>
      <w:r>
        <w:rPr>
          <w:rFonts w:ascii="Times New Roman" w:eastAsia="Times New Roman"/>
          <w:sz w:val="24"/>
        </w:rPr>
        <w:t>K</w:t>
      </w:r>
      <w:r>
        <w:rPr>
          <w:rFonts w:ascii="Times New Roman" w:eastAsia="Times New Roman"/>
          <w:sz w:val="24"/>
          <w:u w:val="single"/>
        </w:rPr>
        <w:t xml:space="preserve">   </w:t>
      </w:r>
      <w:r>
        <w:rPr>
          <w:rFonts w:ascii="Times New Roman" w:eastAsia="Times New Roman"/>
          <w:spacing w:val="58"/>
          <w:sz w:val="24"/>
        </w:rPr>
        <w:t xml:space="preserve"> </w:t>
      </w:r>
      <w:r>
        <w:rPr>
          <w:sz w:val="24"/>
        </w:rPr>
        <w:t>＋</w:t>
      </w:r>
      <w:r>
        <w:rPr>
          <w:sz w:val="24"/>
          <w:u w:val="single"/>
        </w:rPr>
        <w:t xml:space="preserve"> </w:t>
      </w:r>
      <w:r>
        <w:rPr>
          <w:spacing w:val="118"/>
          <w:sz w:val="24"/>
        </w:rPr>
        <w:t xml:space="preserve"> </w:t>
      </w:r>
      <w:r>
        <w:rPr>
          <w:sz w:val="24"/>
        </w:rPr>
        <w:t>，长约</w:t>
      </w:r>
      <w:r>
        <w:rPr>
          <w:sz w:val="24"/>
          <w:u w:val="single"/>
        </w:rPr>
        <w:t xml:space="preserve"> </w:t>
      </w:r>
      <w:r>
        <w:rPr>
          <w:spacing w:val="118"/>
          <w:sz w:val="24"/>
        </w:rPr>
        <w:t xml:space="preserve"> </w:t>
      </w:r>
      <w:r>
        <w:rPr>
          <w:rFonts w:ascii="Times New Roman" w:eastAsia="Times New Roman"/>
          <w:sz w:val="24"/>
        </w:rPr>
        <w:t>km</w:t>
      </w:r>
      <w:r>
        <w:rPr>
          <w:sz w:val="24"/>
        </w:rPr>
        <w:t>，公路等级为</w:t>
      </w:r>
      <w:r>
        <w:rPr>
          <w:sz w:val="24"/>
          <w:u w:val="single"/>
        </w:rPr>
        <w:t xml:space="preserve">  </w:t>
      </w:r>
      <w:r>
        <w:rPr>
          <w:spacing w:val="118"/>
          <w:sz w:val="24"/>
        </w:rPr>
        <w:t xml:space="preserve"> </w:t>
      </w:r>
      <w:r>
        <w:rPr>
          <w:sz w:val="24"/>
        </w:rPr>
        <w:t>，设计速度为</w:t>
      </w:r>
      <w:r>
        <w:rPr>
          <w:sz w:val="24"/>
          <w:u w:val="single"/>
        </w:rPr>
        <w:t xml:space="preserve"> </w:t>
      </w:r>
      <w:r>
        <w:rPr>
          <w:sz w:val="24"/>
          <w:u w:val="single"/>
        </w:rPr>
        <w:tab/>
      </w:r>
      <w:r>
        <w:rPr>
          <w:spacing w:val="-8"/>
          <w:sz w:val="24"/>
        </w:rPr>
        <w:t>，</w:t>
      </w:r>
      <w:r>
        <w:rPr>
          <w:spacing w:val="-8"/>
          <w:sz w:val="24"/>
          <w:u w:val="single"/>
        </w:rPr>
        <w:t xml:space="preserve">  </w:t>
      </w:r>
      <w:r>
        <w:rPr>
          <w:spacing w:val="31"/>
          <w:sz w:val="24"/>
        </w:rPr>
        <w:t xml:space="preserve"> </w:t>
      </w:r>
      <w:r>
        <w:rPr>
          <w:sz w:val="24"/>
        </w:rPr>
        <w:t>路面</w:t>
      </w:r>
      <w:r>
        <w:rPr>
          <w:spacing w:val="-8"/>
          <w:sz w:val="24"/>
        </w:rPr>
        <w:t>，</w:t>
      </w:r>
      <w:r>
        <w:rPr>
          <w:sz w:val="24"/>
        </w:rPr>
        <w:t>有</w:t>
      </w:r>
      <w:r>
        <w:rPr>
          <w:sz w:val="24"/>
          <w:u w:val="single"/>
        </w:rPr>
        <w:t xml:space="preserve">  </w:t>
      </w:r>
      <w:r>
        <w:rPr>
          <w:sz w:val="24"/>
        </w:rPr>
        <w:t xml:space="preserve"> 立交</w:t>
      </w:r>
      <w:r>
        <w:rPr>
          <w:sz w:val="24"/>
          <w:u w:val="single"/>
        </w:rPr>
        <w:t xml:space="preserve">  </w:t>
      </w:r>
      <w:r>
        <w:rPr>
          <w:sz w:val="24"/>
        </w:rPr>
        <w:t xml:space="preserve"> 处</w:t>
      </w:r>
      <w:r>
        <w:rPr>
          <w:spacing w:val="-8"/>
          <w:sz w:val="24"/>
        </w:rPr>
        <w:t>；</w:t>
      </w:r>
      <w:r>
        <w:rPr>
          <w:sz w:val="24"/>
        </w:rPr>
        <w:t>特大桥</w:t>
      </w:r>
      <w:r>
        <w:rPr>
          <w:sz w:val="24"/>
          <w:u w:val="single"/>
        </w:rPr>
        <w:t xml:space="preserve">   </w:t>
      </w:r>
      <w:r>
        <w:rPr>
          <w:sz w:val="24"/>
        </w:rPr>
        <w:t xml:space="preserve"> 座</w:t>
      </w:r>
      <w:r>
        <w:rPr>
          <w:spacing w:val="-8"/>
          <w:sz w:val="24"/>
        </w:rPr>
        <w:t>，</w:t>
      </w:r>
      <w:r>
        <w:rPr>
          <w:sz w:val="24"/>
        </w:rPr>
        <w:t>计长</w:t>
      </w:r>
      <w:r>
        <w:rPr>
          <w:sz w:val="24"/>
          <w:u w:val="single"/>
        </w:rPr>
        <w:t xml:space="preserve">  </w:t>
      </w:r>
      <w:r>
        <w:rPr>
          <w:sz w:val="24"/>
        </w:rPr>
        <w:t xml:space="preserve"> </w:t>
      </w:r>
      <w:r>
        <w:rPr>
          <w:rFonts w:ascii="Times New Roman" w:eastAsia="Times New Roman"/>
          <w:spacing w:val="-4"/>
          <w:sz w:val="24"/>
        </w:rPr>
        <w:t>m</w:t>
      </w:r>
      <w:r>
        <w:rPr>
          <w:spacing w:val="-4"/>
          <w:sz w:val="24"/>
        </w:rPr>
        <w:t>；</w:t>
      </w:r>
      <w:r>
        <w:rPr>
          <w:sz w:val="24"/>
        </w:rPr>
        <w:t>大中桥</w:t>
      </w:r>
      <w:r>
        <w:rPr>
          <w:spacing w:val="118"/>
          <w:sz w:val="24"/>
        </w:rPr>
        <w:t xml:space="preserve"> </w:t>
      </w:r>
      <w:r>
        <w:rPr>
          <w:sz w:val="24"/>
        </w:rPr>
        <w:t xml:space="preserve">座，计长 </w:t>
      </w:r>
      <w:r>
        <w:rPr>
          <w:rFonts w:ascii="Times New Roman" w:eastAsia="Times New Roman"/>
          <w:sz w:val="24"/>
        </w:rPr>
        <w:t>m</w:t>
      </w:r>
      <w:r>
        <w:rPr>
          <w:sz w:val="24"/>
        </w:rPr>
        <w:t xml:space="preserve">；隧道 座，计长 </w:t>
      </w:r>
      <w:r>
        <w:rPr>
          <w:rFonts w:ascii="Times New Roman" w:eastAsia="Times New Roman"/>
          <w:sz w:val="24"/>
        </w:rPr>
        <w:t xml:space="preserve">m </w:t>
      </w:r>
      <w:r>
        <w:rPr>
          <w:sz w:val="24"/>
        </w:rPr>
        <w:t>以及其他构造物工程等。</w:t>
      </w:r>
    </w:p>
    <w:p>
      <w:pPr>
        <w:pStyle w:val="20"/>
        <w:numPr>
          <w:ilvl w:val="3"/>
          <w:numId w:val="40"/>
        </w:numPr>
        <w:tabs>
          <w:tab w:val="left" w:pos="1342"/>
        </w:tabs>
        <w:spacing w:before="1"/>
        <w:ind w:firstLine="617"/>
        <w:rPr>
          <w:sz w:val="24"/>
        </w:rPr>
      </w:pPr>
      <w:r>
        <w:rPr>
          <w:sz w:val="24"/>
        </w:rPr>
        <w:t>下列文件应视为构成合同文件的组成部分：</w:t>
      </w:r>
    </w:p>
    <w:p>
      <w:pPr>
        <w:pStyle w:val="11"/>
        <w:spacing w:before="132" w:line="343" w:lineRule="auto"/>
        <w:ind w:left="424" w:right="418" w:firstLine="616"/>
      </w:pPr>
      <w:r>
        <w:rPr>
          <w:spacing w:val="-3"/>
        </w:rPr>
        <w:t>（</w:t>
      </w:r>
      <w:r>
        <w:rPr>
          <w:rFonts w:ascii="Times New Roman" w:eastAsia="Times New Roman"/>
          <w:spacing w:val="-3"/>
        </w:rPr>
        <w:t>1</w:t>
      </w:r>
      <w:r>
        <w:rPr>
          <w:spacing w:val="-3"/>
        </w:rPr>
        <w:t>）</w:t>
      </w:r>
      <w:r>
        <w:rPr>
          <w:spacing w:val="-1"/>
        </w:rPr>
        <w:t>本协议书及各种合同附件</w:t>
      </w:r>
      <w:r>
        <w:t>（含评标期间和合同谈判过程中的澄清文件和</w:t>
      </w:r>
      <w:r>
        <w:rPr>
          <w:spacing w:val="-1"/>
        </w:rPr>
        <w:t>补充资料</w:t>
      </w:r>
      <w:r>
        <w:rPr>
          <w:spacing w:val="-120"/>
        </w:rPr>
        <w:t>）</w:t>
      </w:r>
      <w:r>
        <w:t>；</w:t>
      </w:r>
    </w:p>
    <w:p>
      <w:pPr>
        <w:pStyle w:val="11"/>
        <w:spacing w:before="2"/>
        <w:ind w:left="1041"/>
      </w:pPr>
      <w:r>
        <w:t>（</w:t>
      </w:r>
      <w:r>
        <w:rPr>
          <w:rFonts w:ascii="Times New Roman" w:eastAsia="Times New Roman"/>
        </w:rPr>
        <w:t>2</w:t>
      </w:r>
      <w:r>
        <w:t>）中标通知书；</w:t>
      </w:r>
    </w:p>
    <w:p>
      <w:pPr>
        <w:pStyle w:val="11"/>
        <w:spacing w:before="131"/>
        <w:ind w:left="1041"/>
      </w:pPr>
      <w:r>
        <w:t>（</w:t>
      </w:r>
      <w:r>
        <w:rPr>
          <w:rFonts w:ascii="Times New Roman" w:eastAsia="Times New Roman"/>
        </w:rPr>
        <w:t>3</w:t>
      </w:r>
      <w:r>
        <w:t>）投标函及投标函附录；</w:t>
      </w:r>
    </w:p>
    <w:p>
      <w:pPr>
        <w:pStyle w:val="11"/>
        <w:spacing w:before="132"/>
        <w:ind w:left="1041"/>
      </w:pPr>
      <w:r>
        <w:t>（</w:t>
      </w:r>
      <w:r>
        <w:rPr>
          <w:rFonts w:ascii="Times New Roman" w:eastAsia="Times New Roman"/>
        </w:rPr>
        <w:t>4</w:t>
      </w:r>
      <w:r>
        <w:t>）项目专用合同条款；</w:t>
      </w:r>
    </w:p>
    <w:p>
      <w:pPr>
        <w:pStyle w:val="11"/>
        <w:spacing w:before="134"/>
        <w:ind w:left="1041"/>
      </w:pPr>
      <w:r>
        <w:t>（</w:t>
      </w:r>
      <w:r>
        <w:rPr>
          <w:rFonts w:ascii="Times New Roman" w:eastAsia="Times New Roman"/>
        </w:rPr>
        <w:t>5</w:t>
      </w:r>
      <w:r>
        <w:t>）公路工程专用合同条款；</w:t>
      </w:r>
    </w:p>
    <w:p>
      <w:pPr>
        <w:pStyle w:val="11"/>
        <w:spacing w:before="132"/>
        <w:ind w:left="1041"/>
      </w:pPr>
      <w:r>
        <w:t>（</w:t>
      </w:r>
      <w:r>
        <w:rPr>
          <w:rFonts w:ascii="Times New Roman" w:eastAsia="Times New Roman"/>
        </w:rPr>
        <w:t>6</w:t>
      </w:r>
      <w:r>
        <w:t>）通用合同条款；</w:t>
      </w:r>
    </w:p>
    <w:p>
      <w:pPr>
        <w:pStyle w:val="11"/>
        <w:spacing w:before="132"/>
        <w:ind w:left="1041"/>
      </w:pPr>
      <w:r>
        <w:t>（</w:t>
      </w:r>
      <w:r>
        <w:rPr>
          <w:rFonts w:ascii="Times New Roman" w:eastAsia="Times New Roman"/>
        </w:rPr>
        <w:t>7</w:t>
      </w:r>
      <w:r>
        <w:t>）工程量清单计量规则；</w:t>
      </w:r>
    </w:p>
    <w:p>
      <w:pPr>
        <w:pStyle w:val="11"/>
        <w:spacing w:before="134"/>
        <w:ind w:left="1041"/>
      </w:pPr>
      <w:r>
        <w:t>（</w:t>
      </w:r>
      <w:r>
        <w:rPr>
          <w:rFonts w:ascii="Times New Roman" w:eastAsia="Times New Roman"/>
        </w:rPr>
        <w:t>8</w:t>
      </w:r>
      <w:r>
        <w:t>）技术规范；</w:t>
      </w:r>
    </w:p>
    <w:p>
      <w:pPr>
        <w:pStyle w:val="11"/>
        <w:spacing w:before="132"/>
        <w:ind w:left="1041"/>
      </w:pPr>
      <w:r>
        <w:t>（</w:t>
      </w:r>
      <w:r>
        <w:rPr>
          <w:rFonts w:ascii="Times New Roman" w:eastAsia="Times New Roman"/>
        </w:rPr>
        <w:t>9</w:t>
      </w:r>
      <w:r>
        <w:t>）图纸；</w:t>
      </w:r>
    </w:p>
    <w:p>
      <w:pPr>
        <w:pStyle w:val="11"/>
        <w:spacing w:before="131"/>
        <w:ind w:left="1041"/>
      </w:pPr>
      <w:r>
        <w:t>（</w:t>
      </w:r>
      <w:r>
        <w:rPr>
          <w:rFonts w:ascii="Times New Roman" w:eastAsia="Times New Roman"/>
        </w:rPr>
        <w:t>10</w:t>
      </w:r>
      <w:r>
        <w:t>）已标价工程量清单；</w:t>
      </w:r>
    </w:p>
    <w:p>
      <w:pPr>
        <w:pStyle w:val="11"/>
        <w:spacing w:before="135"/>
        <w:ind w:left="1041"/>
      </w:pPr>
      <w:r>
        <w:t>（</w:t>
      </w:r>
      <w:r>
        <w:rPr>
          <w:rFonts w:ascii="Times New Roman" w:eastAsia="Times New Roman"/>
        </w:rPr>
        <w:t>11</w:t>
      </w:r>
      <w:r>
        <w:t>）承包人有关人员、设备投入的承诺及投标文件中的施工组织设计；</w:t>
      </w:r>
    </w:p>
    <w:p>
      <w:pPr>
        <w:pStyle w:val="11"/>
        <w:spacing w:before="132"/>
        <w:ind w:left="1041"/>
      </w:pPr>
      <w:r>
        <w:t>（</w:t>
      </w:r>
      <w:r>
        <w:rPr>
          <w:rFonts w:ascii="Times New Roman" w:eastAsia="Times New Roman"/>
        </w:rPr>
        <w:t>12</w:t>
      </w:r>
      <w:r>
        <w:t>）其他合同文件。</w:t>
      </w:r>
    </w:p>
    <w:p>
      <w:pPr>
        <w:pStyle w:val="11"/>
        <w:spacing w:before="131" w:line="345" w:lineRule="auto"/>
        <w:ind w:left="424" w:right="427" w:firstLine="616"/>
      </w:pPr>
      <w:r>
        <w:t>上述合同文件互相补充和解释。如果合同文件之间存在矛盾或不一致之处， 以上述文件的排列顺序在先者为准。</w:t>
      </w:r>
    </w:p>
    <w:p>
      <w:pPr>
        <w:pStyle w:val="20"/>
        <w:numPr>
          <w:ilvl w:val="3"/>
          <w:numId w:val="40"/>
        </w:numPr>
        <w:tabs>
          <w:tab w:val="left" w:pos="1344"/>
          <w:tab w:val="left" w:pos="2584"/>
          <w:tab w:val="left" w:pos="4144"/>
        </w:tabs>
        <w:spacing w:line="343" w:lineRule="auto"/>
        <w:ind w:right="415" w:firstLine="617"/>
        <w:rPr>
          <w:sz w:val="24"/>
        </w:rPr>
      </w:pPr>
      <w:r>
        <w:rPr>
          <w:sz w:val="24"/>
        </w:rPr>
        <w:t>根据工程量清单所列的预计数量和单价或总额价计算</w:t>
      </w:r>
      <w:r>
        <w:rPr>
          <w:spacing w:val="5"/>
          <w:sz w:val="24"/>
        </w:rPr>
        <w:t>的</w:t>
      </w:r>
      <w:r>
        <w:rPr>
          <w:sz w:val="24"/>
        </w:rPr>
        <w:t>签约合同价：人民币（大写）</w:t>
      </w:r>
      <w:r>
        <w:rPr>
          <w:sz w:val="24"/>
          <w:u w:val="single"/>
        </w:rPr>
        <w:t xml:space="preserve"> </w:t>
      </w:r>
      <w:r>
        <w:rPr>
          <w:sz w:val="24"/>
          <w:u w:val="single"/>
        </w:rPr>
        <w:tab/>
      </w:r>
      <w:r>
        <w:rPr>
          <w:sz w:val="24"/>
        </w:rPr>
        <w:t>元（</w:t>
      </w:r>
      <w:r>
        <w:rPr>
          <w:rFonts w:ascii="Times New Roman" w:hAnsi="Times New Roman" w:eastAsia="Times New Roman"/>
          <w:sz w:val="24"/>
        </w:rPr>
        <w:t>¥</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pacing w:val="-120"/>
          <w:sz w:val="24"/>
        </w:rPr>
        <w:t>）</w:t>
      </w:r>
      <w:r>
        <w:rPr>
          <w:sz w:val="24"/>
        </w:rPr>
        <w:t>。</w:t>
      </w:r>
    </w:p>
    <w:p>
      <w:pPr>
        <w:pStyle w:val="20"/>
        <w:numPr>
          <w:ilvl w:val="3"/>
          <w:numId w:val="40"/>
        </w:numPr>
        <w:tabs>
          <w:tab w:val="left" w:pos="1342"/>
          <w:tab w:val="left" w:pos="4701"/>
          <w:tab w:val="left" w:pos="8782"/>
        </w:tabs>
        <w:ind w:firstLine="617"/>
        <w:rPr>
          <w:sz w:val="24"/>
        </w:rPr>
      </w:pPr>
      <w:r>
        <w:rPr>
          <w:sz w:val="24"/>
        </w:rPr>
        <w:t>承包人项目经理：</w:t>
      </w:r>
      <w:r>
        <w:rPr>
          <w:sz w:val="24"/>
          <w:u w:val="single"/>
        </w:rPr>
        <w:t xml:space="preserve"> </w:t>
      </w:r>
      <w:r>
        <w:rPr>
          <w:sz w:val="24"/>
          <w:u w:val="single"/>
        </w:rPr>
        <w:tab/>
      </w:r>
      <w:r>
        <w:rPr>
          <w:sz w:val="24"/>
        </w:rPr>
        <w:t>。承包人项目总工：</w:t>
      </w:r>
      <w:r>
        <w:rPr>
          <w:sz w:val="24"/>
          <w:u w:val="single"/>
        </w:rPr>
        <w:t xml:space="preserve"> </w:t>
      </w:r>
      <w:r>
        <w:rPr>
          <w:sz w:val="24"/>
          <w:u w:val="single"/>
        </w:rPr>
        <w:tab/>
      </w:r>
      <w:r>
        <w:rPr>
          <w:sz w:val="24"/>
        </w:rPr>
        <w:t>。</w:t>
      </w:r>
    </w:p>
    <w:p>
      <w:pPr>
        <w:pStyle w:val="20"/>
        <w:numPr>
          <w:ilvl w:val="3"/>
          <w:numId w:val="40"/>
        </w:numPr>
        <w:tabs>
          <w:tab w:val="left" w:pos="1342"/>
          <w:tab w:val="left" w:pos="4341"/>
          <w:tab w:val="left" w:pos="8662"/>
        </w:tabs>
        <w:spacing w:before="129"/>
        <w:ind w:firstLine="617"/>
        <w:rPr>
          <w:sz w:val="24"/>
        </w:rPr>
      </w:pPr>
      <w:r>
        <w:rPr>
          <w:sz w:val="24"/>
        </w:rPr>
        <w:t>工程质量符合</w:t>
      </w:r>
      <w:r>
        <w:rPr>
          <w:sz w:val="24"/>
          <w:u w:val="single"/>
        </w:rPr>
        <w:t xml:space="preserve"> </w:t>
      </w:r>
      <w:r>
        <w:rPr>
          <w:sz w:val="24"/>
          <w:u w:val="single"/>
        </w:rPr>
        <w:tab/>
      </w:r>
      <w:r>
        <w:rPr>
          <w:sz w:val="24"/>
        </w:rPr>
        <w:t>标准。工程安全目标：</w:t>
      </w:r>
      <w:r>
        <w:rPr>
          <w:sz w:val="24"/>
          <w:u w:val="single"/>
        </w:rPr>
        <w:t xml:space="preserve"> </w:t>
      </w:r>
      <w:r>
        <w:rPr>
          <w:sz w:val="24"/>
          <w:u w:val="single"/>
        </w:rPr>
        <w:tab/>
      </w:r>
      <w:r>
        <w:rPr>
          <w:sz w:val="24"/>
        </w:rPr>
        <w:t>。</w:t>
      </w:r>
    </w:p>
    <w:p>
      <w:pPr>
        <w:pStyle w:val="20"/>
        <w:numPr>
          <w:ilvl w:val="3"/>
          <w:numId w:val="40"/>
        </w:numPr>
        <w:tabs>
          <w:tab w:val="left" w:pos="1342"/>
        </w:tabs>
        <w:spacing w:before="132"/>
        <w:ind w:firstLine="617"/>
        <w:rPr>
          <w:sz w:val="24"/>
        </w:rPr>
      </w:pPr>
      <w:r>
        <w:rPr>
          <w:sz w:val="24"/>
        </w:rPr>
        <w:t>承包人承诺按合同约定承担工程的实施、完成及缺陷修复。</w:t>
      </w:r>
    </w:p>
    <w:p>
      <w:pPr>
        <w:pStyle w:val="20"/>
        <w:numPr>
          <w:ilvl w:val="3"/>
          <w:numId w:val="40"/>
        </w:numPr>
        <w:tabs>
          <w:tab w:val="left" w:pos="1342"/>
        </w:tabs>
        <w:spacing w:before="134"/>
        <w:ind w:firstLine="617"/>
        <w:rPr>
          <w:sz w:val="24"/>
        </w:rPr>
      </w:pPr>
      <w:r>
        <w:rPr>
          <w:sz w:val="24"/>
        </w:rPr>
        <w:t>发包人承诺按合同约定的条件、时间和方式向承包人支付合同价款。</w:t>
      </w:r>
    </w:p>
    <w:p>
      <w:pPr>
        <w:rPr>
          <w:sz w:val="24"/>
        </w:rPr>
        <w:sectPr>
          <w:type w:val="continuous"/>
          <w:pgSz w:w="11910" w:h="16850"/>
          <w:pgMar w:top="1600" w:right="1200" w:bottom="280" w:left="1220" w:header="720" w:footer="720" w:gutter="0"/>
          <w:cols w:space="720" w:num="1"/>
        </w:sectPr>
      </w:pPr>
    </w:p>
    <w:p>
      <w:pPr>
        <w:pStyle w:val="11"/>
        <w:spacing w:before="6"/>
        <w:rPr>
          <w:sz w:val="11"/>
        </w:rPr>
      </w:pPr>
    </w:p>
    <w:p>
      <w:pPr>
        <w:pStyle w:val="20"/>
        <w:numPr>
          <w:ilvl w:val="3"/>
          <w:numId w:val="40"/>
        </w:numPr>
        <w:tabs>
          <w:tab w:val="left" w:pos="1342"/>
          <w:tab w:val="left" w:pos="5902"/>
        </w:tabs>
        <w:spacing w:before="74"/>
        <w:ind w:firstLine="617"/>
        <w:rPr>
          <w:sz w:val="24"/>
        </w:rPr>
      </w:pPr>
      <w:r>
        <w:rPr>
          <w:sz w:val="24"/>
        </w:rPr>
        <w:t>承包人应按照监理人指示开工，工期为</w:t>
      </w:r>
      <w:r>
        <w:rPr>
          <w:sz w:val="24"/>
          <w:u w:val="single"/>
        </w:rPr>
        <w:t xml:space="preserve"> </w:t>
      </w:r>
      <w:r>
        <w:rPr>
          <w:sz w:val="24"/>
          <w:u w:val="single"/>
        </w:rPr>
        <w:tab/>
      </w:r>
      <w:r>
        <w:rPr>
          <w:sz w:val="24"/>
        </w:rPr>
        <w:t>日历天。</w:t>
      </w:r>
    </w:p>
    <w:p>
      <w:pPr>
        <w:pStyle w:val="20"/>
        <w:numPr>
          <w:ilvl w:val="3"/>
          <w:numId w:val="40"/>
        </w:numPr>
        <w:tabs>
          <w:tab w:val="left" w:pos="1344"/>
        </w:tabs>
        <w:spacing w:before="132" w:line="343" w:lineRule="auto"/>
        <w:ind w:right="382" w:firstLine="617"/>
        <w:jc w:val="both"/>
        <w:rPr>
          <w:sz w:val="24"/>
        </w:rPr>
      </w:pPr>
      <w:r>
        <w:rPr>
          <w:sz w:val="24"/>
        </w:rPr>
        <w:t>本协议书在承包人提供履约保证金后，由双方法定代表人或其委托代理人签署并加盖单位章后生效。全部工程完工后经交工验收合格、缺陷责任期满签发缺陷责任终止证书后失效。</w:t>
      </w:r>
    </w:p>
    <w:p>
      <w:pPr>
        <w:pStyle w:val="20"/>
        <w:numPr>
          <w:ilvl w:val="3"/>
          <w:numId w:val="40"/>
        </w:numPr>
        <w:tabs>
          <w:tab w:val="left" w:pos="1462"/>
          <w:tab w:val="left" w:pos="4581"/>
          <w:tab w:val="left" w:pos="8662"/>
        </w:tabs>
        <w:spacing w:line="343" w:lineRule="auto"/>
        <w:ind w:right="341" w:firstLine="617"/>
        <w:rPr>
          <w:sz w:val="24"/>
        </w:rPr>
      </w:pPr>
      <w:r>
        <w:rPr>
          <w:sz w:val="24"/>
        </w:rPr>
        <w:t>本协议书正本二份、副本</w:t>
      </w:r>
      <w:r>
        <w:rPr>
          <w:sz w:val="24"/>
          <w:u w:val="single"/>
        </w:rPr>
        <w:t xml:space="preserve"> </w:t>
      </w:r>
      <w:r>
        <w:rPr>
          <w:sz w:val="24"/>
          <w:u w:val="single"/>
        </w:rPr>
        <w:tab/>
      </w:r>
      <w:r>
        <w:rPr>
          <w:sz w:val="24"/>
        </w:rPr>
        <w:t>份，合同双方各执正本一份，副本</w:t>
      </w:r>
      <w:r>
        <w:rPr>
          <w:sz w:val="24"/>
          <w:u w:val="single"/>
        </w:rPr>
        <w:t xml:space="preserve"> </w:t>
      </w:r>
      <w:r>
        <w:rPr>
          <w:sz w:val="24"/>
          <w:u w:val="single"/>
        </w:rPr>
        <w:tab/>
      </w:r>
      <w:r>
        <w:rPr>
          <w:sz w:val="24"/>
        </w:rPr>
        <w:t>份， 当正本与副本的内容不一致时，以正本为准。</w:t>
      </w:r>
    </w:p>
    <w:p>
      <w:pPr>
        <w:pStyle w:val="20"/>
        <w:numPr>
          <w:ilvl w:val="3"/>
          <w:numId w:val="40"/>
        </w:numPr>
        <w:tabs>
          <w:tab w:val="left" w:pos="1452"/>
        </w:tabs>
        <w:spacing w:before="2"/>
        <w:ind w:left="1451" w:hanging="410"/>
        <w:rPr>
          <w:sz w:val="24"/>
        </w:rPr>
      </w:pPr>
      <w:r>
        <w:rPr>
          <w:sz w:val="24"/>
        </w:rPr>
        <w:t>合同未尽事宜，双方另行签订补充协议。补充协议是合同的组成部分。</w:t>
      </w:r>
    </w:p>
    <w:p>
      <w:pPr>
        <w:pStyle w:val="11"/>
        <w:rPr>
          <w:sz w:val="26"/>
        </w:rPr>
      </w:pPr>
    </w:p>
    <w:p>
      <w:pPr>
        <w:pStyle w:val="11"/>
        <w:spacing w:before="7"/>
        <w:rPr>
          <w:sz w:val="18"/>
        </w:rPr>
      </w:pPr>
    </w:p>
    <w:p>
      <w:pPr>
        <w:pStyle w:val="11"/>
        <w:tabs>
          <w:tab w:val="left" w:pos="3151"/>
          <w:tab w:val="left" w:pos="4934"/>
          <w:tab w:val="left" w:pos="5174"/>
          <w:tab w:val="left" w:pos="7781"/>
        </w:tabs>
        <w:spacing w:line="345" w:lineRule="auto"/>
        <w:ind w:left="424" w:right="262"/>
      </w:pPr>
      <w:r>
        <w:t>发包人</w:t>
      </w:r>
      <w:r>
        <w:rPr>
          <w:spacing w:val="-17"/>
        </w:rPr>
        <w:t>：</w:t>
      </w:r>
      <w:r>
        <w:rPr>
          <w:spacing w:val="-17"/>
          <w:u w:val="single"/>
        </w:rPr>
        <w:t xml:space="preserve"> </w:t>
      </w:r>
      <w:r>
        <w:rPr>
          <w:spacing w:val="-17"/>
          <w:u w:val="single"/>
        </w:rPr>
        <w:tab/>
      </w:r>
      <w:r>
        <w:t>（盖单位章）</w:t>
      </w:r>
      <w:r>
        <w:tab/>
      </w:r>
      <w:r>
        <w:tab/>
      </w:r>
      <w:r>
        <w:t>承包人</w:t>
      </w:r>
      <w:r>
        <w:rPr>
          <w:spacing w:val="-17"/>
        </w:rPr>
        <w:t>：</w:t>
      </w:r>
      <w:r>
        <w:rPr>
          <w:spacing w:val="-17"/>
          <w:u w:val="single"/>
        </w:rPr>
        <w:t xml:space="preserve"> </w:t>
      </w:r>
      <w:r>
        <w:rPr>
          <w:spacing w:val="-17"/>
          <w:u w:val="single"/>
        </w:rPr>
        <w:tab/>
      </w:r>
      <w:r>
        <w:t>（盖单位章） 法定代表人或其委托代理人</w:t>
      </w:r>
      <w:r>
        <w:rPr>
          <w:spacing w:val="-17"/>
        </w:rPr>
        <w:t>：</w:t>
      </w:r>
      <w:r>
        <w:rPr>
          <w:spacing w:val="-17"/>
          <w:u w:val="single"/>
        </w:rPr>
        <w:t xml:space="preserve"> </w:t>
      </w:r>
      <w:r>
        <w:rPr>
          <w:u w:val="single"/>
        </w:rPr>
        <w:t xml:space="preserve"> </w:t>
      </w:r>
      <w:r>
        <w:t>（签字）</w:t>
      </w:r>
      <w:r>
        <w:tab/>
      </w:r>
      <w:r>
        <w:t>法定代表人或其委托代理人</w:t>
      </w:r>
      <w:r>
        <w:rPr>
          <w:spacing w:val="-16"/>
        </w:rPr>
        <w:t>：</w:t>
      </w:r>
      <w:r>
        <w:rPr>
          <w:spacing w:val="-1"/>
          <w:u w:val="single"/>
        </w:rPr>
        <w:t xml:space="preserve"> </w:t>
      </w:r>
      <w:r>
        <w:t>（签字）</w:t>
      </w:r>
    </w:p>
    <w:p>
      <w:pPr>
        <w:pStyle w:val="11"/>
        <w:tabs>
          <w:tab w:val="left" w:pos="2344"/>
          <w:tab w:val="left" w:pos="3184"/>
          <w:tab w:val="left" w:pos="4024"/>
          <w:tab w:val="left" w:pos="5945"/>
          <w:tab w:val="left" w:pos="7025"/>
          <w:tab w:val="left" w:pos="7865"/>
          <w:tab w:val="left" w:pos="8705"/>
        </w:tabs>
        <w:spacing w:line="303" w:lineRule="exact"/>
        <w:ind w:left="1264"/>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line="303" w:lineRule="exact"/>
        <w:sectPr>
          <w:pgSz w:w="11910" w:h="16850"/>
          <w:pgMar w:top="1480" w:right="1200" w:bottom="1040" w:left="1220" w:header="876" w:footer="853" w:gutter="0"/>
          <w:cols w:space="720" w:num="1"/>
        </w:sectPr>
      </w:pPr>
    </w:p>
    <w:p>
      <w:pPr>
        <w:pStyle w:val="11"/>
        <w:spacing w:before="9"/>
        <w:rPr>
          <w:sz w:val="8"/>
        </w:rPr>
      </w:pPr>
    </w:p>
    <w:p>
      <w:pPr>
        <w:rPr>
          <w:sz w:val="8"/>
        </w:rPr>
        <w:sectPr>
          <w:pgSz w:w="11910" w:h="16850"/>
          <w:pgMar w:top="1480" w:right="1200" w:bottom="1080" w:left="1220" w:header="883" w:footer="884" w:gutter="0"/>
          <w:cols w:space="720" w:num="1"/>
        </w:sectPr>
      </w:pPr>
    </w:p>
    <w:p>
      <w:pPr>
        <w:pStyle w:val="11"/>
        <w:spacing w:before="66"/>
        <w:ind w:left="424"/>
        <w:rPr>
          <w:rFonts w:ascii="黑体" w:eastAsia="黑体"/>
        </w:rPr>
      </w:pPr>
      <w:bookmarkStart w:id="259" w:name="_bookmark271"/>
      <w:bookmarkEnd w:id="259"/>
      <w:r>
        <w:rPr>
          <w:rFonts w:hint="eastAsia" w:ascii="黑体" w:eastAsia="黑体"/>
        </w:rPr>
        <w:t>附件二 廉政合同</w:t>
      </w:r>
    </w:p>
    <w:p>
      <w:pPr>
        <w:pStyle w:val="11"/>
        <w:rPr>
          <w:rFonts w:ascii="黑体"/>
          <w:sz w:val="35"/>
        </w:rPr>
      </w:pPr>
      <w:r>
        <w:br w:type="column"/>
      </w:r>
    </w:p>
    <w:p>
      <w:pPr>
        <w:ind w:left="424"/>
        <w:rPr>
          <w:rFonts w:ascii="黑体" w:eastAsia="黑体"/>
          <w:sz w:val="28"/>
        </w:rPr>
      </w:pPr>
      <w:r>
        <w:rPr>
          <w:rFonts w:hint="eastAsia" w:ascii="黑体" w:eastAsia="黑体"/>
          <w:sz w:val="28"/>
        </w:rPr>
        <w:t>廉 政 合 同</w:t>
      </w:r>
    </w:p>
    <w:p>
      <w:pPr>
        <w:rPr>
          <w:rFonts w:ascii="黑体" w:eastAsia="黑体"/>
          <w:sz w:val="28"/>
        </w:rPr>
        <w:sectPr>
          <w:type w:val="continuous"/>
          <w:pgSz w:w="11910" w:h="16850"/>
          <w:pgMar w:top="1600" w:right="1200" w:bottom="280" w:left="1220" w:header="720" w:footer="720" w:gutter="0"/>
          <w:cols w:equalWidth="0" w:num="2">
            <w:col w:w="2265" w:space="1302"/>
            <w:col w:w="5923"/>
          </w:cols>
        </w:sectPr>
      </w:pPr>
    </w:p>
    <w:p>
      <w:pPr>
        <w:pStyle w:val="11"/>
        <w:rPr>
          <w:rFonts w:ascii="黑体"/>
          <w:sz w:val="20"/>
        </w:rPr>
      </w:pPr>
    </w:p>
    <w:p>
      <w:pPr>
        <w:pStyle w:val="11"/>
        <w:spacing w:before="10"/>
        <w:rPr>
          <w:rFonts w:ascii="黑体"/>
          <w:sz w:val="18"/>
        </w:rPr>
      </w:pPr>
    </w:p>
    <w:p>
      <w:pPr>
        <w:pStyle w:val="11"/>
        <w:tabs>
          <w:tab w:val="left" w:pos="2485"/>
          <w:tab w:val="left" w:pos="2824"/>
          <w:tab w:val="left" w:pos="7176"/>
          <w:tab w:val="left" w:pos="8139"/>
        </w:tabs>
        <w:spacing w:line="312" w:lineRule="auto"/>
        <w:ind w:left="424" w:right="265" w:firstLine="616"/>
      </w:pPr>
      <w:r>
        <w:t>根</w:t>
      </w:r>
      <w:r>
        <w:rPr>
          <w:spacing w:val="-51"/>
        </w:rPr>
        <w:t>据</w:t>
      </w:r>
      <w:r>
        <w:t>《关于在交通基础设施建设中加强廉政建设的若干意见</w:t>
      </w:r>
      <w:r>
        <w:rPr>
          <w:spacing w:val="-51"/>
        </w:rPr>
        <w:t>》</w:t>
      </w:r>
      <w:r>
        <w:t>以及有关工程建设</w:t>
      </w:r>
      <w:r>
        <w:rPr>
          <w:spacing w:val="-29"/>
        </w:rPr>
        <w:t>、</w:t>
      </w:r>
      <w:r>
        <w:t>廉政建设的规定</w:t>
      </w:r>
      <w:r>
        <w:rPr>
          <w:spacing w:val="-29"/>
        </w:rPr>
        <w:t>，</w:t>
      </w:r>
      <w:r>
        <w:t>为做好工程建设中的党风廉政建设</w:t>
      </w:r>
      <w:r>
        <w:rPr>
          <w:spacing w:val="-29"/>
        </w:rPr>
        <w:t>，</w:t>
      </w:r>
      <w:r>
        <w:t>保证工程建设高效优质， 保证建设资金的安全和有效使用以及投资效益，</w:t>
      </w:r>
      <w:r>
        <w:rPr>
          <w:u w:val="single"/>
        </w:rPr>
        <w:t xml:space="preserve"> </w:t>
      </w:r>
      <w:r>
        <w:rPr>
          <w:u w:val="single"/>
        </w:rPr>
        <w:tab/>
      </w:r>
      <w:r>
        <w:t>（项目名称）的项目法人</w:t>
      </w:r>
      <w:r>
        <w:rPr>
          <w:u w:val="single"/>
        </w:rPr>
        <w:t xml:space="preserve"> </w:t>
      </w:r>
      <w:r>
        <w:rPr>
          <w:u w:val="single"/>
        </w:rPr>
        <w:tab/>
      </w:r>
      <w:r>
        <w:t>（项目法人名称，以下简称</w:t>
      </w:r>
      <w:r>
        <w:rPr>
          <w:rFonts w:ascii="Times New Roman" w:hAnsi="Times New Roman" w:eastAsia="Times New Roman"/>
        </w:rPr>
        <w:t>“</w:t>
      </w:r>
      <w:r>
        <w:t>发包人</w:t>
      </w:r>
      <w:r>
        <w:rPr>
          <w:rFonts w:ascii="Times New Roman" w:hAnsi="Times New Roman" w:eastAsia="Times New Roman"/>
        </w:rPr>
        <w:t>”</w:t>
      </w:r>
      <w:r>
        <w:t>）与该项目</w:t>
      </w:r>
      <w:r>
        <w:rPr>
          <w:u w:val="single"/>
        </w:rPr>
        <w:t xml:space="preserve"> </w:t>
      </w:r>
      <w:r>
        <w:rPr>
          <w:u w:val="single"/>
        </w:rPr>
        <w:tab/>
      </w:r>
      <w:r>
        <w:t>标段的施工单</w:t>
      </w:r>
      <w:r>
        <w:rPr>
          <w:spacing w:val="-1"/>
        </w:rPr>
        <w:t>位</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t>（施工单位名称，以下简称</w:t>
      </w:r>
      <w:r>
        <w:rPr>
          <w:rFonts w:ascii="Times New Roman" w:hAnsi="Times New Roman" w:eastAsia="Times New Roman"/>
          <w:spacing w:val="-1"/>
        </w:rPr>
        <w:t>“</w:t>
      </w:r>
      <w:r>
        <w:t>承包人</w:t>
      </w:r>
      <w:r>
        <w:rPr>
          <w:rFonts w:ascii="Times New Roman" w:hAnsi="Times New Roman" w:eastAsia="Times New Roman"/>
          <w:spacing w:val="-1"/>
        </w:rPr>
        <w:t>”</w:t>
      </w:r>
      <w:r>
        <w:rPr>
          <w:spacing w:val="-120"/>
        </w:rPr>
        <w:t>）</w:t>
      </w:r>
      <w:r>
        <w:t>，特</w:t>
      </w:r>
      <w:r>
        <w:rPr>
          <w:spacing w:val="1"/>
        </w:rPr>
        <w:t>订</w:t>
      </w:r>
      <w:r>
        <w:t>立如下合同。</w:t>
      </w:r>
    </w:p>
    <w:p>
      <w:pPr>
        <w:pStyle w:val="20"/>
        <w:numPr>
          <w:ilvl w:val="0"/>
          <w:numId w:val="41"/>
        </w:numPr>
        <w:tabs>
          <w:tab w:val="left" w:pos="1342"/>
        </w:tabs>
        <w:spacing w:before="1"/>
        <w:ind w:firstLine="617"/>
        <w:rPr>
          <w:rFonts w:ascii="黑体" w:eastAsia="黑体"/>
          <w:sz w:val="24"/>
        </w:rPr>
      </w:pPr>
      <w:r>
        <w:rPr>
          <w:rFonts w:hint="eastAsia" w:ascii="黑体" w:eastAsia="黑体"/>
          <w:sz w:val="24"/>
        </w:rPr>
        <w:t>发包人和承包人双方的权利和义务</w:t>
      </w:r>
    </w:p>
    <w:p>
      <w:pPr>
        <w:pStyle w:val="11"/>
        <w:spacing w:before="94"/>
        <w:ind w:left="1041"/>
      </w:pPr>
      <w:r>
        <w:t>（</w:t>
      </w:r>
      <w:r>
        <w:rPr>
          <w:rFonts w:ascii="Times New Roman" w:eastAsia="Times New Roman"/>
        </w:rPr>
        <w:t>1</w:t>
      </w:r>
      <w:r>
        <w:t>）严格遵守党的政策规定和国家有关法律法规及交通运输部的有关规定。</w:t>
      </w:r>
    </w:p>
    <w:p>
      <w:pPr>
        <w:pStyle w:val="11"/>
        <w:tabs>
          <w:tab w:val="left" w:pos="3688"/>
          <w:tab w:val="left" w:pos="5736"/>
        </w:tabs>
        <w:spacing w:before="93" w:line="312" w:lineRule="auto"/>
        <w:ind w:left="424" w:right="383" w:firstLine="616"/>
      </w:pPr>
      <w:r>
        <w:t>（</w:t>
      </w:r>
      <w:r>
        <w:rPr>
          <w:rFonts w:ascii="Times New Roman" w:eastAsia="Times New Roman"/>
        </w:rPr>
        <w:t>2</w:t>
      </w:r>
      <w:r>
        <w:t>）严格执行</w:t>
      </w:r>
      <w:r>
        <w:rPr>
          <w:u w:val="single"/>
        </w:rPr>
        <w:t xml:space="preserve"> </w:t>
      </w:r>
      <w:r>
        <w:rPr>
          <w:u w:val="single"/>
        </w:rPr>
        <w:tab/>
      </w:r>
      <w:r>
        <w:t>（项目名称）</w:t>
      </w:r>
      <w:r>
        <w:rPr>
          <w:u w:val="single"/>
        </w:rPr>
        <w:t xml:space="preserve"> </w:t>
      </w:r>
      <w:r>
        <w:rPr>
          <w:u w:val="single"/>
        </w:rPr>
        <w:tab/>
      </w:r>
      <w:r>
        <w:t>标段施工合同文件，自觉按合同办事。</w:t>
      </w:r>
    </w:p>
    <w:p>
      <w:pPr>
        <w:pStyle w:val="11"/>
        <w:spacing w:line="312" w:lineRule="auto"/>
        <w:ind w:left="424" w:right="385" w:firstLine="616"/>
        <w:jc w:val="both"/>
      </w:pPr>
      <w:r>
        <w:t>（</w:t>
      </w:r>
      <w:r>
        <w:rPr>
          <w:rFonts w:ascii="Times New Roman" w:eastAsia="Times New Roman"/>
        </w:rPr>
        <w:t>3</w:t>
      </w:r>
      <w:r>
        <w:t>）双方的业务活动坚持公开、公正、诚信、透明的原则（法律认定的商业秘密和合同文件另有规定除外</w:t>
      </w:r>
      <w:r>
        <w:rPr>
          <w:spacing w:val="-82"/>
        </w:rPr>
        <w:t>）</w:t>
      </w:r>
      <w:r>
        <w:rPr>
          <w:spacing w:val="-13"/>
        </w:rPr>
        <w:t>，不得损害国家和集体利益，不得违反工程建设管理规章制度。</w:t>
      </w:r>
    </w:p>
    <w:p>
      <w:pPr>
        <w:pStyle w:val="11"/>
        <w:spacing w:before="1" w:line="312" w:lineRule="auto"/>
        <w:ind w:left="424" w:right="390" w:firstLine="616"/>
      </w:pPr>
      <w:r>
        <w:t>（</w:t>
      </w:r>
      <w:r>
        <w:rPr>
          <w:rFonts w:ascii="Times New Roman" w:eastAsia="Times New Roman"/>
        </w:rPr>
        <w:t>4</w:t>
      </w:r>
      <w:r>
        <w:t>）建立健全廉政制度，开展廉政教育，设立廉政告示牌，公布举报电话， 监督并认真查处违法违纪行为。</w:t>
      </w:r>
    </w:p>
    <w:p>
      <w:pPr>
        <w:pStyle w:val="11"/>
        <w:spacing w:line="312" w:lineRule="auto"/>
        <w:ind w:left="424" w:right="390" w:firstLine="616"/>
      </w:pPr>
      <w:r>
        <w:t>（</w:t>
      </w:r>
      <w:r>
        <w:rPr>
          <w:rFonts w:ascii="Times New Roman" w:eastAsia="Times New Roman"/>
        </w:rPr>
        <w:t>5</w:t>
      </w:r>
      <w:r>
        <w:t>）发现对方在业务活动中有违反廉政规定的行为，有及时提醒对方纠正的权利和义务。</w:t>
      </w:r>
    </w:p>
    <w:p>
      <w:pPr>
        <w:pStyle w:val="11"/>
        <w:spacing w:before="2" w:line="312" w:lineRule="auto"/>
        <w:ind w:left="424" w:right="390" w:firstLine="616"/>
      </w:pPr>
      <w:r>
        <w:t>（</w:t>
      </w:r>
      <w:r>
        <w:rPr>
          <w:rFonts w:ascii="Times New Roman" w:eastAsia="Times New Roman"/>
        </w:rPr>
        <w:t>6</w:t>
      </w:r>
      <w:r>
        <w:t>）发现对方严重违反本合同义务条款的行为，有向其上级有关部门举报、建议给予处理并要求告知处理结果的权利。</w:t>
      </w:r>
    </w:p>
    <w:p>
      <w:pPr>
        <w:pStyle w:val="20"/>
        <w:numPr>
          <w:ilvl w:val="0"/>
          <w:numId w:val="41"/>
        </w:numPr>
        <w:tabs>
          <w:tab w:val="left" w:pos="1342"/>
        </w:tabs>
        <w:spacing w:line="307" w:lineRule="exact"/>
        <w:ind w:firstLine="617"/>
        <w:rPr>
          <w:rFonts w:ascii="黑体" w:eastAsia="黑体"/>
          <w:sz w:val="24"/>
        </w:rPr>
      </w:pPr>
      <w:r>
        <w:rPr>
          <w:rFonts w:hint="eastAsia" w:ascii="黑体" w:eastAsia="黑体"/>
          <w:sz w:val="24"/>
        </w:rPr>
        <w:t>发包人的义务</w:t>
      </w:r>
    </w:p>
    <w:p>
      <w:pPr>
        <w:pStyle w:val="11"/>
        <w:spacing w:before="93" w:line="312" w:lineRule="auto"/>
        <w:ind w:left="424" w:right="387" w:firstLine="616"/>
      </w:pPr>
      <w:r>
        <w:t>（</w:t>
      </w:r>
      <w:r>
        <w:rPr>
          <w:rFonts w:ascii="Times New Roman" w:eastAsia="Times New Roman"/>
        </w:rPr>
        <w:t>1</w:t>
      </w:r>
      <w:r>
        <w:t>）发包人及其工作人员不得索要或接受承包人的礼金、有价证券和贵重物品，不得让承包人报销任何应由发包人或发包人工作人员个人支付的费用等。</w:t>
      </w:r>
    </w:p>
    <w:p>
      <w:pPr>
        <w:pStyle w:val="11"/>
        <w:spacing w:line="312" w:lineRule="auto"/>
        <w:ind w:left="424" w:right="388" w:firstLine="616"/>
      </w:pPr>
      <w:r>
        <w:t>（</w:t>
      </w:r>
      <w:r>
        <w:rPr>
          <w:rFonts w:ascii="Times New Roman" w:eastAsia="Times New Roman"/>
        </w:rPr>
        <w:t>2</w:t>
      </w:r>
      <w:r>
        <w:t>）发包人工作人员不得参加承包人安排的超标准宴请和娱乐活动；不得接受承包人提供的通信工具、交通工具和高档办公用品等。</w:t>
      </w:r>
    </w:p>
    <w:p>
      <w:pPr>
        <w:pStyle w:val="11"/>
        <w:spacing w:line="312" w:lineRule="auto"/>
        <w:ind w:left="424" w:right="388" w:firstLine="616"/>
      </w:pPr>
      <w:r>
        <w:t>（</w:t>
      </w:r>
      <w:r>
        <w:rPr>
          <w:rFonts w:ascii="Times New Roman" w:eastAsia="Times New Roman"/>
        </w:rPr>
        <w:t>3</w:t>
      </w:r>
      <w:r>
        <w:t>）发包人及其工作人员不得要求或者接受承包人为其住房装修、婚丧嫁娶活动、配偶子女的工作安排以及出国出境、旅游等提供方便等。</w:t>
      </w:r>
    </w:p>
    <w:p>
      <w:pPr>
        <w:pStyle w:val="11"/>
        <w:spacing w:before="2" w:line="312" w:lineRule="auto"/>
        <w:ind w:left="424" w:right="388" w:firstLine="616"/>
      </w:pPr>
      <w:r>
        <w:t>（</w:t>
      </w:r>
      <w:r>
        <w:rPr>
          <w:rFonts w:ascii="Times New Roman" w:eastAsia="Times New Roman"/>
        </w:rPr>
        <w:t>4</w:t>
      </w:r>
      <w:r>
        <w:t>）发包人工作人员及其配偶、子女不得从事与发包人工程有关的材料设备供应、工程分包、劳务等经济活动等。</w:t>
      </w:r>
    </w:p>
    <w:p>
      <w:pPr>
        <w:pStyle w:val="11"/>
        <w:spacing w:line="312" w:lineRule="auto"/>
        <w:ind w:left="424" w:right="263" w:firstLine="616"/>
      </w:pPr>
      <w:r>
        <w:t>（</w:t>
      </w:r>
      <w:r>
        <w:rPr>
          <w:rFonts w:ascii="Times New Roman" w:eastAsia="Times New Roman"/>
        </w:rPr>
        <w:t>5</w:t>
      </w:r>
      <w:r>
        <w:rPr>
          <w:spacing w:val="-104"/>
        </w:rPr>
        <w:t>）</w:t>
      </w:r>
      <w:r>
        <w:t>发包人及其工作人员不得以任何理由向承包人推荐分包单位或推销材料，不得要求承包人购买合同规定外的材料和设备。</w:t>
      </w:r>
    </w:p>
    <w:p>
      <w:pPr>
        <w:pStyle w:val="11"/>
        <w:spacing w:line="312" w:lineRule="auto"/>
        <w:ind w:left="424" w:right="391" w:firstLine="616"/>
      </w:pPr>
      <w:r>
        <w:t>（</w:t>
      </w:r>
      <w:r>
        <w:rPr>
          <w:rFonts w:ascii="Times New Roman" w:eastAsia="Times New Roman"/>
        </w:rPr>
        <w:t>6</w:t>
      </w:r>
      <w:r>
        <w:t>）发包人工作人员要秉公办事，不准营私舞弊，不准利用职权从事各种个人有偿中介活动和安排个人施工队伍。</w:t>
      </w:r>
    </w:p>
    <w:p>
      <w:pPr>
        <w:spacing w:line="312" w:lineRule="auto"/>
        <w:sectPr>
          <w:type w:val="continuous"/>
          <w:pgSz w:w="11910" w:h="16850"/>
          <w:pgMar w:top="1600" w:right="1200" w:bottom="280" w:left="1220" w:header="720" w:footer="720" w:gutter="0"/>
          <w:cols w:space="720" w:num="1"/>
        </w:sectPr>
      </w:pPr>
    </w:p>
    <w:p>
      <w:pPr>
        <w:pStyle w:val="11"/>
        <w:spacing w:before="7"/>
        <w:rPr>
          <w:sz w:val="9"/>
        </w:rPr>
      </w:pPr>
    </w:p>
    <w:p>
      <w:pPr>
        <w:pStyle w:val="20"/>
        <w:numPr>
          <w:ilvl w:val="0"/>
          <w:numId w:val="41"/>
        </w:numPr>
        <w:tabs>
          <w:tab w:val="left" w:pos="1342"/>
        </w:tabs>
        <w:spacing w:before="74"/>
        <w:ind w:firstLine="617"/>
        <w:rPr>
          <w:rFonts w:ascii="黑体" w:eastAsia="黑体"/>
          <w:sz w:val="24"/>
        </w:rPr>
      </w:pPr>
      <w:r>
        <w:rPr>
          <w:rFonts w:hint="eastAsia" w:ascii="黑体" w:eastAsia="黑体"/>
          <w:sz w:val="24"/>
        </w:rPr>
        <w:t>承包人的义务</w:t>
      </w:r>
    </w:p>
    <w:p>
      <w:pPr>
        <w:pStyle w:val="11"/>
        <w:spacing w:before="91" w:line="312" w:lineRule="auto"/>
        <w:ind w:left="424" w:right="388" w:firstLine="616"/>
        <w:jc w:val="both"/>
      </w:pPr>
      <w:r>
        <w:t>（</w:t>
      </w:r>
      <w:r>
        <w:rPr>
          <w:rFonts w:ascii="Times New Roman" w:eastAsia="Times New Roman"/>
        </w:rPr>
        <w:t>1</w:t>
      </w:r>
      <w:r>
        <w:t>）承包人不得以任何理由向发包人及其工作人员行贿或馈赠礼金、有价证券、贵重礼品。</w:t>
      </w:r>
    </w:p>
    <w:p>
      <w:pPr>
        <w:pStyle w:val="11"/>
        <w:spacing w:before="2" w:line="312" w:lineRule="auto"/>
        <w:ind w:left="424" w:right="387" w:firstLine="616"/>
        <w:jc w:val="both"/>
      </w:pPr>
      <w:r>
        <w:t>（</w:t>
      </w:r>
      <w:r>
        <w:rPr>
          <w:rFonts w:ascii="Times New Roman" w:eastAsia="Times New Roman"/>
        </w:rPr>
        <w:t>2</w:t>
      </w:r>
      <w:r>
        <w:t>）承包人不得以任何名义为发包人及其工作人员报销应由发包人单位或个人支付的任何费用。</w:t>
      </w:r>
    </w:p>
    <w:p>
      <w:pPr>
        <w:pStyle w:val="11"/>
        <w:spacing w:line="307" w:lineRule="exact"/>
        <w:ind w:left="1041"/>
      </w:pPr>
      <w:r>
        <w:t>（</w:t>
      </w:r>
      <w:r>
        <w:rPr>
          <w:rFonts w:ascii="Times New Roman" w:eastAsia="Times New Roman"/>
        </w:rPr>
        <w:t>3</w:t>
      </w:r>
      <w:r>
        <w:rPr>
          <w:spacing w:val="-104"/>
        </w:rPr>
        <w:t>）</w:t>
      </w:r>
      <w:r>
        <w:t>承包人不得以任何理由安排发包人工作人员参加超标准宴请及娱乐活动。</w:t>
      </w:r>
    </w:p>
    <w:p>
      <w:pPr>
        <w:pStyle w:val="11"/>
        <w:spacing w:before="94" w:line="312" w:lineRule="auto"/>
        <w:ind w:left="424" w:right="388" w:firstLine="616"/>
        <w:jc w:val="both"/>
      </w:pPr>
      <w:r>
        <w:t>（</w:t>
      </w:r>
      <w:r>
        <w:rPr>
          <w:rFonts w:ascii="Times New Roman" w:eastAsia="Times New Roman"/>
        </w:rPr>
        <w:t>4</w:t>
      </w:r>
      <w:r>
        <w:t>）承包人不得为发包人单位和个人购置或提供通信工具、交通工具和高档办公用品等。</w:t>
      </w:r>
    </w:p>
    <w:p>
      <w:pPr>
        <w:pStyle w:val="20"/>
        <w:numPr>
          <w:ilvl w:val="0"/>
          <w:numId w:val="41"/>
        </w:numPr>
        <w:tabs>
          <w:tab w:val="left" w:pos="1342"/>
        </w:tabs>
        <w:ind w:firstLine="617"/>
        <w:rPr>
          <w:rFonts w:ascii="黑体" w:eastAsia="黑体"/>
          <w:sz w:val="24"/>
        </w:rPr>
      </w:pPr>
      <w:r>
        <w:rPr>
          <w:rFonts w:hint="eastAsia" w:ascii="黑体" w:eastAsia="黑体"/>
          <w:sz w:val="24"/>
        </w:rPr>
        <w:t>违约责任</w:t>
      </w:r>
    </w:p>
    <w:p>
      <w:pPr>
        <w:pStyle w:val="11"/>
        <w:spacing w:before="93" w:line="312" w:lineRule="auto"/>
        <w:ind w:left="424" w:right="385" w:firstLine="616"/>
        <w:jc w:val="both"/>
      </w:pPr>
      <w:r>
        <w:rPr>
          <w:spacing w:val="-9"/>
        </w:rPr>
        <w:t>（</w:t>
      </w:r>
      <w:r>
        <w:rPr>
          <w:rFonts w:ascii="Times New Roman" w:eastAsia="Times New Roman"/>
          <w:spacing w:val="-9"/>
        </w:rPr>
        <w:t>1</w:t>
      </w:r>
      <w:r>
        <w:rPr>
          <w:spacing w:val="-9"/>
        </w:rPr>
        <w:t>）</w:t>
      </w:r>
      <w:r>
        <w:rPr>
          <w:spacing w:val="-4"/>
        </w:rPr>
        <w:t xml:space="preserve">发包人及其工作人员违反本合同第 </w:t>
      </w:r>
      <w:r>
        <w:rPr>
          <w:rFonts w:ascii="Times New Roman" w:eastAsia="Times New Roman"/>
        </w:rPr>
        <w:t>1</w:t>
      </w:r>
      <w:r>
        <w:rPr>
          <w:spacing w:val="-27"/>
        </w:rPr>
        <w:t>、</w:t>
      </w:r>
      <w:r>
        <w:rPr>
          <w:rFonts w:ascii="Times New Roman" w:eastAsia="Times New Roman"/>
        </w:rPr>
        <w:t xml:space="preserve">2 </w:t>
      </w:r>
      <w:r>
        <w:rPr>
          <w:spacing w:val="-8"/>
        </w:rPr>
        <w:t>条，按管理权限，依据有关规定给予党纪、政纪或组织处理；涉嫌犯罪的，移交司法机关追究刑事责任；给承包人单位造成经济损失的，应予以赔偿。</w:t>
      </w:r>
    </w:p>
    <w:p>
      <w:pPr>
        <w:pStyle w:val="11"/>
        <w:spacing w:before="1" w:line="312" w:lineRule="auto"/>
        <w:ind w:left="424" w:right="385" w:firstLine="616"/>
        <w:jc w:val="both"/>
      </w:pPr>
      <w:r>
        <w:rPr>
          <w:spacing w:val="-9"/>
        </w:rPr>
        <w:t>（</w:t>
      </w:r>
      <w:r>
        <w:rPr>
          <w:rFonts w:ascii="Times New Roman" w:eastAsia="Times New Roman"/>
          <w:spacing w:val="-9"/>
        </w:rPr>
        <w:t>2</w:t>
      </w:r>
      <w:r>
        <w:rPr>
          <w:spacing w:val="-9"/>
        </w:rPr>
        <w:t>）</w:t>
      </w:r>
      <w:r>
        <w:rPr>
          <w:spacing w:val="-4"/>
        </w:rPr>
        <w:t xml:space="preserve">承包人及其工作人员违反本合同第 </w:t>
      </w:r>
      <w:r>
        <w:rPr>
          <w:rFonts w:ascii="Times New Roman" w:eastAsia="Times New Roman"/>
        </w:rPr>
        <w:t>1</w:t>
      </w:r>
      <w:r>
        <w:rPr>
          <w:spacing w:val="-27"/>
        </w:rPr>
        <w:t>、</w:t>
      </w:r>
      <w:r>
        <w:rPr>
          <w:rFonts w:ascii="Times New Roman" w:eastAsia="Times New Roman"/>
        </w:rPr>
        <w:t xml:space="preserve">3 </w:t>
      </w:r>
      <w:r>
        <w:rPr>
          <w:spacing w:val="-8"/>
        </w:rPr>
        <w:t>条，按管理权限，依据有关规定给予党纪、政纪或组织处理；给发包人单位造成经济损失的，应予以赔偿；情节严重的，发包人建议交通运输主管部门给予承包人一至三年内不得进入其主管的公路建设市场的处罚。</w:t>
      </w:r>
    </w:p>
    <w:p>
      <w:pPr>
        <w:pStyle w:val="20"/>
        <w:numPr>
          <w:ilvl w:val="0"/>
          <w:numId w:val="41"/>
        </w:numPr>
        <w:tabs>
          <w:tab w:val="left" w:pos="1344"/>
        </w:tabs>
        <w:spacing w:line="312" w:lineRule="auto"/>
        <w:ind w:right="383" w:firstLine="617"/>
        <w:jc w:val="both"/>
        <w:rPr>
          <w:sz w:val="24"/>
        </w:rPr>
      </w:pPr>
      <w:r>
        <w:rPr>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20"/>
        <w:numPr>
          <w:ilvl w:val="0"/>
          <w:numId w:val="41"/>
        </w:numPr>
        <w:tabs>
          <w:tab w:val="left" w:pos="1342"/>
        </w:tabs>
        <w:spacing w:before="1"/>
        <w:ind w:firstLine="617"/>
        <w:rPr>
          <w:sz w:val="24"/>
        </w:rPr>
      </w:pPr>
      <w:r>
        <w:rPr>
          <w:sz w:val="24"/>
        </w:rPr>
        <w:t>本合同有效期为发包人和承包人签署之日起至该工程项目竣工验收后止。</w:t>
      </w:r>
    </w:p>
    <w:p>
      <w:pPr>
        <w:pStyle w:val="20"/>
        <w:numPr>
          <w:ilvl w:val="0"/>
          <w:numId w:val="41"/>
        </w:numPr>
        <w:tabs>
          <w:tab w:val="left" w:pos="1344"/>
          <w:tab w:val="left" w:pos="3652"/>
        </w:tabs>
        <w:spacing w:before="93" w:line="312" w:lineRule="auto"/>
        <w:ind w:right="384" w:firstLine="617"/>
        <w:jc w:val="both"/>
        <w:rPr>
          <w:sz w:val="24"/>
        </w:rPr>
      </w:pPr>
      <w:r>
        <w:rPr>
          <w:sz w:val="24"/>
        </w:rPr>
        <w:t>本合同作为</w:t>
      </w:r>
      <w:r>
        <w:rPr>
          <w:sz w:val="24"/>
          <w:u w:val="single"/>
        </w:rPr>
        <w:t xml:space="preserve"> </w:t>
      </w:r>
      <w:r>
        <w:rPr>
          <w:sz w:val="24"/>
          <w:u w:val="single"/>
        </w:rPr>
        <w:tab/>
      </w:r>
      <w:r>
        <w:rPr>
          <w:sz w:val="24"/>
        </w:rPr>
        <w:t>（项目名称）</w:t>
      </w:r>
      <w:r>
        <w:rPr>
          <w:sz w:val="24"/>
          <w:u w:val="single"/>
        </w:rPr>
        <w:t xml:space="preserve">   </w:t>
      </w:r>
      <w:r>
        <w:rPr>
          <w:spacing w:val="40"/>
          <w:sz w:val="24"/>
        </w:rPr>
        <w:t xml:space="preserve"> </w:t>
      </w:r>
      <w:r>
        <w:rPr>
          <w:sz w:val="24"/>
        </w:rPr>
        <w:t>标段施工合同的附件，与工程施工合同具有同等的法律效力，经合同双方签署后立即生效。</w:t>
      </w:r>
    </w:p>
    <w:p>
      <w:pPr>
        <w:pStyle w:val="20"/>
        <w:numPr>
          <w:ilvl w:val="0"/>
          <w:numId w:val="41"/>
        </w:numPr>
        <w:tabs>
          <w:tab w:val="left" w:pos="1344"/>
        </w:tabs>
        <w:spacing w:line="314" w:lineRule="auto"/>
        <w:ind w:right="382" w:firstLine="617"/>
        <w:jc w:val="both"/>
        <w:rPr>
          <w:sz w:val="24"/>
        </w:rPr>
      </w:pPr>
      <w:r>
        <w:rPr>
          <w:sz w:val="24"/>
        </w:rPr>
        <w:t>本合同一式四份，由发包人和承包人各执一份，送交发包人和承包人的监督单位各一份。</w:t>
      </w:r>
    </w:p>
    <w:p>
      <w:pPr>
        <w:pStyle w:val="11"/>
        <w:spacing w:before="8"/>
        <w:rPr>
          <w:sz w:val="32"/>
        </w:rPr>
      </w:pPr>
    </w:p>
    <w:p>
      <w:pPr>
        <w:pStyle w:val="11"/>
        <w:tabs>
          <w:tab w:val="left" w:pos="3151"/>
          <w:tab w:val="left" w:pos="5174"/>
          <w:tab w:val="left" w:pos="7781"/>
          <w:tab w:val="left" w:pos="8261"/>
        </w:tabs>
        <w:spacing w:before="1" w:line="345" w:lineRule="auto"/>
        <w:ind w:left="424" w:right="262"/>
      </w:pPr>
      <w:r>
        <w:t>发包人</w:t>
      </w:r>
      <w:r>
        <w:rPr>
          <w:spacing w:val="-17"/>
        </w:rPr>
        <w:t>：</w:t>
      </w:r>
      <w:r>
        <w:rPr>
          <w:spacing w:val="-17"/>
          <w:u w:val="single"/>
        </w:rPr>
        <w:t xml:space="preserve"> </w:t>
      </w:r>
      <w:r>
        <w:rPr>
          <w:spacing w:val="-17"/>
          <w:u w:val="single"/>
        </w:rPr>
        <w:tab/>
      </w:r>
      <w:r>
        <w:t>（盖单位章）</w:t>
      </w:r>
      <w:r>
        <w:tab/>
      </w:r>
      <w:r>
        <w:t>承包人</w:t>
      </w:r>
      <w:r>
        <w:rPr>
          <w:spacing w:val="-17"/>
        </w:rPr>
        <w:t>：</w:t>
      </w:r>
      <w:r>
        <w:rPr>
          <w:spacing w:val="-17"/>
          <w:u w:val="single"/>
        </w:rPr>
        <w:t xml:space="preserve"> </w:t>
      </w:r>
      <w:r>
        <w:rPr>
          <w:spacing w:val="-17"/>
          <w:u w:val="single"/>
        </w:rPr>
        <w:tab/>
      </w:r>
      <w:r>
        <w:t>（盖单位章） 法定代表人或其委托代理人</w:t>
      </w:r>
      <w:r>
        <w:rPr>
          <w:u w:val="single"/>
        </w:rPr>
        <w:t>：</w:t>
      </w:r>
      <w:r>
        <w:rPr>
          <w:spacing w:val="37"/>
          <w:u w:val="single"/>
        </w:rPr>
        <w:t xml:space="preserve"> </w:t>
      </w:r>
      <w:r>
        <w:rPr>
          <w:u w:val="single"/>
        </w:rPr>
        <w:t>（</w:t>
      </w:r>
      <w:r>
        <w:t>签字）</w:t>
      </w:r>
      <w:r>
        <w:rPr>
          <w:spacing w:val="77"/>
        </w:rPr>
        <w:t xml:space="preserve"> </w:t>
      </w:r>
      <w:r>
        <w:t>法定代表人或其委托代理人</w:t>
      </w:r>
      <w:r>
        <w:rPr>
          <w:spacing w:val="-40"/>
        </w:rPr>
        <w:t>：</w:t>
      </w:r>
      <w:r>
        <w:rPr>
          <w:spacing w:val="-40"/>
          <w:u w:val="single"/>
        </w:rPr>
        <w:t xml:space="preserve"> </w:t>
      </w:r>
      <w:r>
        <w:rPr>
          <w:spacing w:val="-40"/>
          <w:u w:val="single"/>
        </w:rPr>
        <w:tab/>
      </w:r>
      <w:r>
        <w:rPr>
          <w:u w:val="single"/>
        </w:rPr>
        <w:t>（</w:t>
      </w:r>
      <w:r>
        <w:t>签字）</w:t>
      </w:r>
    </w:p>
    <w:p>
      <w:pPr>
        <w:pStyle w:val="11"/>
        <w:tabs>
          <w:tab w:val="left" w:pos="2344"/>
          <w:tab w:val="left" w:pos="3184"/>
          <w:tab w:val="left" w:pos="4024"/>
          <w:tab w:val="left" w:pos="5104"/>
          <w:tab w:val="left" w:pos="5945"/>
          <w:tab w:val="left" w:pos="7025"/>
          <w:tab w:val="left" w:pos="7865"/>
          <w:tab w:val="left" w:pos="8705"/>
        </w:tabs>
        <w:spacing w:line="669" w:lineRule="auto"/>
        <w:ind w:left="424" w:right="298" w:firstLine="83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r>
        <w:tab/>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日发包</w:t>
      </w:r>
      <w:r>
        <w:rPr>
          <w:spacing w:val="-1"/>
        </w:rPr>
        <w:t>人</w:t>
      </w:r>
      <w:r>
        <w:t>监督单位</w:t>
      </w:r>
      <w:r>
        <w:rPr>
          <w:spacing w:val="-120"/>
        </w:rPr>
        <w:t>：</w:t>
      </w:r>
      <w:r>
        <w:rPr>
          <w:u w:val="single"/>
        </w:rPr>
        <w:t>（全称</w:t>
      </w:r>
      <w:r>
        <w:rPr>
          <w:spacing w:val="-120"/>
          <w:u w:val="single"/>
        </w:rPr>
        <w:t>）</w:t>
      </w:r>
      <w:r>
        <w:rPr>
          <w:u w:val="single"/>
        </w:rPr>
        <w:t>（盖单位章）</w:t>
      </w:r>
      <w:r>
        <w:tab/>
      </w:r>
      <w:r>
        <w:t>承包人监督单位</w:t>
      </w:r>
      <w:r>
        <w:rPr>
          <w:spacing w:val="-120"/>
        </w:rPr>
        <w:t>：</w:t>
      </w:r>
      <w:r>
        <w:rPr>
          <w:u w:val="single"/>
        </w:rPr>
        <w:t>（全称</w:t>
      </w:r>
      <w:r>
        <w:rPr>
          <w:spacing w:val="-120"/>
          <w:u w:val="single"/>
        </w:rPr>
        <w:t>）</w:t>
      </w:r>
      <w:r>
        <w:rPr>
          <w:u w:val="single"/>
        </w:rPr>
        <w:t>（盖单位章）</w:t>
      </w:r>
    </w:p>
    <w:p>
      <w:pPr>
        <w:spacing w:line="669" w:lineRule="auto"/>
        <w:sectPr>
          <w:pgSz w:w="11910" w:h="16850"/>
          <w:pgMar w:top="1480" w:right="1200" w:bottom="1040" w:left="1220" w:header="876" w:footer="853" w:gutter="0"/>
          <w:cols w:space="720" w:num="1"/>
        </w:sectPr>
      </w:pPr>
    </w:p>
    <w:p>
      <w:pPr>
        <w:pStyle w:val="11"/>
        <w:spacing w:before="9"/>
        <w:rPr>
          <w:sz w:val="8"/>
        </w:rPr>
      </w:pPr>
    </w:p>
    <w:p>
      <w:pPr>
        <w:rPr>
          <w:sz w:val="8"/>
        </w:rPr>
        <w:sectPr>
          <w:pgSz w:w="11910" w:h="16850"/>
          <w:pgMar w:top="1480" w:right="1200" w:bottom="1080" w:left="1220" w:header="883" w:footer="884" w:gutter="0"/>
          <w:cols w:space="720" w:num="1"/>
        </w:sectPr>
      </w:pPr>
    </w:p>
    <w:p>
      <w:pPr>
        <w:pStyle w:val="11"/>
        <w:spacing w:before="66"/>
        <w:ind w:left="424"/>
        <w:rPr>
          <w:rFonts w:ascii="黑体" w:eastAsia="黑体"/>
        </w:rPr>
      </w:pPr>
      <w:bookmarkStart w:id="260" w:name="_bookmark272"/>
      <w:bookmarkEnd w:id="260"/>
      <w:r>
        <w:rPr>
          <w:rFonts w:hint="eastAsia" w:ascii="黑体" w:eastAsia="黑体"/>
        </w:rPr>
        <w:t>附件三 安全生产合同</w:t>
      </w:r>
    </w:p>
    <w:p>
      <w:pPr>
        <w:pStyle w:val="11"/>
        <w:spacing w:before="6"/>
        <w:rPr>
          <w:rFonts w:ascii="黑体"/>
          <w:sz w:val="31"/>
        </w:rPr>
      </w:pPr>
      <w:r>
        <w:br w:type="column"/>
      </w:r>
    </w:p>
    <w:p>
      <w:pPr>
        <w:ind w:left="424"/>
        <w:rPr>
          <w:rFonts w:ascii="黑体" w:eastAsia="黑体"/>
          <w:sz w:val="28"/>
        </w:rPr>
      </w:pPr>
      <w:r>
        <w:rPr>
          <w:rFonts w:hint="eastAsia" w:ascii="黑体" w:eastAsia="黑体"/>
          <w:sz w:val="28"/>
        </w:rPr>
        <w:t>安全生产合同</w:t>
      </w:r>
    </w:p>
    <w:p>
      <w:pPr>
        <w:rPr>
          <w:rFonts w:ascii="黑体" w:eastAsia="黑体"/>
          <w:sz w:val="28"/>
        </w:rPr>
        <w:sectPr>
          <w:type w:val="continuous"/>
          <w:pgSz w:w="11910" w:h="16850"/>
          <w:pgMar w:top="1600" w:right="1200" w:bottom="280" w:left="1220" w:header="720" w:footer="720" w:gutter="0"/>
          <w:cols w:equalWidth="0" w:num="2">
            <w:col w:w="2745" w:space="752"/>
            <w:col w:w="5993"/>
          </w:cols>
        </w:sectPr>
      </w:pPr>
    </w:p>
    <w:p>
      <w:pPr>
        <w:pStyle w:val="11"/>
        <w:rPr>
          <w:rFonts w:ascii="黑体"/>
          <w:sz w:val="20"/>
        </w:rPr>
      </w:pPr>
    </w:p>
    <w:p>
      <w:pPr>
        <w:pStyle w:val="11"/>
        <w:tabs>
          <w:tab w:val="left" w:pos="3081"/>
          <w:tab w:val="left" w:pos="5122"/>
          <w:tab w:val="left" w:pos="6125"/>
          <w:tab w:val="left" w:pos="8619"/>
        </w:tabs>
        <w:spacing w:before="217" w:line="304" w:lineRule="auto"/>
        <w:ind w:left="424" w:right="282" w:firstLine="616"/>
      </w:pPr>
      <w:r>
        <w:t>为在</w:t>
      </w:r>
      <w:r>
        <w:rPr>
          <w:u w:val="single"/>
        </w:rPr>
        <w:t xml:space="preserve"> </w:t>
      </w:r>
      <w:r>
        <w:rPr>
          <w:u w:val="single"/>
        </w:rPr>
        <w:tab/>
      </w:r>
      <w:r>
        <w:t>（项目名称）</w:t>
      </w:r>
      <w:r>
        <w:rPr>
          <w:u w:val="single"/>
        </w:rPr>
        <w:t xml:space="preserve"> </w:t>
      </w:r>
      <w:r>
        <w:rPr>
          <w:u w:val="single"/>
        </w:rPr>
        <w:tab/>
      </w:r>
      <w:r>
        <w:t>标段施工合同的实施过程中创造安全、高效的施工环境</w:t>
      </w:r>
      <w:r>
        <w:rPr>
          <w:spacing w:val="-29"/>
        </w:rPr>
        <w:t>，</w:t>
      </w:r>
      <w:r>
        <w:t>切实搞好本项目的安全管理工作</w:t>
      </w:r>
      <w:r>
        <w:rPr>
          <w:spacing w:val="-29"/>
        </w:rPr>
        <w:t>，</w:t>
      </w:r>
      <w:r>
        <w:t>本项目发包人</w:t>
      </w:r>
      <w:r>
        <w:rPr>
          <w:u w:val="single"/>
        </w:rPr>
        <w:t xml:space="preserve"> </w:t>
      </w:r>
      <w:r>
        <w:rPr>
          <w:u w:val="single"/>
        </w:rPr>
        <w:tab/>
      </w:r>
      <w:r>
        <w:t>（发包人名称</w:t>
      </w:r>
      <w:r>
        <w:rPr>
          <w:spacing w:val="-13"/>
        </w:rPr>
        <w:t>，</w:t>
      </w:r>
      <w:r>
        <w:t>以下简称</w:t>
      </w:r>
      <w:r>
        <w:rPr>
          <w:rFonts w:ascii="Times New Roman" w:hAnsi="Times New Roman" w:eastAsia="Times New Roman"/>
        </w:rPr>
        <w:t>“</w:t>
      </w:r>
      <w:r>
        <w:t>发包人</w:t>
      </w:r>
      <w:r>
        <w:rPr>
          <w:rFonts w:ascii="Times New Roman" w:hAnsi="Times New Roman" w:eastAsia="Times New Roman"/>
          <w:spacing w:val="-7"/>
        </w:rPr>
        <w:t>”</w:t>
      </w:r>
      <w:r>
        <w:rPr>
          <w:spacing w:val="-7"/>
        </w:rPr>
        <w:t>）</w:t>
      </w:r>
      <w:r>
        <w:t>与承包人</w:t>
      </w:r>
      <w:r>
        <w:rPr>
          <w:u w:val="single"/>
        </w:rPr>
        <w:t xml:space="preserve"> </w:t>
      </w:r>
      <w:r>
        <w:rPr>
          <w:u w:val="single"/>
        </w:rPr>
        <w:tab/>
      </w:r>
      <w:r>
        <w:rPr>
          <w:u w:val="single"/>
        </w:rPr>
        <w:tab/>
      </w:r>
      <w:r>
        <w:t>（承包人名称</w:t>
      </w:r>
      <w:r>
        <w:rPr>
          <w:spacing w:val="-12"/>
        </w:rPr>
        <w:t>，</w:t>
      </w:r>
      <w:r>
        <w:t>以下简称</w:t>
      </w:r>
      <w:r>
        <w:rPr>
          <w:rFonts w:ascii="Times New Roman" w:hAnsi="Times New Roman" w:eastAsia="Times New Roman"/>
        </w:rPr>
        <w:t>“</w:t>
      </w:r>
      <w:r>
        <w:t>承包人</w:t>
      </w:r>
      <w:r>
        <w:rPr>
          <w:rFonts w:ascii="Times New Roman" w:hAnsi="Times New Roman" w:eastAsia="Times New Roman"/>
        </w:rPr>
        <w:t>”</w:t>
      </w:r>
      <w:r>
        <w:t>）特此签订安全生产合同。</w:t>
      </w:r>
    </w:p>
    <w:p>
      <w:pPr>
        <w:pStyle w:val="11"/>
        <w:spacing w:line="305" w:lineRule="exact"/>
        <w:ind w:left="1041"/>
        <w:rPr>
          <w:rFonts w:ascii="黑体" w:eastAsia="黑体"/>
        </w:rPr>
      </w:pPr>
      <w:r>
        <w:rPr>
          <w:rFonts w:ascii="Times New Roman" w:eastAsia="Times New Roman"/>
        </w:rPr>
        <w:t>1.</w:t>
      </w:r>
      <w:r>
        <w:rPr>
          <w:rFonts w:hint="eastAsia" w:ascii="黑体" w:eastAsia="黑体"/>
        </w:rPr>
        <w:t>发包人职责</w:t>
      </w:r>
    </w:p>
    <w:p>
      <w:pPr>
        <w:pStyle w:val="11"/>
        <w:spacing w:before="82" w:line="304" w:lineRule="auto"/>
        <w:ind w:left="424" w:right="390" w:firstLine="616"/>
      </w:pPr>
      <w:r>
        <w:t>（</w:t>
      </w:r>
      <w:r>
        <w:rPr>
          <w:rFonts w:ascii="Times New Roman" w:eastAsia="Times New Roman"/>
        </w:rPr>
        <w:t>1</w:t>
      </w:r>
      <w:r>
        <w:t>）严格遵守国家有关安全生产的法律法规，认真执行工程承包合同中的有关安全要求。</w:t>
      </w:r>
    </w:p>
    <w:p>
      <w:pPr>
        <w:pStyle w:val="11"/>
        <w:spacing w:line="304" w:lineRule="auto"/>
        <w:ind w:left="424" w:right="380" w:firstLine="616"/>
      </w:pPr>
      <w:r>
        <w:t>（</w:t>
      </w:r>
      <w:r>
        <w:rPr>
          <w:rFonts w:ascii="Times New Roman" w:hAnsi="Times New Roman" w:eastAsia="Times New Roman"/>
        </w:rPr>
        <w:t>2</w:t>
      </w:r>
      <w:r>
        <w:t>）按照</w:t>
      </w:r>
      <w:r>
        <w:rPr>
          <w:rFonts w:ascii="Times New Roman" w:hAnsi="Times New Roman" w:eastAsia="Times New Roman"/>
        </w:rPr>
        <w:t>“</w:t>
      </w:r>
      <w:r>
        <w:t>安全第一、预防为主、综合治理</w:t>
      </w:r>
      <w:r>
        <w:rPr>
          <w:rFonts w:ascii="Times New Roman" w:hAnsi="Times New Roman" w:eastAsia="Times New Roman"/>
        </w:rPr>
        <w:t>”</w:t>
      </w:r>
      <w:r>
        <w:t>和坚持</w:t>
      </w:r>
      <w:r>
        <w:rPr>
          <w:rFonts w:ascii="Times New Roman" w:hAnsi="Times New Roman" w:eastAsia="Times New Roman"/>
        </w:rPr>
        <w:t>“</w:t>
      </w:r>
      <w:r>
        <w:t>管生产必须管安全</w:t>
      </w:r>
      <w:r>
        <w:rPr>
          <w:rFonts w:ascii="Times New Roman" w:hAnsi="Times New Roman" w:eastAsia="Times New Roman"/>
        </w:rPr>
        <w:t>”</w:t>
      </w:r>
      <w:r>
        <w:t>的原则进行安全生产管理，做到生产与安全工作同时计划、布置、检查、总结和评比。</w:t>
      </w:r>
    </w:p>
    <w:p>
      <w:pPr>
        <w:pStyle w:val="11"/>
        <w:spacing w:line="304" w:lineRule="auto"/>
        <w:ind w:left="424" w:right="382" w:firstLine="616"/>
      </w:pPr>
      <w:r>
        <w:t>（</w:t>
      </w:r>
      <w:r>
        <w:rPr>
          <w:rFonts w:ascii="Times New Roman" w:hAnsi="Times New Roman" w:eastAsia="Times New Roman"/>
        </w:rPr>
        <w:t>3</w:t>
      </w:r>
      <w:r>
        <w:t>）重要的安全设施必须坚持与主体工程</w:t>
      </w:r>
      <w:r>
        <w:rPr>
          <w:rFonts w:ascii="Times New Roman" w:hAnsi="Times New Roman" w:eastAsia="Times New Roman"/>
        </w:rPr>
        <w:t>“</w:t>
      </w:r>
      <w:r>
        <w:t>三同时</w:t>
      </w:r>
      <w:r>
        <w:rPr>
          <w:rFonts w:ascii="Times New Roman" w:hAnsi="Times New Roman" w:eastAsia="Times New Roman"/>
        </w:rPr>
        <w:t>”</w:t>
      </w:r>
      <w:r>
        <w:t>的原则，即：同时设计、审批，同时施工，同时验收，投入使用。</w:t>
      </w:r>
    </w:p>
    <w:p>
      <w:pPr>
        <w:pStyle w:val="11"/>
        <w:spacing w:line="306" w:lineRule="exact"/>
        <w:ind w:left="1041"/>
      </w:pPr>
      <w:r>
        <w:t>（</w:t>
      </w:r>
      <w:r>
        <w:rPr>
          <w:rFonts w:ascii="Times New Roman" w:eastAsia="Times New Roman"/>
        </w:rPr>
        <w:t>4</w:t>
      </w:r>
      <w:r>
        <w:t>）定期召开安全生产调度会，及时传达中央及地方有关安全生产的精神。</w:t>
      </w:r>
    </w:p>
    <w:p>
      <w:pPr>
        <w:pStyle w:val="11"/>
        <w:spacing w:before="82" w:line="302" w:lineRule="auto"/>
        <w:ind w:left="424" w:right="388" w:firstLine="616"/>
      </w:pPr>
      <w:r>
        <w:t>（</w:t>
      </w:r>
      <w:r>
        <w:rPr>
          <w:rFonts w:ascii="Times New Roman" w:eastAsia="Times New Roman"/>
        </w:rPr>
        <w:t>5</w:t>
      </w:r>
      <w:r>
        <w:t>）组织对承包人施工现场进行安全生产检查，监督承包人及时处理发现的各种安全隐患。</w:t>
      </w:r>
    </w:p>
    <w:p>
      <w:pPr>
        <w:pStyle w:val="11"/>
        <w:spacing w:before="5"/>
        <w:ind w:left="1041"/>
        <w:rPr>
          <w:rFonts w:ascii="黑体" w:eastAsia="黑体"/>
        </w:rPr>
      </w:pPr>
      <w:r>
        <w:rPr>
          <w:rFonts w:ascii="Times New Roman" w:eastAsia="Times New Roman"/>
        </w:rPr>
        <w:t>2.</w:t>
      </w:r>
      <w:r>
        <w:rPr>
          <w:rFonts w:hint="eastAsia" w:ascii="黑体" w:eastAsia="黑体"/>
        </w:rPr>
        <w:t>承包人职责</w:t>
      </w:r>
    </w:p>
    <w:p>
      <w:pPr>
        <w:pStyle w:val="11"/>
        <w:spacing w:before="81" w:line="304" w:lineRule="auto"/>
        <w:ind w:left="424" w:right="283" w:firstLine="616"/>
      </w:pPr>
      <w:r>
        <w:t>（</w:t>
      </w:r>
      <w:r>
        <w:rPr>
          <w:rFonts w:ascii="Times New Roman" w:eastAsia="Times New Roman"/>
        </w:rPr>
        <w:t>1</w:t>
      </w:r>
      <w:r>
        <w:t>）</w:t>
      </w:r>
      <w:r>
        <w:rPr>
          <w:spacing w:val="-7"/>
        </w:rPr>
        <w:t>严格遵守《中华人民共和国安全生产法》《建设工程安全生产管理条例》等国家有关安全生产的法律法规</w:t>
      </w:r>
      <w:r>
        <w:rPr>
          <w:spacing w:val="-16"/>
        </w:rPr>
        <w:t>、《公路水运工程安全生产监督管理办法》和《公路工程施工安全技术规范》等有关安全生产的规定。认真执行工程承包合同中的有关安全要求。</w:t>
      </w:r>
    </w:p>
    <w:p>
      <w:pPr>
        <w:pStyle w:val="11"/>
        <w:spacing w:line="304" w:lineRule="auto"/>
        <w:ind w:left="424" w:right="266" w:firstLine="616"/>
        <w:jc w:val="both"/>
      </w:pPr>
      <w:r>
        <w:t>（</w:t>
      </w:r>
      <w:r>
        <w:rPr>
          <w:rFonts w:ascii="Times New Roman" w:hAnsi="Times New Roman" w:eastAsia="Times New Roman"/>
        </w:rPr>
        <w:t>2</w:t>
      </w:r>
      <w:r>
        <w:t>）坚持</w:t>
      </w:r>
      <w:r>
        <w:rPr>
          <w:rFonts w:ascii="Times New Roman" w:hAnsi="Times New Roman" w:eastAsia="Times New Roman"/>
        </w:rPr>
        <w:t>“</w:t>
      </w:r>
      <w:r>
        <w:t>安全第一、预防为主、综合治理</w:t>
      </w:r>
      <w:r>
        <w:rPr>
          <w:rFonts w:ascii="Times New Roman" w:hAnsi="Times New Roman" w:eastAsia="Times New Roman"/>
        </w:rPr>
        <w:t>”</w:t>
      </w:r>
      <w:r>
        <w:t>和</w:t>
      </w:r>
      <w:r>
        <w:rPr>
          <w:rFonts w:ascii="Times New Roman" w:hAnsi="Times New Roman" w:eastAsia="Times New Roman"/>
        </w:rPr>
        <w:t>“</w:t>
      </w:r>
      <w:r>
        <w:t>管生产必须管安全</w:t>
      </w:r>
      <w:r>
        <w:rPr>
          <w:rFonts w:ascii="Times New Roman" w:hAnsi="Times New Roman" w:eastAsia="Times New Roman"/>
        </w:rPr>
        <w:t>”</w:t>
      </w:r>
      <w: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spacing w:val="-5"/>
        </w:rPr>
        <w:t>遵守本合同的各项规定，做到生产与安全工作同时计划、布置、检查、总结和评比。</w:t>
      </w:r>
    </w:p>
    <w:p>
      <w:pPr>
        <w:pStyle w:val="11"/>
        <w:spacing w:line="304" w:lineRule="auto"/>
        <w:ind w:left="424" w:right="387" w:firstLine="616"/>
        <w:jc w:val="both"/>
      </w:pPr>
      <w:r>
        <w:t>（</w:t>
      </w:r>
      <w:r>
        <w:rPr>
          <w:rFonts w:ascii="Times New Roman" w:eastAsia="Times New Roman"/>
        </w:rPr>
        <w:t>3</w:t>
      </w:r>
      <w: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11"/>
        <w:spacing w:line="303" w:lineRule="exact"/>
        <w:ind w:left="1041"/>
      </w:pPr>
      <w:r>
        <w:t>（</w:t>
      </w:r>
      <w:r>
        <w:rPr>
          <w:rFonts w:ascii="Times New Roman" w:eastAsia="Times New Roman"/>
        </w:rPr>
        <w:t>4</w:t>
      </w:r>
      <w:r>
        <w:t>）承包人在任何时候都应采取各种合理的预防措施，防止其员工发生任何</w:t>
      </w:r>
    </w:p>
    <w:p>
      <w:pPr>
        <w:spacing w:line="303" w:lineRule="exact"/>
        <w:sectPr>
          <w:type w:val="continuous"/>
          <w:pgSz w:w="11910" w:h="16850"/>
          <w:pgMar w:top="1600" w:right="1200" w:bottom="280" w:left="1220" w:header="720" w:footer="720" w:gutter="0"/>
          <w:cols w:space="720" w:num="1"/>
        </w:sectPr>
      </w:pPr>
    </w:p>
    <w:p>
      <w:pPr>
        <w:pStyle w:val="11"/>
        <w:spacing w:before="5"/>
        <w:rPr>
          <w:sz w:val="9"/>
        </w:rPr>
      </w:pPr>
    </w:p>
    <w:p>
      <w:pPr>
        <w:pStyle w:val="11"/>
        <w:spacing w:before="67"/>
        <w:ind w:left="424"/>
      </w:pPr>
      <w:r>
        <w:t>违法、违禁、暴力或妨碍治安的行为。</w:t>
      </w:r>
    </w:p>
    <w:p>
      <w:pPr>
        <w:pStyle w:val="11"/>
        <w:spacing w:before="81" w:line="304" w:lineRule="auto"/>
        <w:ind w:left="424" w:right="266" w:firstLine="616"/>
      </w:pPr>
      <w:r>
        <w:t>（</w:t>
      </w:r>
      <w:r>
        <w:rPr>
          <w:rFonts w:ascii="Times New Roman" w:eastAsia="Times New Roman"/>
        </w:rPr>
        <w:t>5</w:t>
      </w:r>
      <w:r>
        <w:t>）承包人必须具有劳动安全管理部门颁发的安全生产考核合格证书，参加</w:t>
      </w:r>
      <w:r>
        <w:rPr>
          <w:spacing w:val="-10"/>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11"/>
        <w:spacing w:line="304" w:lineRule="auto"/>
        <w:ind w:left="424" w:right="388" w:firstLine="616"/>
        <w:jc w:val="both"/>
      </w:pPr>
      <w:r>
        <w:t>（</w:t>
      </w:r>
      <w:r>
        <w:rPr>
          <w:rFonts w:ascii="Times New Roman" w:eastAsia="Times New Roman"/>
        </w:rPr>
        <w:t>6</w:t>
      </w:r>
      <w: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11"/>
        <w:spacing w:line="302" w:lineRule="auto"/>
        <w:ind w:left="424" w:right="390" w:firstLine="616"/>
      </w:pPr>
      <w:r>
        <w:t>（</w:t>
      </w:r>
      <w:r>
        <w:rPr>
          <w:rFonts w:ascii="Times New Roman" w:eastAsia="Times New Roman"/>
        </w:rPr>
        <w:t>7</w:t>
      </w:r>
      <w:r>
        <w:t>）操作人员上岗，必须按规定穿戴防护用品。施工负责人和安全检查员应随时检查劳动防护用品的穿戴情况，不按规定穿戴防护用品的人员不得上岗。</w:t>
      </w:r>
    </w:p>
    <w:p>
      <w:pPr>
        <w:pStyle w:val="11"/>
        <w:spacing w:before="2" w:line="302" w:lineRule="auto"/>
        <w:ind w:left="424" w:right="389" w:firstLine="616"/>
      </w:pPr>
      <w:r>
        <w:t>（</w:t>
      </w:r>
      <w:r>
        <w:rPr>
          <w:rFonts w:ascii="Times New Roman" w:eastAsia="Times New Roman"/>
        </w:rPr>
        <w:t>8</w:t>
      </w:r>
      <w:r>
        <w:t>）所有施工机具设备和高空作业的设备均应定期检查，并有安全员的签字记录，保证其经常处于完好状态；不合格的机具、设备和劳动保护用品严禁使用。</w:t>
      </w:r>
    </w:p>
    <w:p>
      <w:pPr>
        <w:pStyle w:val="11"/>
        <w:spacing w:before="5" w:line="304" w:lineRule="auto"/>
        <w:ind w:left="424" w:right="390" w:firstLine="616"/>
      </w:pPr>
      <w:r>
        <w:t>（</w:t>
      </w:r>
      <w:r>
        <w:rPr>
          <w:rFonts w:ascii="Times New Roman" w:eastAsia="Times New Roman"/>
        </w:rPr>
        <w:t>9</w:t>
      </w:r>
      <w:r>
        <w:t>）施工中采用新技术、新工艺、新设备、新材料时，必须制定相应的安全技术措施，施工现场必须具有相关的安全标志牌。</w:t>
      </w:r>
    </w:p>
    <w:p>
      <w:pPr>
        <w:pStyle w:val="11"/>
        <w:spacing w:line="304" w:lineRule="auto"/>
        <w:ind w:left="424" w:right="377" w:firstLine="616"/>
        <w:jc w:val="both"/>
      </w:pPr>
      <w:r>
        <w:rPr>
          <w:spacing w:val="-13"/>
        </w:rPr>
        <w:t>（</w:t>
      </w:r>
      <w:r>
        <w:rPr>
          <w:rFonts w:ascii="Times New Roman" w:hAnsi="Times New Roman" w:eastAsia="Times New Roman"/>
          <w:spacing w:val="-13"/>
        </w:rPr>
        <w:t>10</w:t>
      </w:r>
      <w:r>
        <w:rPr>
          <w:spacing w:val="-13"/>
        </w:rPr>
        <w:t>）</w:t>
      </w:r>
      <w:r>
        <w:rPr>
          <w:spacing w:val="-4"/>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Times New Roman" w:hAnsi="Times New Roman" w:eastAsia="Times New Roman"/>
        </w:rPr>
        <w:t>“</w:t>
      </w:r>
      <w:r>
        <w:t>四不放过</w:t>
      </w:r>
      <w:r>
        <w:rPr>
          <w:rFonts w:ascii="Times New Roman" w:hAnsi="Times New Roman" w:eastAsia="Times New Roman"/>
        </w:rPr>
        <w:t>”</w:t>
      </w:r>
      <w:r>
        <w:t>的原则， 严肃处理相关责任人。</w:t>
      </w:r>
    </w:p>
    <w:p>
      <w:pPr>
        <w:pStyle w:val="11"/>
        <w:spacing w:line="302" w:lineRule="auto"/>
        <w:ind w:left="424" w:right="385" w:firstLine="616"/>
      </w:pPr>
      <w:r>
        <w:rPr>
          <w:spacing w:val="-11"/>
        </w:rPr>
        <w:t>（</w:t>
      </w:r>
      <w:r>
        <w:rPr>
          <w:rFonts w:ascii="Times New Roman" w:eastAsia="Times New Roman"/>
          <w:spacing w:val="-11"/>
        </w:rPr>
        <w:t>11</w:t>
      </w:r>
      <w:r>
        <w:rPr>
          <w:spacing w:val="-11"/>
        </w:rPr>
        <w:t>）</w:t>
      </w:r>
      <w:r>
        <w:rPr>
          <w:spacing w:val="-6"/>
        </w:rPr>
        <w:t>安全生产费用按照《公路水运工程安全生产监督管理办法》的相关规定使用和管理。</w:t>
      </w:r>
    </w:p>
    <w:p>
      <w:pPr>
        <w:pStyle w:val="11"/>
        <w:spacing w:before="3"/>
        <w:ind w:left="1041"/>
        <w:rPr>
          <w:rFonts w:ascii="黑体" w:eastAsia="黑体"/>
        </w:rPr>
      </w:pPr>
      <w:r>
        <w:rPr>
          <w:rFonts w:ascii="Times New Roman" w:eastAsia="Times New Roman"/>
        </w:rPr>
        <w:t>3.</w:t>
      </w:r>
      <w:r>
        <w:rPr>
          <w:rFonts w:hint="eastAsia" w:ascii="黑体" w:eastAsia="黑体"/>
        </w:rPr>
        <w:t>违约责任</w:t>
      </w:r>
    </w:p>
    <w:p>
      <w:pPr>
        <w:pStyle w:val="11"/>
        <w:spacing w:before="82"/>
        <w:ind w:left="1041"/>
      </w:pPr>
      <w:r>
        <w:t>如因发包人或承包人违约造成安全事故，将依法追究责任。</w:t>
      </w:r>
    </w:p>
    <w:p>
      <w:pPr>
        <w:pStyle w:val="20"/>
        <w:numPr>
          <w:ilvl w:val="0"/>
          <w:numId w:val="42"/>
        </w:numPr>
        <w:tabs>
          <w:tab w:val="left" w:pos="1344"/>
        </w:tabs>
        <w:spacing w:before="83" w:line="302" w:lineRule="auto"/>
        <w:ind w:right="385" w:firstLine="617"/>
        <w:rPr>
          <w:sz w:val="24"/>
        </w:rPr>
      </w:pPr>
      <w:r>
        <w:rPr>
          <w:sz w:val="24"/>
        </w:rPr>
        <w:t>本合同由双方法定代表人或其授权的代理人签署并加盖单位章后生效，全部工程竣工验收后失效。</w:t>
      </w:r>
    </w:p>
    <w:p>
      <w:pPr>
        <w:pStyle w:val="20"/>
        <w:numPr>
          <w:ilvl w:val="0"/>
          <w:numId w:val="42"/>
        </w:numPr>
        <w:tabs>
          <w:tab w:val="left" w:pos="1344"/>
          <w:tab w:val="left" w:pos="4252"/>
          <w:tab w:val="left" w:pos="8377"/>
        </w:tabs>
        <w:spacing w:before="6" w:line="302" w:lineRule="auto"/>
        <w:ind w:right="380" w:firstLine="617"/>
        <w:rPr>
          <w:sz w:val="24"/>
        </w:rPr>
      </w:pPr>
      <w:r>
        <w:rPr>
          <w:sz w:val="24"/>
        </w:rPr>
        <w:t>本合同正本二份</w:t>
      </w:r>
      <w:r>
        <w:rPr>
          <w:spacing w:val="2"/>
          <w:sz w:val="24"/>
        </w:rPr>
        <w:t>、</w:t>
      </w:r>
      <w:r>
        <w:rPr>
          <w:sz w:val="24"/>
        </w:rPr>
        <w:t>副</w:t>
      </w:r>
      <w:r>
        <w:rPr>
          <w:spacing w:val="2"/>
          <w:sz w:val="24"/>
        </w:rPr>
        <w:t>本</w:t>
      </w:r>
      <w:r>
        <w:rPr>
          <w:spacing w:val="2"/>
          <w:sz w:val="24"/>
          <w:u w:val="single"/>
        </w:rPr>
        <w:t xml:space="preserve"> </w:t>
      </w:r>
      <w:r>
        <w:rPr>
          <w:spacing w:val="2"/>
          <w:sz w:val="24"/>
          <w:u w:val="single"/>
        </w:rPr>
        <w:tab/>
      </w:r>
      <w:r>
        <w:rPr>
          <w:sz w:val="24"/>
        </w:rPr>
        <w:t>份，合同双</w:t>
      </w:r>
      <w:r>
        <w:rPr>
          <w:spacing w:val="2"/>
          <w:sz w:val="24"/>
        </w:rPr>
        <w:t>方</w:t>
      </w:r>
      <w:r>
        <w:rPr>
          <w:sz w:val="24"/>
        </w:rPr>
        <w:t>各执正本一份，副</w:t>
      </w:r>
      <w:r>
        <w:rPr>
          <w:spacing w:val="5"/>
          <w:sz w:val="24"/>
        </w:rPr>
        <w:t>本</w:t>
      </w:r>
      <w:r>
        <w:rPr>
          <w:spacing w:val="5"/>
          <w:sz w:val="24"/>
          <w:u w:val="single"/>
        </w:rPr>
        <w:t xml:space="preserve"> </w:t>
      </w:r>
      <w:r>
        <w:rPr>
          <w:spacing w:val="5"/>
          <w:sz w:val="24"/>
          <w:u w:val="single"/>
        </w:rPr>
        <w:tab/>
      </w:r>
      <w:r>
        <w:rPr>
          <w:sz w:val="24"/>
        </w:rPr>
        <w:t>份，当正本与副本的内容不一致时，以正本为准。</w:t>
      </w:r>
    </w:p>
    <w:p>
      <w:pPr>
        <w:pStyle w:val="11"/>
      </w:pPr>
    </w:p>
    <w:p>
      <w:pPr>
        <w:pStyle w:val="11"/>
      </w:pPr>
    </w:p>
    <w:p>
      <w:pPr>
        <w:pStyle w:val="11"/>
        <w:spacing w:before="4"/>
        <w:rPr>
          <w:sz w:val="17"/>
        </w:rPr>
      </w:pPr>
    </w:p>
    <w:p>
      <w:pPr>
        <w:pStyle w:val="11"/>
        <w:tabs>
          <w:tab w:val="left" w:pos="3151"/>
          <w:tab w:val="left" w:pos="4934"/>
          <w:tab w:val="left" w:pos="5174"/>
          <w:tab w:val="left" w:pos="7781"/>
        </w:tabs>
        <w:spacing w:before="1" w:line="336" w:lineRule="auto"/>
        <w:ind w:left="424" w:right="262"/>
      </w:pPr>
      <w:r>
        <w:t>发包人</w:t>
      </w:r>
      <w:r>
        <w:rPr>
          <w:spacing w:val="-17"/>
        </w:rPr>
        <w:t>：</w:t>
      </w:r>
      <w:r>
        <w:rPr>
          <w:spacing w:val="-17"/>
          <w:u w:val="single"/>
        </w:rPr>
        <w:t xml:space="preserve"> </w:t>
      </w:r>
      <w:r>
        <w:rPr>
          <w:spacing w:val="-17"/>
          <w:u w:val="single"/>
        </w:rPr>
        <w:tab/>
      </w:r>
      <w:r>
        <w:t>（盖单位章）</w:t>
      </w:r>
      <w:r>
        <w:tab/>
      </w:r>
      <w:r>
        <w:tab/>
      </w:r>
      <w:r>
        <w:t>承包人</w:t>
      </w:r>
      <w:r>
        <w:rPr>
          <w:spacing w:val="-17"/>
        </w:rPr>
        <w:t>：</w:t>
      </w:r>
      <w:r>
        <w:rPr>
          <w:spacing w:val="-17"/>
          <w:u w:val="single"/>
        </w:rPr>
        <w:t xml:space="preserve"> </w:t>
      </w:r>
      <w:r>
        <w:rPr>
          <w:spacing w:val="-17"/>
          <w:u w:val="single"/>
        </w:rPr>
        <w:tab/>
      </w:r>
      <w:r>
        <w:t>（盖单位章） 法定代表人或其委托代理人</w:t>
      </w:r>
      <w:r>
        <w:rPr>
          <w:spacing w:val="-17"/>
        </w:rPr>
        <w:t>：</w:t>
      </w:r>
      <w:r>
        <w:rPr>
          <w:spacing w:val="-17"/>
          <w:u w:val="single"/>
        </w:rPr>
        <w:t xml:space="preserve"> </w:t>
      </w:r>
      <w:r>
        <w:rPr>
          <w:spacing w:val="-7"/>
          <w:u w:val="single"/>
        </w:rPr>
        <w:t xml:space="preserve"> </w:t>
      </w:r>
      <w:r>
        <w:rPr>
          <w:i/>
          <w:sz w:val="25"/>
        </w:rPr>
        <w:t>（</w:t>
      </w:r>
      <w:r>
        <w:t>签字）</w:t>
      </w:r>
      <w:r>
        <w:tab/>
      </w:r>
      <w:r>
        <w:t>法定代表人或其委托代理人</w:t>
      </w:r>
      <w:r>
        <w:rPr>
          <w:spacing w:val="-16"/>
        </w:rPr>
        <w:t>：</w:t>
      </w:r>
      <w:r>
        <w:rPr>
          <w:spacing w:val="-1"/>
          <w:u w:val="single"/>
        </w:rPr>
        <w:t xml:space="preserve"> </w:t>
      </w:r>
      <w:r>
        <w:t>（签字）</w:t>
      </w:r>
    </w:p>
    <w:p>
      <w:pPr>
        <w:pStyle w:val="11"/>
        <w:tabs>
          <w:tab w:val="left" w:pos="2344"/>
          <w:tab w:val="left" w:pos="3184"/>
          <w:tab w:val="left" w:pos="4024"/>
          <w:tab w:val="left" w:pos="5945"/>
          <w:tab w:val="left" w:pos="7025"/>
          <w:tab w:val="left" w:pos="7865"/>
          <w:tab w:val="left" w:pos="8705"/>
        </w:tabs>
        <w:spacing w:before="2"/>
        <w:ind w:left="1264"/>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50"/>
          <w:pgMar w:top="1480" w:right="1200" w:bottom="1040" w:left="1220" w:header="876" w:footer="853" w:gutter="0"/>
          <w:cols w:space="720" w:num="1"/>
        </w:sectPr>
      </w:pPr>
    </w:p>
    <w:p>
      <w:pPr>
        <w:pStyle w:val="11"/>
        <w:spacing w:before="1"/>
        <w:rPr>
          <w:sz w:val="8"/>
        </w:rPr>
      </w:pPr>
    </w:p>
    <w:p>
      <w:pPr>
        <w:pStyle w:val="11"/>
        <w:spacing w:before="74"/>
        <w:ind w:left="424"/>
        <w:rPr>
          <w:b/>
          <w:sz w:val="12"/>
        </w:rPr>
      </w:pPr>
      <w:bookmarkStart w:id="261" w:name="_bookmark273"/>
      <w:bookmarkEnd w:id="261"/>
      <w:r>
        <w:rPr>
          <w:rFonts w:hint="eastAsia" w:ascii="黑体" w:hAnsi="黑体" w:eastAsia="黑体"/>
        </w:rPr>
        <w:t xml:space="preserve">附件四 其他管理和技术人员最低要求 </w:t>
      </w:r>
      <w:r>
        <w:rPr>
          <w:b/>
          <w:position w:val="11"/>
          <w:sz w:val="12"/>
        </w:rPr>
        <w:t>①</w:t>
      </w:r>
    </w:p>
    <w:p>
      <w:pPr>
        <w:pStyle w:val="11"/>
        <w:rPr>
          <w:b/>
          <w:sz w:val="20"/>
        </w:rPr>
      </w:pPr>
    </w:p>
    <w:p>
      <w:pPr>
        <w:pStyle w:val="11"/>
        <w:spacing w:before="6"/>
        <w:rPr>
          <w:b/>
          <w:sz w:val="11"/>
        </w:rPr>
      </w:pPr>
    </w:p>
    <w:tbl>
      <w:tblPr>
        <w:tblStyle w:val="19"/>
        <w:tblW w:w="8894"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49" w:type="dxa"/>
          </w:tcPr>
          <w:p>
            <w:pPr>
              <w:pStyle w:val="21"/>
              <w:spacing w:before="6"/>
              <w:rPr>
                <w:b/>
                <w:sz w:val="24"/>
              </w:rPr>
            </w:pPr>
          </w:p>
          <w:p>
            <w:pPr>
              <w:pStyle w:val="21"/>
              <w:tabs>
                <w:tab w:val="left" w:pos="488"/>
              </w:tabs>
              <w:ind w:left="8"/>
              <w:jc w:val="center"/>
              <w:rPr>
                <w:sz w:val="24"/>
              </w:rPr>
            </w:pPr>
            <w:r>
              <w:rPr>
                <w:sz w:val="24"/>
              </w:rPr>
              <w:t>人</w:t>
            </w:r>
            <w:r>
              <w:rPr>
                <w:sz w:val="24"/>
              </w:rPr>
              <w:tab/>
            </w:r>
            <w:r>
              <w:rPr>
                <w:sz w:val="24"/>
              </w:rPr>
              <w:t>员</w:t>
            </w:r>
          </w:p>
        </w:tc>
        <w:tc>
          <w:tcPr>
            <w:tcW w:w="2160" w:type="dxa"/>
          </w:tcPr>
          <w:p>
            <w:pPr>
              <w:pStyle w:val="21"/>
              <w:spacing w:before="6"/>
              <w:rPr>
                <w:b/>
                <w:sz w:val="24"/>
              </w:rPr>
            </w:pPr>
          </w:p>
          <w:p>
            <w:pPr>
              <w:pStyle w:val="21"/>
              <w:tabs>
                <w:tab w:val="left" w:pos="1199"/>
              </w:tabs>
              <w:ind w:left="719"/>
              <w:rPr>
                <w:sz w:val="24"/>
              </w:rPr>
            </w:pPr>
            <w:r>
              <w:rPr>
                <w:sz w:val="24"/>
              </w:rPr>
              <w:t>数</w:t>
            </w:r>
            <w:r>
              <w:rPr>
                <w:sz w:val="24"/>
              </w:rPr>
              <w:tab/>
            </w:r>
            <w:r>
              <w:rPr>
                <w:sz w:val="24"/>
              </w:rPr>
              <w:t>量</w:t>
            </w:r>
          </w:p>
        </w:tc>
        <w:tc>
          <w:tcPr>
            <w:tcW w:w="4285" w:type="dxa"/>
          </w:tcPr>
          <w:p>
            <w:pPr>
              <w:pStyle w:val="21"/>
              <w:spacing w:before="6"/>
              <w:rPr>
                <w:b/>
                <w:sz w:val="24"/>
              </w:rPr>
            </w:pPr>
          </w:p>
          <w:p>
            <w:pPr>
              <w:pStyle w:val="21"/>
              <w:ind w:left="1460" w:right="1454"/>
              <w:jc w:val="center"/>
              <w:rPr>
                <w:sz w:val="24"/>
              </w:rPr>
            </w:pPr>
            <w:r>
              <w:rPr>
                <w:sz w:val="24"/>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1"/>
              <w:rPr>
                <w:rFonts w:ascii="Times New Roman"/>
                <w:sz w:val="18"/>
              </w:rPr>
            </w:pPr>
          </w:p>
        </w:tc>
        <w:tc>
          <w:tcPr>
            <w:tcW w:w="2160" w:type="dxa"/>
          </w:tcPr>
          <w:p>
            <w:pPr>
              <w:pStyle w:val="21"/>
              <w:rPr>
                <w:rFonts w:ascii="Times New Roman"/>
                <w:sz w:val="18"/>
              </w:rPr>
            </w:pPr>
          </w:p>
        </w:tc>
        <w:tc>
          <w:tcPr>
            <w:tcW w:w="4285" w:type="dxa"/>
          </w:tcPr>
          <w:p>
            <w:pPr>
              <w:pStyle w:val="21"/>
              <w:rPr>
                <w:rFonts w:ascii="Times New Roman"/>
                <w:sz w:val="18"/>
              </w:rPr>
            </w:pPr>
          </w:p>
        </w:tc>
      </w:tr>
    </w:tbl>
    <w:p>
      <w:pPr>
        <w:pStyle w:val="11"/>
        <w:rPr>
          <w:b/>
          <w:sz w:val="20"/>
        </w:rPr>
      </w:pPr>
    </w:p>
    <w:p>
      <w:pPr>
        <w:pStyle w:val="11"/>
        <w:rPr>
          <w:b/>
          <w:sz w:val="20"/>
        </w:rPr>
      </w:pPr>
    </w:p>
    <w:p>
      <w:pPr>
        <w:pStyle w:val="11"/>
        <w:spacing w:before="12"/>
        <w:rPr>
          <w:b/>
          <w:sz w:val="12"/>
        </w:rPr>
      </w:pPr>
      <w:r>
        <mc:AlternateContent>
          <mc:Choice Requires="wps">
            <w:drawing>
              <wp:anchor distT="0" distB="0" distL="114300" distR="114300" simplePos="0" relativeHeight="251666432" behindDoc="0" locked="0" layoutInCell="1" allowOverlap="1">
                <wp:simplePos x="0" y="0"/>
                <wp:positionH relativeFrom="page">
                  <wp:posOffset>1043940</wp:posOffset>
                </wp:positionH>
                <wp:positionV relativeFrom="paragraph">
                  <wp:posOffset>133350</wp:posOffset>
                </wp:positionV>
                <wp:extent cx="1829435" cy="0"/>
                <wp:effectExtent l="0" t="0" r="0" b="0"/>
                <wp:wrapTopAndBottom/>
                <wp:docPr id="40" name="直线 39"/>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39" o:spid="_x0000_s1026" o:spt="20" style="position:absolute;left:0pt;margin-left:82.2pt;margin-top:10.5pt;height:0pt;width:144.05pt;mso-position-horizontal-relative:page;mso-wrap-distance-bottom:0pt;mso-wrap-distance-top:0pt;z-index:251666432;mso-width-relative:page;mso-height-relative:page;" filled="f" stroked="t" coordsize="21600,21600" o:gfxdata="UEsFBgAAAAAAAAAAAAAAAAAAAAAAAFBLAwQKAAAAAACHTuJAAAAAAAAAAAAAAAAABAAAAGRycy9Q&#10;SwMEFAAAAAgAh07iQFtwTSbYAAAACQEAAA8AAABkcnMvZG93bnJldi54bWxNj81OwzAQhO9IvIO1&#10;SNyokygtIY3TAwikHhDqjzi78TYJiddR7Dbt27OIAxxn9tPsTLG62F6ccfStIwXxLAKBVDnTUq1g&#10;v3t9yED4oMno3hEquKKHVXl7U+jcuIk2eN6GWnAI+VwraEIYcil91aDVfuYGJL4d3Wh1YDnW0ox6&#10;4nDbyySKFtLqlvhDowd8brDqtier4D2TL+6j+6yuX9PuLcvW3dPjeq/U/V0cLUEEvIQ/GH7qc3Uo&#10;udPBnch40bNepCmjCpKYNzGQzpM5iMOvIctC/l9QfgNQSwMEFAAAAAgAh07iQCe/l1/RAQAAkgMA&#10;AA4AAABkcnMvZTJvRG9jLnhtbK1TS44TMRDdI3EHy3vSSWaIJq10ZkEYNghGGjhAxZ9uS/7J5aST&#10;s3ANVmw4zlyDspPJ8NkgRBZO2VV+9d5z9er24Czbq4Qm+I7PJlPOlBdBGt93/POnu1c3nGEGL8EG&#10;rzp+VMhv1y9frMbYqnkYgpUqMQLx2I6x40POsW0aFINygJMQlaekDslBpm3qG5lgJHRnm/l0umjG&#10;kGRMQShEOt2cknxd8bVWIn/UGlVmtuPELdc11XVb1ma9grZPEAcjzjTgH1g4MJ6aXqA2kIHtkvkD&#10;yhmRAgadJyK4JmhthKoaSM1s+puahwGiqlrIHIwXm/D/wYoP+/vEjOz4NdnjwdEbPX75+vjtO7ta&#10;FnfGiC0VPcT7dN4hhUXqQSdX/kkEO1RHjxdH1SEzQYezm/ny+uo1Z+Ip1zxfjAnzOxUcK0HHrfFF&#10;LLSwf4+ZmlHpU0k5tp6NHV9MlwuCA5oVbSFT6CKxR9/XuxiskXfG2nIDU799YxPbQ3n9+iuSCPeX&#10;stJkAzic6mrqNBeDAvnWS5aPkWzxNMC8UHBKcmYVzXuJCBDaDMb+TSW1tp4YFFdPPpZoG+SRXmEX&#10;k+kHciKnnapES5IevlI+D2mZrJ/3Fez5U1r/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FtwTSbY&#10;AAAACQEAAA8AAAAAAAAAAQAgAAAAOAAAAGRycy9kb3ducmV2LnhtbFBLAQIUABQAAAAIAIdO4kAn&#10;v5df0QEAAJIDAAAOAAAAAAAAAAEAIAAAAD0BAABkcnMvZTJvRG9jLnhtbFBLBQYAAAAABgAGAFkB&#10;AACABQAAAAA=&#10;">
                <v:fill on="f" focussize="0,0"/>
                <v:stroke weight="0.48pt" color="#000000" joinstyle="round"/>
                <v:imagedata o:title=""/>
                <o:lock v:ext="edit" aspectratio="f"/>
                <w10:wrap type="topAndBottom"/>
              </v:line>
            </w:pict>
          </mc:Fallback>
        </mc:AlternateContent>
      </w:r>
    </w:p>
    <w:p>
      <w:pPr>
        <w:spacing w:before="129" w:line="312" w:lineRule="auto"/>
        <w:ind w:left="784" w:right="382" w:hanging="360"/>
        <w:jc w:val="both"/>
        <w:rPr>
          <w:sz w:val="18"/>
        </w:rPr>
      </w:pPr>
      <w:r>
        <w:rPr>
          <w:position w:val="9"/>
          <w:sz w:val="9"/>
        </w:rPr>
        <w:t xml:space="preserve">① </w:t>
      </w:r>
      <w:r>
        <w:rPr>
          <w:rFonts w:ascii="Times New Roman" w:hAnsi="Times New Roman" w:eastAsia="Times New Roman"/>
          <w:sz w:val="18"/>
        </w:rPr>
        <w:t>a.</w:t>
      </w:r>
      <w:r>
        <w:rPr>
          <w:spacing w:val="-2"/>
          <w:sz w:val="18"/>
        </w:rPr>
        <w:t>招标人应在招标文件中规定若投标人在所投标段中标需派驻的其他管理和技术人员</w:t>
      </w:r>
      <w:r>
        <w:rPr>
          <w:sz w:val="18"/>
        </w:rPr>
        <w:t>（</w:t>
      </w:r>
      <w:r>
        <w:rPr>
          <w:spacing w:val="-6"/>
          <w:sz w:val="18"/>
        </w:rPr>
        <w:t>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pPr>
        <w:spacing w:before="1" w:line="312" w:lineRule="auto"/>
        <w:ind w:left="784" w:right="384" w:hanging="180"/>
        <w:rPr>
          <w:sz w:val="18"/>
        </w:rPr>
      </w:pPr>
      <w:r>
        <w:rPr>
          <w:rFonts w:ascii="Times New Roman" w:eastAsia="Times New Roman"/>
          <w:sz w:val="18"/>
        </w:rPr>
        <w:t>b.</w:t>
      </w:r>
      <w:r>
        <w:rPr>
          <w:sz w:val="18"/>
        </w:rPr>
        <w:t>本表不适用于已按资格预审文件或招标文件要求提供了其他管理和技术人员的特别复杂的特大桥梁和特长隧道项目主体工程以及其他有特殊要求的工程。</w:t>
      </w:r>
    </w:p>
    <w:p>
      <w:pPr>
        <w:spacing w:line="312" w:lineRule="auto"/>
        <w:rPr>
          <w:sz w:val="18"/>
        </w:rPr>
        <w:sectPr>
          <w:pgSz w:w="11910" w:h="16850"/>
          <w:pgMar w:top="1480" w:right="1200" w:bottom="1080" w:left="1220" w:header="883" w:footer="884" w:gutter="0"/>
          <w:cols w:space="720" w:num="1"/>
        </w:sectPr>
      </w:pPr>
    </w:p>
    <w:p>
      <w:pPr>
        <w:pStyle w:val="11"/>
        <w:spacing w:before="1"/>
        <w:rPr>
          <w:sz w:val="8"/>
        </w:rPr>
      </w:pPr>
    </w:p>
    <w:p>
      <w:pPr>
        <w:pStyle w:val="11"/>
        <w:spacing w:before="74"/>
        <w:ind w:left="424"/>
        <w:rPr>
          <w:b/>
          <w:sz w:val="12"/>
        </w:rPr>
      </w:pPr>
      <w:bookmarkStart w:id="262" w:name="_bookmark274"/>
      <w:bookmarkEnd w:id="262"/>
      <w:r>
        <w:rPr>
          <w:rFonts w:hint="eastAsia" w:ascii="黑体" w:hAnsi="黑体" w:eastAsia="黑体"/>
        </w:rPr>
        <w:t>附件五 主要机械设备和试验检测设备最低要求</w:t>
      </w:r>
      <w:r>
        <w:rPr>
          <w:b/>
          <w:position w:val="11"/>
          <w:sz w:val="12"/>
        </w:rPr>
        <w:t>①</w:t>
      </w:r>
    </w:p>
    <w:p>
      <w:pPr>
        <w:pStyle w:val="11"/>
        <w:rPr>
          <w:b/>
          <w:sz w:val="20"/>
        </w:rPr>
      </w:pPr>
    </w:p>
    <w:p>
      <w:pPr>
        <w:pStyle w:val="11"/>
        <w:spacing w:before="6"/>
        <w:rPr>
          <w:b/>
          <w:sz w:val="11"/>
        </w:rPr>
      </w:pPr>
    </w:p>
    <w:tbl>
      <w:tblPr>
        <w:tblStyle w:val="19"/>
        <w:tblW w:w="8560" w:type="dxa"/>
        <w:tblInd w:w="4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2744"/>
        <w:gridCol w:w="1388"/>
        <w:gridCol w:w="2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pPr>
              <w:pStyle w:val="21"/>
              <w:spacing w:before="199"/>
              <w:ind w:left="635"/>
              <w:rPr>
                <w:sz w:val="24"/>
              </w:rPr>
            </w:pPr>
            <w:r>
              <w:rPr>
                <w:sz w:val="24"/>
              </w:rPr>
              <w:t>设备名称</w:t>
            </w:r>
          </w:p>
        </w:tc>
        <w:tc>
          <w:tcPr>
            <w:tcW w:w="2744" w:type="dxa"/>
          </w:tcPr>
          <w:p>
            <w:pPr>
              <w:pStyle w:val="21"/>
              <w:spacing w:before="199"/>
              <w:ind w:left="412"/>
              <w:rPr>
                <w:sz w:val="24"/>
              </w:rPr>
            </w:pPr>
            <w:r>
              <w:rPr>
                <w:sz w:val="24"/>
              </w:rPr>
              <w:t>规格、功率及容量</w:t>
            </w:r>
          </w:p>
        </w:tc>
        <w:tc>
          <w:tcPr>
            <w:tcW w:w="1388" w:type="dxa"/>
          </w:tcPr>
          <w:p>
            <w:pPr>
              <w:pStyle w:val="21"/>
              <w:spacing w:before="199"/>
              <w:ind w:left="452"/>
              <w:rPr>
                <w:sz w:val="24"/>
              </w:rPr>
            </w:pPr>
            <w:r>
              <w:rPr>
                <w:sz w:val="24"/>
              </w:rPr>
              <w:t>单位</w:t>
            </w:r>
          </w:p>
        </w:tc>
        <w:tc>
          <w:tcPr>
            <w:tcW w:w="2195" w:type="dxa"/>
          </w:tcPr>
          <w:p>
            <w:pPr>
              <w:pStyle w:val="21"/>
              <w:spacing w:before="199"/>
              <w:ind w:left="374"/>
              <w:rPr>
                <w:sz w:val="24"/>
              </w:rPr>
            </w:pPr>
            <w:r>
              <w:rPr>
                <w:sz w:val="24"/>
              </w:rPr>
              <w:t>最低数量要求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Pr>
          <w:p>
            <w:pPr>
              <w:pStyle w:val="21"/>
              <w:rPr>
                <w:rFonts w:ascii="Times New Roman"/>
                <w:sz w:val="18"/>
              </w:rPr>
            </w:pPr>
          </w:p>
        </w:tc>
        <w:tc>
          <w:tcPr>
            <w:tcW w:w="2744" w:type="dxa"/>
          </w:tcPr>
          <w:p>
            <w:pPr>
              <w:pStyle w:val="21"/>
              <w:rPr>
                <w:rFonts w:ascii="Times New Roman"/>
                <w:sz w:val="18"/>
              </w:rPr>
            </w:pPr>
          </w:p>
        </w:tc>
        <w:tc>
          <w:tcPr>
            <w:tcW w:w="1388" w:type="dxa"/>
          </w:tcPr>
          <w:p>
            <w:pPr>
              <w:pStyle w:val="21"/>
              <w:rPr>
                <w:rFonts w:ascii="Times New Roman"/>
                <w:sz w:val="18"/>
              </w:rPr>
            </w:pPr>
          </w:p>
        </w:tc>
        <w:tc>
          <w:tcPr>
            <w:tcW w:w="2195" w:type="dxa"/>
          </w:tcPr>
          <w:p>
            <w:pPr>
              <w:pStyle w:val="21"/>
              <w:rPr>
                <w:rFonts w:ascii="Times New Roman"/>
                <w:sz w:val="18"/>
              </w:rPr>
            </w:pPr>
          </w:p>
        </w:tc>
      </w:tr>
    </w:tbl>
    <w:p>
      <w:pPr>
        <w:pStyle w:val="11"/>
        <w:rPr>
          <w:b/>
          <w:sz w:val="20"/>
        </w:rPr>
      </w:pPr>
    </w:p>
    <w:p>
      <w:pPr>
        <w:pStyle w:val="11"/>
        <w:spacing w:before="12"/>
        <w:rPr>
          <w:b/>
          <w:sz w:val="17"/>
        </w:rPr>
      </w:pPr>
      <w:r>
        <mc:AlternateContent>
          <mc:Choice Requires="wps">
            <w:drawing>
              <wp:anchor distT="0" distB="0" distL="114300" distR="114300" simplePos="0" relativeHeight="251667456" behindDoc="0" locked="0" layoutInCell="1" allowOverlap="1">
                <wp:simplePos x="0" y="0"/>
                <wp:positionH relativeFrom="page">
                  <wp:posOffset>1043940</wp:posOffset>
                </wp:positionH>
                <wp:positionV relativeFrom="paragraph">
                  <wp:posOffset>173990</wp:posOffset>
                </wp:positionV>
                <wp:extent cx="1829435" cy="0"/>
                <wp:effectExtent l="0" t="0" r="0" b="0"/>
                <wp:wrapTopAndBottom/>
                <wp:docPr id="41" name="直线 38"/>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38" o:spid="_x0000_s1026" o:spt="20" style="position:absolute;left:0pt;margin-left:82.2pt;margin-top:13.7pt;height:0pt;width:144.05pt;mso-position-horizontal-relative:page;mso-wrap-distance-bottom:0pt;mso-wrap-distance-top:0pt;z-index:251667456;mso-width-relative:page;mso-height-relative:page;" filled="f" stroked="t" coordsize="21600,21600" o:gfxdata="UEsFBgAAAAAAAAAAAAAAAAAAAAAAAFBLAwQKAAAAAACHTuJAAAAAAAAAAAAAAAAABAAAAGRycy9Q&#10;SwMEFAAAAAgAh07iQDvGlMfYAAAACQEAAA8AAABkcnMvZG93bnJldi54bWxNj0FPwkAQhe8k/ofN&#10;mHiDLU2BWrvloNGEgzEC4bx0x7a2O9t0Fwr/3jEe5DR5My9vvpevL7YTZxx840jBfBaBQCqdaahS&#10;sN+9TlMQPmgyunOECq7oYV3cTXKdGTfSJ563oRIcQj7TCuoQ+kxKX9ZotZ+5HolvX26wOrAcKmkG&#10;PXK47WQcRUtpdUP8odY9PtdYttuTVfCeyhf30R7K6/e4e0vTTfu42uyVerifR08gAl7Cvxl+8Rkd&#10;CmY6uhMZLzrWyyRhq4J4xZMNySJegDj+LWSRy9sGxQ9QSwMEFAAAAAgAh07iQKm2RnXRAQAAkgMA&#10;AA4AAABkcnMvZTJvRG9jLnhtbK1TS44TMRDdI3EHy3vSSWaIMq10ZkEYNghGGjhAxZ9uS/7J5aST&#10;s3ANVmw4zlyDspPJ8NkgRBZO2VV+9d5z9er24Czbq4Qm+I7PJlPOlBdBGt93/POnu1dLzjCDl2CD&#10;Vx0/KuS365cvVmNs1TwMwUqVGIF4bMfY8SHn2DYNikE5wEmIylNSh+Qg0zb1jUwwErqzzXw6XTRj&#10;SDKmIBQinW5OSb6u+ForkT9qjSoz23Hiluua6rota7NeQdsniIMRZxrwDywcGE9NL1AbyMB2yfwB&#10;5YxIAYPOExFcE7Q2QlUNpGY2/U3NwwBRVS1kDsaLTfj/YMWH/X1iRnb8esaZB0dv9Pjl6+O37+xq&#10;WdwZI7ZU9BDv03mHFBapB51c+ScR7FAdPV4cVYfMBB3OlvOb66vXnImnXPN8MSbM71RwrAQdt8YX&#10;sdDC/j1makalTyXl2Ho2dnwxvVkQHNCsaAuZQheJPfq+3sVgjbwz1pYbmPrtG5vYHsrr11+RRLi/&#10;lJUmG8DhVFdTp7kYFMi3XrJ8jGSLpwHmhYJTkjOraN5LRIDQZjD2byqptfXEoLh68rFE2yCP9Aq7&#10;mEw/kBM57VQlWpL08JXyeUjLZP28r2DPn9L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DvGlMfY&#10;AAAACQEAAA8AAAAAAAAAAQAgAAAAOAAAAGRycy9kb3ducmV2LnhtbFBLAQIUABQAAAAIAIdO4kCp&#10;tkZ10QEAAJIDAAAOAAAAAAAAAAEAIAAAAD0BAABkcnMvZTJvRG9jLnhtbFBLBQYAAAAABgAGAFkB&#10;AACABQAAAAA=&#10;">
                <v:fill on="f" focussize="0,0"/>
                <v:stroke weight="0.48pt" color="#000000" joinstyle="round"/>
                <v:imagedata o:title=""/>
                <o:lock v:ext="edit" aspectratio="f"/>
                <w10:wrap type="topAndBottom"/>
              </v:line>
            </w:pict>
          </mc:Fallback>
        </mc:AlternateContent>
      </w:r>
    </w:p>
    <w:p>
      <w:pPr>
        <w:spacing w:before="129" w:line="312" w:lineRule="auto"/>
        <w:ind w:left="784" w:right="383" w:hanging="360"/>
        <w:jc w:val="both"/>
        <w:rPr>
          <w:sz w:val="18"/>
        </w:rPr>
      </w:pPr>
      <w:r>
        <w:rPr>
          <w:position w:val="8"/>
          <w:sz w:val="9"/>
        </w:rPr>
        <w:t xml:space="preserve">① </w:t>
      </w:r>
      <w:r>
        <w:rPr>
          <w:rFonts w:ascii="Times New Roman" w:hAnsi="Times New Roman" w:eastAsia="Times New Roman"/>
          <w:sz w:val="18"/>
        </w:rPr>
        <w:t xml:space="preserve">a. </w:t>
      </w:r>
      <w:r>
        <w:rPr>
          <w:sz w:val="18"/>
        </w:rPr>
        <w:t>招标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pPr>
        <w:spacing w:before="1" w:line="312" w:lineRule="auto"/>
        <w:ind w:left="875" w:right="383" w:hanging="180"/>
        <w:rPr>
          <w:sz w:val="18"/>
        </w:rPr>
      </w:pPr>
      <w:r>
        <w:rPr>
          <w:rFonts w:ascii="Times New Roman" w:eastAsia="Times New Roman"/>
          <w:sz w:val="18"/>
        </w:rPr>
        <w:t>b.</w:t>
      </w:r>
      <w:r>
        <w:rPr>
          <w:sz w:val="18"/>
        </w:rPr>
        <w:t>本表不适用于已按资格预审文件或招标文件要求提供了主要机械设备和试验检测设备的特别复杂的特大桥梁和特长隧道项目主体工程以及其他有特殊要求的工程。</w:t>
      </w:r>
    </w:p>
    <w:p>
      <w:pPr>
        <w:spacing w:line="312" w:lineRule="auto"/>
        <w:rPr>
          <w:sz w:val="18"/>
        </w:rPr>
        <w:sectPr>
          <w:footerReference r:id="rId54" w:type="default"/>
          <w:footerReference r:id="rId55" w:type="even"/>
          <w:pgSz w:w="11910" w:h="16850"/>
          <w:pgMar w:top="1480" w:right="1200" w:bottom="1040" w:left="1220" w:header="876" w:footer="853" w:gutter="0"/>
          <w:cols w:space="720" w:num="1"/>
        </w:sectPr>
      </w:pPr>
    </w:p>
    <w:p>
      <w:pPr>
        <w:pStyle w:val="11"/>
        <w:rPr>
          <w:sz w:val="20"/>
        </w:rPr>
      </w:pPr>
    </w:p>
    <w:p>
      <w:pPr>
        <w:pStyle w:val="11"/>
        <w:spacing w:before="10"/>
        <w:rPr>
          <w:sz w:val="19"/>
        </w:rPr>
      </w:pPr>
    </w:p>
    <w:p>
      <w:pPr>
        <w:rPr>
          <w:sz w:val="19"/>
        </w:rPr>
        <w:sectPr>
          <w:pgSz w:w="11910" w:h="16850"/>
          <w:pgMar w:top="1480" w:right="1200" w:bottom="1080" w:left="1220" w:header="883" w:footer="884" w:gutter="0"/>
          <w:cols w:space="720" w:num="1"/>
        </w:sectPr>
      </w:pPr>
    </w:p>
    <w:p>
      <w:pPr>
        <w:pStyle w:val="11"/>
        <w:spacing w:before="66"/>
        <w:ind w:left="424"/>
        <w:rPr>
          <w:rFonts w:ascii="黑体" w:eastAsia="黑体"/>
        </w:rPr>
      </w:pPr>
      <w:bookmarkStart w:id="263" w:name="_bookmark275"/>
      <w:bookmarkEnd w:id="263"/>
      <w:r>
        <w:rPr>
          <w:rFonts w:hint="eastAsia" w:ascii="黑体" w:eastAsia="黑体"/>
        </w:rPr>
        <w:t>附件六 项目经理委任书</w:t>
      </w:r>
    </w:p>
    <w:p>
      <w:pPr>
        <w:pStyle w:val="11"/>
        <w:spacing w:before="5"/>
        <w:rPr>
          <w:rFonts w:ascii="黑体"/>
          <w:sz w:val="32"/>
        </w:rPr>
      </w:pPr>
      <w:r>
        <w:br w:type="column"/>
      </w:r>
    </w:p>
    <w:p>
      <w:pPr>
        <w:ind w:left="424"/>
        <w:rPr>
          <w:rFonts w:ascii="黑体" w:eastAsia="黑体"/>
          <w:sz w:val="28"/>
        </w:rPr>
      </w:pPr>
      <w:r>
        <w:rPr>
          <w:rFonts w:hint="eastAsia" w:ascii="黑体" w:eastAsia="黑体"/>
          <w:sz w:val="28"/>
          <w:u w:val="single"/>
        </w:rPr>
        <w:t>（承包人全称）</w:t>
      </w:r>
    </w:p>
    <w:p>
      <w:pPr>
        <w:rPr>
          <w:rFonts w:ascii="黑体" w:eastAsia="黑体"/>
          <w:sz w:val="28"/>
        </w:rPr>
        <w:sectPr>
          <w:type w:val="continuous"/>
          <w:pgSz w:w="11910" w:h="16850"/>
          <w:pgMar w:top="1600" w:right="1200" w:bottom="280" w:left="1220" w:header="720" w:footer="720" w:gutter="0"/>
          <w:cols w:equalWidth="0" w:num="2">
            <w:col w:w="2985" w:space="373"/>
            <w:col w:w="6132"/>
          </w:cols>
        </w:sectPr>
      </w:pPr>
    </w:p>
    <w:p>
      <w:pPr>
        <w:spacing w:before="40"/>
        <w:ind w:left="2592"/>
        <w:rPr>
          <w:rFonts w:ascii="黑体" w:eastAsia="黑体"/>
          <w:sz w:val="28"/>
        </w:rPr>
      </w:pPr>
      <w:r>
        <w:rPr>
          <w:rFonts w:hint="eastAsia" w:ascii="黑体" w:eastAsia="黑体"/>
          <w:sz w:val="28"/>
          <w:u w:val="single"/>
        </w:rPr>
        <w:t xml:space="preserve">（合同工程名称） </w:t>
      </w:r>
      <w:r>
        <w:rPr>
          <w:rFonts w:hint="eastAsia" w:ascii="黑体" w:eastAsia="黑体"/>
          <w:sz w:val="28"/>
        </w:rPr>
        <w:t>项目经理委任书</w:t>
      </w:r>
    </w:p>
    <w:p>
      <w:pPr>
        <w:pStyle w:val="11"/>
        <w:rPr>
          <w:rFonts w:ascii="黑体"/>
          <w:sz w:val="28"/>
        </w:rPr>
      </w:pPr>
    </w:p>
    <w:p>
      <w:pPr>
        <w:pStyle w:val="11"/>
        <w:spacing w:before="9"/>
        <w:rPr>
          <w:rFonts w:ascii="黑体"/>
          <w:sz w:val="41"/>
        </w:rPr>
      </w:pPr>
    </w:p>
    <w:p>
      <w:pPr>
        <w:pStyle w:val="11"/>
        <w:ind w:left="424"/>
      </w:pPr>
      <w:r>
        <w:rPr>
          <w:spacing w:val="-61"/>
        </w:rPr>
        <w:t>致：</w:t>
      </w:r>
      <w:r>
        <w:rPr>
          <w:u w:val="single"/>
        </w:rPr>
        <w:t>（发包人全称）</w:t>
      </w:r>
    </w:p>
    <w:p>
      <w:pPr>
        <w:pStyle w:val="11"/>
        <w:spacing w:before="94" w:line="312" w:lineRule="auto"/>
        <w:ind w:left="424" w:right="299" w:firstLine="616"/>
        <w:jc w:val="both"/>
      </w:pPr>
      <w:r>
        <w:rPr>
          <w:rFonts w:ascii="Times New Roman" w:eastAsia="Times New Roman"/>
          <w:u w:val="single"/>
        </w:rPr>
        <w:t xml:space="preserve">    </w:t>
      </w:r>
      <w:r>
        <w:rPr>
          <w:u w:val="single"/>
        </w:rPr>
        <w:t>（承包人全称）</w:t>
      </w:r>
      <w:r>
        <w:rPr>
          <w:spacing w:val="-4"/>
        </w:rPr>
        <w:t xml:space="preserve"> 法定代表人</w:t>
      </w:r>
      <w:r>
        <w:rPr>
          <w:spacing w:val="-4"/>
          <w:u w:val="single"/>
        </w:rPr>
        <w:t xml:space="preserve"> </w:t>
      </w:r>
      <w:r>
        <w:rPr>
          <w:u w:val="single"/>
        </w:rPr>
        <w:t>（</w:t>
      </w:r>
      <w:r>
        <w:rPr>
          <w:spacing w:val="-4"/>
          <w:u w:val="single"/>
        </w:rPr>
        <w:t>职务、姓名</w:t>
      </w:r>
      <w:r>
        <w:rPr>
          <w:u w:val="single"/>
        </w:rPr>
        <w:t>）</w:t>
      </w:r>
      <w:r>
        <w:rPr>
          <w:spacing w:val="-4"/>
        </w:rPr>
        <w:t xml:space="preserve"> 代表本单位委任</w:t>
      </w:r>
      <w:r>
        <w:rPr>
          <w:spacing w:val="-4"/>
          <w:u w:val="single"/>
        </w:rPr>
        <w:t xml:space="preserve"> </w:t>
      </w:r>
      <w:r>
        <w:rPr>
          <w:u w:val="single"/>
        </w:rPr>
        <w:t>（</w:t>
      </w:r>
      <w:r>
        <w:rPr>
          <w:spacing w:val="-5"/>
          <w:u w:val="single"/>
        </w:rPr>
        <w:t>职务、姓名）</w:t>
      </w:r>
      <w:r>
        <w:rPr>
          <w:spacing w:val="-15"/>
        </w:rPr>
        <w:t xml:space="preserve"> 为</w:t>
      </w:r>
      <w:r>
        <w:rPr>
          <w:u w:val="single"/>
        </w:rPr>
        <w:t>（合同工程名称</w:t>
      </w:r>
      <w:r>
        <w:rPr>
          <w:spacing w:val="-15"/>
          <w:u w:val="single"/>
        </w:rPr>
        <w:t>）</w:t>
      </w:r>
      <w:r>
        <w:rPr>
          <w:spacing w:val="-5"/>
        </w:rPr>
        <w:t>的项目经理。凡本合同执行中的有关技术、工程进度、现场管理、质量检验、结算与支付等方面工作，由</w:t>
      </w:r>
      <w:r>
        <w:rPr>
          <w:spacing w:val="-5"/>
          <w:u w:val="single"/>
        </w:rPr>
        <w:t xml:space="preserve"> （姓名） </w:t>
      </w:r>
      <w:r>
        <w:rPr>
          <w:spacing w:val="-5"/>
        </w:rPr>
        <w:t>代表本单位全面负责。</w:t>
      </w:r>
    </w:p>
    <w:p>
      <w:pPr>
        <w:pStyle w:val="11"/>
        <w:spacing w:before="4"/>
        <w:rPr>
          <w:sz w:val="31"/>
        </w:rPr>
      </w:pPr>
    </w:p>
    <w:p>
      <w:pPr>
        <w:pStyle w:val="11"/>
        <w:tabs>
          <w:tab w:val="left" w:pos="7308"/>
          <w:tab w:val="left" w:pos="7745"/>
          <w:tab w:val="left" w:pos="9101"/>
        </w:tabs>
        <w:spacing w:line="312" w:lineRule="auto"/>
        <w:ind w:left="5028" w:right="298" w:hanging="764"/>
      </w:pPr>
      <w:r>
        <w:t>承包人：</w:t>
      </w:r>
      <w:r>
        <w:rPr>
          <w:u w:val="single"/>
        </w:rPr>
        <w:t xml:space="preserve"> </w:t>
      </w:r>
      <w:r>
        <w:rPr>
          <w:u w:val="single"/>
        </w:rPr>
        <w:tab/>
      </w:r>
      <w:r>
        <w:rPr>
          <w:u w:val="single"/>
        </w:rPr>
        <w:tab/>
      </w:r>
      <w:r>
        <w:t>（盖单位章） 法定代表人：</w:t>
      </w:r>
      <w:r>
        <w:rPr>
          <w:u w:val="single"/>
        </w:rPr>
        <w:t xml:space="preserve"> </w:t>
      </w:r>
      <w:r>
        <w:rPr>
          <w:u w:val="single"/>
        </w:rPr>
        <w:tab/>
      </w:r>
      <w:r>
        <w:rPr>
          <w:u w:val="single"/>
        </w:rPr>
        <w:t>（职务）</w:t>
      </w:r>
      <w:r>
        <w:rPr>
          <w:u w:val="single"/>
        </w:rPr>
        <w:tab/>
      </w:r>
    </w:p>
    <w:p>
      <w:pPr>
        <w:pStyle w:val="11"/>
        <w:tabs>
          <w:tab w:val="left" w:pos="839"/>
          <w:tab w:val="left" w:pos="2556"/>
        </w:tabs>
        <w:spacing w:line="307" w:lineRule="exact"/>
        <w:ind w:right="382"/>
        <w:jc w:val="right"/>
      </w:pPr>
      <w:r>
        <w:rPr>
          <w:rFonts w:ascii="Times New Roman" w:eastAsia="Times New Roman"/>
          <w:u w:val="single"/>
        </w:rPr>
        <w:t xml:space="preserve"> </w:t>
      </w:r>
      <w:r>
        <w:rPr>
          <w:rFonts w:ascii="Times New Roman" w:eastAsia="Times New Roman"/>
          <w:u w:val="single"/>
        </w:rPr>
        <w:tab/>
      </w:r>
      <w:r>
        <w:rPr>
          <w:u w:val="single"/>
        </w:rPr>
        <w:t>（姓名）</w:t>
      </w:r>
      <w:r>
        <w:rPr>
          <w:u w:val="single"/>
        </w:rPr>
        <w:tab/>
      </w:r>
    </w:p>
    <w:p>
      <w:pPr>
        <w:pStyle w:val="11"/>
        <w:tabs>
          <w:tab w:val="left" w:pos="839"/>
          <w:tab w:val="left" w:pos="2556"/>
        </w:tabs>
        <w:spacing w:before="94"/>
        <w:ind w:right="382"/>
        <w:jc w:val="right"/>
      </w:pPr>
      <w:r>
        <w:rPr>
          <w:rFonts w:ascii="Times New Roman" w:eastAsia="Times New Roman"/>
          <w:u w:val="single"/>
        </w:rPr>
        <w:t xml:space="preserve"> </w:t>
      </w:r>
      <w:r>
        <w:rPr>
          <w:rFonts w:ascii="Times New Roman" w:eastAsia="Times New Roman"/>
          <w:u w:val="single"/>
        </w:rPr>
        <w:tab/>
      </w:r>
      <w:r>
        <w:rPr>
          <w:u w:val="single"/>
        </w:rPr>
        <w:t>（签字）</w:t>
      </w:r>
      <w:r>
        <w:rPr>
          <w:u w:val="single"/>
        </w:rPr>
        <w:tab/>
      </w:r>
    </w:p>
    <w:p>
      <w:pPr>
        <w:pStyle w:val="11"/>
        <w:tabs>
          <w:tab w:val="left" w:pos="6905"/>
          <w:tab w:val="left" w:pos="7745"/>
          <w:tab w:val="left" w:pos="8585"/>
        </w:tabs>
        <w:spacing w:before="91"/>
        <w:ind w:left="606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11"/>
        <w:rPr>
          <w:sz w:val="26"/>
        </w:rPr>
      </w:pPr>
    </w:p>
    <w:p>
      <w:pPr>
        <w:pStyle w:val="11"/>
        <w:rPr>
          <w:sz w:val="26"/>
        </w:rPr>
      </w:pPr>
    </w:p>
    <w:p>
      <w:pPr>
        <w:pStyle w:val="11"/>
        <w:rPr>
          <w:sz w:val="26"/>
        </w:rPr>
      </w:pPr>
    </w:p>
    <w:p>
      <w:pPr>
        <w:pStyle w:val="11"/>
        <w:spacing w:before="12"/>
        <w:rPr>
          <w:sz w:val="22"/>
        </w:rPr>
      </w:pPr>
    </w:p>
    <w:p>
      <w:pPr>
        <w:pStyle w:val="11"/>
        <w:tabs>
          <w:tab w:val="left" w:pos="2824"/>
        </w:tabs>
        <w:ind w:left="424"/>
      </w:pPr>
      <w:r>
        <w:t>抄送：</w:t>
      </w:r>
      <w:r>
        <w:rPr>
          <w:spacing w:val="118"/>
          <w:u w:val="single"/>
        </w:rPr>
        <w:t xml:space="preserve"> </w:t>
      </w:r>
      <w:r>
        <w:rPr>
          <w:u w:val="single"/>
        </w:rPr>
        <w:t>（监理人）</w:t>
      </w:r>
      <w:r>
        <w:rPr>
          <w:u w:val="single"/>
        </w:rPr>
        <w:tab/>
      </w:r>
    </w:p>
    <w:p>
      <w:pPr>
        <w:sectPr>
          <w:type w:val="continuous"/>
          <w:pgSz w:w="11910" w:h="16850"/>
          <w:pgMar w:top="1600" w:right="1200" w:bottom="280" w:left="1220" w:header="720" w:footer="720" w:gutter="0"/>
          <w:cols w:space="720" w:num="1"/>
        </w:sectPr>
      </w:pPr>
    </w:p>
    <w:p>
      <w:pPr>
        <w:pStyle w:val="11"/>
        <w:spacing w:before="2"/>
        <w:rPr>
          <w:sz w:val="10"/>
        </w:rPr>
      </w:pPr>
    </w:p>
    <w:p>
      <w:pPr>
        <w:pStyle w:val="11"/>
        <w:spacing w:before="67"/>
        <w:ind w:left="424"/>
        <w:rPr>
          <w:rFonts w:ascii="黑体" w:eastAsia="黑体"/>
        </w:rPr>
      </w:pPr>
      <w:r>
        <w:rPr>
          <w:rFonts w:hint="eastAsia" w:ascii="黑体" w:eastAsia="黑体"/>
        </w:rPr>
        <w:t>附件七 履约保证金格式</w:t>
      </w:r>
    </w:p>
    <w:p>
      <w:pPr>
        <w:pStyle w:val="11"/>
        <w:spacing w:before="91"/>
        <w:ind w:left="424"/>
      </w:pPr>
      <w:r>
        <w:t>如采用银行保函，格式如下。</w:t>
      </w:r>
    </w:p>
    <w:p>
      <w:pPr>
        <w:pStyle w:val="11"/>
        <w:spacing w:before="9"/>
        <w:rPr>
          <w:sz w:val="29"/>
        </w:rPr>
      </w:pPr>
    </w:p>
    <w:p>
      <w:pPr>
        <w:spacing w:before="61"/>
        <w:ind w:left="1098" w:right="1057"/>
        <w:jc w:val="center"/>
        <w:rPr>
          <w:rFonts w:ascii="黑体" w:eastAsia="黑体"/>
          <w:sz w:val="28"/>
        </w:rPr>
      </w:pPr>
      <w:r>
        <w:rPr>
          <w:rFonts w:hint="eastAsia" w:ascii="黑体" w:eastAsia="黑体"/>
          <w:sz w:val="28"/>
        </w:rPr>
        <w:t>履约保证金</w:t>
      </w:r>
    </w:p>
    <w:p>
      <w:pPr>
        <w:pStyle w:val="11"/>
        <w:rPr>
          <w:rFonts w:ascii="黑体"/>
          <w:sz w:val="20"/>
        </w:rPr>
      </w:pPr>
    </w:p>
    <w:p>
      <w:pPr>
        <w:pStyle w:val="11"/>
        <w:spacing w:before="5"/>
        <w:rPr>
          <w:rFonts w:ascii="黑体"/>
          <w:sz w:val="18"/>
        </w:rPr>
      </w:pPr>
    </w:p>
    <w:p>
      <w:pPr>
        <w:pStyle w:val="11"/>
        <w:tabs>
          <w:tab w:val="left" w:pos="2764"/>
        </w:tabs>
        <w:spacing w:before="1"/>
        <w:ind w:left="544"/>
      </w:pPr>
      <w:r>
        <w:rPr>
          <w:rFonts w:ascii="Times New Roman" w:eastAsia="Times New Roman"/>
          <w:u w:val="single"/>
        </w:rPr>
        <w:t xml:space="preserve"> </w:t>
      </w:r>
      <w:r>
        <w:rPr>
          <w:rFonts w:ascii="Times New Roman" w:eastAsia="Times New Roman"/>
          <w:u w:val="single"/>
        </w:rPr>
        <w:tab/>
      </w:r>
      <w:r>
        <w:t>（发包人名称</w:t>
      </w:r>
      <w:r>
        <w:rPr>
          <w:spacing w:val="-120"/>
        </w:rPr>
        <w:t>）</w:t>
      </w:r>
      <w:r>
        <w:t>：</w:t>
      </w:r>
    </w:p>
    <w:p>
      <w:pPr>
        <w:pStyle w:val="11"/>
        <w:spacing w:before="5"/>
        <w:rPr>
          <w:sz w:val="38"/>
        </w:rPr>
      </w:pPr>
    </w:p>
    <w:p>
      <w:pPr>
        <w:pStyle w:val="11"/>
        <w:tabs>
          <w:tab w:val="left" w:pos="2113"/>
          <w:tab w:val="left" w:pos="3410"/>
          <w:tab w:val="left" w:pos="8139"/>
          <w:tab w:val="left" w:pos="8621"/>
        </w:tabs>
        <w:spacing w:line="312" w:lineRule="auto"/>
        <w:ind w:left="424" w:right="380" w:firstLine="599"/>
        <w:jc w:val="both"/>
      </w:pPr>
      <w:r>
        <w:t>鉴于</w:t>
      </w:r>
      <w:r>
        <w:rPr>
          <w:u w:val="single"/>
        </w:rPr>
        <w:t xml:space="preserve"> </w:t>
      </w:r>
      <w:r>
        <w:rPr>
          <w:u w:val="single"/>
        </w:rPr>
        <w:tab/>
      </w:r>
      <w:r>
        <w:rPr>
          <w:u w:val="single"/>
        </w:rPr>
        <w:tab/>
      </w:r>
      <w:r>
        <w:t>（发包人名称</w:t>
      </w:r>
      <w:r>
        <w:rPr>
          <w:spacing w:val="-15"/>
        </w:rPr>
        <w:t>，</w:t>
      </w:r>
      <w:r>
        <w:t>以下简称</w:t>
      </w:r>
      <w:r>
        <w:rPr>
          <w:rFonts w:ascii="Times New Roman" w:hAnsi="Times New Roman" w:eastAsia="Times New Roman"/>
        </w:rPr>
        <w:t>“</w:t>
      </w:r>
      <w:r>
        <w:t>发包人</w:t>
      </w:r>
      <w:r>
        <w:rPr>
          <w:rFonts w:ascii="Times New Roman" w:hAnsi="Times New Roman" w:eastAsia="Times New Roman"/>
          <w:spacing w:val="-8"/>
        </w:rPr>
        <w:t>”</w:t>
      </w:r>
      <w:r>
        <w:rPr>
          <w:spacing w:val="-8"/>
        </w:rPr>
        <w:t>）</w:t>
      </w:r>
      <w:r>
        <w:t>接受</w:t>
      </w:r>
      <w:r>
        <w:rPr>
          <w:u w:val="single"/>
        </w:rPr>
        <w:t xml:space="preserve"> </w:t>
      </w:r>
      <w:r>
        <w:rPr>
          <w:u w:val="single"/>
        </w:rPr>
        <w:tab/>
      </w:r>
      <w:r>
        <w:rPr>
          <w:u w:val="single"/>
        </w:rPr>
        <w:tab/>
      </w:r>
      <w:r>
        <w:t>（承包人名称，以下简称</w:t>
      </w:r>
      <w:r>
        <w:rPr>
          <w:rFonts w:ascii="Times New Roman" w:hAnsi="Times New Roman" w:eastAsia="Times New Roman"/>
        </w:rPr>
        <w:t>“</w:t>
      </w:r>
      <w:r>
        <w:t>承包人</w:t>
      </w:r>
      <w:r>
        <w:rPr>
          <w:rFonts w:ascii="Times New Roman" w:hAnsi="Times New Roman" w:eastAsia="Times New Roman"/>
        </w:rPr>
        <w:t>”</w:t>
      </w:r>
      <w:r>
        <w:t>）于</w:t>
      </w:r>
      <w:r>
        <w:rPr>
          <w:u w:val="single"/>
        </w:rPr>
        <w:t xml:space="preserve">    </w:t>
      </w:r>
      <w:r>
        <w:rPr>
          <w:spacing w:val="15"/>
          <w:u w:val="single"/>
        </w:rPr>
        <w:t xml:space="preserve"> </w:t>
      </w:r>
      <w:r>
        <w:t>年</w:t>
      </w:r>
      <w:r>
        <w:rPr>
          <w:u w:val="single"/>
        </w:rPr>
        <w:t xml:space="preserve">   </w:t>
      </w:r>
      <w:r>
        <w:rPr>
          <w:spacing w:val="12"/>
          <w:u w:val="single"/>
        </w:rPr>
        <w:t xml:space="preserve"> </w:t>
      </w:r>
      <w:r>
        <w:t>月</w:t>
      </w:r>
      <w:r>
        <w:rPr>
          <w:u w:val="single"/>
        </w:rPr>
        <w:t xml:space="preserve">   </w:t>
      </w:r>
      <w:r>
        <w:rPr>
          <w:spacing w:val="10"/>
          <w:u w:val="single"/>
        </w:rPr>
        <w:t xml:space="preserve"> </w:t>
      </w:r>
      <w:r>
        <w:t>日参加</w:t>
      </w:r>
      <w:r>
        <w:rPr>
          <w:u w:val="single"/>
        </w:rPr>
        <w:t xml:space="preserve"> </w:t>
      </w:r>
      <w:r>
        <w:rPr>
          <w:u w:val="single"/>
        </w:rPr>
        <w:tab/>
      </w:r>
      <w:r>
        <w:t>（项目名称）</w:t>
      </w:r>
      <w:r>
        <w:rPr>
          <w:u w:val="single"/>
        </w:rPr>
        <w:t xml:space="preserve"> </w:t>
      </w:r>
      <w:r>
        <w:rPr>
          <w:u w:val="single"/>
        </w:rPr>
        <w:tab/>
      </w:r>
      <w:r>
        <w:t>标段施工的投标。我方愿意无条件地、不可撤销地就承包人履行与你方订立的合同，向你方提供担保。</w:t>
      </w:r>
    </w:p>
    <w:p>
      <w:pPr>
        <w:pStyle w:val="20"/>
        <w:numPr>
          <w:ilvl w:val="0"/>
          <w:numId w:val="43"/>
        </w:numPr>
        <w:tabs>
          <w:tab w:val="left" w:pos="1205"/>
          <w:tab w:val="left" w:pos="5820"/>
          <w:tab w:val="left" w:pos="8045"/>
        </w:tabs>
        <w:spacing w:before="2"/>
        <w:ind w:firstLine="480"/>
        <w:rPr>
          <w:sz w:val="24"/>
        </w:rPr>
      </w:pPr>
      <w:r>
        <w:rPr>
          <w:sz w:val="24"/>
        </w:rPr>
        <w:t>担保金额人民币（大写）</w:t>
      </w:r>
      <w:r>
        <w:rPr>
          <w:sz w:val="24"/>
          <w:u w:val="single"/>
        </w:rPr>
        <w:tab/>
      </w:r>
      <w:r>
        <w:rPr>
          <w:sz w:val="24"/>
        </w:rPr>
        <w:t>元（</w:t>
      </w:r>
      <w:r>
        <w:rPr>
          <w:rFonts w:ascii="Times New Roman" w:hAnsi="Times New Roman" w:eastAsia="Times New Roman"/>
          <w:sz w:val="24"/>
        </w:rPr>
        <w:t>¥</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pacing w:val="-120"/>
          <w:sz w:val="24"/>
        </w:rPr>
        <w:t>）</w:t>
      </w:r>
      <w:r>
        <w:rPr>
          <w:sz w:val="24"/>
        </w:rPr>
        <w:t>。</w:t>
      </w:r>
    </w:p>
    <w:p>
      <w:pPr>
        <w:pStyle w:val="20"/>
        <w:numPr>
          <w:ilvl w:val="0"/>
          <w:numId w:val="43"/>
        </w:numPr>
        <w:tabs>
          <w:tab w:val="left" w:pos="1212"/>
        </w:tabs>
        <w:spacing w:before="93" w:line="288" w:lineRule="auto"/>
        <w:ind w:right="375" w:firstLine="480"/>
        <w:rPr>
          <w:rFonts w:ascii="黑体" w:hAnsi="黑体" w:eastAsia="黑体"/>
          <w:sz w:val="14"/>
        </w:rPr>
      </w:pPr>
      <w:r>
        <w:rPr>
          <w:spacing w:val="2"/>
          <w:sz w:val="24"/>
        </w:rPr>
        <w:t>担保有效期自发包人与承包人签订的合同生效之日起至发包人签发交工验</w:t>
      </w:r>
      <w:r>
        <w:rPr>
          <w:sz w:val="24"/>
        </w:rPr>
        <w:t>收证书且承包人按照合同约定缴纳质量保证金之日止。</w:t>
      </w:r>
      <w:r>
        <w:rPr>
          <w:rFonts w:hint="eastAsia" w:ascii="黑体" w:hAnsi="黑体" w:eastAsia="黑体"/>
          <w:position w:val="13"/>
          <w:sz w:val="14"/>
        </w:rPr>
        <w:t>①</w:t>
      </w:r>
    </w:p>
    <w:p>
      <w:pPr>
        <w:pStyle w:val="20"/>
        <w:numPr>
          <w:ilvl w:val="0"/>
          <w:numId w:val="43"/>
        </w:numPr>
        <w:tabs>
          <w:tab w:val="left" w:pos="1205"/>
        </w:tabs>
        <w:spacing w:before="31" w:line="312" w:lineRule="auto"/>
        <w:ind w:right="361" w:firstLine="480"/>
        <w:jc w:val="both"/>
        <w:rPr>
          <w:sz w:val="24"/>
        </w:rPr>
      </w:pPr>
      <w:r>
        <w:rPr>
          <w:sz w:val="24"/>
        </w:rPr>
        <w:t xml:space="preserve">在本担保有效期内，因承包人违反合同约定的义务给你方造成经济损失时， </w:t>
      </w:r>
      <w:r>
        <w:rPr>
          <w:spacing w:val="-2"/>
          <w:sz w:val="24"/>
        </w:rPr>
        <w:t xml:space="preserve">我方在收到你方以书面形式提出的在担保金额内的赔偿要求后，在 </w:t>
      </w:r>
      <w:r>
        <w:rPr>
          <w:rFonts w:ascii="Times New Roman" w:eastAsia="Times New Roman"/>
          <w:sz w:val="24"/>
        </w:rPr>
        <w:t>7</w:t>
      </w:r>
      <w:r>
        <w:rPr>
          <w:rFonts w:ascii="Times New Roman" w:eastAsia="Times New Roman"/>
          <w:spacing w:val="17"/>
          <w:sz w:val="24"/>
        </w:rPr>
        <w:t xml:space="preserve"> </w:t>
      </w:r>
      <w:r>
        <w:rPr>
          <w:sz w:val="24"/>
        </w:rPr>
        <w:t>日内无条件支付，无须你方出具证明或陈述理由。</w:t>
      </w:r>
    </w:p>
    <w:p>
      <w:pPr>
        <w:pStyle w:val="20"/>
        <w:numPr>
          <w:ilvl w:val="0"/>
          <w:numId w:val="43"/>
        </w:numPr>
        <w:tabs>
          <w:tab w:val="left" w:pos="1205"/>
        </w:tabs>
        <w:spacing w:before="2" w:line="312" w:lineRule="auto"/>
        <w:ind w:right="263" w:firstLine="480"/>
        <w:rPr>
          <w:sz w:val="24"/>
        </w:rPr>
      </w:pPr>
      <w:r>
        <w:rPr>
          <w:spacing w:val="-5"/>
          <w:sz w:val="24"/>
        </w:rPr>
        <w:t xml:space="preserve">发包人和承包人按合同条款第 </w:t>
      </w:r>
      <w:r>
        <w:rPr>
          <w:rFonts w:ascii="Times New Roman" w:eastAsia="Times New Roman"/>
          <w:sz w:val="24"/>
        </w:rPr>
        <w:t xml:space="preserve">15 </w:t>
      </w:r>
      <w:r>
        <w:rPr>
          <w:spacing w:val="-4"/>
          <w:sz w:val="24"/>
        </w:rPr>
        <w:t>条变更合同时，无论我方是否收到该变更， 我方承担本担保规定的义务不变。</w:t>
      </w:r>
    </w:p>
    <w:p>
      <w:pPr>
        <w:pStyle w:val="11"/>
      </w:pPr>
    </w:p>
    <w:p>
      <w:pPr>
        <w:pStyle w:val="11"/>
      </w:pPr>
    </w:p>
    <w:p>
      <w:pPr>
        <w:pStyle w:val="11"/>
        <w:tabs>
          <w:tab w:val="left" w:pos="7781"/>
          <w:tab w:val="left" w:pos="8880"/>
        </w:tabs>
        <w:spacing w:before="186" w:line="312" w:lineRule="auto"/>
        <w:ind w:left="3921" w:right="262"/>
        <w:jc w:val="both"/>
        <w:rPr>
          <w:rFonts w:ascii="Times New Roman" w:eastAsia="Times New Roman"/>
        </w:rPr>
      </w:pPr>
      <w:r>
        <w:t>担保人名称：</w:t>
      </w:r>
      <w:r>
        <w:tab/>
      </w:r>
      <w:r>
        <w:rPr>
          <w:u w:val="single"/>
        </w:rPr>
        <w:t>（</w:t>
      </w:r>
      <w:r>
        <w:t>盖单位章） 法定代表人或其委托代理人</w:t>
      </w:r>
      <w:r>
        <w:rPr>
          <w:u w:val="single"/>
        </w:rPr>
        <w:t xml:space="preserve">：       </w:t>
      </w:r>
      <w:r>
        <w:rPr>
          <w:spacing w:val="17"/>
          <w:u w:val="single"/>
        </w:rPr>
        <w:t xml:space="preserve"> </w:t>
      </w:r>
      <w:r>
        <w:rPr>
          <w:u w:val="single"/>
        </w:rPr>
        <w:t>（</w:t>
      </w:r>
      <w:r>
        <w:t>签字） 地 址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1"/>
        <w:tabs>
          <w:tab w:val="left" w:pos="4641"/>
          <w:tab w:val="left" w:pos="8880"/>
          <w:tab w:val="left" w:pos="9017"/>
        </w:tabs>
        <w:spacing w:before="1" w:line="312" w:lineRule="auto"/>
        <w:ind w:left="3921" w:right="466"/>
        <w:rPr>
          <w:rFonts w:ascii="Times New Roman" w:eastAsia="Times New Roman"/>
        </w:rPr>
      </w:pPr>
      <w:r>
        <w:t>邮政编码：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w:t>
      </w:r>
      <w:r>
        <w:tab/>
      </w:r>
      <w:r>
        <w:t>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w:t>
      </w:r>
      <w:r>
        <w:tab/>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1"/>
        <w:tabs>
          <w:tab w:val="left" w:pos="6876"/>
          <w:tab w:val="left" w:pos="7901"/>
          <w:tab w:val="left" w:pos="8861"/>
        </w:tabs>
        <w:spacing w:before="1"/>
        <w:ind w:left="5981"/>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t>年</w:t>
      </w:r>
      <w:r>
        <w:rPr>
          <w:u w:val="single"/>
        </w:rPr>
        <w:t xml:space="preserve"> </w:t>
      </w:r>
      <w:r>
        <w:rPr>
          <w:u w:val="single"/>
        </w:rPr>
        <w:tab/>
      </w:r>
      <w:r>
        <w:t>月</w:t>
      </w:r>
      <w:r>
        <w:rPr>
          <w:u w:val="single"/>
        </w:rPr>
        <w:t xml:space="preserve"> </w:t>
      </w:r>
      <w:r>
        <w:rPr>
          <w:u w:val="single"/>
        </w:rPr>
        <w:tab/>
      </w:r>
      <w:r>
        <w:t>日</w:t>
      </w:r>
    </w:p>
    <w:p>
      <w:pPr>
        <w:pStyle w:val="11"/>
        <w:rPr>
          <w:sz w:val="20"/>
        </w:rPr>
      </w:pPr>
    </w:p>
    <w:p>
      <w:pPr>
        <w:pStyle w:val="11"/>
        <w:rPr>
          <w:sz w:val="20"/>
        </w:rPr>
      </w:pPr>
    </w:p>
    <w:p>
      <w:pPr>
        <w:pStyle w:val="11"/>
        <w:rPr>
          <w:sz w:val="20"/>
        </w:rPr>
      </w:pPr>
    </w:p>
    <w:p>
      <w:pPr>
        <w:pStyle w:val="11"/>
        <w:spacing w:before="4"/>
      </w:pPr>
      <w:r>
        <mc:AlternateContent>
          <mc:Choice Requires="wps">
            <w:drawing>
              <wp:anchor distT="0" distB="0" distL="114300" distR="114300" simplePos="0" relativeHeight="251668480" behindDoc="0" locked="0" layoutInCell="1" allowOverlap="1">
                <wp:simplePos x="0" y="0"/>
                <wp:positionH relativeFrom="page">
                  <wp:posOffset>1043940</wp:posOffset>
                </wp:positionH>
                <wp:positionV relativeFrom="paragraph">
                  <wp:posOffset>226695</wp:posOffset>
                </wp:positionV>
                <wp:extent cx="1829435" cy="0"/>
                <wp:effectExtent l="0" t="0" r="0" b="0"/>
                <wp:wrapTopAndBottom/>
                <wp:docPr id="42" name="直线 37"/>
                <wp:cNvGraphicFramePr/>
                <a:graphic xmlns:a="http://schemas.openxmlformats.org/drawingml/2006/main">
                  <a:graphicData uri="http://schemas.microsoft.com/office/word/2010/wordprocessingShape">
                    <wps:wsp>
                      <wps:cNvSpPr/>
                      <wps:spPr>
                        <a:xfrm>
                          <a:off x="0" y="0"/>
                          <a:ext cx="1829435" cy="0"/>
                        </a:xfrm>
                        <a:prstGeom prst="line">
                          <a:avLst/>
                        </a:prstGeom>
                        <a:ln w="6401" cap="flat" cmpd="sng">
                          <a:solidFill>
                            <a:srgbClr val="000000"/>
                          </a:solidFill>
                          <a:prstDash val="solid"/>
                          <a:headEnd type="none" w="med" len="med"/>
                          <a:tailEnd type="none" w="med" len="med"/>
                        </a:ln>
                      </wps:spPr>
                      <wps:bodyPr upright="true"/>
                    </wps:wsp>
                  </a:graphicData>
                </a:graphic>
              </wp:anchor>
            </w:drawing>
          </mc:Choice>
          <mc:Fallback>
            <w:pict>
              <v:line id="直线 37" o:spid="_x0000_s1026" o:spt="20" style="position:absolute;left:0pt;margin-left:82.2pt;margin-top:17.85pt;height:0pt;width:144.05pt;mso-position-horizontal-relative:page;mso-wrap-distance-bottom:0pt;mso-wrap-distance-top:0pt;z-index:251668480;mso-width-relative:page;mso-height-relative:page;" filled="f" stroked="t" coordsize="21600,21600" o:gfxdata="UEsFBgAAAAAAAAAAAAAAAAAAAAAAAFBLAwQKAAAAAACHTuJAAAAAAAAAAAAAAAAABAAAAGRycy9Q&#10;SwMEFAAAAAgAh07iQEuJIpfTAAAACQEAAA8AAABkcnMvZG93bnJldi54bWxNj01PwzAMhu9I/IfI&#10;SNxYutJ20DWdxCS4IsZ29xqvrdY4VZN98O8x4gDH1370+nG1urpBnWkKvWcD81kCirjxtufWwPbz&#10;9eEJVIjIFgfPZOCLAqzq25sKS+sv/EHnTWyVlHAo0UAX41hqHZqOHIaZH4lld/CTwyhxarWd8CLl&#10;btBpkhTaYc9yocOR1h01x83JGWjclv1xZ5/f3vXaUprH4iVEY+7v5skSVKRr/IPhR1/UoRanvT+x&#10;DWqQXGSZoAYe8wUoAbI8zUHtfwe6rvT/D+pvUEsDBBQAAAAIAIdO4kBfsND50gEAAJIDAAAOAAAA&#10;ZHJzL2Uyb0RvYy54bWytU0uOEzEQ3SNxB8t70kkmDEMrnVkQhg2CkQYOUPGn25J/cjnp5CxcgxUb&#10;jjPXoOxkMjCzQYgsnLKr/Oq95+rl9d5ZtlMJTfAdn02mnCkvgjS+7/jXLzevrjjDDF6CDV51/KCQ&#10;X69evliOsVXzMAQrVWIE4rEdY8eHnGPbNCgG5QAnISpPSR2Sg0zb1DcywUjozjbz6fSyGUOSMQWh&#10;EOl0fUzyVcXXWon8WWtUmdmOE7dc11TXTVmb1RLaPkEcjDjRgH9g4cB4anqGWkMGtk3mGZQzIgUM&#10;Ok9EcE3Q2ghVNZCa2fSJmrsBoqpayByMZ5vw/8GKT7vbxIzs+GLOmQdHb3T/7fv9j5/s4k1xZ4zY&#10;UtFdvE2nHVJYpO51cuWfRLB9dfRwdlTtMxN0OLuav11cvOZMPOSax4sxYf6ggmMl6Lg1voiFFnYf&#10;MVMzKn0oKcfWs7Hjl4vpjOCAZkVbyBS6SOzR9/UuBmvkjbG23MDUb97ZxHZQXr/+iiTC/aOsNFkD&#10;Dse6mjrOxaBAvveS5UMkWzwNMC8UnJKcWUXzXiIChDaDsX9TSa2tJwbF1aOPJdoEeaBX2MZk+oGc&#10;yGmrKtGSpIevlE9DWibr930Fe/yUV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S4kil9MAAAAJ&#10;AQAADwAAAAAAAAABACAAAAA4AAAAZHJzL2Rvd25yZXYueG1sUEsBAhQAFAAAAAgAh07iQF+w0PnS&#10;AQAAkgMAAA4AAAAAAAAAAQAgAAAAOAEAAGRycy9lMm9Eb2MueG1sUEsFBgAAAAAGAAYAWQEAAHwF&#10;AAAAAA==&#10;">
                <v:fill on="f" focussize="0,0"/>
                <v:stroke weight="0.504015748031496pt" color="#000000" joinstyle="round"/>
                <v:imagedata o:title=""/>
                <o:lock v:ext="edit" aspectratio="f"/>
                <w10:wrap type="topAndBottom"/>
              </v:line>
            </w:pict>
          </mc:Fallback>
        </mc:AlternateContent>
      </w:r>
    </w:p>
    <w:p>
      <w:pPr>
        <w:pStyle w:val="11"/>
        <w:spacing w:before="12"/>
        <w:rPr>
          <w:sz w:val="6"/>
        </w:rPr>
      </w:pPr>
    </w:p>
    <w:p>
      <w:pPr>
        <w:tabs>
          <w:tab w:val="left" w:pos="3835"/>
          <w:tab w:val="left" w:pos="6958"/>
        </w:tabs>
        <w:spacing w:before="78"/>
        <w:ind w:left="424"/>
        <w:rPr>
          <w:sz w:val="18"/>
        </w:rPr>
      </w:pPr>
      <w:r>
        <w:rPr>
          <w:position w:val="8"/>
          <w:sz w:val="9"/>
        </w:rPr>
        <w:t>①</w:t>
      </w:r>
      <w:r>
        <w:rPr>
          <w:sz w:val="18"/>
        </w:rPr>
        <w:t>本条内容可修改为：“本担保自</w:t>
      </w:r>
      <w:r>
        <w:rPr>
          <w:sz w:val="18"/>
          <w:u w:val="single"/>
        </w:rPr>
        <w:t xml:space="preserve"> </w:t>
      </w:r>
      <w:r>
        <w:rPr>
          <w:sz w:val="18"/>
          <w:u w:val="single"/>
        </w:rPr>
        <w:tab/>
      </w:r>
      <w:r>
        <w:rPr>
          <w:sz w:val="18"/>
        </w:rPr>
        <w:t>（生效日期</w:t>
      </w:r>
      <w:r>
        <w:rPr>
          <w:spacing w:val="-15"/>
          <w:sz w:val="18"/>
        </w:rPr>
        <w:t>）</w:t>
      </w:r>
      <w:r>
        <w:rPr>
          <w:sz w:val="18"/>
        </w:rPr>
        <w:t>之</w:t>
      </w:r>
      <w:r>
        <w:rPr>
          <w:spacing w:val="-3"/>
          <w:sz w:val="18"/>
        </w:rPr>
        <w:t>日</w:t>
      </w:r>
      <w:r>
        <w:rPr>
          <w:sz w:val="18"/>
        </w:rPr>
        <w:t>起生效，至</w:t>
      </w:r>
      <w:r>
        <w:rPr>
          <w:sz w:val="18"/>
          <w:u w:val="single"/>
        </w:rPr>
        <w:t xml:space="preserve"> </w:t>
      </w:r>
      <w:r>
        <w:rPr>
          <w:sz w:val="18"/>
          <w:u w:val="single"/>
        </w:rPr>
        <w:tab/>
      </w:r>
      <w:r>
        <w:rPr>
          <w:sz w:val="18"/>
        </w:rPr>
        <w:t>（失效</w:t>
      </w:r>
      <w:r>
        <w:rPr>
          <w:spacing w:val="-3"/>
          <w:sz w:val="18"/>
        </w:rPr>
        <w:t>日</w:t>
      </w:r>
      <w:r>
        <w:rPr>
          <w:sz w:val="18"/>
        </w:rPr>
        <w:t>期</w:t>
      </w:r>
      <w:r>
        <w:rPr>
          <w:spacing w:val="-14"/>
          <w:sz w:val="18"/>
        </w:rPr>
        <w:t>）</w:t>
      </w:r>
      <w:r>
        <w:rPr>
          <w:sz w:val="18"/>
        </w:rPr>
        <w:t>之日失效。”</w:t>
      </w:r>
    </w:p>
    <w:p>
      <w:pPr>
        <w:spacing w:before="110" w:line="352" w:lineRule="auto"/>
        <w:ind w:left="635" w:right="387"/>
        <w:jc w:val="both"/>
        <w:rPr>
          <w:sz w:val="18"/>
        </w:rPr>
      </w:pPr>
      <w:r>
        <w:rPr>
          <w:sz w:val="18"/>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pPr>
        <w:spacing w:line="352" w:lineRule="auto"/>
        <w:jc w:val="both"/>
        <w:rPr>
          <w:sz w:val="18"/>
        </w:rPr>
        <w:sectPr>
          <w:footerReference r:id="rId56" w:type="default"/>
          <w:footerReference r:id="rId57" w:type="even"/>
          <w:pgSz w:w="11910" w:h="16850"/>
          <w:pgMar w:top="1480" w:right="1200" w:bottom="1040" w:left="1220" w:header="876" w:footer="853" w:gutter="0"/>
          <w:pgNumType w:start="162"/>
          <w:cols w:space="720" w:num="1"/>
        </w:sectPr>
      </w:pPr>
    </w:p>
    <w:p>
      <w:pPr>
        <w:pStyle w:val="11"/>
        <w:spacing w:before="9"/>
        <w:rPr>
          <w:sz w:val="8"/>
        </w:rPr>
      </w:pPr>
    </w:p>
    <w:p>
      <w:pPr>
        <w:pStyle w:val="11"/>
        <w:spacing w:before="66"/>
        <w:ind w:left="424"/>
        <w:rPr>
          <w:rFonts w:ascii="黑体" w:eastAsia="黑体"/>
        </w:rPr>
      </w:pPr>
      <w:bookmarkStart w:id="264" w:name="_bookmark276"/>
      <w:bookmarkEnd w:id="264"/>
      <w:r>
        <w:rPr>
          <w:rFonts w:hint="eastAsia" w:ascii="黑体" w:eastAsia="黑体"/>
        </w:rPr>
        <w:t>附件八 工程资金监管协议格式</w:t>
      </w:r>
    </w:p>
    <w:p>
      <w:pPr>
        <w:pStyle w:val="11"/>
        <w:spacing w:before="72" w:line="295" w:lineRule="auto"/>
        <w:ind w:left="424" w:right="262" w:firstLine="479"/>
      </w:pPr>
      <w:r>
        <w:t>（发包人与承包人签订合同协议书时应与发包人指定的银行签署工程资金监管</w:t>
      </w:r>
      <w:r>
        <w:rPr>
          <w:spacing w:val="-10"/>
        </w:rPr>
        <w:t>协议，工程资金监管协议内容在保证本项目资金有效监管的前提下由三方共同商定</w:t>
      </w:r>
      <w:r>
        <w:t>）</w:t>
      </w:r>
    </w:p>
    <w:p>
      <w:pPr>
        <w:pStyle w:val="11"/>
        <w:spacing w:before="11"/>
        <w:rPr>
          <w:sz w:val="25"/>
        </w:rPr>
      </w:pPr>
    </w:p>
    <w:p>
      <w:pPr>
        <w:ind w:left="3643"/>
        <w:rPr>
          <w:rFonts w:ascii="黑体" w:eastAsia="黑体"/>
          <w:sz w:val="28"/>
        </w:rPr>
      </w:pPr>
      <w:r>
        <w:rPr>
          <w:rFonts w:hint="eastAsia" w:ascii="黑体" w:eastAsia="黑体"/>
          <w:sz w:val="28"/>
        </w:rPr>
        <w:t>工程资金监管协议</w:t>
      </w:r>
    </w:p>
    <w:p>
      <w:pPr>
        <w:pStyle w:val="11"/>
        <w:spacing w:before="5"/>
        <w:rPr>
          <w:rFonts w:ascii="黑体"/>
          <w:sz w:val="35"/>
        </w:rPr>
      </w:pPr>
    </w:p>
    <w:p>
      <w:pPr>
        <w:pStyle w:val="11"/>
        <w:tabs>
          <w:tab w:val="left" w:pos="3304"/>
          <w:tab w:val="left" w:pos="3424"/>
        </w:tabs>
        <w:spacing w:before="1" w:line="295" w:lineRule="auto"/>
        <w:ind w:left="424" w:right="3927"/>
        <w:jc w:val="both"/>
      </w:pPr>
      <w:r>
        <w:t>发包人：</w:t>
      </w:r>
      <w:r>
        <w:rPr>
          <w:u w:val="single"/>
        </w:rPr>
        <w:t xml:space="preserve"> </w:t>
      </w:r>
      <w:r>
        <w:rPr>
          <w:u w:val="single"/>
        </w:rPr>
        <w:tab/>
      </w:r>
      <w:r>
        <w:t>（以下简称</w:t>
      </w:r>
      <w:r>
        <w:rPr>
          <w:rFonts w:ascii="Times New Roman" w:hAnsi="Times New Roman" w:eastAsia="Times New Roman"/>
        </w:rPr>
        <w:t>“</w:t>
      </w:r>
      <w:r>
        <w:t>甲方</w:t>
      </w:r>
      <w:r>
        <w:rPr>
          <w:rFonts w:ascii="Times New Roman" w:hAnsi="Times New Roman" w:eastAsia="Times New Roman"/>
        </w:rPr>
        <w:t>”</w:t>
      </w:r>
      <w:r>
        <w:t>） 承包人：</w:t>
      </w:r>
      <w:r>
        <w:rPr>
          <w:u w:val="single"/>
        </w:rPr>
        <w:t xml:space="preserve"> </w:t>
      </w:r>
      <w:r>
        <w:rPr>
          <w:u w:val="single"/>
        </w:rPr>
        <w:tab/>
      </w:r>
      <w:r>
        <w:t>（以下简称</w:t>
      </w:r>
      <w:r>
        <w:rPr>
          <w:rFonts w:ascii="Times New Roman" w:hAnsi="Times New Roman" w:eastAsia="Times New Roman"/>
        </w:rPr>
        <w:t>“</w:t>
      </w:r>
      <w:r>
        <w:t>乙方</w:t>
      </w:r>
      <w:r>
        <w:rPr>
          <w:rFonts w:ascii="Times New Roman" w:hAnsi="Times New Roman" w:eastAsia="Times New Roman"/>
        </w:rPr>
        <w:t>”</w:t>
      </w:r>
      <w:r>
        <w:t>） 经办银行：</w:t>
      </w:r>
      <w:r>
        <w:rPr>
          <w:u w:val="single"/>
        </w:rPr>
        <w:t xml:space="preserve"> </w:t>
      </w:r>
      <w:r>
        <w:rPr>
          <w:u w:val="single"/>
        </w:rPr>
        <w:tab/>
      </w:r>
      <w:r>
        <w:rPr>
          <w:u w:val="single"/>
        </w:rPr>
        <w:tab/>
      </w:r>
      <w:r>
        <w:t>（以下简称</w:t>
      </w:r>
      <w:r>
        <w:rPr>
          <w:rFonts w:ascii="Times New Roman" w:hAnsi="Times New Roman" w:eastAsia="Times New Roman"/>
        </w:rPr>
        <w:t>“</w:t>
      </w:r>
      <w:r>
        <w:t>丙方</w:t>
      </w:r>
      <w:r>
        <w:rPr>
          <w:rFonts w:ascii="Times New Roman" w:hAnsi="Times New Roman" w:eastAsia="Times New Roman"/>
        </w:rPr>
        <w:t>”</w:t>
      </w:r>
      <w:r>
        <w:t>）</w:t>
      </w:r>
    </w:p>
    <w:p>
      <w:pPr>
        <w:pStyle w:val="11"/>
        <w:rPr>
          <w:sz w:val="30"/>
        </w:rPr>
      </w:pPr>
    </w:p>
    <w:p>
      <w:pPr>
        <w:pStyle w:val="11"/>
        <w:tabs>
          <w:tab w:val="left" w:pos="2834"/>
          <w:tab w:val="left" w:pos="7784"/>
        </w:tabs>
        <w:spacing w:line="297" w:lineRule="auto"/>
        <w:ind w:left="424" w:right="260" w:firstLine="479"/>
      </w:pPr>
      <w:r>
        <w:t>为了促进</w:t>
      </w:r>
      <w:r>
        <w:rPr>
          <w:u w:val="single"/>
        </w:rPr>
        <w:t xml:space="preserve"> </w:t>
      </w:r>
      <w:r>
        <w:rPr>
          <w:u w:val="single"/>
        </w:rPr>
        <w:tab/>
      </w:r>
      <w:r>
        <w:t>（项目名称）的顺利实施，管好用好建设资金，确保工程资金专款专用</w:t>
      </w:r>
      <w:r>
        <w:rPr>
          <w:spacing w:val="-68"/>
        </w:rPr>
        <w:t>，</w:t>
      </w:r>
      <w:r>
        <w:t>同时为承包人提供便捷有效的银行业务服务</w:t>
      </w:r>
      <w:r>
        <w:rPr>
          <w:spacing w:val="-68"/>
        </w:rPr>
        <w:t>，</w:t>
      </w:r>
      <w:r>
        <w:t>根据</w:t>
      </w:r>
      <w:r>
        <w:rPr>
          <w:u w:val="single"/>
        </w:rPr>
        <w:t xml:space="preserve"> </w:t>
      </w:r>
      <w:r>
        <w:rPr>
          <w:u w:val="single"/>
        </w:rPr>
        <w:tab/>
      </w:r>
      <w:r>
        <w:rPr>
          <w:u w:val="single"/>
        </w:rPr>
        <w:t>（</w:t>
      </w:r>
      <w:r>
        <w:t>项目名称） 合同条款有关规定，经甲、乙、丙三方协商，达成协议如下：</w:t>
      </w:r>
    </w:p>
    <w:p>
      <w:pPr>
        <w:pStyle w:val="20"/>
        <w:numPr>
          <w:ilvl w:val="0"/>
          <w:numId w:val="44"/>
        </w:numPr>
        <w:tabs>
          <w:tab w:val="left" w:pos="1205"/>
        </w:tabs>
        <w:spacing w:line="304" w:lineRule="exact"/>
        <w:ind w:firstLine="480"/>
        <w:rPr>
          <w:sz w:val="24"/>
        </w:rPr>
      </w:pPr>
      <w:r>
        <w:rPr>
          <w:sz w:val="24"/>
        </w:rPr>
        <w:t>资金管理的内容</w:t>
      </w:r>
    </w:p>
    <w:p>
      <w:pPr>
        <w:pStyle w:val="11"/>
        <w:tabs>
          <w:tab w:val="left" w:pos="3607"/>
        </w:tabs>
        <w:spacing w:before="72" w:line="297" w:lineRule="auto"/>
        <w:ind w:left="424" w:right="385" w:firstLine="479"/>
      </w:pPr>
      <w:r>
        <w:rPr>
          <w:spacing w:val="-10"/>
        </w:rPr>
        <w:t>（</w:t>
      </w:r>
      <w:r>
        <w:rPr>
          <w:rFonts w:ascii="Times New Roman" w:eastAsia="Times New Roman"/>
          <w:spacing w:val="-10"/>
        </w:rPr>
        <w:t>1</w:t>
      </w:r>
      <w:r>
        <w:rPr>
          <w:spacing w:val="-10"/>
        </w:rPr>
        <w:t>）</w:t>
      </w:r>
      <w:r>
        <w:t>乙方为完成</w:t>
      </w:r>
      <w:r>
        <w:rPr>
          <w:u w:val="single"/>
        </w:rPr>
        <w:t xml:space="preserve"> </w:t>
      </w:r>
      <w:r>
        <w:rPr>
          <w:u w:val="single"/>
        </w:rPr>
        <w:tab/>
      </w:r>
      <w:r>
        <w:t>（项目名称</w:t>
      </w:r>
      <w:r>
        <w:rPr>
          <w:spacing w:val="-29"/>
        </w:rPr>
        <w:t>）</w:t>
      </w:r>
      <w:r>
        <w:t>工程成立的项目经理部在丙方开设基本结算户；</w:t>
      </w:r>
    </w:p>
    <w:p>
      <w:pPr>
        <w:pStyle w:val="11"/>
        <w:spacing w:line="306" w:lineRule="exact"/>
        <w:ind w:left="904"/>
      </w:pPr>
      <w:r>
        <w:t>（</w:t>
      </w:r>
      <w:r>
        <w:rPr>
          <w:rFonts w:ascii="Times New Roman" w:eastAsia="Times New Roman"/>
        </w:rPr>
        <w:t>2</w:t>
      </w:r>
      <w:r>
        <w:t>）甲方应按合同规定将工程款汇入乙方在丙方开设的账户；</w:t>
      </w:r>
    </w:p>
    <w:p>
      <w:pPr>
        <w:pStyle w:val="11"/>
        <w:tabs>
          <w:tab w:val="left" w:pos="7265"/>
        </w:tabs>
        <w:spacing w:before="72"/>
        <w:ind w:left="904"/>
      </w:pPr>
      <w:r>
        <w:t>（</w:t>
      </w:r>
      <w:r>
        <w:rPr>
          <w:rFonts w:ascii="Times New Roman" w:eastAsia="Times New Roman"/>
        </w:rPr>
        <w:t>3</w:t>
      </w:r>
      <w:r>
        <w:t>）乙方应将流动资金及甲方所拨付资金专项用于</w:t>
      </w:r>
      <w:r>
        <w:rPr>
          <w:rFonts w:ascii="Times New Roman" w:eastAsia="Times New Roman"/>
          <w:u w:val="single"/>
        </w:rPr>
        <w:t xml:space="preserve"> </w:t>
      </w:r>
      <w:r>
        <w:rPr>
          <w:rFonts w:ascii="Times New Roman" w:eastAsia="Times New Roman"/>
          <w:u w:val="single"/>
        </w:rPr>
        <w:tab/>
      </w:r>
      <w:r>
        <w:t>（项目名称</w:t>
      </w:r>
      <w:r>
        <w:rPr>
          <w:spacing w:val="-120"/>
        </w:rPr>
        <w:t>）</w:t>
      </w:r>
      <w:r>
        <w:t>；</w:t>
      </w:r>
    </w:p>
    <w:p>
      <w:pPr>
        <w:pStyle w:val="11"/>
        <w:spacing w:before="74" w:line="295" w:lineRule="auto"/>
        <w:ind w:left="424" w:right="306" w:firstLine="479"/>
      </w:pPr>
      <w:r>
        <w:t>（</w:t>
      </w:r>
      <w:r>
        <w:rPr>
          <w:rFonts w:ascii="Times New Roman" w:eastAsia="Times New Roman"/>
        </w:rPr>
        <w:t>4</w:t>
      </w:r>
      <w:r>
        <w:t>）丙方应为乙方提供便捷有效的银行业务服务，并接受甲方委托对乙方在丙方开设的基本结算户资金使用情况进行监督。</w:t>
      </w:r>
    </w:p>
    <w:p>
      <w:pPr>
        <w:pStyle w:val="20"/>
        <w:numPr>
          <w:ilvl w:val="0"/>
          <w:numId w:val="44"/>
        </w:numPr>
        <w:tabs>
          <w:tab w:val="left" w:pos="1205"/>
        </w:tabs>
        <w:spacing w:before="2"/>
        <w:ind w:firstLine="480"/>
        <w:rPr>
          <w:sz w:val="24"/>
        </w:rPr>
      </w:pPr>
      <w:r>
        <w:rPr>
          <w:sz w:val="24"/>
        </w:rPr>
        <w:t>甲方的权责</w:t>
      </w:r>
    </w:p>
    <w:p>
      <w:pPr>
        <w:pStyle w:val="11"/>
        <w:tabs>
          <w:tab w:val="left" w:pos="2901"/>
        </w:tabs>
        <w:spacing w:before="74" w:line="295" w:lineRule="auto"/>
        <w:ind w:left="424" w:right="385" w:firstLine="479"/>
      </w:pPr>
      <w:r>
        <w:rPr>
          <w:spacing w:val="-8"/>
        </w:rPr>
        <w:t>（</w:t>
      </w:r>
      <w:r>
        <w:rPr>
          <w:rFonts w:ascii="Times New Roman" w:eastAsia="Times New Roman"/>
          <w:spacing w:val="-8"/>
        </w:rPr>
        <w:t>1</w:t>
      </w:r>
      <w:r>
        <w:rPr>
          <w:spacing w:val="-8"/>
        </w:rPr>
        <w:t>）</w:t>
      </w:r>
      <w:r>
        <w:t>按照</w:t>
      </w:r>
      <w:r>
        <w:rPr>
          <w:u w:val="single"/>
        </w:rPr>
        <w:t xml:space="preserve"> </w:t>
      </w:r>
      <w:r>
        <w:rPr>
          <w:u w:val="single"/>
        </w:rPr>
        <w:tab/>
      </w:r>
      <w:r>
        <w:t>（项目名称</w:t>
      </w:r>
      <w:r>
        <w:rPr>
          <w:spacing w:val="-22"/>
        </w:rPr>
        <w:t>）</w:t>
      </w:r>
      <w:r>
        <w:t>合同有关条款规定的时间和方式</w:t>
      </w:r>
      <w:r>
        <w:rPr>
          <w:spacing w:val="-22"/>
        </w:rPr>
        <w:t>，</w:t>
      </w:r>
      <w:r>
        <w:t>向乙方支付工程款；</w:t>
      </w:r>
    </w:p>
    <w:p>
      <w:pPr>
        <w:pStyle w:val="11"/>
        <w:spacing w:before="2" w:line="297" w:lineRule="auto"/>
        <w:ind w:left="424" w:right="306" w:firstLine="479"/>
      </w:pPr>
      <w:r>
        <w:t>（</w:t>
      </w:r>
      <w:r>
        <w:rPr>
          <w:rFonts w:ascii="Times New Roman" w:eastAsia="Times New Roman"/>
        </w:rPr>
        <w:t>2</w:t>
      </w:r>
      <w:r>
        <w:t>）在发现乙方将本项目资金挪用、转移时，甲方有权中止工程支付，直至乙方改正为止；</w:t>
      </w:r>
    </w:p>
    <w:p>
      <w:pPr>
        <w:pStyle w:val="11"/>
        <w:spacing w:line="295" w:lineRule="auto"/>
        <w:ind w:left="424" w:right="305" w:firstLine="479"/>
      </w:pPr>
      <w:r>
        <w:t>（</w:t>
      </w:r>
      <w:r>
        <w:rPr>
          <w:rFonts w:ascii="Times New Roman" w:eastAsia="Times New Roman"/>
        </w:rPr>
        <w:t>3</w:t>
      </w:r>
      <w:r>
        <w:t>）不定期审查丙方对乙方的资金使用监督情况，如丙方不能履行其责任，甲方有权随时终止本协议；</w:t>
      </w:r>
    </w:p>
    <w:p>
      <w:pPr>
        <w:pStyle w:val="11"/>
        <w:spacing w:before="3"/>
        <w:ind w:left="904"/>
      </w:pPr>
      <w:r>
        <w:t>（</w:t>
      </w:r>
      <w:r>
        <w:rPr>
          <w:rFonts w:ascii="Times New Roman" w:eastAsia="Times New Roman"/>
        </w:rPr>
        <w:t>4</w:t>
      </w:r>
      <w:r>
        <w:t>）在乙、丙双方发生争议时，甲方应负责协调、解决。</w:t>
      </w:r>
    </w:p>
    <w:p>
      <w:pPr>
        <w:pStyle w:val="20"/>
        <w:numPr>
          <w:ilvl w:val="0"/>
          <w:numId w:val="44"/>
        </w:numPr>
        <w:tabs>
          <w:tab w:val="left" w:pos="1205"/>
        </w:tabs>
        <w:spacing w:before="72"/>
        <w:ind w:firstLine="480"/>
        <w:rPr>
          <w:sz w:val="24"/>
        </w:rPr>
      </w:pPr>
      <w:r>
        <w:rPr>
          <w:sz w:val="24"/>
        </w:rPr>
        <w:t>乙方的权责</w:t>
      </w:r>
    </w:p>
    <w:p>
      <w:pPr>
        <w:pStyle w:val="11"/>
        <w:spacing w:before="71"/>
        <w:ind w:left="904"/>
      </w:pPr>
      <w:r>
        <w:t>（</w:t>
      </w:r>
      <w:r>
        <w:rPr>
          <w:rFonts w:ascii="Times New Roman" w:eastAsia="Times New Roman"/>
        </w:rPr>
        <w:t>1</w:t>
      </w:r>
      <w:r>
        <w:t>）项目经理部成立以后，乙方应尽快在丙方开设基本结算户；</w:t>
      </w:r>
    </w:p>
    <w:p>
      <w:pPr>
        <w:pStyle w:val="11"/>
        <w:spacing w:before="75" w:line="295" w:lineRule="auto"/>
        <w:ind w:left="424" w:right="306" w:firstLine="479"/>
      </w:pPr>
      <w:r>
        <w:t>（</w:t>
      </w:r>
      <w:r>
        <w:rPr>
          <w:rFonts w:ascii="Times New Roman" w:eastAsia="Times New Roman"/>
        </w:rPr>
        <w:t>2</w:t>
      </w:r>
      <w:r>
        <w:t>）确保本项目资金专款专用，不发生挪用、转移资金的现象；保证不通过权益转让、抵押、担保承担债务等任何其他方式使用基本结算户的资金；</w:t>
      </w:r>
    </w:p>
    <w:p>
      <w:pPr>
        <w:pStyle w:val="11"/>
        <w:spacing w:before="2" w:line="297" w:lineRule="auto"/>
        <w:ind w:left="424" w:right="265" w:firstLine="479"/>
        <w:jc w:val="both"/>
      </w:pPr>
      <w:r>
        <w:rPr>
          <w:spacing w:val="-8"/>
        </w:rPr>
        <w:t>（</w:t>
      </w:r>
      <w:r>
        <w:rPr>
          <w:rFonts w:ascii="Times New Roman" w:eastAsia="Times New Roman"/>
          <w:spacing w:val="-8"/>
        </w:rPr>
        <w:t>3</w:t>
      </w:r>
      <w:r>
        <w:rPr>
          <w:spacing w:val="-8"/>
        </w:rPr>
        <w:t>）</w:t>
      </w:r>
      <w:r>
        <w:rPr>
          <w:spacing w:val="-5"/>
        </w:rPr>
        <w:t>办理材料、设备等采购业务金额在</w:t>
      </w:r>
      <w:r>
        <w:rPr>
          <w:u w:val="single"/>
        </w:rPr>
        <w:t xml:space="preserve">  </w:t>
      </w:r>
      <w:r>
        <w:rPr>
          <w:spacing w:val="-6"/>
        </w:rPr>
        <w:t>万元以上的，应出示购货合同、协议和发票；在办理总额超过</w:t>
      </w:r>
      <w:r>
        <w:rPr>
          <w:spacing w:val="5"/>
          <w:u w:val="single"/>
        </w:rPr>
        <w:t xml:space="preserve">  </w:t>
      </w:r>
      <w:r>
        <w:t>万元以上的采购业务时，应将合同、协议和发票复印件</w:t>
      </w:r>
      <w:r>
        <w:rPr>
          <w:spacing w:val="-8"/>
        </w:rPr>
        <w:t>送丙方备案；购买应急材料、设备时可先办理支付手续，但事后必须补备有关资料；</w:t>
      </w:r>
    </w:p>
    <w:p>
      <w:pPr>
        <w:pStyle w:val="11"/>
        <w:spacing w:line="304" w:lineRule="exact"/>
        <w:ind w:left="904"/>
      </w:pPr>
      <w:r>
        <w:t>（</w:t>
      </w:r>
      <w:r>
        <w:rPr>
          <w:rFonts w:ascii="Times New Roman" w:eastAsia="Times New Roman"/>
        </w:rPr>
        <w:t>4</w:t>
      </w:r>
      <w:r>
        <w:t>）用银行转账支票办理支付款项时，必须将转账支票送交丙方，由丙方负责</w:t>
      </w:r>
    </w:p>
    <w:p>
      <w:pPr>
        <w:spacing w:line="304" w:lineRule="exact"/>
        <w:sectPr>
          <w:pgSz w:w="11910" w:h="16850"/>
          <w:pgMar w:top="1480" w:right="1200" w:bottom="1080" w:left="1220" w:header="883" w:footer="884" w:gutter="0"/>
          <w:cols w:space="720" w:num="1"/>
        </w:sectPr>
      </w:pPr>
    </w:p>
    <w:p>
      <w:pPr>
        <w:pStyle w:val="11"/>
        <w:spacing w:before="9"/>
        <w:rPr>
          <w:sz w:val="8"/>
        </w:rPr>
      </w:pPr>
    </w:p>
    <w:p>
      <w:pPr>
        <w:pStyle w:val="11"/>
        <w:spacing w:before="66"/>
        <w:ind w:left="424"/>
      </w:pPr>
      <w:r>
        <w:t>办理支票转付手续；</w:t>
      </w:r>
    </w:p>
    <w:p>
      <w:pPr>
        <w:pStyle w:val="11"/>
        <w:spacing w:before="72"/>
        <w:ind w:left="904"/>
      </w:pPr>
      <w:r>
        <w:t>（</w:t>
      </w:r>
      <w:r>
        <w:rPr>
          <w:rFonts w:ascii="Times New Roman" w:eastAsia="Times New Roman"/>
        </w:rPr>
        <w:t>5</w:t>
      </w:r>
      <w:r>
        <w:t>）向分包单位支付工程进度款时，应附甲方批准分包的文件；</w:t>
      </w:r>
    </w:p>
    <w:p>
      <w:pPr>
        <w:pStyle w:val="11"/>
        <w:spacing w:before="72" w:line="297" w:lineRule="auto"/>
        <w:ind w:left="424" w:right="306" w:firstLine="479"/>
      </w:pPr>
      <w:r>
        <w:t>（</w:t>
      </w:r>
      <w:r>
        <w:rPr>
          <w:rFonts w:ascii="Times New Roman" w:eastAsia="Times New Roman"/>
        </w:rPr>
        <w:t>6</w:t>
      </w:r>
      <w:r>
        <w:t>）向上级单位缴纳管理费、机械设备及周转材料租赁摊销费等款项时，应附上级单位出具的转账通知等有关资料，以确保资金专款专用。</w:t>
      </w:r>
    </w:p>
    <w:p>
      <w:pPr>
        <w:pStyle w:val="20"/>
        <w:numPr>
          <w:ilvl w:val="0"/>
          <w:numId w:val="44"/>
        </w:numPr>
        <w:tabs>
          <w:tab w:val="left" w:pos="1205"/>
        </w:tabs>
        <w:spacing w:line="306" w:lineRule="exact"/>
        <w:ind w:firstLine="480"/>
        <w:rPr>
          <w:sz w:val="24"/>
        </w:rPr>
      </w:pPr>
      <w:r>
        <w:rPr>
          <w:sz w:val="24"/>
        </w:rPr>
        <w:t>丙方的权责</w:t>
      </w:r>
    </w:p>
    <w:p>
      <w:pPr>
        <w:pStyle w:val="11"/>
        <w:tabs>
          <w:tab w:val="left" w:pos="2911"/>
        </w:tabs>
        <w:spacing w:before="71" w:line="297" w:lineRule="auto"/>
        <w:ind w:left="424" w:right="384" w:firstLine="479"/>
      </w:pPr>
      <w:r>
        <w:rPr>
          <w:spacing w:val="-6"/>
        </w:rPr>
        <w:t>（</w:t>
      </w:r>
      <w:r>
        <w:rPr>
          <w:rFonts w:ascii="Times New Roman" w:hAnsi="Times New Roman" w:eastAsia="Times New Roman"/>
          <w:spacing w:val="-6"/>
        </w:rPr>
        <w:t>1</w:t>
      </w:r>
      <w:r>
        <w:rPr>
          <w:spacing w:val="-6"/>
        </w:rPr>
        <w:t>）</w:t>
      </w:r>
      <w:r>
        <w:t>成立</w:t>
      </w:r>
      <w:r>
        <w:rPr>
          <w:u w:val="single"/>
        </w:rPr>
        <w:t xml:space="preserve"> </w:t>
      </w:r>
      <w:r>
        <w:rPr>
          <w:u w:val="single"/>
        </w:rPr>
        <w:tab/>
      </w:r>
      <w:r>
        <w:t>（项目名称</w:t>
      </w:r>
      <w:r>
        <w:rPr>
          <w:spacing w:val="-17"/>
        </w:rPr>
        <w:t>）</w:t>
      </w:r>
      <w:r>
        <w:t>工程资金管理服务小组</w:t>
      </w:r>
      <w:r>
        <w:rPr>
          <w:spacing w:val="-17"/>
        </w:rPr>
        <w:t>，</w:t>
      </w:r>
      <w:r>
        <w:t>明确业务流程</w:t>
      </w:r>
      <w:r>
        <w:rPr>
          <w:spacing w:val="-17"/>
        </w:rPr>
        <w:t>，</w:t>
      </w:r>
      <w:r>
        <w:t>提高工作效率，杜绝</w:t>
      </w:r>
      <w:r>
        <w:rPr>
          <w:rFonts w:ascii="Times New Roman" w:hAnsi="Times New Roman" w:eastAsia="Times New Roman"/>
        </w:rPr>
        <w:t>“</w:t>
      </w:r>
      <w:r>
        <w:t>压票</w:t>
      </w:r>
      <w:r>
        <w:rPr>
          <w:rFonts w:ascii="Times New Roman" w:hAnsi="Times New Roman" w:eastAsia="Times New Roman"/>
        </w:rPr>
        <w:t>”</w:t>
      </w:r>
      <w:r>
        <w:t>现象；</w:t>
      </w:r>
    </w:p>
    <w:p>
      <w:pPr>
        <w:pStyle w:val="11"/>
        <w:spacing w:line="297" w:lineRule="auto"/>
        <w:ind w:left="424" w:right="387" w:firstLine="479"/>
      </w:pPr>
      <w:r>
        <w:t>（</w:t>
      </w:r>
      <w:r>
        <w:rPr>
          <w:rFonts w:ascii="Times New Roman" w:eastAsia="Times New Roman"/>
        </w:rPr>
        <w:t>2</w:t>
      </w:r>
      <w:r>
        <w:rPr>
          <w:spacing w:val="-106"/>
        </w:rPr>
        <w:t>）</w:t>
      </w:r>
      <w:r>
        <w:rPr>
          <w:spacing w:val="-30"/>
        </w:rPr>
        <w:t>根据乙方提供的购货合同、协议和发票，检查其所购材料、设备是否用于</w:t>
      </w:r>
      <w:r>
        <w:rPr>
          <w:rFonts w:ascii="Times New Roman" w:eastAsia="Times New Roman"/>
          <w:spacing w:val="-6"/>
          <w:u w:val="single"/>
        </w:rPr>
        <w:t xml:space="preserve">    </w:t>
      </w:r>
      <w:r>
        <w:rPr>
          <w:u w:val="single"/>
        </w:rPr>
        <w:t>（</w:t>
      </w:r>
      <w:r>
        <w:t>项目名称）工程建设，对本标段以外的购货款项，有权拒绝办理，并及时报告甲方；</w:t>
      </w:r>
    </w:p>
    <w:p>
      <w:pPr>
        <w:pStyle w:val="11"/>
        <w:spacing w:line="295" w:lineRule="auto"/>
        <w:ind w:left="424" w:right="306" w:firstLine="479"/>
      </w:pPr>
      <w:r>
        <w:t>（</w:t>
      </w:r>
      <w:r>
        <w:rPr>
          <w:rFonts w:ascii="Times New Roman" w:eastAsia="Times New Roman"/>
        </w:rPr>
        <w:t>3</w:t>
      </w:r>
      <w:r>
        <w:t>）根据乙方与分包单位签订的合同及支付文件，检查其支付款项是否符合有关条件，向分包单位以外单位的支付有权拒绝办理，并及时报告甲方；</w:t>
      </w:r>
    </w:p>
    <w:p>
      <w:pPr>
        <w:pStyle w:val="11"/>
        <w:spacing w:line="297" w:lineRule="auto"/>
        <w:ind w:left="424" w:right="264" w:firstLine="479"/>
      </w:pPr>
      <w:r>
        <w:rPr>
          <w:spacing w:val="-10"/>
        </w:rPr>
        <w:t>（</w:t>
      </w:r>
      <w:r>
        <w:rPr>
          <w:rFonts w:ascii="Times New Roman" w:eastAsia="Times New Roman"/>
          <w:spacing w:val="-10"/>
        </w:rPr>
        <w:t>4</w:t>
      </w:r>
      <w:r>
        <w:rPr>
          <w:spacing w:val="-10"/>
        </w:rPr>
        <w:t>）</w:t>
      </w:r>
      <w:r>
        <w:rPr>
          <w:spacing w:val="-3"/>
        </w:rPr>
        <w:t>根据乙方提供的上级单位出具的转账通知等有关资料，办理管理费、机械</w:t>
      </w:r>
      <w:r>
        <w:rPr>
          <w:spacing w:val="-8"/>
        </w:rPr>
        <w:t>设备及周转材料租赁摊销费等款项的支付；对超出转账通知等有关资料以外的支付， 有权拒绝办理，并及时报告甲方；</w:t>
      </w:r>
    </w:p>
    <w:p>
      <w:pPr>
        <w:pStyle w:val="11"/>
        <w:spacing w:line="297" w:lineRule="auto"/>
        <w:ind w:left="424" w:right="306" w:firstLine="479"/>
      </w:pPr>
      <w:r>
        <w:t>（</w:t>
      </w:r>
      <w:r>
        <w:rPr>
          <w:rFonts w:ascii="Times New Roman" w:eastAsia="Times New Roman"/>
        </w:rPr>
        <w:t>5</w:t>
      </w:r>
      <w:r>
        <w:t>）定期将乙方前一个周期的支付情况，整理后书面报送甲方；乙方复印备案的材料一并送甲方。</w:t>
      </w:r>
    </w:p>
    <w:p>
      <w:pPr>
        <w:pStyle w:val="20"/>
        <w:numPr>
          <w:ilvl w:val="0"/>
          <w:numId w:val="44"/>
        </w:numPr>
        <w:tabs>
          <w:tab w:val="left" w:pos="1205"/>
        </w:tabs>
        <w:spacing w:line="295" w:lineRule="auto"/>
        <w:ind w:right="383" w:firstLine="480"/>
        <w:rPr>
          <w:sz w:val="24"/>
        </w:rPr>
      </w:pPr>
      <w:r>
        <w:rPr>
          <w:spacing w:val="-5"/>
          <w:sz w:val="24"/>
        </w:rPr>
        <w:t>甲、乙、丙三方都应履行保密责任，不得将其他两方的业务情况透露给三方以外的其他单位或个人。</w:t>
      </w:r>
    </w:p>
    <w:p>
      <w:pPr>
        <w:pStyle w:val="20"/>
        <w:numPr>
          <w:ilvl w:val="0"/>
          <w:numId w:val="44"/>
        </w:numPr>
        <w:tabs>
          <w:tab w:val="left" w:pos="1205"/>
        </w:tabs>
        <w:spacing w:line="295" w:lineRule="auto"/>
        <w:ind w:right="385" w:firstLine="480"/>
        <w:rPr>
          <w:sz w:val="24"/>
        </w:rPr>
      </w:pPr>
      <w:r>
        <w:rPr>
          <w:spacing w:val="-2"/>
          <w:sz w:val="24"/>
        </w:rPr>
        <w:t>本协议有效期自乙方在丙方开户起，至工程交工验收甲方向乙方颁发交工验收证书后结束。</w:t>
      </w:r>
    </w:p>
    <w:p>
      <w:pPr>
        <w:pStyle w:val="20"/>
        <w:numPr>
          <w:ilvl w:val="0"/>
          <w:numId w:val="44"/>
        </w:numPr>
        <w:tabs>
          <w:tab w:val="left" w:pos="1205"/>
        </w:tabs>
        <w:ind w:firstLine="480"/>
        <w:rPr>
          <w:sz w:val="24"/>
        </w:rPr>
      </w:pPr>
      <w:r>
        <w:rPr>
          <w:sz w:val="24"/>
        </w:rPr>
        <w:t>本协议未尽事宜，由甲方牵头，三方协商解决。</w:t>
      </w:r>
    </w:p>
    <w:p>
      <w:pPr>
        <w:pStyle w:val="20"/>
        <w:numPr>
          <w:ilvl w:val="0"/>
          <w:numId w:val="44"/>
        </w:numPr>
        <w:tabs>
          <w:tab w:val="left" w:pos="1205"/>
        </w:tabs>
        <w:spacing w:before="74" w:line="295" w:lineRule="auto"/>
        <w:ind w:right="384" w:firstLine="480"/>
        <w:rPr>
          <w:sz w:val="24"/>
        </w:rPr>
      </w:pPr>
      <w:r>
        <w:rPr>
          <w:spacing w:val="-1"/>
          <w:sz w:val="24"/>
        </w:rPr>
        <w:t>本协议正本三份、副本</w:t>
      </w:r>
      <w:r>
        <w:rPr>
          <w:spacing w:val="-4"/>
          <w:sz w:val="24"/>
        </w:rPr>
        <w:t xml:space="preserve"> 份。合同三方各执正本一份、副本</w:t>
      </w:r>
      <w:r>
        <w:rPr>
          <w:sz w:val="24"/>
          <w:u w:val="single"/>
        </w:rPr>
        <w:t xml:space="preserve"> </w:t>
      </w:r>
      <w:r>
        <w:rPr>
          <w:spacing w:val="-2"/>
          <w:sz w:val="24"/>
        </w:rPr>
        <w:t xml:space="preserve"> 份，当正本与副本内容不一致时，以正本为准。</w:t>
      </w:r>
    </w:p>
    <w:p>
      <w:pPr>
        <w:pStyle w:val="11"/>
        <w:spacing w:before="8"/>
        <w:rPr>
          <w:sz w:val="23"/>
        </w:rPr>
      </w:pPr>
    </w:p>
    <w:p>
      <w:pPr>
        <w:pStyle w:val="11"/>
        <w:tabs>
          <w:tab w:val="left" w:pos="4504"/>
          <w:tab w:val="left" w:pos="4984"/>
        </w:tabs>
        <w:spacing w:line="266" w:lineRule="auto"/>
        <w:ind w:left="424" w:right="3539"/>
      </w:pPr>
      <w:r>
        <w:t>发包人：</w:t>
      </w:r>
      <w:r>
        <w:rPr>
          <w:u w:val="single"/>
        </w:rPr>
        <w:t xml:space="preserve"> </w:t>
      </w:r>
      <w:r>
        <w:rPr>
          <w:u w:val="single"/>
        </w:rPr>
        <w:tab/>
      </w:r>
      <w:r>
        <w:t>（盖单位章） 法定代表人或其委托代理人：</w:t>
      </w:r>
      <w:r>
        <w:rPr>
          <w:u w:val="single"/>
        </w:rPr>
        <w:t xml:space="preserve"> </w:t>
      </w:r>
      <w:r>
        <w:rPr>
          <w:u w:val="single"/>
        </w:rPr>
        <w:tab/>
      </w:r>
      <w:r>
        <w:rPr>
          <w:u w:val="single"/>
        </w:rPr>
        <w:tab/>
      </w:r>
      <w:r>
        <w:t>（签字）</w:t>
      </w:r>
    </w:p>
    <w:p>
      <w:pPr>
        <w:pStyle w:val="11"/>
        <w:tabs>
          <w:tab w:val="left" w:pos="3424"/>
          <w:tab w:val="left" w:pos="4504"/>
          <w:tab w:val="left" w:pos="5400"/>
        </w:tabs>
        <w:spacing w:line="304" w:lineRule="exact"/>
        <w:ind w:left="2344"/>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ab/>
      </w:r>
      <w:r>
        <w:t>日</w:t>
      </w:r>
    </w:p>
    <w:p>
      <w:pPr>
        <w:pStyle w:val="11"/>
        <w:spacing w:before="2"/>
        <w:rPr>
          <w:sz w:val="29"/>
        </w:rPr>
      </w:pPr>
    </w:p>
    <w:p>
      <w:pPr>
        <w:pStyle w:val="11"/>
        <w:tabs>
          <w:tab w:val="left" w:pos="4504"/>
          <w:tab w:val="left" w:pos="4984"/>
        </w:tabs>
        <w:spacing w:before="1" w:line="264" w:lineRule="auto"/>
        <w:ind w:left="424" w:right="3539"/>
      </w:pPr>
      <w:r>
        <w:t>承包人：</w:t>
      </w:r>
      <w:r>
        <w:rPr>
          <w:u w:val="single"/>
        </w:rPr>
        <w:t xml:space="preserve"> </w:t>
      </w:r>
      <w:r>
        <w:rPr>
          <w:u w:val="single"/>
        </w:rPr>
        <w:tab/>
      </w:r>
      <w:r>
        <w:t>（盖单位章） 法定代表人或其委托代理人：</w:t>
      </w:r>
      <w:r>
        <w:rPr>
          <w:u w:val="single"/>
        </w:rPr>
        <w:t xml:space="preserve"> </w:t>
      </w:r>
      <w:r>
        <w:rPr>
          <w:u w:val="single"/>
        </w:rPr>
        <w:tab/>
      </w:r>
      <w:r>
        <w:rPr>
          <w:u w:val="single"/>
        </w:rPr>
        <w:tab/>
      </w:r>
      <w:r>
        <w:t>（签字）</w:t>
      </w:r>
    </w:p>
    <w:p>
      <w:pPr>
        <w:pStyle w:val="11"/>
        <w:tabs>
          <w:tab w:val="left" w:pos="3424"/>
          <w:tab w:val="left" w:pos="4504"/>
          <w:tab w:val="left" w:pos="5400"/>
        </w:tabs>
        <w:spacing w:before="2"/>
        <w:ind w:left="2344"/>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ab/>
      </w:r>
      <w:r>
        <w:t>日</w:t>
      </w:r>
    </w:p>
    <w:p>
      <w:pPr>
        <w:pStyle w:val="11"/>
        <w:rPr>
          <w:sz w:val="29"/>
        </w:rPr>
      </w:pPr>
    </w:p>
    <w:p>
      <w:pPr>
        <w:pStyle w:val="11"/>
        <w:tabs>
          <w:tab w:val="left" w:pos="4504"/>
          <w:tab w:val="left" w:pos="4984"/>
        </w:tabs>
        <w:spacing w:line="266" w:lineRule="auto"/>
        <w:ind w:left="424" w:right="3539"/>
      </w:pPr>
      <w:r>
        <w:t>经办银行：</w:t>
      </w:r>
      <w:r>
        <w:rPr>
          <w:u w:val="single"/>
        </w:rPr>
        <w:t xml:space="preserve"> </w:t>
      </w:r>
      <w:r>
        <w:rPr>
          <w:u w:val="single"/>
        </w:rPr>
        <w:tab/>
      </w:r>
      <w:r>
        <w:t>（盖单位章） 法定代表人或其委托代理人：</w:t>
      </w:r>
      <w:r>
        <w:rPr>
          <w:u w:val="single"/>
        </w:rPr>
        <w:t xml:space="preserve"> </w:t>
      </w:r>
      <w:r>
        <w:rPr>
          <w:u w:val="single"/>
        </w:rPr>
        <w:tab/>
      </w:r>
      <w:r>
        <w:rPr>
          <w:u w:val="single"/>
        </w:rPr>
        <w:tab/>
      </w:r>
      <w:r>
        <w:t>（签字）</w:t>
      </w:r>
    </w:p>
    <w:p>
      <w:pPr>
        <w:pStyle w:val="11"/>
        <w:tabs>
          <w:tab w:val="left" w:pos="3424"/>
          <w:tab w:val="left" w:pos="4504"/>
          <w:tab w:val="left" w:pos="5400"/>
        </w:tabs>
        <w:spacing w:line="307" w:lineRule="exact"/>
        <w:ind w:left="2344"/>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ab/>
      </w:r>
      <w:r>
        <w:t>日</w:t>
      </w:r>
    </w:p>
    <w:p>
      <w:pPr>
        <w:spacing w:line="307" w:lineRule="exact"/>
        <w:sectPr>
          <w:pgSz w:w="11910" w:h="16850"/>
          <w:pgMar w:top="1480" w:right="1200" w:bottom="1040" w:left="1220" w:header="876" w:footer="853" w:gutter="0"/>
          <w:cols w:space="720" w:num="1"/>
        </w:sect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tabs>
          <w:tab w:val="left" w:pos="4483"/>
        </w:tabs>
        <w:spacing w:before="159"/>
        <w:jc w:val="center"/>
        <w:rPr>
          <w:rFonts w:ascii="黑体" w:eastAsia="黑体"/>
          <w:sz w:val="56"/>
        </w:rPr>
        <w:sectPr>
          <w:headerReference r:id="rId58" w:type="default"/>
          <w:footerReference r:id="rId59" w:type="default"/>
          <w:pgSz w:w="11910" w:h="16850"/>
          <w:pgMar w:top="1600" w:right="1200" w:bottom="280" w:left="1220" w:header="0" w:footer="0" w:gutter="0"/>
          <w:cols w:space="720" w:num="1"/>
        </w:sectPr>
      </w:pPr>
      <w:r>
        <w:rPr>
          <w:rFonts w:hint="eastAsia" w:ascii="黑体" w:eastAsia="黑体"/>
          <w:sz w:val="56"/>
        </w:rPr>
        <w:t>第五章</w:t>
      </w:r>
      <w:r>
        <w:rPr>
          <w:rFonts w:hint="eastAsia" w:ascii="黑体" w:eastAsia="黑体"/>
          <w:sz w:val="56"/>
          <w:lang w:val="en-US"/>
        </w:rPr>
        <w:t xml:space="preserve"> </w:t>
      </w:r>
      <w:r>
        <w:rPr>
          <w:rFonts w:hint="eastAsia" w:ascii="黑体" w:eastAsia="黑体"/>
          <w:sz w:val="56"/>
        </w:rPr>
        <w:t>工程量清单（</w:t>
      </w:r>
      <w:r>
        <w:rPr>
          <w:rFonts w:hint="eastAsia" w:ascii="黑体" w:eastAsia="黑体"/>
          <w:sz w:val="56"/>
          <w:lang w:val="en-US"/>
        </w:rPr>
        <w:t>另册</w:t>
      </w:r>
      <w:r>
        <w:rPr>
          <w:rFonts w:hint="eastAsia" w:ascii="黑体" w:eastAsia="黑体"/>
          <w:sz w:val="56"/>
        </w:rPr>
        <w:t>）</w:t>
      </w:r>
    </w:p>
    <w:p>
      <w:pPr>
        <w:pStyle w:val="11"/>
        <w:rPr>
          <w:rFonts w:ascii="黑体"/>
          <w:sz w:val="20"/>
        </w:rPr>
      </w:pPr>
      <w:bookmarkStart w:id="265" w:name="_bookmark277"/>
      <w:bookmarkEnd w:id="265"/>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tabs>
          <w:tab w:val="left" w:pos="4002"/>
        </w:tabs>
        <w:spacing w:before="169"/>
        <w:ind w:left="1762"/>
        <w:rPr>
          <w:rFonts w:ascii="黑体" w:eastAsia="黑体"/>
          <w:sz w:val="56"/>
        </w:rPr>
      </w:pPr>
      <w:bookmarkStart w:id="266" w:name="_bookmark283"/>
      <w:bookmarkEnd w:id="266"/>
      <w:r>
        <w:rPr>
          <w:rFonts w:hint="eastAsia" w:ascii="黑体" w:eastAsia="黑体"/>
          <w:sz w:val="56"/>
        </w:rPr>
        <w:t>第六章</w:t>
      </w:r>
      <w:r>
        <w:rPr>
          <w:rFonts w:hint="eastAsia" w:ascii="黑体" w:eastAsia="黑体"/>
          <w:sz w:val="56"/>
        </w:rPr>
        <w:tab/>
      </w:r>
      <w:r>
        <w:rPr>
          <w:rFonts w:hint="eastAsia" w:ascii="黑体" w:eastAsia="黑体"/>
          <w:sz w:val="56"/>
        </w:rPr>
        <w:t>图纸（另册）</w:t>
      </w:r>
    </w:p>
    <w:p>
      <w:pPr>
        <w:rPr>
          <w:rFonts w:ascii="黑体" w:eastAsia="黑体"/>
          <w:sz w:val="56"/>
        </w:rPr>
        <w:sectPr>
          <w:headerReference r:id="rId60" w:type="default"/>
          <w:footerReference r:id="rId62" w:type="default"/>
          <w:headerReference r:id="rId61" w:type="even"/>
          <w:footerReference r:id="rId63" w:type="even"/>
          <w:pgSz w:w="11910" w:h="16850"/>
          <w:pgMar w:top="1600" w:right="1300" w:bottom="280" w:left="1420" w:header="0" w:footer="0" w:gutter="0"/>
          <w:cols w:space="720" w:num="1"/>
        </w:sect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tabs>
          <w:tab w:val="left" w:pos="3858"/>
        </w:tabs>
        <w:spacing w:before="31"/>
        <w:ind w:left="1618"/>
        <w:rPr>
          <w:rFonts w:ascii="黑体" w:hAnsi="黑体" w:eastAsia="黑体"/>
          <w:b/>
          <w:sz w:val="28"/>
        </w:rPr>
      </w:pPr>
      <w:bookmarkStart w:id="267" w:name="_bookmark286"/>
      <w:bookmarkEnd w:id="267"/>
      <w:r>
        <w:rPr>
          <w:rFonts w:hint="eastAsia" w:ascii="黑体" w:hAnsi="黑体" w:eastAsia="黑体"/>
          <w:sz w:val="56"/>
        </w:rPr>
        <w:t>第</w:t>
      </w:r>
      <w:r>
        <w:rPr>
          <w:rFonts w:hint="eastAsia" w:ascii="黑体" w:hAnsi="黑体" w:eastAsia="黑体"/>
          <w:sz w:val="56"/>
          <w:lang w:val="en-US"/>
        </w:rPr>
        <w:t>七</w:t>
      </w:r>
      <w:r>
        <w:rPr>
          <w:rFonts w:hint="eastAsia" w:ascii="黑体" w:hAnsi="黑体" w:eastAsia="黑体"/>
          <w:sz w:val="56"/>
        </w:rPr>
        <w:t>章</w:t>
      </w:r>
      <w:r>
        <w:rPr>
          <w:rFonts w:hint="eastAsia" w:ascii="黑体" w:hAnsi="黑体" w:eastAsia="黑体"/>
          <w:sz w:val="56"/>
        </w:rPr>
        <w:tab/>
      </w:r>
      <w:r>
        <w:rPr>
          <w:rFonts w:hint="eastAsia" w:ascii="黑体" w:hAnsi="黑体" w:eastAsia="黑体"/>
          <w:sz w:val="56"/>
        </w:rPr>
        <w:t>投标文件格式</w:t>
      </w: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spacing w:before="6"/>
        <w:rPr>
          <w:rFonts w:ascii="黑体"/>
          <w:b/>
          <w:sz w:val="12"/>
        </w:rPr>
      </w:pPr>
    </w:p>
    <w:p>
      <w:pPr>
        <w:pStyle w:val="11"/>
        <w:spacing w:before="5"/>
        <w:rPr>
          <w:rFonts w:ascii="黑体"/>
          <w:b/>
          <w:sz w:val="13"/>
        </w:rPr>
      </w:pPr>
    </w:p>
    <w:p>
      <w:pPr>
        <w:rPr>
          <w:sz w:val="18"/>
        </w:rPr>
        <w:sectPr>
          <w:headerReference r:id="rId64" w:type="default"/>
          <w:footerReference r:id="rId66" w:type="default"/>
          <w:headerReference r:id="rId65" w:type="even"/>
          <w:footerReference r:id="rId67" w:type="even"/>
          <w:pgSz w:w="11910" w:h="16850"/>
          <w:pgMar w:top="1600" w:right="1300" w:bottom="280" w:left="1420" w:header="0" w:footer="0" w:gutter="0"/>
          <w:cols w:space="720" w:num="1"/>
        </w:sectPr>
      </w:pPr>
    </w:p>
    <w:p>
      <w:pPr>
        <w:pStyle w:val="11"/>
        <w:rPr>
          <w:sz w:val="20"/>
        </w:rPr>
      </w:pPr>
    </w:p>
    <w:p>
      <w:pPr>
        <w:pStyle w:val="11"/>
        <w:rPr>
          <w:sz w:val="20"/>
        </w:rPr>
      </w:pPr>
    </w:p>
    <w:p>
      <w:pPr>
        <w:pStyle w:val="11"/>
        <w:rPr>
          <w:sz w:val="20"/>
        </w:rPr>
      </w:pPr>
    </w:p>
    <w:p>
      <w:pPr>
        <w:pStyle w:val="11"/>
        <w:rPr>
          <w:sz w:val="20"/>
        </w:rPr>
      </w:pPr>
    </w:p>
    <w:p>
      <w:pPr>
        <w:pStyle w:val="11"/>
        <w:spacing w:before="10"/>
        <w:rPr>
          <w:sz w:val="15"/>
        </w:rPr>
      </w:pPr>
    </w:p>
    <w:p>
      <w:pPr>
        <w:pStyle w:val="11"/>
        <w:rPr>
          <w:rFonts w:ascii="黑体"/>
          <w:sz w:val="20"/>
        </w:rPr>
      </w:pPr>
    </w:p>
    <w:p>
      <w:pPr>
        <w:pStyle w:val="11"/>
        <w:rPr>
          <w:rFonts w:ascii="黑体"/>
          <w:sz w:val="20"/>
        </w:rPr>
      </w:pPr>
    </w:p>
    <w:p>
      <w:pPr>
        <w:pStyle w:val="11"/>
        <w:rPr>
          <w:rFonts w:ascii="黑体"/>
          <w:sz w:val="20"/>
        </w:rPr>
      </w:pPr>
    </w:p>
    <w:p>
      <w:pPr>
        <w:pStyle w:val="11"/>
        <w:spacing w:before="3"/>
        <w:rPr>
          <w:rFonts w:ascii="黑体"/>
          <w:sz w:val="19"/>
        </w:rPr>
      </w:pPr>
    </w:p>
    <w:p>
      <w:pPr>
        <w:pStyle w:val="11"/>
        <w:tabs>
          <w:tab w:val="left" w:pos="2212"/>
          <w:tab w:val="left" w:pos="4918"/>
        </w:tabs>
        <w:spacing w:before="74"/>
        <w:ind w:right="173"/>
        <w:jc w:val="center"/>
        <w:rPr>
          <w:rFonts w:ascii="黑体" w:eastAsia="黑体"/>
        </w:rPr>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rPr>
          <w:rFonts w:hint="eastAsia" w:ascii="黑体" w:eastAsia="黑体"/>
        </w:rPr>
        <w:t>（项目名称）</w:t>
      </w:r>
      <w:r>
        <w:rPr>
          <w:rFonts w:hint="eastAsia" w:ascii="黑体" w:eastAsia="黑体"/>
          <w:u w:val="single"/>
        </w:rPr>
        <w:t xml:space="preserve"> </w:t>
      </w:r>
      <w:r>
        <w:rPr>
          <w:rFonts w:hint="eastAsia" w:ascii="黑体" w:eastAsia="黑体"/>
          <w:u w:val="single"/>
        </w:rPr>
        <w:tab/>
      </w:r>
      <w:r>
        <w:rPr>
          <w:rFonts w:hint="eastAsia" w:ascii="黑体" w:eastAsia="黑体"/>
        </w:rPr>
        <w:t>标段施工招标</w:t>
      </w: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tabs>
          <w:tab w:val="left" w:pos="1440"/>
          <w:tab w:val="left" w:pos="2880"/>
          <w:tab w:val="left" w:pos="4320"/>
        </w:tabs>
        <w:spacing w:before="224"/>
        <w:ind w:right="61"/>
        <w:jc w:val="center"/>
        <w:rPr>
          <w:rFonts w:ascii="黑体" w:eastAsia="黑体"/>
          <w:sz w:val="72"/>
        </w:rPr>
      </w:pPr>
      <w:bookmarkStart w:id="268" w:name="_bookmark287"/>
      <w:bookmarkEnd w:id="268"/>
      <w:r>
        <w:rPr>
          <w:rFonts w:hint="eastAsia" w:ascii="黑体" w:eastAsia="黑体"/>
          <w:sz w:val="72"/>
        </w:rPr>
        <w:t>投</w:t>
      </w:r>
      <w:r>
        <w:rPr>
          <w:rFonts w:hint="eastAsia" w:ascii="黑体" w:eastAsia="黑体"/>
          <w:sz w:val="72"/>
        </w:rPr>
        <w:tab/>
      </w:r>
      <w:r>
        <w:rPr>
          <w:rFonts w:hint="eastAsia" w:ascii="黑体" w:eastAsia="黑体"/>
          <w:sz w:val="72"/>
        </w:rPr>
        <w:t>标</w:t>
      </w:r>
      <w:r>
        <w:rPr>
          <w:rFonts w:hint="eastAsia" w:ascii="黑体" w:eastAsia="黑体"/>
          <w:sz w:val="72"/>
        </w:rPr>
        <w:tab/>
      </w:r>
      <w:r>
        <w:rPr>
          <w:rFonts w:hint="eastAsia" w:ascii="黑体" w:eastAsia="黑体"/>
          <w:sz w:val="72"/>
        </w:rPr>
        <w:t>文</w:t>
      </w:r>
      <w:r>
        <w:rPr>
          <w:rFonts w:hint="eastAsia" w:ascii="黑体" w:eastAsia="黑体"/>
          <w:sz w:val="72"/>
        </w:rPr>
        <w:tab/>
      </w:r>
      <w:r>
        <w:rPr>
          <w:rFonts w:hint="eastAsia" w:ascii="黑体" w:eastAsia="黑体"/>
          <w:sz w:val="72"/>
        </w:rPr>
        <w:t>件</w:t>
      </w:r>
    </w:p>
    <w:p>
      <w:pPr>
        <w:pStyle w:val="7"/>
        <w:spacing w:before="478"/>
        <w:ind w:right="61"/>
        <w:jc w:val="center"/>
      </w:pPr>
      <w:r>
        <w:t>（商务及技术文件）</w:t>
      </w: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spacing w:before="12"/>
        <w:rPr>
          <w:rFonts w:ascii="黑体"/>
          <w:sz w:val="4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11"/>
        <w:rPr>
          <w:rFonts w:ascii="黑体"/>
          <w:sz w:val="20"/>
        </w:rPr>
      </w:pPr>
    </w:p>
    <w:p>
      <w:pPr>
        <w:pStyle w:val="11"/>
        <w:spacing w:before="12"/>
        <w:rPr>
          <w:rFonts w:ascii="黑体"/>
          <w:sz w:val="15"/>
        </w:rPr>
      </w:pPr>
    </w:p>
    <w:p>
      <w:pPr>
        <w:tabs>
          <w:tab w:val="left" w:pos="3510"/>
          <w:tab w:val="left" w:pos="4912"/>
          <w:tab w:val="left" w:pos="6450"/>
        </w:tabs>
        <w:spacing w:before="62"/>
        <w:ind w:left="2392"/>
        <w:rPr>
          <w:rFonts w:ascii="黑体" w:eastAsia="黑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rPr>
          <w:rFonts w:ascii="黑体" w:eastAsia="黑体"/>
          <w:sz w:val="28"/>
        </w:rPr>
        <w:sectPr>
          <w:headerReference r:id="rId68" w:type="even"/>
          <w:footerReference r:id="rId69" w:type="even"/>
          <w:pgSz w:w="11910" w:h="16850"/>
          <w:pgMar w:top="1600" w:right="1300" w:bottom="280" w:left="1420" w:header="0" w:footer="0" w:gutter="0"/>
          <w:cols w:space="720" w:num="1"/>
        </w:sectPr>
      </w:pPr>
    </w:p>
    <w:p>
      <w:pPr>
        <w:pStyle w:val="11"/>
        <w:spacing w:before="8"/>
        <w:rPr>
          <w:rFonts w:ascii="黑体"/>
          <w:sz w:val="22"/>
        </w:rPr>
      </w:pPr>
    </w:p>
    <w:p>
      <w:pPr>
        <w:pStyle w:val="10"/>
        <w:tabs>
          <w:tab w:val="left" w:pos="4936"/>
        </w:tabs>
        <w:spacing w:before="58"/>
        <w:ind w:left="3887" w:right="0"/>
        <w:jc w:val="left"/>
      </w:pPr>
      <w:bookmarkStart w:id="269" w:name="_bookmark288"/>
      <w:bookmarkEnd w:id="269"/>
      <w:r>
        <w:t>目</w:t>
      </w:r>
      <w:r>
        <w:tab/>
      </w:r>
      <w:r>
        <w:t>录</w:t>
      </w:r>
    </w:p>
    <w:p>
      <w:pPr>
        <w:pStyle w:val="11"/>
        <w:rPr>
          <w:rFonts w:ascii="黑体"/>
          <w:sz w:val="30"/>
        </w:rPr>
      </w:pPr>
    </w:p>
    <w:p>
      <w:pPr>
        <w:pStyle w:val="11"/>
        <w:spacing w:before="2"/>
        <w:rPr>
          <w:rFonts w:ascii="黑体"/>
          <w:sz w:val="32"/>
        </w:rPr>
      </w:pPr>
    </w:p>
    <w:p>
      <w:pPr>
        <w:pStyle w:val="11"/>
        <w:ind w:left="1844"/>
      </w:pPr>
      <w:r>
        <w:t xml:space="preserve">一、投标函及投标函附录 </w:t>
      </w:r>
    </w:p>
    <w:p>
      <w:pPr>
        <w:pStyle w:val="11"/>
        <w:spacing w:before="132" w:line="345" w:lineRule="auto"/>
        <w:ind w:left="1844" w:right="3139"/>
      </w:pPr>
      <w:r>
        <w:t xml:space="preserve">二、授权委托书或法定代表人身份证明三、联合体协议书 </w:t>
      </w:r>
    </w:p>
    <w:p>
      <w:pPr>
        <w:pStyle w:val="11"/>
        <w:spacing w:line="343" w:lineRule="auto"/>
        <w:ind w:left="1844" w:right="5299"/>
      </w:pPr>
      <w:r>
        <w:t xml:space="preserve">四、投标保证金  五、施工组织设计六、项目管理机构 </w:t>
      </w:r>
    </w:p>
    <w:p>
      <w:pPr>
        <w:pStyle w:val="11"/>
        <w:spacing w:line="343" w:lineRule="auto"/>
        <w:ind w:left="1844" w:right="4819"/>
      </w:pPr>
      <w:r>
        <w:t xml:space="preserve">七、拟分包项目情况表八、资格审查资料 </w:t>
      </w:r>
    </w:p>
    <w:p>
      <w:pPr>
        <w:pStyle w:val="11"/>
        <w:ind w:left="1844"/>
      </w:pPr>
      <w:r>
        <w:t xml:space="preserve">九、其他资料 </w:t>
      </w:r>
    </w:p>
    <w:p>
      <w:pPr>
        <w:sectPr>
          <w:headerReference r:id="rId70" w:type="default"/>
          <w:footerReference r:id="rId71" w:type="default"/>
          <w:pgSz w:w="11910" w:h="16850"/>
          <w:pgMar w:top="1600" w:right="1300" w:bottom="280" w:left="1420" w:header="0" w:footer="0" w:gutter="0"/>
          <w:cols w:space="720" w:num="1"/>
        </w:sectPr>
      </w:pPr>
    </w:p>
    <w:p>
      <w:pPr>
        <w:pStyle w:val="10"/>
        <w:spacing w:before="57"/>
        <w:ind w:right="58"/>
      </w:pPr>
      <w:bookmarkStart w:id="270" w:name="_bookmark289"/>
      <w:bookmarkEnd w:id="270"/>
      <w:r>
        <w:t>一、投标函及投标函附录</w:t>
      </w:r>
    </w:p>
    <w:p>
      <w:pPr>
        <w:pStyle w:val="11"/>
        <w:spacing w:before="6"/>
        <w:rPr>
          <w:rFonts w:ascii="黑体"/>
          <w:sz w:val="28"/>
        </w:rPr>
      </w:pPr>
    </w:p>
    <w:p>
      <w:pPr>
        <w:spacing w:before="1"/>
        <w:ind w:right="58"/>
        <w:jc w:val="center"/>
        <w:rPr>
          <w:rFonts w:ascii="黑体" w:eastAsia="黑体"/>
          <w:sz w:val="28"/>
        </w:rPr>
      </w:pPr>
      <w:bookmarkStart w:id="271" w:name="_bookmark290"/>
      <w:bookmarkEnd w:id="271"/>
      <w:r>
        <w:rPr>
          <w:rFonts w:hint="eastAsia" w:ascii="黑体" w:eastAsia="黑体"/>
          <w:sz w:val="28"/>
        </w:rPr>
        <w:t>（一） 投 标 函</w:t>
      </w:r>
    </w:p>
    <w:p>
      <w:pPr>
        <w:pStyle w:val="11"/>
        <w:spacing w:before="3"/>
        <w:rPr>
          <w:rFonts w:ascii="黑体"/>
          <w:sz w:val="17"/>
        </w:rPr>
      </w:pPr>
    </w:p>
    <w:p>
      <w:pPr>
        <w:pStyle w:val="11"/>
        <w:tabs>
          <w:tab w:val="left" w:pos="3224"/>
        </w:tabs>
        <w:spacing w:before="74"/>
        <w:ind w:left="344"/>
      </w:pPr>
      <w:r>
        <w:rPr>
          <w:rFonts w:ascii="Times New Roman" w:eastAsia="Times New Roman"/>
          <w:u w:val="single"/>
        </w:rPr>
        <w:t xml:space="preserve"> </w:t>
      </w:r>
      <w:r>
        <w:rPr>
          <w:rFonts w:ascii="Times New Roman" w:eastAsia="Times New Roman"/>
          <w:u w:val="single"/>
        </w:rPr>
        <w:tab/>
      </w:r>
      <w:r>
        <w:t>（招标人名称</w:t>
      </w:r>
      <w:r>
        <w:rPr>
          <w:spacing w:val="-120"/>
        </w:rPr>
        <w:t>）</w:t>
      </w:r>
      <w:r>
        <w:t>：</w:t>
      </w:r>
    </w:p>
    <w:p>
      <w:pPr>
        <w:pStyle w:val="11"/>
        <w:tabs>
          <w:tab w:val="left" w:pos="4924"/>
          <w:tab w:val="left" w:pos="7454"/>
        </w:tabs>
        <w:spacing w:before="173" w:line="280" w:lineRule="auto"/>
        <w:ind w:left="224" w:right="284" w:firstLine="479"/>
        <w:jc w:val="both"/>
      </w:pPr>
      <w:r>
        <w:rPr>
          <w:rFonts w:ascii="Times New Roman" w:eastAsia="Times New Roman"/>
        </w:rPr>
        <w:t>1</w:t>
      </w:r>
      <w:r>
        <w:t>．我方已仔细研究</w:t>
      </w:r>
      <w:r>
        <w:rPr>
          <w:u w:val="single"/>
        </w:rPr>
        <w:t xml:space="preserve"> </w:t>
      </w:r>
      <w:r>
        <w:rPr>
          <w:u w:val="single"/>
        </w:rPr>
        <w:tab/>
      </w:r>
      <w:r>
        <w:t>（项目名称）</w:t>
      </w:r>
      <w:r>
        <w:rPr>
          <w:u w:val="single"/>
        </w:rPr>
        <w:t xml:space="preserve"> </w:t>
      </w:r>
      <w:r>
        <w:rPr>
          <w:u w:val="single"/>
        </w:rPr>
        <w:tab/>
      </w:r>
      <w:r>
        <w:t>标段施工招标文件的全部内</w:t>
      </w:r>
      <w:r>
        <w:rPr>
          <w:spacing w:val="-29"/>
        </w:rPr>
        <w:t>容</w:t>
      </w:r>
      <w:r>
        <w:t>（含补遗书第</w:t>
      </w:r>
      <w:r>
        <w:rPr>
          <w:u w:val="single"/>
        </w:rPr>
        <w:t xml:space="preserve">  </w:t>
      </w:r>
      <w:r>
        <w:t>号至第</w:t>
      </w:r>
      <w:r>
        <w:rPr>
          <w:u w:val="single"/>
        </w:rPr>
        <w:t xml:space="preserve">   </w:t>
      </w:r>
      <w:r>
        <w:t>号</w:t>
      </w:r>
      <w:r>
        <w:rPr>
          <w:spacing w:val="-75"/>
        </w:rPr>
        <w:t>），</w:t>
      </w:r>
      <w:r>
        <w:t>愿意以第二个信封（报价文件）中的投标总报价（或根据招标文件规定修正核实后确定的另一金额</w:t>
      </w:r>
      <w:r>
        <w:rPr>
          <w:spacing w:val="-121"/>
        </w:rPr>
        <w:t>）</w:t>
      </w:r>
      <w:r>
        <w:t>，按合同约定实施和完成承包工程，修补工程中的任何缺陷。</w:t>
      </w:r>
    </w:p>
    <w:p>
      <w:pPr>
        <w:pStyle w:val="11"/>
        <w:spacing w:before="1"/>
        <w:ind w:left="704"/>
      </w:pPr>
      <w:r>
        <w:rPr>
          <w:rFonts w:ascii="Times New Roman" w:eastAsia="Times New Roman"/>
        </w:rPr>
        <w:t>2</w:t>
      </w:r>
      <w:r>
        <w:t>．我方承诺在招标文件规定的投标有效期内不撤销投标文件。</w:t>
      </w:r>
    </w:p>
    <w:p>
      <w:pPr>
        <w:pStyle w:val="11"/>
        <w:tabs>
          <w:tab w:val="left" w:pos="3584"/>
          <w:tab w:val="left" w:pos="6345"/>
          <w:tab w:val="left" w:pos="7785"/>
        </w:tabs>
        <w:spacing w:before="53"/>
        <w:ind w:left="704"/>
      </w:pPr>
      <w:r>
        <w:rPr>
          <w:rFonts w:ascii="Times New Roman" w:eastAsia="Times New Roman"/>
        </w:rPr>
        <w:t>3</w:t>
      </w:r>
      <w:r>
        <w:t>．工程质量：</w:t>
      </w:r>
      <w:r>
        <w:rPr>
          <w:u w:val="single"/>
        </w:rPr>
        <w:t xml:space="preserve"> </w:t>
      </w:r>
      <w:r>
        <w:rPr>
          <w:u w:val="single"/>
        </w:rPr>
        <w:tab/>
      </w:r>
      <w:r>
        <w:t>，安全目标：</w:t>
      </w:r>
      <w:r>
        <w:rPr>
          <w:u w:val="single"/>
        </w:rPr>
        <w:t xml:space="preserve"> </w:t>
      </w:r>
      <w:r>
        <w:rPr>
          <w:u w:val="single"/>
        </w:rPr>
        <w:tab/>
      </w:r>
      <w:r>
        <w:t>，工期：</w:t>
      </w:r>
      <w:r>
        <w:rPr>
          <w:u w:val="single"/>
        </w:rPr>
        <w:t xml:space="preserve"> </w:t>
      </w:r>
      <w:r>
        <w:rPr>
          <w:u w:val="single"/>
        </w:rPr>
        <w:tab/>
      </w:r>
      <w:r>
        <w:t>日历天。</w:t>
      </w:r>
    </w:p>
    <w:p>
      <w:pPr>
        <w:pStyle w:val="11"/>
        <w:spacing w:before="52"/>
        <w:ind w:left="704"/>
      </w:pPr>
      <w:r>
        <w:rPr>
          <w:rFonts w:ascii="Times New Roman" w:eastAsia="Times New Roman"/>
        </w:rPr>
        <w:t>4</w:t>
      </w:r>
      <w:r>
        <w:t>．如我方中标，我方承诺：</w:t>
      </w:r>
    </w:p>
    <w:p>
      <w:pPr>
        <w:pStyle w:val="11"/>
        <w:spacing w:before="53"/>
        <w:ind w:left="704"/>
      </w:pPr>
      <w:r>
        <w:t>（</w:t>
      </w:r>
      <w:r>
        <w:rPr>
          <w:rFonts w:ascii="Times New Roman" w:eastAsia="Times New Roman"/>
        </w:rPr>
        <w:t>1</w:t>
      </w:r>
      <w:r>
        <w:t>）在收到中标通知书后，在中标通知书规定的期限内与你方签订合同；</w:t>
      </w:r>
    </w:p>
    <w:p>
      <w:pPr>
        <w:pStyle w:val="11"/>
        <w:spacing w:before="52"/>
        <w:ind w:left="704"/>
      </w:pPr>
      <w:r>
        <w:t>（</w:t>
      </w:r>
      <w:r>
        <w:rPr>
          <w:rFonts w:ascii="Times New Roman" w:eastAsia="Times New Roman"/>
        </w:rPr>
        <w:t>2</w:t>
      </w:r>
      <w:r>
        <w:t>）在签订合同时不向你方提出附加条件；</w:t>
      </w:r>
    </w:p>
    <w:p>
      <w:pPr>
        <w:pStyle w:val="11"/>
        <w:spacing w:before="53"/>
        <w:ind w:left="704"/>
      </w:pPr>
      <w:r>
        <w:t>（</w:t>
      </w:r>
      <w:r>
        <w:rPr>
          <w:rFonts w:ascii="Times New Roman" w:eastAsia="Times New Roman"/>
        </w:rPr>
        <w:t>3</w:t>
      </w:r>
      <w:r>
        <w:t>）按照招标文件要求提交履约保证金；</w:t>
      </w:r>
    </w:p>
    <w:p>
      <w:pPr>
        <w:pStyle w:val="11"/>
        <w:spacing w:before="52"/>
        <w:ind w:left="704"/>
      </w:pPr>
      <w:r>
        <w:t>（</w:t>
      </w:r>
      <w:r>
        <w:rPr>
          <w:rFonts w:ascii="Times New Roman" w:eastAsia="Times New Roman"/>
        </w:rPr>
        <w:t>4</w:t>
      </w:r>
      <w:r>
        <w:t>）在合同约定的期限内完成合同规定的全部义务；</w:t>
      </w:r>
    </w:p>
    <w:p>
      <w:pPr>
        <w:pStyle w:val="11"/>
        <w:spacing w:before="1" w:line="280" w:lineRule="auto"/>
        <w:ind w:left="224" w:right="285" w:firstLine="479"/>
      </w:pPr>
      <w:r>
        <w:rPr>
          <w:rFonts w:ascii="Times New Roman" w:hAnsi="Times New Roman" w:eastAsia="Times New Roman"/>
          <w:spacing w:val="-11"/>
        </w:rPr>
        <w:t>5</w:t>
      </w:r>
      <w:r>
        <w:rPr>
          <w:spacing w:val="-8"/>
        </w:rPr>
        <w:t>．我方在此声明，所递交的投标文件及有关资料内容完整、真实和准确，且不存在招标文件第二章</w:t>
      </w:r>
      <w:r>
        <w:rPr>
          <w:rFonts w:ascii="Times New Roman" w:hAnsi="Times New Roman" w:eastAsia="Times New Roman"/>
          <w:spacing w:val="-8"/>
        </w:rPr>
        <w:t>“</w:t>
      </w:r>
      <w:r>
        <w:rPr>
          <w:spacing w:val="-8"/>
        </w:rPr>
        <w:t>投标人须知</w:t>
      </w:r>
      <w:r>
        <w:rPr>
          <w:rFonts w:ascii="Times New Roman" w:hAnsi="Times New Roman" w:eastAsia="Times New Roman"/>
          <w:spacing w:val="-8"/>
        </w:rPr>
        <w:t>”</w:t>
      </w:r>
      <w:r>
        <w:rPr>
          <w:spacing w:val="-35"/>
        </w:rPr>
        <w:t xml:space="preserve">第 </w:t>
      </w:r>
      <w:r>
        <w:rPr>
          <w:rFonts w:ascii="Times New Roman" w:hAnsi="Times New Roman" w:eastAsia="Times New Roman"/>
        </w:rPr>
        <w:t xml:space="preserve">1.4.3 </w:t>
      </w:r>
      <w:r>
        <w:rPr>
          <w:spacing w:val="-16"/>
        </w:rPr>
        <w:t xml:space="preserve">项和第 </w:t>
      </w:r>
      <w:r>
        <w:rPr>
          <w:rFonts w:ascii="Times New Roman" w:hAnsi="Times New Roman" w:eastAsia="Times New Roman"/>
        </w:rPr>
        <w:t xml:space="preserve">1.4.4 </w:t>
      </w:r>
      <w:r>
        <w:t>项规定的任何一种情形。</w:t>
      </w:r>
    </w:p>
    <w:p>
      <w:pPr>
        <w:pStyle w:val="11"/>
        <w:spacing w:before="1" w:line="280" w:lineRule="auto"/>
        <w:ind w:left="224" w:right="285" w:firstLine="479"/>
      </w:pPr>
      <w:r>
        <w:rPr>
          <w:rFonts w:ascii="Times New Roman" w:eastAsia="Times New Roman"/>
          <w:spacing w:val="-22"/>
        </w:rPr>
        <w:t>6</w:t>
      </w:r>
      <w:r>
        <w:rPr>
          <w:spacing w:val="-8"/>
        </w:rPr>
        <w:t>．在合同协议书正式签署生效之前，本投标函连同你方的中标通知书将构成我们双方之间共同遵守的文件，对双方具有约束力。</w:t>
      </w:r>
    </w:p>
    <w:p>
      <w:pPr>
        <w:pStyle w:val="11"/>
        <w:tabs>
          <w:tab w:val="left" w:pos="5745"/>
        </w:tabs>
        <w:ind w:left="704"/>
      </w:pPr>
      <w:r>
        <w:rPr>
          <w:rFonts w:ascii="Times New Roman" w:eastAsia="Times New Roman"/>
        </w:rPr>
        <w:t>7</w:t>
      </w:r>
      <w:r>
        <w:t>．</w:t>
      </w:r>
      <w:r>
        <w:rPr>
          <w:u w:val="single"/>
        </w:rPr>
        <w:t xml:space="preserve"> </w:t>
      </w:r>
      <w:r>
        <w:rPr>
          <w:u w:val="single"/>
        </w:rPr>
        <w:tab/>
      </w:r>
      <w:r>
        <w:t>（其他补充说明</w:t>
      </w:r>
      <w:r>
        <w:rPr>
          <w:spacing w:val="-120"/>
        </w:rPr>
        <w:t>）</w:t>
      </w:r>
      <w:r>
        <w:t>。</w:t>
      </w:r>
    </w:p>
    <w:p>
      <w:pPr>
        <w:pStyle w:val="11"/>
        <w:spacing w:before="3"/>
        <w:rPr>
          <w:sz w:val="32"/>
        </w:rPr>
      </w:pPr>
    </w:p>
    <w:p>
      <w:pPr>
        <w:pStyle w:val="11"/>
        <w:tabs>
          <w:tab w:val="left" w:pos="4364"/>
          <w:tab w:val="left" w:pos="7350"/>
          <w:tab w:val="left" w:pos="8061"/>
          <w:tab w:val="left" w:pos="8956"/>
        </w:tabs>
        <w:spacing w:line="280" w:lineRule="auto"/>
        <w:ind w:left="3645" w:right="162"/>
        <w:rPr>
          <w:spacing w:val="-5"/>
        </w:rPr>
      </w:pPr>
      <w:r>
        <w:t>投 标 人</w:t>
      </w:r>
      <w:r>
        <w:rPr>
          <w:spacing w:val="-8"/>
        </w:rPr>
        <w:t>：</w:t>
      </w:r>
      <w:r>
        <w:rPr>
          <w:spacing w:val="-8"/>
          <w:u w:val="single"/>
        </w:rPr>
        <w:t xml:space="preserve"> </w:t>
      </w:r>
      <w:r>
        <w:rPr>
          <w:spacing w:val="-8"/>
          <w:u w:val="single"/>
        </w:rPr>
        <w:tab/>
      </w:r>
      <w:r>
        <w:t>（盖单位章</w:t>
      </w:r>
      <w:r>
        <w:rPr>
          <w:spacing w:val="-5"/>
        </w:rPr>
        <w:t>）</w:t>
      </w:r>
    </w:p>
    <w:p>
      <w:pPr>
        <w:pStyle w:val="11"/>
        <w:tabs>
          <w:tab w:val="left" w:pos="4364"/>
          <w:tab w:val="left" w:pos="7350"/>
          <w:tab w:val="left" w:pos="8061"/>
          <w:tab w:val="left" w:pos="8956"/>
        </w:tabs>
        <w:spacing w:line="280" w:lineRule="auto"/>
        <w:ind w:left="3645" w:right="162"/>
        <w:rPr>
          <w:rFonts w:ascii="Times New Roman" w:hAnsi="Times New Roman" w:eastAsia="Times New Roman"/>
        </w:rPr>
      </w:pPr>
      <w:r>
        <w:t>法定代表人或其委托代理人</w:t>
      </w:r>
      <w:r>
        <w:rPr>
          <w:spacing w:val="-12"/>
        </w:rPr>
        <w:t>：</w:t>
      </w:r>
      <w:r>
        <w:rPr>
          <w:spacing w:val="-12"/>
          <w:u w:val="single"/>
        </w:rPr>
        <w:t xml:space="preserve"> </w:t>
      </w:r>
      <w:r>
        <w:rPr>
          <w:spacing w:val="-12"/>
          <w:u w:val="single"/>
        </w:rPr>
        <w:tab/>
      </w:r>
      <w:r>
        <w:rPr>
          <w:spacing w:val="-12"/>
          <w:u w:val="single"/>
        </w:rPr>
        <w:tab/>
      </w:r>
      <w:r>
        <w:t>（签字） 地</w:t>
      </w:r>
      <w:r>
        <w:tab/>
      </w:r>
      <w:r>
        <w:t>址：</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网</w:t>
      </w:r>
      <w:r>
        <w:tab/>
      </w:r>
      <w:r>
        <w:t>址：</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电</w:t>
      </w:r>
      <w:r>
        <w:tab/>
      </w:r>
      <w:r>
        <w:t>话：</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传</w:t>
      </w:r>
      <w:r>
        <w:tab/>
      </w:r>
      <w:r>
        <w:t>真：</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邮政编码：</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p>
    <w:p>
      <w:pPr>
        <w:pStyle w:val="11"/>
        <w:spacing w:before="1"/>
        <w:rPr>
          <w:rFonts w:ascii="Times New Roman"/>
          <w:sz w:val="25"/>
        </w:rPr>
      </w:pPr>
    </w:p>
    <w:p>
      <w:pPr>
        <w:pStyle w:val="11"/>
        <w:tabs>
          <w:tab w:val="left" w:pos="6045"/>
          <w:tab w:val="left" w:pos="7125"/>
          <w:tab w:val="left" w:pos="8205"/>
        </w:tabs>
        <w:spacing w:before="74"/>
        <w:ind w:left="496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rPr>
          <w:sz w:val="18"/>
        </w:rPr>
        <w:sectPr>
          <w:headerReference r:id="rId72" w:type="default"/>
          <w:headerReference r:id="rId73" w:type="even"/>
          <w:footerReference r:id="rId74" w:type="even"/>
          <w:pgSz w:w="11910" w:h="16850"/>
          <w:pgMar w:top="1540" w:right="1300" w:bottom="1060" w:left="1420" w:header="876" w:footer="860" w:gutter="0"/>
          <w:cols w:space="720" w:num="1"/>
        </w:sectPr>
      </w:pPr>
    </w:p>
    <w:p>
      <w:pPr>
        <w:pStyle w:val="11"/>
        <w:spacing w:before="4"/>
        <w:rPr>
          <w:sz w:val="27"/>
        </w:rPr>
      </w:pPr>
    </w:p>
    <w:p>
      <w:pPr>
        <w:pStyle w:val="10"/>
        <w:spacing w:before="58"/>
        <w:ind w:right="60"/>
      </w:pPr>
      <w:bookmarkStart w:id="272" w:name="_bookmark291"/>
      <w:bookmarkEnd w:id="272"/>
      <w:r>
        <w:t>（二）投标函附录</w:t>
      </w:r>
    </w:p>
    <w:p>
      <w:pPr>
        <w:pStyle w:val="11"/>
        <w:spacing w:after="1"/>
        <w:rPr>
          <w:rFonts w:ascii="黑体"/>
          <w:sz w:val="19"/>
        </w:rPr>
      </w:pPr>
    </w:p>
    <w:tbl>
      <w:tblPr>
        <w:tblStyle w:val="19"/>
        <w:tblW w:w="894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711"/>
        <w:gridCol w:w="1186"/>
        <w:gridCol w:w="3616"/>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21"/>
              <w:spacing w:before="128" w:line="252" w:lineRule="exact"/>
              <w:ind w:left="109" w:right="100"/>
              <w:jc w:val="center"/>
              <w:rPr>
                <w:b/>
                <w:sz w:val="21"/>
              </w:rPr>
            </w:pPr>
            <w:r>
              <w:rPr>
                <w:b/>
                <w:sz w:val="21"/>
              </w:rPr>
              <w:t>序号</w:t>
            </w:r>
          </w:p>
        </w:tc>
        <w:tc>
          <w:tcPr>
            <w:tcW w:w="2711" w:type="dxa"/>
          </w:tcPr>
          <w:p>
            <w:pPr>
              <w:pStyle w:val="21"/>
              <w:spacing w:before="128" w:line="252" w:lineRule="exact"/>
              <w:ind w:left="285" w:right="276"/>
              <w:jc w:val="center"/>
              <w:rPr>
                <w:b/>
                <w:sz w:val="21"/>
              </w:rPr>
            </w:pPr>
            <w:r>
              <w:rPr>
                <w:b/>
                <w:sz w:val="21"/>
              </w:rPr>
              <w:t>条款名称</w:t>
            </w:r>
          </w:p>
        </w:tc>
        <w:tc>
          <w:tcPr>
            <w:tcW w:w="1186" w:type="dxa"/>
          </w:tcPr>
          <w:p>
            <w:pPr>
              <w:pStyle w:val="21"/>
              <w:spacing w:before="128" w:line="252" w:lineRule="exact"/>
              <w:ind w:left="6"/>
              <w:jc w:val="center"/>
              <w:rPr>
                <w:b/>
                <w:sz w:val="21"/>
              </w:rPr>
            </w:pPr>
            <w:r>
              <w:rPr>
                <w:b/>
                <w:sz w:val="21"/>
              </w:rPr>
              <w:t>合同条目号</w:t>
            </w:r>
          </w:p>
        </w:tc>
        <w:tc>
          <w:tcPr>
            <w:tcW w:w="3616" w:type="dxa"/>
          </w:tcPr>
          <w:p>
            <w:pPr>
              <w:pStyle w:val="21"/>
              <w:spacing w:before="128" w:line="252" w:lineRule="exact"/>
              <w:ind w:left="1363" w:right="1358"/>
              <w:jc w:val="center"/>
              <w:rPr>
                <w:b/>
                <w:sz w:val="21"/>
              </w:rPr>
            </w:pPr>
            <w:r>
              <w:rPr>
                <w:b/>
                <w:sz w:val="21"/>
              </w:rPr>
              <w:t>约定内容</w:t>
            </w:r>
          </w:p>
        </w:tc>
        <w:tc>
          <w:tcPr>
            <w:tcW w:w="749" w:type="dxa"/>
          </w:tcPr>
          <w:p>
            <w:pPr>
              <w:pStyle w:val="21"/>
              <w:spacing w:before="128" w:line="252" w:lineRule="exact"/>
              <w:ind w:left="158"/>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Pr>
          <w:p>
            <w:pPr>
              <w:pStyle w:val="21"/>
              <w:spacing w:before="151" w:line="226" w:lineRule="exact"/>
              <w:ind w:left="9"/>
              <w:jc w:val="center"/>
              <w:rPr>
                <w:rFonts w:ascii="Times New Roman"/>
                <w:sz w:val="21"/>
              </w:rPr>
            </w:pPr>
            <w:r>
              <w:rPr>
                <w:rFonts w:ascii="Times New Roman"/>
                <w:sz w:val="21"/>
              </w:rPr>
              <w:t>1</w:t>
            </w:r>
          </w:p>
        </w:tc>
        <w:tc>
          <w:tcPr>
            <w:tcW w:w="2711" w:type="dxa"/>
          </w:tcPr>
          <w:p>
            <w:pPr>
              <w:pStyle w:val="21"/>
              <w:spacing w:before="128" w:line="250" w:lineRule="exact"/>
              <w:ind w:left="283" w:right="276"/>
              <w:jc w:val="center"/>
              <w:rPr>
                <w:sz w:val="21"/>
              </w:rPr>
            </w:pPr>
            <w:r>
              <w:rPr>
                <w:sz w:val="21"/>
              </w:rPr>
              <w:t>缺陷责任期</w:t>
            </w:r>
          </w:p>
        </w:tc>
        <w:tc>
          <w:tcPr>
            <w:tcW w:w="1186" w:type="dxa"/>
          </w:tcPr>
          <w:p>
            <w:pPr>
              <w:pStyle w:val="21"/>
              <w:spacing w:before="151" w:line="226" w:lineRule="exact"/>
              <w:ind w:left="6"/>
              <w:jc w:val="center"/>
              <w:rPr>
                <w:rFonts w:ascii="Times New Roman"/>
                <w:sz w:val="21"/>
              </w:rPr>
            </w:pPr>
            <w:r>
              <w:rPr>
                <w:rFonts w:ascii="Times New Roman"/>
                <w:sz w:val="21"/>
              </w:rPr>
              <w:t>1.1.4.5</w:t>
            </w:r>
          </w:p>
        </w:tc>
        <w:tc>
          <w:tcPr>
            <w:tcW w:w="3616" w:type="dxa"/>
          </w:tcPr>
          <w:p>
            <w:pPr>
              <w:pStyle w:val="21"/>
              <w:tabs>
                <w:tab w:val="left" w:pos="2520"/>
              </w:tabs>
              <w:spacing w:before="128" w:line="250"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sz w:val="21"/>
                <w:u w:val="single"/>
              </w:rPr>
              <w:t xml:space="preserve"> </w:t>
            </w:r>
            <w:r>
              <w:rPr>
                <w:sz w:val="21"/>
                <w:u w:val="single"/>
              </w:rPr>
              <w:tab/>
            </w:r>
            <w:r>
              <w:rPr>
                <w:sz w:val="21"/>
              </w:rPr>
              <w:t>年</w:t>
            </w:r>
          </w:p>
        </w:tc>
        <w:tc>
          <w:tcPr>
            <w:tcW w:w="749"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21"/>
              <w:spacing w:before="154" w:line="226" w:lineRule="exact"/>
              <w:ind w:left="9"/>
              <w:jc w:val="center"/>
              <w:rPr>
                <w:rFonts w:ascii="Times New Roman"/>
                <w:sz w:val="21"/>
              </w:rPr>
            </w:pPr>
            <w:r>
              <w:rPr>
                <w:rFonts w:ascii="Times New Roman"/>
                <w:sz w:val="21"/>
              </w:rPr>
              <w:t>2</w:t>
            </w:r>
          </w:p>
        </w:tc>
        <w:tc>
          <w:tcPr>
            <w:tcW w:w="2711" w:type="dxa"/>
          </w:tcPr>
          <w:p>
            <w:pPr>
              <w:pStyle w:val="21"/>
              <w:spacing w:before="130" w:line="250" w:lineRule="exact"/>
              <w:ind w:left="285" w:right="276"/>
              <w:jc w:val="center"/>
              <w:rPr>
                <w:sz w:val="21"/>
              </w:rPr>
            </w:pPr>
            <w:r>
              <w:rPr>
                <w:sz w:val="21"/>
              </w:rPr>
              <w:t>逾期交工违约金</w:t>
            </w:r>
          </w:p>
        </w:tc>
        <w:tc>
          <w:tcPr>
            <w:tcW w:w="1186" w:type="dxa"/>
          </w:tcPr>
          <w:p>
            <w:pPr>
              <w:pStyle w:val="21"/>
              <w:spacing w:before="130" w:line="250"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pPr>
              <w:pStyle w:val="21"/>
              <w:tabs>
                <w:tab w:val="left" w:pos="528"/>
              </w:tabs>
              <w:spacing w:before="130" w:line="250" w:lineRule="exact"/>
              <w:ind w:left="106"/>
              <w:rPr>
                <w:sz w:val="21"/>
              </w:rPr>
            </w:pPr>
            <w:r>
              <w:rPr>
                <w:rFonts w:ascii="Times New Roman" w:eastAsia="Times New Roman"/>
                <w:sz w:val="21"/>
                <w:u w:val="single"/>
              </w:rPr>
              <w:t xml:space="preserve"> </w:t>
            </w: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21"/>
              <w:spacing w:before="151" w:line="229" w:lineRule="exact"/>
              <w:ind w:left="9"/>
              <w:jc w:val="center"/>
              <w:rPr>
                <w:rFonts w:ascii="Times New Roman"/>
                <w:sz w:val="21"/>
              </w:rPr>
            </w:pPr>
            <w:r>
              <w:rPr>
                <w:rFonts w:ascii="Times New Roman"/>
                <w:sz w:val="21"/>
              </w:rPr>
              <w:t>3</w:t>
            </w:r>
          </w:p>
        </w:tc>
        <w:tc>
          <w:tcPr>
            <w:tcW w:w="2711" w:type="dxa"/>
          </w:tcPr>
          <w:p>
            <w:pPr>
              <w:pStyle w:val="21"/>
              <w:spacing w:before="128" w:line="252" w:lineRule="exact"/>
              <w:ind w:left="283" w:right="276"/>
              <w:jc w:val="center"/>
              <w:rPr>
                <w:sz w:val="21"/>
              </w:rPr>
            </w:pPr>
            <w:r>
              <w:rPr>
                <w:sz w:val="21"/>
              </w:rPr>
              <w:t>逾期交工违约金限额</w:t>
            </w:r>
          </w:p>
        </w:tc>
        <w:tc>
          <w:tcPr>
            <w:tcW w:w="1186" w:type="dxa"/>
          </w:tcPr>
          <w:p>
            <w:pPr>
              <w:pStyle w:val="21"/>
              <w:spacing w:before="128" w:line="252"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pPr>
              <w:pStyle w:val="21"/>
              <w:tabs>
                <w:tab w:val="left" w:pos="423"/>
              </w:tabs>
              <w:spacing w:before="128" w:line="252" w:lineRule="exact"/>
              <w:ind w:left="106"/>
              <w:rPr>
                <w:sz w:val="21"/>
              </w:rPr>
            </w:pP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bottom w:val="single" w:color="000000" w:sz="6" w:space="0"/>
            </w:tcBorders>
          </w:tcPr>
          <w:p>
            <w:pPr>
              <w:pStyle w:val="21"/>
              <w:spacing w:before="151" w:line="227" w:lineRule="exact"/>
              <w:ind w:left="9"/>
              <w:jc w:val="center"/>
              <w:rPr>
                <w:rFonts w:ascii="Times New Roman"/>
                <w:sz w:val="21"/>
              </w:rPr>
            </w:pPr>
            <w:r>
              <w:rPr>
                <w:rFonts w:ascii="Times New Roman"/>
                <w:sz w:val="21"/>
              </w:rPr>
              <w:t>4</w:t>
            </w:r>
          </w:p>
        </w:tc>
        <w:tc>
          <w:tcPr>
            <w:tcW w:w="2711" w:type="dxa"/>
            <w:tcBorders>
              <w:bottom w:val="single" w:color="000000" w:sz="6" w:space="0"/>
            </w:tcBorders>
          </w:tcPr>
          <w:p>
            <w:pPr>
              <w:pStyle w:val="21"/>
              <w:spacing w:before="128" w:line="250" w:lineRule="exact"/>
              <w:ind w:left="285" w:right="275"/>
              <w:jc w:val="center"/>
              <w:rPr>
                <w:sz w:val="21"/>
              </w:rPr>
            </w:pPr>
            <w:r>
              <w:rPr>
                <w:sz w:val="21"/>
              </w:rPr>
              <w:t>提前交工的奖金</w:t>
            </w:r>
          </w:p>
        </w:tc>
        <w:tc>
          <w:tcPr>
            <w:tcW w:w="1186" w:type="dxa"/>
            <w:tcBorders>
              <w:bottom w:val="single" w:color="000000" w:sz="6" w:space="0"/>
            </w:tcBorders>
          </w:tcPr>
          <w:p>
            <w:pPr>
              <w:pStyle w:val="21"/>
              <w:spacing w:before="151" w:line="227" w:lineRule="exact"/>
              <w:ind w:left="9"/>
              <w:jc w:val="center"/>
              <w:rPr>
                <w:rFonts w:ascii="Times New Roman"/>
                <w:sz w:val="21"/>
              </w:rPr>
            </w:pPr>
            <w:r>
              <w:rPr>
                <w:rFonts w:ascii="Times New Roman"/>
                <w:sz w:val="21"/>
              </w:rPr>
              <w:t>11.6</w:t>
            </w:r>
          </w:p>
        </w:tc>
        <w:tc>
          <w:tcPr>
            <w:tcW w:w="3616" w:type="dxa"/>
            <w:tcBorders>
              <w:bottom w:val="single" w:color="000000" w:sz="6" w:space="0"/>
            </w:tcBorders>
          </w:tcPr>
          <w:p>
            <w:pPr>
              <w:pStyle w:val="21"/>
              <w:tabs>
                <w:tab w:val="left" w:pos="528"/>
              </w:tabs>
              <w:spacing w:before="128" w:line="250" w:lineRule="exact"/>
              <w:ind w:left="106"/>
              <w:rPr>
                <w:sz w:val="21"/>
              </w:rPr>
            </w:pPr>
            <w:r>
              <w:rPr>
                <w:rFonts w:ascii="Times New Roman" w:eastAsia="Times New Roman"/>
                <w:sz w:val="21"/>
                <w:u w:val="single"/>
              </w:rPr>
              <w:t xml:space="preserve"> </w:t>
            </w: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Borders>
              <w:bottom w:val="single" w:color="000000" w:sz="6" w:space="0"/>
            </w:tcBorders>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top w:val="single" w:color="000000" w:sz="6" w:space="0"/>
            </w:tcBorders>
          </w:tcPr>
          <w:p>
            <w:pPr>
              <w:pStyle w:val="21"/>
              <w:spacing w:before="149" w:line="229" w:lineRule="exact"/>
              <w:ind w:left="9"/>
              <w:jc w:val="center"/>
              <w:rPr>
                <w:rFonts w:ascii="Times New Roman"/>
                <w:sz w:val="21"/>
              </w:rPr>
            </w:pPr>
            <w:r>
              <w:rPr>
                <w:rFonts w:ascii="Times New Roman"/>
                <w:sz w:val="21"/>
              </w:rPr>
              <w:t>5</w:t>
            </w:r>
          </w:p>
        </w:tc>
        <w:tc>
          <w:tcPr>
            <w:tcW w:w="2711" w:type="dxa"/>
            <w:tcBorders>
              <w:top w:val="single" w:color="000000" w:sz="6" w:space="0"/>
            </w:tcBorders>
          </w:tcPr>
          <w:p>
            <w:pPr>
              <w:pStyle w:val="21"/>
              <w:spacing w:before="126" w:line="252" w:lineRule="exact"/>
              <w:ind w:left="283" w:right="276"/>
              <w:jc w:val="center"/>
              <w:rPr>
                <w:sz w:val="21"/>
              </w:rPr>
            </w:pPr>
            <w:r>
              <w:rPr>
                <w:sz w:val="21"/>
              </w:rPr>
              <w:t>提前交工的奖金限额</w:t>
            </w:r>
          </w:p>
        </w:tc>
        <w:tc>
          <w:tcPr>
            <w:tcW w:w="1186" w:type="dxa"/>
            <w:tcBorders>
              <w:top w:val="single" w:color="000000" w:sz="6" w:space="0"/>
            </w:tcBorders>
          </w:tcPr>
          <w:p>
            <w:pPr>
              <w:pStyle w:val="21"/>
              <w:spacing w:before="149" w:line="229" w:lineRule="exact"/>
              <w:ind w:left="9"/>
              <w:jc w:val="center"/>
              <w:rPr>
                <w:rFonts w:ascii="Times New Roman"/>
                <w:sz w:val="21"/>
              </w:rPr>
            </w:pPr>
            <w:r>
              <w:rPr>
                <w:rFonts w:ascii="Times New Roman"/>
                <w:sz w:val="21"/>
              </w:rPr>
              <w:t>11.6</w:t>
            </w:r>
          </w:p>
        </w:tc>
        <w:tc>
          <w:tcPr>
            <w:tcW w:w="3616" w:type="dxa"/>
            <w:tcBorders>
              <w:top w:val="single" w:color="000000" w:sz="6" w:space="0"/>
            </w:tcBorders>
          </w:tcPr>
          <w:p>
            <w:pPr>
              <w:pStyle w:val="21"/>
              <w:tabs>
                <w:tab w:val="left" w:pos="528"/>
              </w:tabs>
              <w:spacing w:before="126" w:line="252" w:lineRule="exact"/>
              <w:ind w:left="106"/>
              <w:rPr>
                <w:sz w:val="21"/>
              </w:rPr>
            </w:pP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pacing w:val="-4"/>
                <w:sz w:val="21"/>
              </w:rPr>
              <w:t>%</w:t>
            </w:r>
            <w:r>
              <w:rPr>
                <w:spacing w:val="-3"/>
                <w:sz w:val="21"/>
              </w:rPr>
              <w:t>签约合同价</w:t>
            </w:r>
          </w:p>
        </w:tc>
        <w:tc>
          <w:tcPr>
            <w:tcW w:w="749" w:type="dxa"/>
            <w:tcBorders>
              <w:top w:val="single" w:color="000000" w:sz="6" w:space="0"/>
            </w:tcBorders>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21"/>
              <w:spacing w:before="151" w:line="229" w:lineRule="exact"/>
              <w:ind w:left="9"/>
              <w:jc w:val="center"/>
              <w:rPr>
                <w:rFonts w:ascii="Times New Roman"/>
                <w:sz w:val="21"/>
              </w:rPr>
            </w:pPr>
            <w:r>
              <w:rPr>
                <w:rFonts w:ascii="Times New Roman"/>
                <w:sz w:val="21"/>
              </w:rPr>
              <w:t>6</w:t>
            </w:r>
          </w:p>
        </w:tc>
        <w:tc>
          <w:tcPr>
            <w:tcW w:w="2711" w:type="dxa"/>
          </w:tcPr>
          <w:p>
            <w:pPr>
              <w:pStyle w:val="21"/>
              <w:spacing w:before="128" w:line="252" w:lineRule="exact"/>
              <w:ind w:left="283" w:right="276"/>
              <w:jc w:val="center"/>
              <w:rPr>
                <w:sz w:val="21"/>
              </w:rPr>
            </w:pPr>
            <w:r>
              <w:rPr>
                <w:sz w:val="21"/>
              </w:rPr>
              <w:t>价格调整的差额计算</w:t>
            </w:r>
          </w:p>
        </w:tc>
        <w:tc>
          <w:tcPr>
            <w:tcW w:w="1186" w:type="dxa"/>
          </w:tcPr>
          <w:p>
            <w:pPr>
              <w:pStyle w:val="21"/>
              <w:spacing w:before="151" w:line="229" w:lineRule="exact"/>
              <w:ind w:left="6"/>
              <w:jc w:val="center"/>
              <w:rPr>
                <w:rFonts w:ascii="Times New Roman"/>
                <w:sz w:val="21"/>
              </w:rPr>
            </w:pPr>
            <w:r>
              <w:rPr>
                <w:rFonts w:ascii="Times New Roman"/>
                <w:sz w:val="21"/>
              </w:rPr>
              <w:t>16.1.1</w:t>
            </w:r>
          </w:p>
        </w:tc>
        <w:tc>
          <w:tcPr>
            <w:tcW w:w="3616" w:type="dxa"/>
          </w:tcPr>
          <w:p>
            <w:pPr>
              <w:pStyle w:val="21"/>
              <w:spacing w:before="128" w:line="252" w:lineRule="exact"/>
              <w:ind w:left="106"/>
              <w:rPr>
                <w:sz w:val="21"/>
              </w:rPr>
            </w:pPr>
            <w:r>
              <w:rPr>
                <w:sz w:val="21"/>
              </w:rPr>
              <w:t>见价格指数和权重表</w:t>
            </w:r>
          </w:p>
        </w:tc>
        <w:tc>
          <w:tcPr>
            <w:tcW w:w="749"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82" w:type="dxa"/>
          </w:tcPr>
          <w:p>
            <w:pPr>
              <w:pStyle w:val="21"/>
              <w:spacing w:before="151" w:line="226" w:lineRule="exact"/>
              <w:ind w:left="9"/>
              <w:jc w:val="center"/>
              <w:rPr>
                <w:rFonts w:ascii="Times New Roman"/>
                <w:sz w:val="21"/>
              </w:rPr>
            </w:pPr>
            <w:r>
              <w:rPr>
                <w:rFonts w:ascii="Times New Roman"/>
                <w:sz w:val="21"/>
              </w:rPr>
              <w:t>7</w:t>
            </w:r>
          </w:p>
        </w:tc>
        <w:tc>
          <w:tcPr>
            <w:tcW w:w="2711" w:type="dxa"/>
          </w:tcPr>
          <w:p>
            <w:pPr>
              <w:pStyle w:val="21"/>
              <w:spacing w:before="128" w:line="250" w:lineRule="exact"/>
              <w:ind w:left="285" w:right="276"/>
              <w:jc w:val="center"/>
              <w:rPr>
                <w:sz w:val="21"/>
              </w:rPr>
            </w:pPr>
            <w:r>
              <w:rPr>
                <w:sz w:val="21"/>
              </w:rPr>
              <w:t>开工预付款金额</w:t>
            </w:r>
          </w:p>
        </w:tc>
        <w:tc>
          <w:tcPr>
            <w:tcW w:w="1186" w:type="dxa"/>
          </w:tcPr>
          <w:p>
            <w:pPr>
              <w:pStyle w:val="21"/>
              <w:spacing w:before="128" w:line="250" w:lineRule="exact"/>
              <w:ind w:left="90"/>
              <w:jc w:val="center"/>
              <w:rPr>
                <w:sz w:val="21"/>
              </w:rPr>
            </w:pPr>
            <w:r>
              <w:rPr>
                <w:rFonts w:ascii="Times New Roman" w:eastAsia="Times New Roman"/>
                <w:sz w:val="21"/>
              </w:rPr>
              <w:t>17.2.1</w:t>
            </w:r>
            <w:r>
              <w:rPr>
                <w:sz w:val="21"/>
              </w:rPr>
              <w:t>（</w:t>
            </w:r>
            <w:r>
              <w:rPr>
                <w:rFonts w:ascii="Times New Roman" w:eastAsia="Times New Roman"/>
                <w:sz w:val="21"/>
              </w:rPr>
              <w:t>1</w:t>
            </w:r>
            <w:r>
              <w:rPr>
                <w:sz w:val="21"/>
              </w:rPr>
              <w:t>）</w:t>
            </w:r>
          </w:p>
        </w:tc>
        <w:tc>
          <w:tcPr>
            <w:tcW w:w="3616" w:type="dxa"/>
          </w:tcPr>
          <w:p>
            <w:pPr>
              <w:pStyle w:val="21"/>
              <w:tabs>
                <w:tab w:val="left" w:pos="423"/>
              </w:tabs>
              <w:spacing w:before="128" w:line="250" w:lineRule="exact"/>
              <w:ind w:left="106"/>
              <w:rPr>
                <w:sz w:val="21"/>
              </w:rPr>
            </w:pP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82" w:type="dxa"/>
          </w:tcPr>
          <w:p>
            <w:pPr>
              <w:pStyle w:val="21"/>
              <w:spacing w:before="7"/>
              <w:rPr>
                <w:rFonts w:ascii="黑体"/>
                <w:sz w:val="27"/>
              </w:rPr>
            </w:pPr>
          </w:p>
          <w:p>
            <w:pPr>
              <w:pStyle w:val="21"/>
              <w:ind w:left="9"/>
              <w:jc w:val="center"/>
              <w:rPr>
                <w:rFonts w:ascii="Times New Roman"/>
                <w:sz w:val="21"/>
              </w:rPr>
            </w:pPr>
            <w:r>
              <w:rPr>
                <w:rFonts w:ascii="Times New Roman"/>
                <w:sz w:val="21"/>
              </w:rPr>
              <w:t>8</w:t>
            </w:r>
          </w:p>
        </w:tc>
        <w:tc>
          <w:tcPr>
            <w:tcW w:w="2711" w:type="dxa"/>
          </w:tcPr>
          <w:p>
            <w:pPr>
              <w:pStyle w:val="21"/>
              <w:spacing w:before="9"/>
              <w:rPr>
                <w:rFonts w:ascii="黑体"/>
                <w:sz w:val="25"/>
              </w:rPr>
            </w:pPr>
          </w:p>
          <w:p>
            <w:pPr>
              <w:pStyle w:val="21"/>
              <w:ind w:left="285" w:right="276"/>
              <w:jc w:val="center"/>
              <w:rPr>
                <w:sz w:val="21"/>
              </w:rPr>
            </w:pPr>
            <w:r>
              <w:rPr>
                <w:sz w:val="21"/>
              </w:rPr>
              <w:t>材料、设备预付款比例</w:t>
            </w:r>
          </w:p>
        </w:tc>
        <w:tc>
          <w:tcPr>
            <w:tcW w:w="1186" w:type="dxa"/>
          </w:tcPr>
          <w:p>
            <w:pPr>
              <w:pStyle w:val="21"/>
              <w:spacing w:before="9"/>
              <w:rPr>
                <w:rFonts w:ascii="黑体"/>
                <w:sz w:val="25"/>
              </w:rPr>
            </w:pPr>
          </w:p>
          <w:p>
            <w:pPr>
              <w:pStyle w:val="21"/>
              <w:ind w:left="90"/>
              <w:jc w:val="center"/>
              <w:rPr>
                <w:sz w:val="21"/>
              </w:rPr>
            </w:pPr>
            <w:r>
              <w:rPr>
                <w:rFonts w:ascii="Times New Roman" w:eastAsia="Times New Roman"/>
                <w:sz w:val="21"/>
              </w:rPr>
              <w:t>17.2.1</w:t>
            </w:r>
            <w:r>
              <w:rPr>
                <w:sz w:val="21"/>
              </w:rPr>
              <w:t>（</w:t>
            </w:r>
            <w:r>
              <w:rPr>
                <w:rFonts w:ascii="Times New Roman" w:eastAsia="Times New Roman"/>
                <w:sz w:val="21"/>
              </w:rPr>
              <w:t>2</w:t>
            </w:r>
            <w:r>
              <w:rPr>
                <w:sz w:val="21"/>
              </w:rPr>
              <w:t>）</w:t>
            </w:r>
          </w:p>
        </w:tc>
        <w:tc>
          <w:tcPr>
            <w:tcW w:w="3616" w:type="dxa"/>
          </w:tcPr>
          <w:p>
            <w:pPr>
              <w:pStyle w:val="21"/>
              <w:tabs>
                <w:tab w:val="left" w:pos="528"/>
                <w:tab w:val="left" w:pos="634"/>
              </w:tabs>
              <w:spacing w:line="400" w:lineRule="atLeast"/>
              <w:ind w:left="106" w:right="101"/>
              <w:rPr>
                <w:rFonts w:ascii="Times New Roman" w:eastAsia="Times New Roman"/>
                <w:sz w:val="21"/>
              </w:rPr>
            </w:pPr>
            <w:r>
              <w:rPr>
                <w:rFonts w:ascii="Times New Roman" w:eastAsia="Times New Roman"/>
                <w:sz w:val="21"/>
                <w:u w:val="single"/>
              </w:rPr>
              <w:t xml:space="preserve"> </w:t>
            </w:r>
            <w:r>
              <w:rPr>
                <w:rFonts w:ascii="Times New Roman" w:eastAsia="Times New Roman"/>
                <w:sz w:val="21"/>
                <w:u w:val="single"/>
              </w:rPr>
              <w:tab/>
            </w:r>
            <w:r>
              <w:rPr>
                <w:sz w:val="21"/>
              </w:rPr>
              <w:t>等主要材料、设备单据所列费用的</w:t>
            </w:r>
            <w:r>
              <w:rPr>
                <w:sz w:val="21"/>
                <w:u w:val="single"/>
              </w:rPr>
              <w:t xml:space="preserve"> </w:t>
            </w:r>
            <w:r>
              <w:rPr>
                <w:sz w:val="21"/>
                <w:u w:val="single"/>
              </w:rPr>
              <w:tab/>
            </w:r>
            <w:r>
              <w:rPr>
                <w:sz w:val="21"/>
                <w:u w:val="single"/>
              </w:rPr>
              <w:tab/>
            </w:r>
            <w:r>
              <w:rPr>
                <w:rFonts w:ascii="Times New Roman" w:eastAsia="Times New Roman"/>
                <w:sz w:val="21"/>
              </w:rPr>
              <w:t>%</w:t>
            </w:r>
          </w:p>
        </w:tc>
        <w:tc>
          <w:tcPr>
            <w:tcW w:w="749"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21"/>
              <w:spacing w:before="151" w:line="229" w:lineRule="exact"/>
              <w:ind w:left="9"/>
              <w:jc w:val="center"/>
              <w:rPr>
                <w:rFonts w:ascii="Times New Roman"/>
                <w:sz w:val="21"/>
              </w:rPr>
            </w:pPr>
            <w:r>
              <w:rPr>
                <w:rFonts w:ascii="Times New Roman"/>
                <w:sz w:val="21"/>
              </w:rPr>
              <w:t>9</w:t>
            </w:r>
          </w:p>
        </w:tc>
        <w:tc>
          <w:tcPr>
            <w:tcW w:w="2711" w:type="dxa"/>
          </w:tcPr>
          <w:p>
            <w:pPr>
              <w:pStyle w:val="21"/>
              <w:spacing w:before="128" w:line="252" w:lineRule="exact"/>
              <w:ind w:left="285" w:right="276"/>
              <w:jc w:val="center"/>
              <w:rPr>
                <w:sz w:val="21"/>
              </w:rPr>
            </w:pPr>
            <w:r>
              <w:rPr>
                <w:sz w:val="21"/>
              </w:rPr>
              <w:t>进度付款证书最低限额</w:t>
            </w:r>
          </w:p>
        </w:tc>
        <w:tc>
          <w:tcPr>
            <w:tcW w:w="1186" w:type="dxa"/>
          </w:tcPr>
          <w:p>
            <w:pPr>
              <w:pStyle w:val="21"/>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1</w:t>
            </w:r>
            <w:r>
              <w:rPr>
                <w:sz w:val="21"/>
              </w:rPr>
              <w:t>）</w:t>
            </w:r>
          </w:p>
        </w:tc>
        <w:tc>
          <w:tcPr>
            <w:tcW w:w="3616" w:type="dxa"/>
          </w:tcPr>
          <w:p>
            <w:pPr>
              <w:pStyle w:val="21"/>
              <w:tabs>
                <w:tab w:val="left" w:pos="528"/>
                <w:tab w:val="left" w:pos="2487"/>
              </w:tabs>
              <w:spacing w:before="128" w:line="252" w:lineRule="exact"/>
              <w:ind w:left="106"/>
              <w:rPr>
                <w:sz w:val="21"/>
              </w:rPr>
            </w:pP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pacing w:val="-4"/>
                <w:sz w:val="21"/>
              </w:rPr>
              <w:t>%</w:t>
            </w:r>
            <w:r>
              <w:rPr>
                <w:sz w:val="21"/>
              </w:rPr>
              <w:t>签</w:t>
            </w:r>
            <w:r>
              <w:rPr>
                <w:spacing w:val="-3"/>
                <w:sz w:val="21"/>
              </w:rPr>
              <w:t>约</w:t>
            </w:r>
            <w:r>
              <w:rPr>
                <w:sz w:val="21"/>
              </w:rPr>
              <w:t>合</w:t>
            </w:r>
            <w:r>
              <w:rPr>
                <w:spacing w:val="-3"/>
                <w:sz w:val="21"/>
              </w:rPr>
              <w:t>同</w:t>
            </w:r>
            <w:r>
              <w:rPr>
                <w:sz w:val="21"/>
              </w:rPr>
              <w:t>价或</w:t>
            </w:r>
            <w:r>
              <w:rPr>
                <w:sz w:val="21"/>
                <w:u w:val="single"/>
              </w:rPr>
              <w:t xml:space="preserve"> </w:t>
            </w:r>
            <w:r>
              <w:rPr>
                <w:sz w:val="21"/>
                <w:u w:val="single"/>
              </w:rPr>
              <w:tab/>
            </w:r>
            <w:r>
              <w:rPr>
                <w:sz w:val="21"/>
              </w:rPr>
              <w:t>万元</w:t>
            </w:r>
          </w:p>
        </w:tc>
        <w:tc>
          <w:tcPr>
            <w:tcW w:w="749"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21"/>
              <w:spacing w:before="151" w:line="229" w:lineRule="exact"/>
              <w:ind w:left="109" w:right="100"/>
              <w:jc w:val="center"/>
              <w:rPr>
                <w:rFonts w:ascii="Times New Roman"/>
                <w:sz w:val="21"/>
              </w:rPr>
            </w:pPr>
            <w:r>
              <w:rPr>
                <w:rFonts w:ascii="Times New Roman"/>
                <w:sz w:val="21"/>
              </w:rPr>
              <w:t>10</w:t>
            </w:r>
          </w:p>
        </w:tc>
        <w:tc>
          <w:tcPr>
            <w:tcW w:w="2711" w:type="dxa"/>
          </w:tcPr>
          <w:p>
            <w:pPr>
              <w:pStyle w:val="21"/>
              <w:spacing w:before="128" w:line="252" w:lineRule="exact"/>
              <w:ind w:left="285" w:right="276"/>
              <w:jc w:val="center"/>
              <w:rPr>
                <w:sz w:val="21"/>
              </w:rPr>
            </w:pPr>
            <w:r>
              <w:rPr>
                <w:sz w:val="21"/>
              </w:rPr>
              <w:t>逾期付款违约金的利率</w:t>
            </w:r>
          </w:p>
        </w:tc>
        <w:tc>
          <w:tcPr>
            <w:tcW w:w="1186" w:type="dxa"/>
          </w:tcPr>
          <w:p>
            <w:pPr>
              <w:pStyle w:val="21"/>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2</w:t>
            </w:r>
            <w:r>
              <w:rPr>
                <w:sz w:val="21"/>
              </w:rPr>
              <w:t>）</w:t>
            </w:r>
          </w:p>
        </w:tc>
        <w:tc>
          <w:tcPr>
            <w:tcW w:w="3616" w:type="dxa"/>
          </w:tcPr>
          <w:p>
            <w:pPr>
              <w:pStyle w:val="21"/>
              <w:tabs>
                <w:tab w:val="left" w:pos="632"/>
              </w:tabs>
              <w:spacing w:before="128" w:line="252" w:lineRule="exact"/>
              <w:ind w:left="106"/>
              <w:rPr>
                <w:sz w:val="21"/>
              </w:rPr>
            </w:pPr>
            <w:r>
              <w:rPr>
                <w:rFonts w:ascii="Times New Roman" w:hAnsi="Times New Roman" w:eastAsia="Times New Roman"/>
                <w:sz w:val="21"/>
                <w:u w:val="single"/>
              </w:rPr>
              <w:t xml:space="preserve"> </w:t>
            </w:r>
            <w:r>
              <w:rPr>
                <w:rFonts w:ascii="Times New Roman" w:hAnsi="Times New Roman" w:eastAsia="Times New Roman"/>
                <w:sz w:val="21"/>
                <w:u w:val="single"/>
              </w:rPr>
              <w:tab/>
            </w:r>
            <w:r>
              <w:rPr>
                <w:rFonts w:ascii="Times New Roman" w:hAnsi="Times New Roman" w:eastAsia="Times New Roman"/>
                <w:sz w:val="21"/>
              </w:rPr>
              <w:t>‰/</w:t>
            </w:r>
            <w:r>
              <w:rPr>
                <w:sz w:val="21"/>
              </w:rPr>
              <w:t>天</w:t>
            </w:r>
          </w:p>
        </w:tc>
        <w:tc>
          <w:tcPr>
            <w:tcW w:w="749"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682" w:type="dxa"/>
          </w:tcPr>
          <w:p>
            <w:pPr>
              <w:pStyle w:val="21"/>
              <w:rPr>
                <w:rFonts w:ascii="黑体"/>
              </w:rPr>
            </w:pPr>
          </w:p>
          <w:p>
            <w:pPr>
              <w:pStyle w:val="21"/>
              <w:rPr>
                <w:rFonts w:ascii="黑体"/>
              </w:rPr>
            </w:pPr>
          </w:p>
          <w:p>
            <w:pPr>
              <w:pStyle w:val="21"/>
              <w:spacing w:before="3"/>
              <w:rPr>
                <w:rFonts w:ascii="黑体"/>
                <w:sz w:val="30"/>
              </w:rPr>
            </w:pPr>
          </w:p>
          <w:p>
            <w:pPr>
              <w:pStyle w:val="21"/>
              <w:ind w:left="109" w:right="98"/>
              <w:jc w:val="center"/>
              <w:rPr>
                <w:rFonts w:ascii="Times New Roman"/>
                <w:sz w:val="21"/>
              </w:rPr>
            </w:pPr>
            <w:r>
              <w:rPr>
                <w:rFonts w:ascii="Times New Roman"/>
                <w:sz w:val="21"/>
              </w:rPr>
              <w:t>11</w:t>
            </w:r>
          </w:p>
        </w:tc>
        <w:tc>
          <w:tcPr>
            <w:tcW w:w="2711" w:type="dxa"/>
          </w:tcPr>
          <w:p>
            <w:pPr>
              <w:pStyle w:val="21"/>
              <w:rPr>
                <w:rFonts w:ascii="黑体"/>
                <w:sz w:val="20"/>
              </w:rPr>
            </w:pPr>
          </w:p>
          <w:p>
            <w:pPr>
              <w:pStyle w:val="21"/>
              <w:rPr>
                <w:rFonts w:ascii="黑体"/>
                <w:sz w:val="20"/>
              </w:rPr>
            </w:pPr>
          </w:p>
          <w:p>
            <w:pPr>
              <w:pStyle w:val="21"/>
              <w:rPr>
                <w:rFonts w:ascii="黑体"/>
                <w:sz w:val="20"/>
              </w:rPr>
            </w:pPr>
          </w:p>
          <w:p>
            <w:pPr>
              <w:pStyle w:val="21"/>
              <w:spacing w:before="159"/>
              <w:ind w:left="285" w:right="275"/>
              <w:jc w:val="center"/>
              <w:rPr>
                <w:sz w:val="21"/>
              </w:rPr>
            </w:pPr>
            <w:r>
              <w:rPr>
                <w:sz w:val="21"/>
              </w:rPr>
              <w:t>质量保证金金额</w:t>
            </w:r>
          </w:p>
        </w:tc>
        <w:tc>
          <w:tcPr>
            <w:tcW w:w="1186" w:type="dxa"/>
          </w:tcPr>
          <w:p>
            <w:pPr>
              <w:pStyle w:val="21"/>
              <w:rPr>
                <w:rFonts w:ascii="黑体"/>
              </w:rPr>
            </w:pPr>
          </w:p>
          <w:p>
            <w:pPr>
              <w:pStyle w:val="21"/>
              <w:rPr>
                <w:rFonts w:ascii="黑体"/>
              </w:rPr>
            </w:pPr>
          </w:p>
          <w:p>
            <w:pPr>
              <w:pStyle w:val="21"/>
              <w:spacing w:before="3"/>
              <w:rPr>
                <w:rFonts w:ascii="黑体"/>
                <w:sz w:val="30"/>
              </w:rPr>
            </w:pPr>
          </w:p>
          <w:p>
            <w:pPr>
              <w:pStyle w:val="21"/>
              <w:ind w:left="6"/>
              <w:jc w:val="center"/>
              <w:rPr>
                <w:rFonts w:ascii="Times New Roman"/>
                <w:sz w:val="21"/>
              </w:rPr>
            </w:pPr>
            <w:r>
              <w:rPr>
                <w:rFonts w:ascii="Times New Roman"/>
                <w:sz w:val="21"/>
              </w:rPr>
              <w:t>17.4.1</w:t>
            </w:r>
          </w:p>
        </w:tc>
        <w:tc>
          <w:tcPr>
            <w:tcW w:w="3616" w:type="dxa"/>
          </w:tcPr>
          <w:p>
            <w:pPr>
              <w:pStyle w:val="21"/>
              <w:spacing w:before="128" w:line="357" w:lineRule="auto"/>
              <w:ind w:left="106" w:right="96"/>
              <w:jc w:val="both"/>
              <w:rPr>
                <w:sz w:val="21"/>
              </w:rPr>
            </w:pPr>
            <w:r>
              <w:rPr>
                <w:rFonts w:ascii="Times New Roman" w:eastAsia="Times New Roman"/>
                <w:sz w:val="21"/>
                <w:u w:val="single"/>
              </w:rPr>
              <w:t xml:space="preserve">          </w:t>
            </w:r>
            <w:r>
              <w:rPr>
                <w:rFonts w:ascii="Times New Roman" w:eastAsia="Times New Roman"/>
                <w:spacing w:val="-4"/>
                <w:sz w:val="21"/>
              </w:rPr>
              <w:t>%</w:t>
            </w:r>
            <w:r>
              <w:rPr>
                <w:spacing w:val="-8"/>
                <w:sz w:val="21"/>
              </w:rPr>
              <w:t>合同价格，若交工验收时承包人具备被招标项目所在地省级交通运输主管部门评定的最高信用等级，发</w:t>
            </w:r>
            <w:r>
              <w:rPr>
                <w:spacing w:val="7"/>
                <w:sz w:val="21"/>
              </w:rPr>
              <w:t>包人给予</w:t>
            </w:r>
            <w:r>
              <w:rPr>
                <w:spacing w:val="6"/>
                <w:sz w:val="21"/>
                <w:u w:val="single"/>
              </w:rPr>
              <w:t xml:space="preserve"> </w:t>
            </w:r>
            <w:r>
              <w:rPr>
                <w:rFonts w:ascii="Times New Roman" w:eastAsia="Times New Roman"/>
                <w:spacing w:val="10"/>
                <w:sz w:val="21"/>
              </w:rPr>
              <w:t>%</w:t>
            </w:r>
            <w:r>
              <w:rPr>
                <w:spacing w:val="6"/>
                <w:sz w:val="21"/>
              </w:rPr>
              <w:t>合同价格质量保证金</w:t>
            </w:r>
          </w:p>
          <w:p>
            <w:pPr>
              <w:pStyle w:val="21"/>
              <w:spacing w:line="247" w:lineRule="exact"/>
              <w:ind w:left="106"/>
              <w:jc w:val="both"/>
              <w:rPr>
                <w:sz w:val="21"/>
              </w:rPr>
            </w:pPr>
            <w:r>
              <w:rPr>
                <w:sz w:val="21"/>
              </w:rPr>
              <w:t>的优惠</w:t>
            </w:r>
          </w:p>
        </w:tc>
        <w:tc>
          <w:tcPr>
            <w:tcW w:w="749"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21"/>
              <w:spacing w:before="151" w:line="229" w:lineRule="exact"/>
              <w:ind w:left="109" w:right="100"/>
              <w:jc w:val="center"/>
              <w:rPr>
                <w:rFonts w:ascii="Times New Roman"/>
                <w:sz w:val="21"/>
              </w:rPr>
            </w:pPr>
            <w:r>
              <w:rPr>
                <w:rFonts w:ascii="Times New Roman"/>
                <w:sz w:val="21"/>
              </w:rPr>
              <w:t>12</w:t>
            </w:r>
          </w:p>
        </w:tc>
        <w:tc>
          <w:tcPr>
            <w:tcW w:w="2711" w:type="dxa"/>
          </w:tcPr>
          <w:p>
            <w:pPr>
              <w:pStyle w:val="21"/>
              <w:spacing w:before="128" w:line="252" w:lineRule="exact"/>
              <w:ind w:left="285" w:right="276"/>
              <w:jc w:val="center"/>
              <w:rPr>
                <w:sz w:val="21"/>
              </w:rPr>
            </w:pPr>
            <w:r>
              <w:rPr>
                <w:sz w:val="21"/>
              </w:rPr>
              <w:t>保修期</w:t>
            </w:r>
          </w:p>
        </w:tc>
        <w:tc>
          <w:tcPr>
            <w:tcW w:w="1186" w:type="dxa"/>
          </w:tcPr>
          <w:p>
            <w:pPr>
              <w:pStyle w:val="21"/>
              <w:spacing w:before="128" w:line="252" w:lineRule="exact"/>
              <w:ind w:left="9"/>
              <w:jc w:val="center"/>
              <w:rPr>
                <w:sz w:val="21"/>
              </w:rPr>
            </w:pPr>
            <w:r>
              <w:rPr>
                <w:rFonts w:ascii="Times New Roman" w:eastAsia="Times New Roman"/>
                <w:sz w:val="21"/>
              </w:rPr>
              <w:t>19.7</w:t>
            </w:r>
            <w:r>
              <w:rPr>
                <w:sz w:val="21"/>
              </w:rPr>
              <w:t>（</w:t>
            </w:r>
            <w:r>
              <w:rPr>
                <w:rFonts w:ascii="Times New Roman" w:eastAsia="Times New Roman"/>
                <w:sz w:val="21"/>
              </w:rPr>
              <w:t>1</w:t>
            </w:r>
            <w:r>
              <w:rPr>
                <w:sz w:val="21"/>
              </w:rPr>
              <w:t>）</w:t>
            </w:r>
          </w:p>
        </w:tc>
        <w:tc>
          <w:tcPr>
            <w:tcW w:w="3616" w:type="dxa"/>
          </w:tcPr>
          <w:p>
            <w:pPr>
              <w:pStyle w:val="21"/>
              <w:tabs>
                <w:tab w:val="left" w:pos="2732"/>
              </w:tabs>
              <w:spacing w:before="128" w:line="252"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sz w:val="21"/>
                <w:u w:val="single"/>
              </w:rPr>
              <w:t xml:space="preserve"> </w:t>
            </w:r>
            <w:r>
              <w:rPr>
                <w:sz w:val="21"/>
                <w:u w:val="single"/>
              </w:rPr>
              <w:tab/>
            </w:r>
            <w:r>
              <w:rPr>
                <w:sz w:val="21"/>
              </w:rPr>
              <w:t>年</w:t>
            </w:r>
          </w:p>
        </w:tc>
        <w:tc>
          <w:tcPr>
            <w:tcW w:w="749" w:type="dxa"/>
          </w:tcPr>
          <w:p>
            <w:pPr>
              <w:pStyle w:val="21"/>
              <w:rPr>
                <w:rFonts w:ascii="Times New Roman"/>
                <w:sz w:val="20"/>
              </w:rPr>
            </w:pPr>
          </w:p>
        </w:tc>
      </w:tr>
    </w:tbl>
    <w:p>
      <w:pPr>
        <w:rPr>
          <w:rFonts w:ascii="Times New Roman"/>
          <w:sz w:val="20"/>
        </w:rPr>
        <w:sectPr>
          <w:footerReference r:id="rId75" w:type="default"/>
          <w:pgSz w:w="11910" w:h="16850"/>
          <w:pgMar w:top="1540" w:right="1300" w:bottom="280" w:left="1420" w:header="883" w:footer="0" w:gutter="0"/>
          <w:cols w:space="720" w:num="1"/>
        </w:sectPr>
      </w:pPr>
    </w:p>
    <w:p>
      <w:pPr>
        <w:pStyle w:val="11"/>
        <w:spacing w:before="160"/>
        <w:ind w:right="60"/>
        <w:jc w:val="center"/>
        <w:rPr>
          <w:rFonts w:ascii="黑体" w:eastAsia="黑体"/>
        </w:rPr>
      </w:pPr>
      <w:r>
        <w:rPr>
          <w:rFonts w:hint="eastAsia" w:ascii="黑体" w:eastAsia="黑体"/>
        </w:rPr>
        <w:t>价格指数和权重表</w:t>
      </w:r>
    </w:p>
    <w:p>
      <w:pPr>
        <w:pStyle w:val="11"/>
        <w:rPr>
          <w:rFonts w:ascii="黑体"/>
          <w:sz w:val="20"/>
        </w:rPr>
      </w:pPr>
    </w:p>
    <w:p>
      <w:pPr>
        <w:pStyle w:val="11"/>
        <w:spacing w:before="10"/>
        <w:rPr>
          <w:rFonts w:ascii="黑体"/>
          <w:sz w:val="15"/>
        </w:rPr>
      </w:pPr>
    </w:p>
    <w:tbl>
      <w:tblPr>
        <w:tblStyle w:val="19"/>
        <w:tblW w:w="8460"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871"/>
        <w:gridCol w:w="749"/>
        <w:gridCol w:w="901"/>
        <w:gridCol w:w="648"/>
        <w:gridCol w:w="1265"/>
        <w:gridCol w:w="1629"/>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1298" w:type="dxa"/>
            <w:gridSpan w:val="2"/>
            <w:vMerge w:val="restart"/>
          </w:tcPr>
          <w:p>
            <w:pPr>
              <w:pStyle w:val="21"/>
              <w:rPr>
                <w:rFonts w:ascii="黑体"/>
                <w:sz w:val="20"/>
              </w:rPr>
            </w:pPr>
          </w:p>
          <w:p>
            <w:pPr>
              <w:pStyle w:val="21"/>
              <w:rPr>
                <w:rFonts w:ascii="黑体"/>
                <w:sz w:val="20"/>
              </w:rPr>
            </w:pPr>
          </w:p>
          <w:p>
            <w:pPr>
              <w:pStyle w:val="21"/>
              <w:rPr>
                <w:rFonts w:ascii="黑体"/>
                <w:sz w:val="20"/>
              </w:rPr>
            </w:pPr>
          </w:p>
          <w:p>
            <w:pPr>
              <w:pStyle w:val="21"/>
              <w:rPr>
                <w:rFonts w:ascii="黑体"/>
                <w:sz w:val="26"/>
              </w:rPr>
            </w:pPr>
          </w:p>
          <w:p>
            <w:pPr>
              <w:pStyle w:val="21"/>
              <w:ind w:left="438"/>
              <w:rPr>
                <w:sz w:val="21"/>
              </w:rPr>
            </w:pPr>
            <w:r>
              <w:rPr>
                <w:sz w:val="21"/>
              </w:rPr>
              <w:t xml:space="preserve">名称 </w:t>
            </w:r>
          </w:p>
        </w:tc>
        <w:tc>
          <w:tcPr>
            <w:tcW w:w="1650" w:type="dxa"/>
            <w:gridSpan w:val="2"/>
          </w:tcPr>
          <w:p>
            <w:pPr>
              <w:pStyle w:val="21"/>
              <w:rPr>
                <w:rFonts w:ascii="黑体"/>
                <w:sz w:val="20"/>
              </w:rPr>
            </w:pPr>
          </w:p>
          <w:p>
            <w:pPr>
              <w:pStyle w:val="21"/>
              <w:spacing w:before="6"/>
              <w:rPr>
                <w:rFonts w:ascii="黑体"/>
                <w:sz w:val="17"/>
              </w:rPr>
            </w:pPr>
          </w:p>
          <w:p>
            <w:pPr>
              <w:pStyle w:val="21"/>
              <w:spacing w:before="1"/>
              <w:ind w:left="194"/>
              <w:rPr>
                <w:sz w:val="21"/>
              </w:rPr>
            </w:pPr>
            <w:r>
              <w:rPr>
                <w:sz w:val="21"/>
              </w:rPr>
              <w:t xml:space="preserve">基本价格指数 </w:t>
            </w:r>
          </w:p>
        </w:tc>
        <w:tc>
          <w:tcPr>
            <w:tcW w:w="3542" w:type="dxa"/>
            <w:gridSpan w:val="3"/>
          </w:tcPr>
          <w:p>
            <w:pPr>
              <w:pStyle w:val="21"/>
              <w:rPr>
                <w:rFonts w:ascii="黑体"/>
                <w:sz w:val="20"/>
              </w:rPr>
            </w:pPr>
          </w:p>
          <w:p>
            <w:pPr>
              <w:pStyle w:val="21"/>
              <w:spacing w:before="6"/>
              <w:rPr>
                <w:rFonts w:ascii="黑体"/>
                <w:sz w:val="17"/>
              </w:rPr>
            </w:pPr>
          </w:p>
          <w:p>
            <w:pPr>
              <w:pStyle w:val="21"/>
              <w:spacing w:before="1"/>
              <w:ind w:left="1192"/>
              <w:rPr>
                <w:sz w:val="21"/>
              </w:rPr>
            </w:pPr>
            <w:r>
              <w:rPr>
                <w:sz w:val="21"/>
              </w:rPr>
              <w:t xml:space="preserve">权 重 </w:t>
            </w:r>
          </w:p>
        </w:tc>
        <w:tc>
          <w:tcPr>
            <w:tcW w:w="1970" w:type="dxa"/>
            <w:vMerge w:val="restart"/>
          </w:tcPr>
          <w:p>
            <w:pPr>
              <w:pStyle w:val="21"/>
              <w:rPr>
                <w:rFonts w:ascii="黑体"/>
                <w:sz w:val="20"/>
              </w:rPr>
            </w:pPr>
          </w:p>
          <w:p>
            <w:pPr>
              <w:pStyle w:val="21"/>
              <w:rPr>
                <w:rFonts w:ascii="黑体"/>
                <w:sz w:val="20"/>
              </w:rPr>
            </w:pPr>
          </w:p>
          <w:p>
            <w:pPr>
              <w:pStyle w:val="21"/>
              <w:rPr>
                <w:rFonts w:ascii="黑体"/>
                <w:sz w:val="20"/>
              </w:rPr>
            </w:pPr>
          </w:p>
          <w:p>
            <w:pPr>
              <w:pStyle w:val="21"/>
              <w:rPr>
                <w:rFonts w:ascii="黑体"/>
                <w:sz w:val="26"/>
              </w:rPr>
            </w:pPr>
          </w:p>
          <w:p>
            <w:pPr>
              <w:pStyle w:val="21"/>
              <w:ind w:left="355"/>
              <w:rPr>
                <w:sz w:val="21"/>
              </w:rPr>
            </w:pPr>
            <w:r>
              <w:rPr>
                <w:sz w:val="21"/>
              </w:rPr>
              <w:t xml:space="preserve">价格指数来源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1298" w:type="dxa"/>
            <w:gridSpan w:val="2"/>
            <w:vMerge w:val="continue"/>
            <w:tcBorders>
              <w:top w:val="nil"/>
            </w:tcBorders>
          </w:tcPr>
          <w:p>
            <w:pPr>
              <w:rPr>
                <w:sz w:val="2"/>
                <w:szCs w:val="2"/>
              </w:rPr>
            </w:pPr>
          </w:p>
        </w:tc>
        <w:tc>
          <w:tcPr>
            <w:tcW w:w="749" w:type="dxa"/>
          </w:tcPr>
          <w:p>
            <w:pPr>
              <w:pStyle w:val="21"/>
              <w:rPr>
                <w:rFonts w:ascii="黑体"/>
                <w:sz w:val="20"/>
              </w:rPr>
            </w:pPr>
          </w:p>
          <w:p>
            <w:pPr>
              <w:pStyle w:val="21"/>
              <w:spacing w:before="6"/>
              <w:rPr>
                <w:rFonts w:ascii="黑体"/>
                <w:sz w:val="17"/>
              </w:rPr>
            </w:pPr>
          </w:p>
          <w:p>
            <w:pPr>
              <w:pStyle w:val="21"/>
              <w:spacing w:before="1"/>
              <w:ind w:left="163"/>
              <w:rPr>
                <w:sz w:val="21"/>
              </w:rPr>
            </w:pPr>
            <w:r>
              <w:rPr>
                <w:sz w:val="21"/>
              </w:rPr>
              <w:t xml:space="preserve">代号 </w:t>
            </w:r>
          </w:p>
        </w:tc>
        <w:tc>
          <w:tcPr>
            <w:tcW w:w="901" w:type="dxa"/>
          </w:tcPr>
          <w:p>
            <w:pPr>
              <w:pStyle w:val="21"/>
              <w:rPr>
                <w:rFonts w:ascii="黑体"/>
                <w:sz w:val="20"/>
              </w:rPr>
            </w:pPr>
          </w:p>
          <w:p>
            <w:pPr>
              <w:pStyle w:val="21"/>
              <w:spacing w:before="6"/>
              <w:rPr>
                <w:rFonts w:ascii="黑体"/>
                <w:sz w:val="17"/>
              </w:rPr>
            </w:pPr>
          </w:p>
          <w:p>
            <w:pPr>
              <w:pStyle w:val="21"/>
              <w:spacing w:before="1"/>
              <w:ind w:left="132"/>
              <w:rPr>
                <w:sz w:val="21"/>
              </w:rPr>
            </w:pPr>
            <w:r>
              <w:rPr>
                <w:sz w:val="21"/>
              </w:rPr>
              <w:t xml:space="preserve">指数值 </w:t>
            </w:r>
          </w:p>
        </w:tc>
        <w:tc>
          <w:tcPr>
            <w:tcW w:w="648" w:type="dxa"/>
          </w:tcPr>
          <w:p>
            <w:pPr>
              <w:pStyle w:val="21"/>
              <w:rPr>
                <w:rFonts w:ascii="黑体"/>
                <w:sz w:val="20"/>
              </w:rPr>
            </w:pPr>
          </w:p>
          <w:p>
            <w:pPr>
              <w:pStyle w:val="21"/>
              <w:spacing w:before="6"/>
              <w:rPr>
                <w:rFonts w:ascii="黑体"/>
                <w:sz w:val="17"/>
              </w:rPr>
            </w:pPr>
          </w:p>
          <w:p>
            <w:pPr>
              <w:pStyle w:val="21"/>
              <w:spacing w:before="1"/>
              <w:ind w:left="109"/>
              <w:rPr>
                <w:sz w:val="21"/>
              </w:rPr>
            </w:pPr>
            <w:r>
              <w:rPr>
                <w:sz w:val="21"/>
              </w:rPr>
              <w:t xml:space="preserve">代号 </w:t>
            </w:r>
          </w:p>
        </w:tc>
        <w:tc>
          <w:tcPr>
            <w:tcW w:w="1265" w:type="dxa"/>
          </w:tcPr>
          <w:p>
            <w:pPr>
              <w:pStyle w:val="21"/>
              <w:rPr>
                <w:rFonts w:ascii="黑体"/>
                <w:sz w:val="20"/>
              </w:rPr>
            </w:pPr>
          </w:p>
          <w:p>
            <w:pPr>
              <w:pStyle w:val="21"/>
              <w:spacing w:before="6"/>
              <w:rPr>
                <w:rFonts w:ascii="黑体"/>
                <w:sz w:val="17"/>
              </w:rPr>
            </w:pPr>
          </w:p>
          <w:p>
            <w:pPr>
              <w:pStyle w:val="21"/>
              <w:spacing w:before="1"/>
              <w:ind w:left="210"/>
              <w:rPr>
                <w:sz w:val="21"/>
              </w:rPr>
            </w:pPr>
            <w:r>
              <w:rPr>
                <w:sz w:val="21"/>
              </w:rPr>
              <w:t xml:space="preserve">允许范围 </w:t>
            </w:r>
          </w:p>
        </w:tc>
        <w:tc>
          <w:tcPr>
            <w:tcW w:w="1629" w:type="dxa"/>
          </w:tcPr>
          <w:p>
            <w:pPr>
              <w:pStyle w:val="21"/>
              <w:rPr>
                <w:rFonts w:ascii="黑体"/>
                <w:sz w:val="20"/>
              </w:rPr>
            </w:pPr>
          </w:p>
          <w:p>
            <w:pPr>
              <w:pStyle w:val="21"/>
              <w:spacing w:before="6"/>
              <w:rPr>
                <w:rFonts w:ascii="黑体"/>
                <w:sz w:val="17"/>
              </w:rPr>
            </w:pPr>
          </w:p>
          <w:p>
            <w:pPr>
              <w:pStyle w:val="21"/>
              <w:spacing w:before="1"/>
              <w:ind w:left="184"/>
              <w:rPr>
                <w:sz w:val="21"/>
              </w:rPr>
            </w:pPr>
            <w:r>
              <w:rPr>
                <w:sz w:val="21"/>
              </w:rPr>
              <w:t xml:space="preserve">投标人建议值 </w:t>
            </w:r>
          </w:p>
        </w:tc>
        <w:tc>
          <w:tcPr>
            <w:tcW w:w="19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298" w:type="dxa"/>
            <w:gridSpan w:val="2"/>
          </w:tcPr>
          <w:p>
            <w:pPr>
              <w:pStyle w:val="21"/>
              <w:rPr>
                <w:rFonts w:ascii="黑体"/>
                <w:sz w:val="20"/>
              </w:rPr>
            </w:pPr>
          </w:p>
          <w:p>
            <w:pPr>
              <w:pStyle w:val="21"/>
              <w:spacing w:before="6"/>
              <w:rPr>
                <w:rFonts w:ascii="黑体"/>
                <w:sz w:val="17"/>
              </w:rPr>
            </w:pPr>
          </w:p>
          <w:p>
            <w:pPr>
              <w:pStyle w:val="21"/>
              <w:spacing w:before="1"/>
              <w:ind w:left="227"/>
              <w:rPr>
                <w:sz w:val="21"/>
              </w:rPr>
            </w:pPr>
            <w:r>
              <w:rPr>
                <w:sz w:val="21"/>
              </w:rPr>
              <w:t xml:space="preserve">定值部分 </w:t>
            </w:r>
          </w:p>
        </w:tc>
        <w:tc>
          <w:tcPr>
            <w:tcW w:w="749" w:type="dxa"/>
          </w:tcPr>
          <w:p>
            <w:pPr>
              <w:pStyle w:val="21"/>
              <w:rPr>
                <w:rFonts w:ascii="黑体"/>
                <w:sz w:val="20"/>
              </w:rPr>
            </w:pPr>
          </w:p>
          <w:p>
            <w:pPr>
              <w:pStyle w:val="21"/>
              <w:spacing w:before="6"/>
              <w:rPr>
                <w:rFonts w:ascii="黑体"/>
                <w:sz w:val="17"/>
              </w:rPr>
            </w:pPr>
          </w:p>
          <w:p>
            <w:pPr>
              <w:pStyle w:val="21"/>
              <w:spacing w:before="1"/>
              <w:ind w:left="108"/>
              <w:rPr>
                <w:sz w:val="21"/>
              </w:rPr>
            </w:pPr>
            <w:r>
              <w:rPr>
                <w:sz w:val="21"/>
              </w:rPr>
              <w:t xml:space="preserve"> </w:t>
            </w:r>
          </w:p>
        </w:tc>
        <w:tc>
          <w:tcPr>
            <w:tcW w:w="901"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 </w:t>
            </w:r>
          </w:p>
        </w:tc>
        <w:tc>
          <w:tcPr>
            <w:tcW w:w="648"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A </w:t>
            </w:r>
          </w:p>
        </w:tc>
        <w:tc>
          <w:tcPr>
            <w:tcW w:w="1265" w:type="dxa"/>
          </w:tcPr>
          <w:p>
            <w:pPr>
              <w:pStyle w:val="21"/>
              <w:rPr>
                <w:rFonts w:ascii="黑体"/>
                <w:sz w:val="20"/>
              </w:rPr>
            </w:pPr>
          </w:p>
          <w:p>
            <w:pPr>
              <w:pStyle w:val="21"/>
              <w:spacing w:before="6"/>
              <w:rPr>
                <w:rFonts w:ascii="黑体"/>
                <w:sz w:val="17"/>
              </w:rPr>
            </w:pPr>
          </w:p>
          <w:p>
            <w:pPr>
              <w:pStyle w:val="21"/>
              <w:spacing w:before="1"/>
              <w:ind w:left="112"/>
              <w:jc w:val="center"/>
              <w:rPr>
                <w:sz w:val="21"/>
              </w:rPr>
            </w:pPr>
            <w:r>
              <w:rPr>
                <w:sz w:val="21"/>
              </w:rPr>
              <w:t xml:space="preserve"> </w:t>
            </w:r>
          </w:p>
        </w:tc>
        <w:tc>
          <w:tcPr>
            <w:tcW w:w="1629" w:type="dxa"/>
          </w:tcPr>
          <w:p>
            <w:pPr>
              <w:pStyle w:val="21"/>
              <w:rPr>
                <w:rFonts w:ascii="黑体"/>
                <w:sz w:val="20"/>
              </w:rPr>
            </w:pPr>
          </w:p>
          <w:p>
            <w:pPr>
              <w:pStyle w:val="21"/>
              <w:spacing w:before="6"/>
              <w:rPr>
                <w:rFonts w:ascii="黑体"/>
                <w:sz w:val="17"/>
              </w:rPr>
            </w:pPr>
          </w:p>
          <w:p>
            <w:pPr>
              <w:pStyle w:val="21"/>
              <w:spacing w:before="1"/>
              <w:ind w:left="113"/>
              <w:jc w:val="center"/>
              <w:rPr>
                <w:sz w:val="21"/>
              </w:rPr>
            </w:pPr>
            <w:r>
              <w:rPr>
                <w:sz w:val="21"/>
              </w:rPr>
              <w:t xml:space="preserve"> </w:t>
            </w:r>
          </w:p>
        </w:tc>
        <w:tc>
          <w:tcPr>
            <w:tcW w:w="1970" w:type="dxa"/>
          </w:tcPr>
          <w:p>
            <w:pPr>
              <w:pStyle w:val="21"/>
              <w:rPr>
                <w:rFonts w:ascii="黑体"/>
                <w:sz w:val="20"/>
              </w:rPr>
            </w:pPr>
          </w:p>
          <w:p>
            <w:pPr>
              <w:pStyle w:val="21"/>
              <w:spacing w:before="6"/>
              <w:rPr>
                <w:rFonts w:ascii="黑体"/>
                <w:sz w:val="17"/>
              </w:rPr>
            </w:pPr>
          </w:p>
          <w:p>
            <w:pPr>
              <w:pStyle w:val="21"/>
              <w:spacing w:before="1"/>
              <w:ind w:left="115"/>
              <w:jc w:val="center"/>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27" w:type="dxa"/>
            <w:vMerge w:val="restart"/>
          </w:tcPr>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spacing w:before="10"/>
              <w:rPr>
                <w:rFonts w:ascii="黑体"/>
                <w:sz w:val="19"/>
              </w:rPr>
            </w:pPr>
          </w:p>
          <w:p>
            <w:pPr>
              <w:pStyle w:val="21"/>
              <w:spacing w:line="242" w:lineRule="auto"/>
              <w:ind w:left="107" w:right="-15"/>
              <w:jc w:val="both"/>
              <w:rPr>
                <w:sz w:val="21"/>
              </w:rPr>
            </w:pPr>
            <w:r>
              <w:rPr>
                <w:sz w:val="21"/>
              </w:rPr>
              <w:t xml:space="preserve">变值部分 </w:t>
            </w:r>
          </w:p>
        </w:tc>
        <w:tc>
          <w:tcPr>
            <w:tcW w:w="871"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人工费 </w:t>
            </w:r>
          </w:p>
        </w:tc>
        <w:tc>
          <w:tcPr>
            <w:tcW w:w="749" w:type="dxa"/>
          </w:tcPr>
          <w:p>
            <w:pPr>
              <w:pStyle w:val="21"/>
              <w:rPr>
                <w:rFonts w:ascii="黑体"/>
                <w:sz w:val="20"/>
              </w:rPr>
            </w:pPr>
          </w:p>
          <w:p>
            <w:pPr>
              <w:pStyle w:val="21"/>
              <w:spacing w:before="6"/>
              <w:rPr>
                <w:rFonts w:ascii="黑体"/>
                <w:sz w:val="17"/>
              </w:rPr>
            </w:pPr>
          </w:p>
          <w:p>
            <w:pPr>
              <w:pStyle w:val="21"/>
              <w:ind w:left="108"/>
              <w:rPr>
                <w:sz w:val="11"/>
              </w:rPr>
            </w:pPr>
            <w:r>
              <w:rPr>
                <w:position w:val="1"/>
                <w:sz w:val="21"/>
              </w:rPr>
              <w:t>F</w:t>
            </w:r>
            <w:r>
              <w:rPr>
                <w:sz w:val="11"/>
              </w:rPr>
              <w:t xml:space="preserve">01 </w:t>
            </w:r>
          </w:p>
        </w:tc>
        <w:tc>
          <w:tcPr>
            <w:tcW w:w="901"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 </w:t>
            </w:r>
          </w:p>
        </w:tc>
        <w:tc>
          <w:tcPr>
            <w:tcW w:w="648" w:type="dxa"/>
          </w:tcPr>
          <w:p>
            <w:pPr>
              <w:pStyle w:val="21"/>
              <w:rPr>
                <w:rFonts w:ascii="黑体"/>
                <w:sz w:val="20"/>
              </w:rPr>
            </w:pPr>
          </w:p>
          <w:p>
            <w:pPr>
              <w:pStyle w:val="21"/>
              <w:spacing w:before="6"/>
              <w:rPr>
                <w:rFonts w:ascii="黑体"/>
                <w:sz w:val="17"/>
              </w:rPr>
            </w:pPr>
          </w:p>
          <w:p>
            <w:pPr>
              <w:pStyle w:val="21"/>
              <w:ind w:left="105"/>
              <w:rPr>
                <w:sz w:val="21"/>
              </w:rPr>
            </w:pPr>
            <w:r>
              <w:rPr>
                <w:position w:val="1"/>
                <w:sz w:val="21"/>
              </w:rPr>
              <w:t>B</w:t>
            </w:r>
            <w:r>
              <w:rPr>
                <w:sz w:val="11"/>
              </w:rPr>
              <w:t>1</w:t>
            </w:r>
            <w:r>
              <w:rPr>
                <w:position w:val="1"/>
                <w:sz w:val="21"/>
              </w:rPr>
              <w:t xml:space="preserve"> </w:t>
            </w:r>
          </w:p>
        </w:tc>
        <w:tc>
          <w:tcPr>
            <w:tcW w:w="1265"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u w:val="single"/>
              </w:rPr>
              <w:t xml:space="preserve">  </w:t>
            </w:r>
            <w:r>
              <w:rPr>
                <w:sz w:val="21"/>
              </w:rPr>
              <w:t>至</w:t>
            </w:r>
            <w:r>
              <w:rPr>
                <w:sz w:val="21"/>
                <w:u w:val="single"/>
              </w:rPr>
              <w:t xml:space="preserve">  </w:t>
            </w:r>
            <w:r>
              <w:rPr>
                <w:sz w:val="21"/>
              </w:rPr>
              <w:t xml:space="preserve">   </w:t>
            </w:r>
          </w:p>
        </w:tc>
        <w:tc>
          <w:tcPr>
            <w:tcW w:w="1629" w:type="dxa"/>
          </w:tcPr>
          <w:p>
            <w:pPr>
              <w:pStyle w:val="21"/>
              <w:rPr>
                <w:rFonts w:ascii="黑体"/>
                <w:sz w:val="20"/>
              </w:rPr>
            </w:pPr>
          </w:p>
          <w:p>
            <w:pPr>
              <w:pStyle w:val="21"/>
              <w:spacing w:before="6"/>
              <w:rPr>
                <w:rFonts w:ascii="黑体"/>
                <w:sz w:val="17"/>
              </w:rPr>
            </w:pPr>
          </w:p>
          <w:p>
            <w:pPr>
              <w:pStyle w:val="21"/>
              <w:spacing w:before="1"/>
              <w:ind w:left="107"/>
              <w:rPr>
                <w:sz w:val="21"/>
              </w:rPr>
            </w:pPr>
            <w:r>
              <w:rPr>
                <w:sz w:val="21"/>
              </w:rPr>
              <w:t xml:space="preserve"> </w:t>
            </w:r>
          </w:p>
        </w:tc>
        <w:tc>
          <w:tcPr>
            <w:tcW w:w="1970" w:type="dxa"/>
          </w:tcPr>
          <w:p>
            <w:pPr>
              <w:pStyle w:val="21"/>
              <w:rPr>
                <w:rFonts w:ascii="黑体"/>
                <w:sz w:val="20"/>
              </w:rPr>
            </w:pPr>
          </w:p>
          <w:p>
            <w:pPr>
              <w:pStyle w:val="21"/>
              <w:spacing w:before="6"/>
              <w:rPr>
                <w:rFonts w:ascii="黑体"/>
                <w:sz w:val="17"/>
              </w:rPr>
            </w:pPr>
          </w:p>
          <w:p>
            <w:pPr>
              <w:pStyle w:val="21"/>
              <w:spacing w:before="1"/>
              <w:ind w:left="10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27" w:type="dxa"/>
            <w:vMerge w:val="continue"/>
            <w:tcBorders>
              <w:top w:val="nil"/>
            </w:tcBorders>
          </w:tcPr>
          <w:p>
            <w:pPr>
              <w:rPr>
                <w:sz w:val="2"/>
                <w:szCs w:val="2"/>
              </w:rPr>
            </w:pPr>
          </w:p>
        </w:tc>
        <w:tc>
          <w:tcPr>
            <w:tcW w:w="871" w:type="dxa"/>
          </w:tcPr>
          <w:p>
            <w:pPr>
              <w:pStyle w:val="21"/>
              <w:rPr>
                <w:rFonts w:ascii="黑体"/>
                <w:sz w:val="20"/>
              </w:rPr>
            </w:pPr>
          </w:p>
          <w:p>
            <w:pPr>
              <w:pStyle w:val="21"/>
              <w:spacing w:before="7"/>
              <w:rPr>
                <w:rFonts w:ascii="黑体"/>
                <w:sz w:val="17"/>
              </w:rPr>
            </w:pPr>
          </w:p>
          <w:p>
            <w:pPr>
              <w:pStyle w:val="21"/>
              <w:ind w:left="105"/>
              <w:rPr>
                <w:sz w:val="21"/>
              </w:rPr>
            </w:pPr>
            <w:r>
              <w:rPr>
                <w:sz w:val="21"/>
              </w:rPr>
              <w:t xml:space="preserve">钢材 </w:t>
            </w:r>
          </w:p>
        </w:tc>
        <w:tc>
          <w:tcPr>
            <w:tcW w:w="749" w:type="dxa"/>
          </w:tcPr>
          <w:p>
            <w:pPr>
              <w:pStyle w:val="21"/>
              <w:rPr>
                <w:rFonts w:ascii="黑体"/>
                <w:sz w:val="20"/>
              </w:rPr>
            </w:pPr>
          </w:p>
          <w:p>
            <w:pPr>
              <w:pStyle w:val="21"/>
              <w:spacing w:before="6"/>
              <w:rPr>
                <w:rFonts w:ascii="黑体"/>
                <w:sz w:val="17"/>
              </w:rPr>
            </w:pPr>
          </w:p>
          <w:p>
            <w:pPr>
              <w:pStyle w:val="21"/>
              <w:spacing w:before="1"/>
              <w:ind w:left="108"/>
              <w:rPr>
                <w:sz w:val="21"/>
              </w:rPr>
            </w:pPr>
            <w:r>
              <w:rPr>
                <w:position w:val="1"/>
                <w:sz w:val="21"/>
              </w:rPr>
              <w:t>F</w:t>
            </w:r>
            <w:r>
              <w:rPr>
                <w:sz w:val="11"/>
              </w:rPr>
              <w:t>02</w:t>
            </w:r>
            <w:r>
              <w:rPr>
                <w:position w:val="1"/>
                <w:sz w:val="21"/>
              </w:rPr>
              <w:t xml:space="preserve"> </w:t>
            </w:r>
          </w:p>
        </w:tc>
        <w:tc>
          <w:tcPr>
            <w:tcW w:w="901" w:type="dxa"/>
          </w:tcPr>
          <w:p>
            <w:pPr>
              <w:pStyle w:val="21"/>
              <w:rPr>
                <w:rFonts w:ascii="黑体"/>
                <w:sz w:val="20"/>
              </w:rPr>
            </w:pPr>
          </w:p>
          <w:p>
            <w:pPr>
              <w:pStyle w:val="21"/>
              <w:spacing w:before="7"/>
              <w:rPr>
                <w:rFonts w:ascii="黑体"/>
                <w:sz w:val="17"/>
              </w:rPr>
            </w:pPr>
          </w:p>
          <w:p>
            <w:pPr>
              <w:pStyle w:val="21"/>
              <w:ind w:left="105"/>
              <w:rPr>
                <w:sz w:val="21"/>
              </w:rPr>
            </w:pPr>
            <w:r>
              <w:rPr>
                <w:sz w:val="21"/>
              </w:rPr>
              <w:t xml:space="preserve"> </w:t>
            </w:r>
          </w:p>
        </w:tc>
        <w:tc>
          <w:tcPr>
            <w:tcW w:w="648" w:type="dxa"/>
          </w:tcPr>
          <w:p>
            <w:pPr>
              <w:pStyle w:val="21"/>
              <w:rPr>
                <w:rFonts w:ascii="黑体"/>
                <w:sz w:val="20"/>
              </w:rPr>
            </w:pPr>
          </w:p>
          <w:p>
            <w:pPr>
              <w:pStyle w:val="21"/>
              <w:spacing w:before="6"/>
              <w:rPr>
                <w:rFonts w:ascii="黑体"/>
                <w:sz w:val="17"/>
              </w:rPr>
            </w:pPr>
          </w:p>
          <w:p>
            <w:pPr>
              <w:pStyle w:val="21"/>
              <w:spacing w:before="1"/>
              <w:ind w:left="105"/>
              <w:rPr>
                <w:sz w:val="21"/>
              </w:rPr>
            </w:pPr>
            <w:r>
              <w:rPr>
                <w:position w:val="1"/>
                <w:sz w:val="21"/>
              </w:rPr>
              <w:t>B</w:t>
            </w:r>
            <w:r>
              <w:rPr>
                <w:sz w:val="11"/>
              </w:rPr>
              <w:t>2</w:t>
            </w:r>
            <w:r>
              <w:rPr>
                <w:position w:val="1"/>
                <w:sz w:val="21"/>
              </w:rPr>
              <w:t xml:space="preserve"> </w:t>
            </w:r>
          </w:p>
        </w:tc>
        <w:tc>
          <w:tcPr>
            <w:tcW w:w="1265" w:type="dxa"/>
          </w:tcPr>
          <w:p>
            <w:pPr>
              <w:pStyle w:val="21"/>
              <w:rPr>
                <w:rFonts w:ascii="黑体"/>
                <w:sz w:val="20"/>
              </w:rPr>
            </w:pPr>
          </w:p>
          <w:p>
            <w:pPr>
              <w:pStyle w:val="21"/>
              <w:spacing w:before="7"/>
              <w:rPr>
                <w:rFonts w:ascii="黑体"/>
                <w:sz w:val="17"/>
              </w:rPr>
            </w:pPr>
          </w:p>
          <w:p>
            <w:pPr>
              <w:pStyle w:val="21"/>
              <w:ind w:left="105"/>
              <w:rPr>
                <w:sz w:val="21"/>
              </w:rPr>
            </w:pPr>
            <w:r>
              <w:rPr>
                <w:sz w:val="21"/>
                <w:u w:val="single"/>
              </w:rPr>
              <w:t xml:space="preserve">  </w:t>
            </w:r>
            <w:r>
              <w:rPr>
                <w:sz w:val="21"/>
              </w:rPr>
              <w:t>至</w:t>
            </w:r>
            <w:r>
              <w:rPr>
                <w:sz w:val="21"/>
                <w:u w:val="single"/>
              </w:rPr>
              <w:t xml:space="preserve">  </w:t>
            </w:r>
            <w:r>
              <w:rPr>
                <w:sz w:val="21"/>
              </w:rPr>
              <w:t xml:space="preserve">   </w:t>
            </w:r>
          </w:p>
        </w:tc>
        <w:tc>
          <w:tcPr>
            <w:tcW w:w="1629" w:type="dxa"/>
          </w:tcPr>
          <w:p>
            <w:pPr>
              <w:pStyle w:val="21"/>
              <w:rPr>
                <w:rFonts w:ascii="黑体"/>
                <w:sz w:val="20"/>
              </w:rPr>
            </w:pPr>
          </w:p>
          <w:p>
            <w:pPr>
              <w:pStyle w:val="21"/>
              <w:spacing w:before="7"/>
              <w:rPr>
                <w:rFonts w:ascii="黑体"/>
                <w:sz w:val="17"/>
              </w:rPr>
            </w:pPr>
          </w:p>
          <w:p>
            <w:pPr>
              <w:pStyle w:val="21"/>
              <w:ind w:left="107"/>
              <w:rPr>
                <w:sz w:val="21"/>
              </w:rPr>
            </w:pPr>
            <w:r>
              <w:rPr>
                <w:sz w:val="21"/>
              </w:rPr>
              <w:t xml:space="preserve"> </w:t>
            </w:r>
          </w:p>
        </w:tc>
        <w:tc>
          <w:tcPr>
            <w:tcW w:w="1970" w:type="dxa"/>
          </w:tcPr>
          <w:p>
            <w:pPr>
              <w:pStyle w:val="21"/>
              <w:rPr>
                <w:rFonts w:ascii="黑体"/>
                <w:sz w:val="20"/>
              </w:rPr>
            </w:pPr>
          </w:p>
          <w:p>
            <w:pPr>
              <w:pStyle w:val="21"/>
              <w:spacing w:before="7"/>
              <w:rPr>
                <w:rFonts w:ascii="黑体"/>
                <w:sz w:val="17"/>
              </w:rPr>
            </w:pPr>
          </w:p>
          <w:p>
            <w:pPr>
              <w:pStyle w:val="21"/>
              <w:ind w:left="10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427" w:type="dxa"/>
            <w:vMerge w:val="continue"/>
            <w:tcBorders>
              <w:top w:val="nil"/>
            </w:tcBorders>
          </w:tcPr>
          <w:p>
            <w:pPr>
              <w:rPr>
                <w:sz w:val="2"/>
                <w:szCs w:val="2"/>
              </w:rPr>
            </w:pPr>
          </w:p>
        </w:tc>
        <w:tc>
          <w:tcPr>
            <w:tcW w:w="871"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水泥 </w:t>
            </w:r>
          </w:p>
        </w:tc>
        <w:tc>
          <w:tcPr>
            <w:tcW w:w="749" w:type="dxa"/>
          </w:tcPr>
          <w:p>
            <w:pPr>
              <w:pStyle w:val="21"/>
              <w:rPr>
                <w:rFonts w:ascii="黑体"/>
                <w:sz w:val="20"/>
              </w:rPr>
            </w:pPr>
          </w:p>
          <w:p>
            <w:pPr>
              <w:pStyle w:val="21"/>
              <w:spacing w:before="6"/>
              <w:rPr>
                <w:rFonts w:ascii="黑体"/>
                <w:sz w:val="17"/>
              </w:rPr>
            </w:pPr>
          </w:p>
          <w:p>
            <w:pPr>
              <w:pStyle w:val="21"/>
              <w:ind w:left="108"/>
              <w:rPr>
                <w:sz w:val="21"/>
              </w:rPr>
            </w:pPr>
            <w:r>
              <w:rPr>
                <w:position w:val="1"/>
                <w:sz w:val="21"/>
              </w:rPr>
              <w:t>F</w:t>
            </w:r>
            <w:r>
              <w:rPr>
                <w:sz w:val="11"/>
              </w:rPr>
              <w:t>03</w:t>
            </w:r>
            <w:r>
              <w:rPr>
                <w:position w:val="1"/>
                <w:sz w:val="21"/>
              </w:rPr>
              <w:t xml:space="preserve"> </w:t>
            </w:r>
          </w:p>
        </w:tc>
        <w:tc>
          <w:tcPr>
            <w:tcW w:w="901"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 </w:t>
            </w:r>
          </w:p>
        </w:tc>
        <w:tc>
          <w:tcPr>
            <w:tcW w:w="648" w:type="dxa"/>
          </w:tcPr>
          <w:p>
            <w:pPr>
              <w:pStyle w:val="21"/>
              <w:rPr>
                <w:rFonts w:ascii="黑体"/>
                <w:sz w:val="20"/>
              </w:rPr>
            </w:pPr>
          </w:p>
          <w:p>
            <w:pPr>
              <w:pStyle w:val="21"/>
              <w:spacing w:before="6"/>
              <w:rPr>
                <w:rFonts w:ascii="黑体"/>
                <w:sz w:val="17"/>
              </w:rPr>
            </w:pPr>
          </w:p>
          <w:p>
            <w:pPr>
              <w:pStyle w:val="21"/>
              <w:ind w:left="105"/>
              <w:rPr>
                <w:sz w:val="21"/>
              </w:rPr>
            </w:pPr>
            <w:r>
              <w:rPr>
                <w:position w:val="1"/>
                <w:sz w:val="21"/>
              </w:rPr>
              <w:t>B</w:t>
            </w:r>
            <w:r>
              <w:rPr>
                <w:sz w:val="11"/>
              </w:rPr>
              <w:t>3</w:t>
            </w:r>
            <w:r>
              <w:rPr>
                <w:position w:val="1"/>
                <w:sz w:val="21"/>
              </w:rPr>
              <w:t xml:space="preserve"> </w:t>
            </w:r>
          </w:p>
        </w:tc>
        <w:tc>
          <w:tcPr>
            <w:tcW w:w="1265"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u w:val="single"/>
              </w:rPr>
              <w:t xml:space="preserve">  </w:t>
            </w:r>
            <w:r>
              <w:rPr>
                <w:sz w:val="21"/>
              </w:rPr>
              <w:t>至</w:t>
            </w:r>
            <w:r>
              <w:rPr>
                <w:sz w:val="21"/>
                <w:u w:val="single"/>
              </w:rPr>
              <w:t xml:space="preserve">  </w:t>
            </w:r>
            <w:r>
              <w:rPr>
                <w:sz w:val="21"/>
              </w:rPr>
              <w:t xml:space="preserve">   </w:t>
            </w:r>
          </w:p>
        </w:tc>
        <w:tc>
          <w:tcPr>
            <w:tcW w:w="1629" w:type="dxa"/>
          </w:tcPr>
          <w:p>
            <w:pPr>
              <w:pStyle w:val="21"/>
              <w:rPr>
                <w:rFonts w:ascii="黑体"/>
                <w:sz w:val="20"/>
              </w:rPr>
            </w:pPr>
          </w:p>
          <w:p>
            <w:pPr>
              <w:pStyle w:val="21"/>
              <w:spacing w:before="6"/>
              <w:rPr>
                <w:rFonts w:ascii="黑体"/>
                <w:sz w:val="17"/>
              </w:rPr>
            </w:pPr>
          </w:p>
          <w:p>
            <w:pPr>
              <w:pStyle w:val="21"/>
              <w:spacing w:before="1"/>
              <w:ind w:left="107"/>
              <w:rPr>
                <w:sz w:val="21"/>
              </w:rPr>
            </w:pPr>
            <w:r>
              <w:rPr>
                <w:sz w:val="21"/>
              </w:rPr>
              <w:t xml:space="preserve"> </w:t>
            </w:r>
          </w:p>
        </w:tc>
        <w:tc>
          <w:tcPr>
            <w:tcW w:w="1970" w:type="dxa"/>
          </w:tcPr>
          <w:p>
            <w:pPr>
              <w:pStyle w:val="21"/>
              <w:rPr>
                <w:rFonts w:ascii="黑体"/>
                <w:sz w:val="20"/>
              </w:rPr>
            </w:pPr>
          </w:p>
          <w:p>
            <w:pPr>
              <w:pStyle w:val="21"/>
              <w:spacing w:before="6"/>
              <w:rPr>
                <w:rFonts w:ascii="黑体"/>
                <w:sz w:val="17"/>
              </w:rPr>
            </w:pPr>
          </w:p>
          <w:p>
            <w:pPr>
              <w:pStyle w:val="21"/>
              <w:spacing w:before="1"/>
              <w:ind w:left="10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27" w:type="dxa"/>
            <w:vMerge w:val="continue"/>
            <w:tcBorders>
              <w:top w:val="nil"/>
            </w:tcBorders>
          </w:tcPr>
          <w:p>
            <w:pPr>
              <w:rPr>
                <w:sz w:val="2"/>
                <w:szCs w:val="2"/>
              </w:rPr>
            </w:pPr>
          </w:p>
        </w:tc>
        <w:tc>
          <w:tcPr>
            <w:tcW w:w="871"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 </w:t>
            </w:r>
          </w:p>
        </w:tc>
        <w:tc>
          <w:tcPr>
            <w:tcW w:w="749" w:type="dxa"/>
          </w:tcPr>
          <w:p>
            <w:pPr>
              <w:pStyle w:val="21"/>
              <w:rPr>
                <w:rFonts w:ascii="黑体"/>
                <w:sz w:val="20"/>
              </w:rPr>
            </w:pPr>
          </w:p>
          <w:p>
            <w:pPr>
              <w:pStyle w:val="21"/>
              <w:spacing w:before="6"/>
              <w:rPr>
                <w:rFonts w:ascii="黑体"/>
                <w:sz w:val="17"/>
              </w:rPr>
            </w:pPr>
          </w:p>
          <w:p>
            <w:pPr>
              <w:pStyle w:val="21"/>
              <w:spacing w:before="1"/>
              <w:ind w:left="108"/>
              <w:rPr>
                <w:sz w:val="21"/>
              </w:rPr>
            </w:pPr>
            <w:r>
              <w:rPr>
                <w:sz w:val="21"/>
              </w:rPr>
              <w:t xml:space="preserve">…… </w:t>
            </w:r>
          </w:p>
        </w:tc>
        <w:tc>
          <w:tcPr>
            <w:tcW w:w="901"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 </w:t>
            </w:r>
          </w:p>
        </w:tc>
        <w:tc>
          <w:tcPr>
            <w:tcW w:w="648"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 </w:t>
            </w:r>
          </w:p>
        </w:tc>
        <w:tc>
          <w:tcPr>
            <w:tcW w:w="1265"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 </w:t>
            </w:r>
          </w:p>
        </w:tc>
        <w:tc>
          <w:tcPr>
            <w:tcW w:w="1629" w:type="dxa"/>
          </w:tcPr>
          <w:p>
            <w:pPr>
              <w:pStyle w:val="21"/>
              <w:rPr>
                <w:rFonts w:ascii="黑体"/>
                <w:sz w:val="20"/>
              </w:rPr>
            </w:pPr>
          </w:p>
          <w:p>
            <w:pPr>
              <w:pStyle w:val="21"/>
              <w:spacing w:before="6"/>
              <w:rPr>
                <w:rFonts w:ascii="黑体"/>
                <w:sz w:val="17"/>
              </w:rPr>
            </w:pPr>
          </w:p>
          <w:p>
            <w:pPr>
              <w:pStyle w:val="21"/>
              <w:spacing w:before="1"/>
              <w:ind w:left="107"/>
              <w:rPr>
                <w:sz w:val="21"/>
              </w:rPr>
            </w:pPr>
            <w:r>
              <w:rPr>
                <w:sz w:val="21"/>
              </w:rPr>
              <w:t xml:space="preserve"> </w:t>
            </w:r>
          </w:p>
        </w:tc>
        <w:tc>
          <w:tcPr>
            <w:tcW w:w="1970" w:type="dxa"/>
          </w:tcPr>
          <w:p>
            <w:pPr>
              <w:pStyle w:val="21"/>
              <w:rPr>
                <w:rFonts w:ascii="黑体"/>
                <w:sz w:val="20"/>
              </w:rPr>
            </w:pPr>
          </w:p>
          <w:p>
            <w:pPr>
              <w:pStyle w:val="21"/>
              <w:spacing w:before="6"/>
              <w:rPr>
                <w:rFonts w:ascii="黑体"/>
                <w:sz w:val="17"/>
              </w:rPr>
            </w:pPr>
          </w:p>
          <w:p>
            <w:pPr>
              <w:pStyle w:val="21"/>
              <w:spacing w:before="1"/>
              <w:ind w:left="10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427" w:type="dxa"/>
            <w:vMerge w:val="continue"/>
            <w:tcBorders>
              <w:top w:val="nil"/>
            </w:tcBorders>
          </w:tcPr>
          <w:p>
            <w:pPr>
              <w:rPr>
                <w:sz w:val="2"/>
                <w:szCs w:val="2"/>
              </w:rPr>
            </w:pPr>
          </w:p>
        </w:tc>
        <w:tc>
          <w:tcPr>
            <w:tcW w:w="871"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 </w:t>
            </w:r>
          </w:p>
        </w:tc>
        <w:tc>
          <w:tcPr>
            <w:tcW w:w="749" w:type="dxa"/>
          </w:tcPr>
          <w:p>
            <w:pPr>
              <w:pStyle w:val="21"/>
              <w:rPr>
                <w:rFonts w:ascii="黑体"/>
                <w:sz w:val="20"/>
              </w:rPr>
            </w:pPr>
          </w:p>
          <w:p>
            <w:pPr>
              <w:pStyle w:val="21"/>
              <w:spacing w:before="6"/>
              <w:rPr>
                <w:rFonts w:ascii="黑体"/>
                <w:sz w:val="17"/>
              </w:rPr>
            </w:pPr>
          </w:p>
          <w:p>
            <w:pPr>
              <w:pStyle w:val="21"/>
              <w:spacing w:before="1"/>
              <w:ind w:left="108"/>
              <w:rPr>
                <w:sz w:val="21"/>
              </w:rPr>
            </w:pPr>
            <w:r>
              <w:rPr>
                <w:sz w:val="21"/>
              </w:rPr>
              <w:t xml:space="preserve"> </w:t>
            </w:r>
          </w:p>
        </w:tc>
        <w:tc>
          <w:tcPr>
            <w:tcW w:w="901"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 </w:t>
            </w:r>
          </w:p>
        </w:tc>
        <w:tc>
          <w:tcPr>
            <w:tcW w:w="648"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 </w:t>
            </w:r>
          </w:p>
        </w:tc>
        <w:tc>
          <w:tcPr>
            <w:tcW w:w="1265" w:type="dxa"/>
          </w:tcPr>
          <w:p>
            <w:pPr>
              <w:pStyle w:val="21"/>
              <w:rPr>
                <w:rFonts w:ascii="黑体"/>
                <w:sz w:val="20"/>
              </w:rPr>
            </w:pPr>
          </w:p>
          <w:p>
            <w:pPr>
              <w:pStyle w:val="21"/>
              <w:spacing w:before="6"/>
              <w:rPr>
                <w:rFonts w:ascii="黑体"/>
                <w:sz w:val="17"/>
              </w:rPr>
            </w:pPr>
          </w:p>
          <w:p>
            <w:pPr>
              <w:pStyle w:val="21"/>
              <w:spacing w:before="1"/>
              <w:ind w:left="105"/>
              <w:rPr>
                <w:sz w:val="21"/>
              </w:rPr>
            </w:pPr>
            <w:r>
              <w:rPr>
                <w:sz w:val="21"/>
              </w:rPr>
              <w:t xml:space="preserve"> </w:t>
            </w:r>
          </w:p>
        </w:tc>
        <w:tc>
          <w:tcPr>
            <w:tcW w:w="1629" w:type="dxa"/>
          </w:tcPr>
          <w:p>
            <w:pPr>
              <w:pStyle w:val="21"/>
              <w:rPr>
                <w:rFonts w:ascii="黑体"/>
                <w:sz w:val="20"/>
              </w:rPr>
            </w:pPr>
          </w:p>
          <w:p>
            <w:pPr>
              <w:pStyle w:val="21"/>
              <w:spacing w:before="6"/>
              <w:rPr>
                <w:rFonts w:ascii="黑体"/>
                <w:sz w:val="17"/>
              </w:rPr>
            </w:pPr>
          </w:p>
          <w:p>
            <w:pPr>
              <w:pStyle w:val="21"/>
              <w:spacing w:before="1"/>
              <w:ind w:left="107"/>
              <w:rPr>
                <w:sz w:val="21"/>
              </w:rPr>
            </w:pPr>
            <w:r>
              <w:rPr>
                <w:sz w:val="21"/>
              </w:rPr>
              <w:t xml:space="preserve"> </w:t>
            </w:r>
          </w:p>
        </w:tc>
        <w:tc>
          <w:tcPr>
            <w:tcW w:w="1970" w:type="dxa"/>
          </w:tcPr>
          <w:p>
            <w:pPr>
              <w:pStyle w:val="21"/>
              <w:rPr>
                <w:rFonts w:ascii="黑体"/>
                <w:sz w:val="20"/>
              </w:rPr>
            </w:pPr>
          </w:p>
          <w:p>
            <w:pPr>
              <w:pStyle w:val="21"/>
              <w:spacing w:before="6"/>
              <w:rPr>
                <w:rFonts w:ascii="黑体"/>
                <w:sz w:val="17"/>
              </w:rPr>
            </w:pPr>
          </w:p>
          <w:p>
            <w:pPr>
              <w:pStyle w:val="21"/>
              <w:spacing w:before="1"/>
              <w:ind w:left="10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861" w:type="dxa"/>
            <w:gridSpan w:val="6"/>
          </w:tcPr>
          <w:p>
            <w:pPr>
              <w:pStyle w:val="21"/>
              <w:rPr>
                <w:rFonts w:ascii="黑体"/>
                <w:sz w:val="20"/>
              </w:rPr>
            </w:pPr>
          </w:p>
          <w:p>
            <w:pPr>
              <w:pStyle w:val="21"/>
              <w:spacing w:before="9"/>
              <w:rPr>
                <w:rFonts w:ascii="黑体"/>
                <w:sz w:val="17"/>
              </w:rPr>
            </w:pPr>
          </w:p>
          <w:p>
            <w:pPr>
              <w:pStyle w:val="21"/>
              <w:ind w:left="1832" w:right="1718"/>
              <w:jc w:val="center"/>
              <w:rPr>
                <w:sz w:val="21"/>
              </w:rPr>
            </w:pPr>
            <w:r>
              <w:rPr>
                <w:sz w:val="21"/>
              </w:rPr>
              <w:t xml:space="preserve">合        计 </w:t>
            </w:r>
          </w:p>
        </w:tc>
        <w:tc>
          <w:tcPr>
            <w:tcW w:w="1629" w:type="dxa"/>
          </w:tcPr>
          <w:p>
            <w:pPr>
              <w:pStyle w:val="21"/>
              <w:rPr>
                <w:rFonts w:ascii="黑体"/>
                <w:sz w:val="20"/>
              </w:rPr>
            </w:pPr>
          </w:p>
          <w:p>
            <w:pPr>
              <w:pStyle w:val="21"/>
              <w:spacing w:before="9"/>
              <w:rPr>
                <w:rFonts w:ascii="黑体"/>
                <w:sz w:val="17"/>
              </w:rPr>
            </w:pPr>
          </w:p>
          <w:p>
            <w:pPr>
              <w:pStyle w:val="21"/>
              <w:ind w:left="604"/>
              <w:rPr>
                <w:sz w:val="21"/>
              </w:rPr>
            </w:pPr>
            <w:r>
              <w:rPr>
                <w:sz w:val="21"/>
              </w:rPr>
              <w:t xml:space="preserve">1.00 </w:t>
            </w:r>
          </w:p>
        </w:tc>
        <w:tc>
          <w:tcPr>
            <w:tcW w:w="1970" w:type="dxa"/>
          </w:tcPr>
          <w:p>
            <w:pPr>
              <w:pStyle w:val="21"/>
              <w:rPr>
                <w:rFonts w:ascii="黑体"/>
                <w:sz w:val="20"/>
              </w:rPr>
            </w:pPr>
          </w:p>
          <w:p>
            <w:pPr>
              <w:pStyle w:val="21"/>
              <w:spacing w:before="9"/>
              <w:rPr>
                <w:rFonts w:ascii="黑体"/>
                <w:sz w:val="17"/>
              </w:rPr>
            </w:pPr>
          </w:p>
          <w:p>
            <w:pPr>
              <w:pStyle w:val="21"/>
              <w:ind w:left="108"/>
              <w:rPr>
                <w:sz w:val="21"/>
              </w:rPr>
            </w:pPr>
            <w:r>
              <w:rPr>
                <w:sz w:val="21"/>
              </w:rPr>
              <w:t xml:space="preserve"> </w:t>
            </w:r>
          </w:p>
        </w:tc>
      </w:tr>
    </w:tbl>
    <w:p>
      <w:pPr>
        <w:rPr>
          <w:sz w:val="21"/>
        </w:rPr>
        <w:sectPr>
          <w:headerReference r:id="rId76" w:type="default"/>
          <w:headerReference r:id="rId77" w:type="even"/>
          <w:footerReference r:id="rId78" w:type="even"/>
          <w:pgSz w:w="11910" w:h="16850"/>
          <w:pgMar w:top="1540" w:right="1300" w:bottom="1060" w:left="1420" w:header="876" w:footer="860" w:gutter="0"/>
          <w:cols w:space="720" w:num="1"/>
        </w:sectPr>
      </w:pPr>
    </w:p>
    <w:p>
      <w:pPr>
        <w:pStyle w:val="10"/>
        <w:spacing w:before="48"/>
        <w:ind w:left="2012" w:right="0"/>
        <w:jc w:val="left"/>
      </w:pPr>
      <w:bookmarkStart w:id="273" w:name="_bookmark292"/>
      <w:bookmarkEnd w:id="273"/>
      <w:r>
        <w:t>二、授权委托书或法定代表人身份证明</w:t>
      </w:r>
    </w:p>
    <w:p>
      <w:pPr>
        <w:pStyle w:val="11"/>
        <w:spacing w:before="10"/>
        <w:rPr>
          <w:rFonts w:ascii="黑体"/>
          <w:sz w:val="29"/>
        </w:rPr>
      </w:pPr>
    </w:p>
    <w:p>
      <w:pPr>
        <w:ind w:right="62"/>
        <w:jc w:val="center"/>
        <w:rPr>
          <w:rFonts w:ascii="黑体" w:hAnsi="黑体" w:eastAsia="黑体"/>
          <w:b/>
          <w:sz w:val="14"/>
        </w:rPr>
      </w:pPr>
      <w:bookmarkStart w:id="274" w:name="_bookmark293"/>
      <w:bookmarkEnd w:id="274"/>
      <w:r>
        <w:rPr>
          <w:rFonts w:hint="eastAsia" w:ascii="黑体" w:hAnsi="黑体" w:eastAsia="黑体"/>
          <w:b/>
          <w:sz w:val="28"/>
        </w:rPr>
        <w:t>（一）</w:t>
      </w:r>
      <w:r>
        <w:rPr>
          <w:rFonts w:hint="eastAsia" w:ascii="黑体" w:hAnsi="黑体" w:eastAsia="黑体"/>
          <w:sz w:val="28"/>
        </w:rPr>
        <w:t>授权委托书</w:t>
      </w:r>
      <w:r>
        <w:rPr>
          <w:rFonts w:hint="eastAsia" w:ascii="黑体" w:hAnsi="黑体" w:eastAsia="黑体"/>
          <w:b/>
          <w:position w:val="13"/>
          <w:sz w:val="14"/>
        </w:rPr>
        <w:t>①</w:t>
      </w:r>
    </w:p>
    <w:p>
      <w:pPr>
        <w:pStyle w:val="11"/>
        <w:rPr>
          <w:rFonts w:ascii="黑体"/>
          <w:b/>
          <w:sz w:val="28"/>
        </w:rPr>
      </w:pPr>
    </w:p>
    <w:p>
      <w:pPr>
        <w:pStyle w:val="11"/>
        <w:rPr>
          <w:rFonts w:ascii="黑体"/>
          <w:b/>
          <w:sz w:val="34"/>
        </w:rPr>
      </w:pPr>
    </w:p>
    <w:p>
      <w:pPr>
        <w:pStyle w:val="11"/>
        <w:tabs>
          <w:tab w:val="left" w:pos="2029"/>
          <w:tab w:val="left" w:pos="3239"/>
          <w:tab w:val="left" w:pos="6011"/>
          <w:tab w:val="left" w:pos="8421"/>
        </w:tabs>
        <w:spacing w:line="343" w:lineRule="auto"/>
        <w:ind w:left="224" w:right="282" w:firstLine="479"/>
        <w:jc w:val="both"/>
      </w:pPr>
      <w:r>
        <w:t>本人</w:t>
      </w:r>
      <w:r>
        <w:rPr>
          <w:u w:val="single"/>
        </w:rPr>
        <w:t xml:space="preserve"> </w:t>
      </w:r>
      <w:r>
        <w:rPr>
          <w:u w:val="single"/>
        </w:rPr>
        <w:tab/>
      </w:r>
      <w:r>
        <w:rPr>
          <w:u w:val="single"/>
        </w:rPr>
        <w:t>（</w:t>
      </w:r>
      <w:r>
        <w:t>姓名</w:t>
      </w:r>
      <w:r>
        <w:rPr>
          <w:spacing w:val="-116"/>
        </w:rPr>
        <w:t>）</w:t>
      </w:r>
      <w:r>
        <w:t>系</w:t>
      </w:r>
      <w:r>
        <w:rPr>
          <w:u w:val="single"/>
        </w:rPr>
        <w:t xml:space="preserve">    </w:t>
      </w:r>
      <w:r>
        <w:rPr>
          <w:spacing w:val="6"/>
          <w:u w:val="single"/>
        </w:rPr>
        <w:t xml:space="preserve"> </w:t>
      </w:r>
      <w:r>
        <w:rPr>
          <w:u w:val="single"/>
        </w:rPr>
        <w:t>（</w:t>
      </w:r>
      <w:r>
        <w:t>投标人名称</w:t>
      </w:r>
      <w:r>
        <w:rPr>
          <w:spacing w:val="-116"/>
        </w:rPr>
        <w:t>）</w:t>
      </w:r>
      <w:r>
        <w:t>的法定代表人</w:t>
      </w:r>
      <w:r>
        <w:rPr>
          <w:spacing w:val="-116"/>
        </w:rPr>
        <w:t>，</w:t>
      </w:r>
      <w:r>
        <w:t>现委托</w:t>
      </w:r>
      <w:r>
        <w:rPr>
          <w:u w:val="single"/>
        </w:rPr>
        <w:t xml:space="preserve"> </w:t>
      </w:r>
      <w:r>
        <w:rPr>
          <w:u w:val="single"/>
        </w:rPr>
        <w:tab/>
      </w:r>
      <w:r>
        <w:rPr>
          <w:u w:val="single"/>
        </w:rPr>
        <w:t>（</w:t>
      </w:r>
      <w:r>
        <w:t>姓名）为我方代理人。代理人根据授权，以我方名义签署、澄清确认、递交、撤回、修改</w:t>
      </w:r>
      <w:r>
        <w:rPr>
          <w:u w:val="single"/>
        </w:rPr>
        <w:t xml:space="preserve"> </w:t>
      </w:r>
      <w:r>
        <w:rPr>
          <w:u w:val="single"/>
        </w:rPr>
        <w:tab/>
      </w:r>
      <w:r>
        <w:rPr>
          <w:u w:val="single"/>
        </w:rPr>
        <w:tab/>
      </w:r>
      <w:r>
        <w:t>（项目名称）</w:t>
      </w:r>
      <w:r>
        <w:rPr>
          <w:u w:val="single"/>
        </w:rPr>
        <w:t xml:space="preserve"> </w:t>
      </w:r>
      <w:r>
        <w:rPr>
          <w:u w:val="single"/>
        </w:rPr>
        <w:tab/>
      </w:r>
      <w:r>
        <w:t>标段施工投标文件、签订合同和处理有关事宜，其法律后果由我方承担。</w:t>
      </w:r>
    </w:p>
    <w:p>
      <w:pPr>
        <w:pStyle w:val="11"/>
        <w:spacing w:before="4" w:line="343" w:lineRule="auto"/>
        <w:ind w:left="704" w:right="2719"/>
      </w:pPr>
      <w:r>
        <w:t>委托期限：自本委托书签署之日起至投标有效期期满。代理人无转委托权。</w:t>
      </w:r>
    </w:p>
    <w:p>
      <w:pPr>
        <w:pStyle w:val="11"/>
      </w:pPr>
    </w:p>
    <w:p>
      <w:pPr>
        <w:spacing w:before="163"/>
        <w:ind w:left="224"/>
        <w:rPr>
          <w:sz w:val="21"/>
        </w:rPr>
      </w:pPr>
      <w:r>
        <w:rPr>
          <w:sz w:val="21"/>
        </w:rPr>
        <w:t>附：法定代表人身份证复印件及委托代理人身份证复印件。</w:t>
      </w:r>
    </w:p>
    <w:p>
      <w:pPr>
        <w:pStyle w:val="11"/>
        <w:rPr>
          <w:sz w:val="20"/>
        </w:rPr>
      </w:pPr>
    </w:p>
    <w:p>
      <w:pPr>
        <w:pStyle w:val="11"/>
        <w:spacing w:before="4"/>
        <w:rPr>
          <w:sz w:val="23"/>
        </w:rPr>
      </w:pPr>
    </w:p>
    <w:p>
      <w:pPr>
        <w:pStyle w:val="11"/>
        <w:tabs>
          <w:tab w:val="left" w:pos="7115"/>
          <w:tab w:val="left" w:pos="7716"/>
          <w:tab w:val="left" w:pos="8371"/>
        </w:tabs>
        <w:spacing w:line="624" w:lineRule="auto"/>
        <w:ind w:left="3515" w:right="508"/>
        <w:rPr>
          <w:rFonts w:ascii="Times New Roman" w:eastAsia="Times New Roman"/>
        </w:rPr>
      </w:pPr>
      <w:r>
        <w:t>投标人：</w:t>
      </w:r>
      <w:r>
        <w:rPr>
          <w:u w:val="single"/>
        </w:rPr>
        <w:t xml:space="preserve"> </w:t>
      </w:r>
      <w:r>
        <w:rPr>
          <w:u w:val="single"/>
        </w:rPr>
        <w:tab/>
      </w:r>
      <w:r>
        <w:t>（盖单位章） 法定代表人：</w:t>
      </w:r>
      <w:r>
        <w:rPr>
          <w:u w:val="single"/>
        </w:rPr>
        <w:t xml:space="preserve"> </w:t>
      </w:r>
      <w:r>
        <w:rPr>
          <w:u w:val="single"/>
        </w:rPr>
        <w:tab/>
      </w:r>
      <w:r>
        <w:rPr>
          <w:u w:val="single"/>
        </w:rPr>
        <w:tab/>
      </w:r>
      <w:r>
        <w:t>（签字） 身份证号码：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1"/>
        <w:tabs>
          <w:tab w:val="left" w:pos="7836"/>
          <w:tab w:val="left" w:pos="8491"/>
        </w:tabs>
        <w:spacing w:before="2" w:line="626" w:lineRule="auto"/>
        <w:ind w:left="3515" w:right="388"/>
        <w:rPr>
          <w:rFonts w:ascii="Times New Roman" w:eastAsia="Times New Roman"/>
        </w:rPr>
      </w:pPr>
      <w:r>
        <w:t>委托代理人：</w:t>
      </w:r>
      <w:r>
        <w:rPr>
          <w:u w:val="single"/>
        </w:rPr>
        <w:t xml:space="preserve"> </w:t>
      </w:r>
      <w:r>
        <w:rPr>
          <w:u w:val="single"/>
        </w:rPr>
        <w:tab/>
      </w:r>
      <w:r>
        <w:t>（签字） 身份证号码：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1"/>
        <w:tabs>
          <w:tab w:val="left" w:pos="5682"/>
          <w:tab w:val="left" w:pos="7002"/>
          <w:tab w:val="left" w:pos="8138"/>
        </w:tabs>
        <w:spacing w:line="304" w:lineRule="exact"/>
        <w:ind w:left="4842"/>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ab/>
      </w:r>
      <w:r>
        <w:t>日</w:t>
      </w:r>
    </w:p>
    <w:p>
      <w:pPr>
        <w:pStyle w:val="11"/>
        <w:spacing w:before="9"/>
        <w:rPr>
          <w:sz w:val="34"/>
        </w:rPr>
      </w:pPr>
    </w:p>
    <w:p>
      <w:pPr>
        <w:ind w:left="224"/>
        <w:rPr>
          <w:sz w:val="21"/>
        </w:rPr>
      </w:pPr>
      <w:r>
        <w:rPr>
          <w:sz w:val="21"/>
        </w:rPr>
        <w:t>注：</w:t>
      </w:r>
    </w:p>
    <w:p>
      <w:pPr>
        <w:spacing w:before="132" w:line="355" w:lineRule="auto"/>
        <w:ind w:left="224" w:right="277" w:firstLine="419"/>
        <w:rPr>
          <w:sz w:val="21"/>
        </w:rPr>
      </w:pPr>
      <w:r>
        <w:rPr>
          <w:rFonts w:ascii="Times New Roman" w:eastAsia="Times New Roman"/>
          <w:sz w:val="21"/>
        </w:rPr>
        <w:t>1.</w:t>
      </w:r>
      <w:r>
        <w:rPr>
          <w:spacing w:val="-7"/>
          <w:sz w:val="21"/>
        </w:rPr>
        <w:t>法定代表人和委托代理人必须在授权委托书上亲笔签名，不得使用印章、签名章或其他电</w:t>
      </w:r>
      <w:r>
        <w:rPr>
          <w:spacing w:val="-5"/>
          <w:sz w:val="21"/>
        </w:rPr>
        <w:t>子制版签名代替；</w:t>
      </w:r>
    </w:p>
    <w:p>
      <w:pPr>
        <w:spacing w:before="2"/>
        <w:ind w:left="644"/>
        <w:rPr>
          <w:sz w:val="21"/>
        </w:rPr>
      </w:pPr>
      <w:r>
        <w:rPr>
          <w:rFonts w:ascii="Times New Roman" w:eastAsia="Times New Roman"/>
          <w:sz w:val="21"/>
        </w:rPr>
        <w:t>2.</w:t>
      </w:r>
      <w:r>
        <w:rPr>
          <w:sz w:val="21"/>
        </w:rPr>
        <w:t>以联合体形式投标的，本授权委托书应由联合体牵头人的法定代表人按上述规定签署。</w:t>
      </w:r>
    </w:p>
    <w:p>
      <w:pPr>
        <w:pStyle w:val="11"/>
        <w:rPr>
          <w:sz w:val="20"/>
        </w:rPr>
      </w:pPr>
    </w:p>
    <w:p>
      <w:pPr>
        <w:pStyle w:val="11"/>
        <w:rPr>
          <w:sz w:val="20"/>
        </w:rPr>
      </w:pPr>
    </w:p>
    <w:p>
      <w:pPr>
        <w:pStyle w:val="11"/>
        <w:rPr>
          <w:sz w:val="20"/>
        </w:rPr>
      </w:pPr>
    </w:p>
    <w:p>
      <w:pPr>
        <w:pStyle w:val="11"/>
        <w:rPr>
          <w:sz w:val="20"/>
        </w:rPr>
      </w:pPr>
    </w:p>
    <w:p>
      <w:pPr>
        <w:pStyle w:val="11"/>
        <w:spacing w:before="5"/>
        <w:rPr>
          <w:sz w:val="18"/>
        </w:rPr>
      </w:pPr>
      <w:r>
        <mc:AlternateContent>
          <mc:Choice Requires="wps">
            <w:drawing>
              <wp:anchor distT="0" distB="0" distL="114300" distR="114300" simplePos="0" relativeHeight="251672576" behindDoc="0" locked="0" layoutInCell="1" allowOverlap="1">
                <wp:simplePos x="0" y="0"/>
                <wp:positionH relativeFrom="page">
                  <wp:posOffset>1043940</wp:posOffset>
                </wp:positionH>
                <wp:positionV relativeFrom="paragraph">
                  <wp:posOffset>177800</wp:posOffset>
                </wp:positionV>
                <wp:extent cx="1829435" cy="0"/>
                <wp:effectExtent l="0" t="0" r="0" b="0"/>
                <wp:wrapTopAndBottom/>
                <wp:docPr id="43" name="直线 19"/>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9" o:spid="_x0000_s1026" o:spt="20" style="position:absolute;left:0pt;margin-left:82.2pt;margin-top:14pt;height:0pt;width:144.05pt;mso-position-horizontal-relative:page;mso-wrap-distance-bottom:0pt;mso-wrap-distance-top:0pt;z-index:251672576;mso-width-relative:page;mso-height-relative:page;" filled="f" stroked="t" coordsize="21600,21600" o:gfxdata="UEsFBgAAAAAAAAAAAAAAAAAAAAAAAFBLAwQKAAAAAACHTuJAAAAAAAAAAAAAAAAABAAAAGRycy9Q&#10;SwMEFAAAAAgAh07iQM4np4LXAAAACQEAAA8AAABkcnMvZG93bnJldi54bWxNj81OwzAQhO9IvIO1&#10;SNyo0ygtJsTpAQRSDwj1R5zdeElC4nUUu0379iziAMeZ/TQ7U6zOrhcnHEPrScN8loBAqrxtqdaw&#10;373cKRAhGrKm94QaLhhgVV5fFSa3fqINnraxFhxCITcamhiHXMpQNehMmPkBiW+ffnQmshxraUcz&#10;cbjrZZokS+lMS/yhMQM+NVh126PT8Kbks3/vPqrL17R7VWrdPdyv91rf3syTRxARz/EPhp/6XB1K&#10;7nTwR7JB9KyXWcaohlTxJgayRboAcfg1ZFnI/wvKb1BLAwQUAAAACACHTuJA3tKINtEBAACSAwAA&#10;DgAAAGRycy9lMm9Eb2MueG1srVNLjhMxEN0jcQfLe9JJZogmrXRmQRg2CEYaOEDFn25L/snlpJOz&#10;cA1WbDjOXIOyk8nw2SBEFk7ZVX713nP16vbgLNurhCb4js8mU86UF0Ea33f886e7VzecYQYvwQav&#10;On5UyG/XL1+sxtiqeRiClSoxAvHYjrHjQ86xbRoUg3KAkxCVp6QOyUGmbeobmWAkdGeb+XS6aMaQ&#10;ZExBKEQ63ZySfF3xtVYif9QaVWa248Qt1zXVdVvWZr2Ctk8QByPONOAfWDgwnppeoDaQge2S+QPK&#10;GZECBp0nIrgmaG2EqhpIzWz6m5qHAaKqWsgcjBeb8P/Big/7+8SM7Pj1FWceHL3R45evj9++s9my&#10;uDNGbKnoId6n8w4pLFIPOrnyTyLYoTp6vDiqDpkJOpzdzJfXV685E0+55vliTJjfqeBYCTpujS9i&#10;oYX9e8zUjEqfSsqx9Wzs+GK6XBAc0KxoC5lCF4k9+r7exWCNvDPWlhuY+u0bm9geyuvXX5FEuL+U&#10;lSYbwOFUV1OnuRgUyLdesnyMZIunAeaFglOSM6to3ktEgNBmMPZvKqm19cSguHrysUTbII/0CruY&#10;TD+QEzntVCVakvTwlfJ5SMtk/byvYM+f0v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ziengtcA&#10;AAAJAQAADwAAAAAAAAABACAAAAA4AAAAZHJzL2Rvd25yZXYueG1sUEsBAhQAFAAAAAgAh07iQN7S&#10;iDbRAQAAkgMAAA4AAAAAAAAAAQAgAAAAPAEAAGRycy9lMm9Eb2MueG1sUEsFBgAAAAAGAAYAWQEA&#10;AH8FAAAAAA==&#10;">
                <v:fill on="f" focussize="0,0"/>
                <v:stroke weight="0.48pt" color="#000000" joinstyle="round"/>
                <v:imagedata o:title=""/>
                <o:lock v:ext="edit" aspectratio="f"/>
                <w10:wrap type="topAndBottom"/>
              </v:line>
            </w:pict>
          </mc:Fallback>
        </mc:AlternateContent>
      </w:r>
    </w:p>
    <w:p>
      <w:pPr>
        <w:spacing w:before="129"/>
        <w:ind w:left="224"/>
        <w:rPr>
          <w:sz w:val="18"/>
        </w:rPr>
      </w:pPr>
      <w:r>
        <w:rPr>
          <w:position w:val="8"/>
          <w:sz w:val="9"/>
        </w:rPr>
        <w:t xml:space="preserve">① </w:t>
      </w:r>
      <w:r>
        <w:rPr>
          <w:sz w:val="18"/>
        </w:rPr>
        <w:t>如果由投标人的法定代表人签署投标文件，则无须提交授权委托书。</w:t>
      </w:r>
    </w:p>
    <w:p>
      <w:pPr>
        <w:rPr>
          <w:sz w:val="18"/>
        </w:rPr>
        <w:sectPr>
          <w:footerReference r:id="rId79" w:type="default"/>
          <w:pgSz w:w="11910" w:h="16850"/>
          <w:pgMar w:top="1540" w:right="1300" w:bottom="280" w:left="1420" w:header="883" w:footer="0" w:gutter="0"/>
          <w:cols w:space="720" w:num="1"/>
        </w:sectPr>
      </w:pPr>
    </w:p>
    <w:p>
      <w:pPr>
        <w:pStyle w:val="11"/>
        <w:spacing w:before="5"/>
        <w:rPr>
          <w:sz w:val="28"/>
        </w:rPr>
      </w:pPr>
    </w:p>
    <w:p>
      <w:pPr>
        <w:spacing w:before="61"/>
        <w:ind w:left="2881"/>
        <w:rPr>
          <w:rFonts w:ascii="黑体" w:eastAsia="黑体"/>
          <w:sz w:val="28"/>
        </w:rPr>
      </w:pPr>
      <w:bookmarkStart w:id="275" w:name="_bookmark294"/>
      <w:bookmarkEnd w:id="275"/>
      <w:r>
        <w:rPr>
          <w:rFonts w:hint="eastAsia" w:ascii="黑体" w:eastAsia="黑体"/>
          <w:sz w:val="28"/>
        </w:rPr>
        <w:t>（二）法定代表人身份证明</w:t>
      </w:r>
    </w:p>
    <w:p>
      <w:pPr>
        <w:pStyle w:val="11"/>
        <w:rPr>
          <w:rFonts w:ascii="黑体"/>
          <w:sz w:val="28"/>
        </w:rPr>
      </w:pPr>
    </w:p>
    <w:p>
      <w:pPr>
        <w:pStyle w:val="11"/>
        <w:spacing w:before="1"/>
        <w:rPr>
          <w:rFonts w:ascii="黑体"/>
          <w:sz w:val="34"/>
        </w:rPr>
      </w:pPr>
    </w:p>
    <w:p>
      <w:pPr>
        <w:pStyle w:val="11"/>
        <w:tabs>
          <w:tab w:val="left" w:pos="5080"/>
        </w:tabs>
        <w:ind w:left="224"/>
        <w:rPr>
          <w:rFonts w:ascii="Times New Roman" w:eastAsia="Times New Roman"/>
        </w:rPr>
      </w:pPr>
      <w:r>
        <w:rPr>
          <w:spacing w:val="-1"/>
        </w:rPr>
        <w:t>投</w:t>
      </w:r>
      <w:r>
        <w:t>标人名称：</w:t>
      </w:r>
      <w:r>
        <w:rPr>
          <w:rFonts w:ascii="Times New Roman" w:eastAsia="Times New Roman"/>
          <w:u w:val="single"/>
        </w:rPr>
        <w:t xml:space="preserve"> </w:t>
      </w:r>
      <w:r>
        <w:rPr>
          <w:rFonts w:ascii="Times New Roman" w:eastAsia="Times New Roman"/>
          <w:u w:val="single"/>
        </w:rPr>
        <w:tab/>
      </w:r>
    </w:p>
    <w:p>
      <w:pPr>
        <w:pStyle w:val="11"/>
        <w:tabs>
          <w:tab w:val="left" w:pos="3999"/>
          <w:tab w:val="left" w:pos="5440"/>
          <w:tab w:val="left" w:pos="7185"/>
          <w:tab w:val="left" w:pos="8920"/>
        </w:tabs>
        <w:spacing w:before="134" w:line="343" w:lineRule="auto"/>
        <w:ind w:left="224" w:right="263"/>
      </w:pPr>
      <w:r>
        <w:t>姓名：</w:t>
      </w:r>
      <w:r>
        <w:rPr>
          <w:spacing w:val="118"/>
          <w:u w:val="single"/>
        </w:rPr>
        <w:t xml:space="preserve"> </w:t>
      </w:r>
      <w:r>
        <w:rPr>
          <w:u w:val="single"/>
        </w:rPr>
        <w:t>（法定代表人亲笔签字）</w:t>
      </w:r>
      <w:r>
        <w:rPr>
          <w:spacing w:val="117"/>
        </w:rPr>
        <w:t xml:space="preserve"> </w:t>
      </w:r>
      <w:r>
        <w:t>性别：</w:t>
      </w:r>
      <w:r>
        <w:rPr>
          <w:u w:val="single"/>
        </w:rPr>
        <w:tab/>
      </w:r>
      <w:r>
        <w:t>年龄：</w:t>
      </w:r>
      <w:r>
        <w:rPr>
          <w:u w:val="single"/>
        </w:rPr>
        <w:t xml:space="preserve"> </w:t>
      </w:r>
      <w:r>
        <w:rPr>
          <w:u w:val="single"/>
        </w:rPr>
        <w:tab/>
      </w:r>
      <w:r>
        <w:t>职务：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系</w:t>
      </w:r>
      <w:r>
        <w:rPr>
          <w:u w:val="single"/>
        </w:rPr>
        <w:tab/>
      </w:r>
      <w:r>
        <w:t>（投标人名称）的法定代表人。</w:t>
      </w:r>
    </w:p>
    <w:p>
      <w:pPr>
        <w:pStyle w:val="11"/>
        <w:spacing w:line="307" w:lineRule="exact"/>
        <w:ind w:left="704"/>
      </w:pPr>
      <w:r>
        <w:t>特此证明。</w:t>
      </w:r>
    </w:p>
    <w:p>
      <w:pPr>
        <w:pStyle w:val="11"/>
      </w:pPr>
    </w:p>
    <w:p>
      <w:pPr>
        <w:pStyle w:val="11"/>
        <w:spacing w:before="1"/>
        <w:rPr>
          <w:sz w:val="23"/>
        </w:rPr>
      </w:pPr>
    </w:p>
    <w:p>
      <w:pPr>
        <w:ind w:left="224"/>
        <w:rPr>
          <w:sz w:val="21"/>
        </w:rPr>
      </w:pPr>
      <w:r>
        <w:rPr>
          <w:sz w:val="21"/>
        </w:rPr>
        <w:t>附：法定代表人身份证复印件。</w:t>
      </w:r>
    </w:p>
    <w:p>
      <w:pPr>
        <w:pStyle w:val="11"/>
        <w:rPr>
          <w:sz w:val="20"/>
        </w:rPr>
      </w:pPr>
    </w:p>
    <w:p>
      <w:pPr>
        <w:pStyle w:val="11"/>
        <w:rPr>
          <w:sz w:val="20"/>
        </w:rPr>
      </w:pPr>
    </w:p>
    <w:p>
      <w:pPr>
        <w:pStyle w:val="11"/>
        <w:rPr>
          <w:sz w:val="20"/>
        </w:rPr>
      </w:pPr>
    </w:p>
    <w:p>
      <w:pPr>
        <w:pStyle w:val="11"/>
        <w:spacing w:before="9"/>
        <w:rPr>
          <w:sz w:val="19"/>
        </w:rPr>
      </w:pPr>
    </w:p>
    <w:p>
      <w:pPr>
        <w:pStyle w:val="11"/>
        <w:tabs>
          <w:tab w:val="left" w:pos="6345"/>
        </w:tabs>
        <w:ind w:left="3345"/>
      </w:pPr>
      <w:r>
        <w:t>投标人：</w:t>
      </w:r>
      <w:r>
        <w:rPr>
          <w:u w:val="single"/>
        </w:rPr>
        <w:t xml:space="preserve"> </w:t>
      </w:r>
      <w:r>
        <w:rPr>
          <w:u w:val="single"/>
        </w:rPr>
        <w:tab/>
      </w:r>
      <w:r>
        <w:t>（盖单位章）</w:t>
      </w:r>
    </w:p>
    <w:p>
      <w:pPr>
        <w:pStyle w:val="11"/>
        <w:tabs>
          <w:tab w:val="left" w:pos="5625"/>
          <w:tab w:val="left" w:pos="6585"/>
          <w:tab w:val="left" w:pos="7240"/>
        </w:tabs>
        <w:spacing w:before="131"/>
        <w:ind w:left="454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ab/>
      </w:r>
      <w:r>
        <w:t>日</w:t>
      </w:r>
    </w:p>
    <w:p>
      <w:pPr>
        <w:pStyle w:val="11"/>
        <w:rPr>
          <w:sz w:val="26"/>
        </w:rPr>
      </w:pPr>
    </w:p>
    <w:p>
      <w:pPr>
        <w:pStyle w:val="11"/>
        <w:rPr>
          <w:sz w:val="26"/>
        </w:rPr>
      </w:pPr>
    </w:p>
    <w:p>
      <w:pPr>
        <w:pStyle w:val="11"/>
        <w:rPr>
          <w:sz w:val="26"/>
        </w:rPr>
      </w:pPr>
    </w:p>
    <w:p>
      <w:pPr>
        <w:pStyle w:val="11"/>
        <w:rPr>
          <w:sz w:val="26"/>
        </w:rPr>
      </w:pPr>
    </w:p>
    <w:p>
      <w:pPr>
        <w:pStyle w:val="11"/>
        <w:rPr>
          <w:sz w:val="26"/>
        </w:rPr>
      </w:pPr>
    </w:p>
    <w:p>
      <w:pPr>
        <w:pStyle w:val="11"/>
        <w:spacing w:before="1"/>
        <w:rPr>
          <w:sz w:val="19"/>
        </w:rPr>
      </w:pPr>
    </w:p>
    <w:p>
      <w:pPr>
        <w:ind w:left="644"/>
        <w:rPr>
          <w:sz w:val="21"/>
        </w:rPr>
      </w:pPr>
      <w:r>
        <w:rPr>
          <w:sz w:val="21"/>
        </w:rPr>
        <w:t>注：法定代表人的签字必须是亲笔签名，不得使用印章、签名章或其他电子制版签名代替。</w:t>
      </w:r>
    </w:p>
    <w:p>
      <w:pPr>
        <w:rPr>
          <w:sz w:val="21"/>
        </w:rPr>
        <w:sectPr>
          <w:headerReference r:id="rId80" w:type="default"/>
          <w:headerReference r:id="rId81" w:type="even"/>
          <w:footerReference r:id="rId82" w:type="even"/>
          <w:pgSz w:w="11910" w:h="16850"/>
          <w:pgMar w:top="1540" w:right="1300" w:bottom="1060" w:left="1420" w:header="876" w:footer="860" w:gutter="0"/>
          <w:pgNumType w:start="212"/>
          <w:cols w:space="720" w:num="1"/>
        </w:sectPr>
      </w:pPr>
    </w:p>
    <w:p>
      <w:pPr>
        <w:pStyle w:val="11"/>
        <w:spacing w:before="10"/>
        <w:rPr>
          <w:sz w:val="27"/>
        </w:rPr>
      </w:pPr>
    </w:p>
    <w:p>
      <w:pPr>
        <w:spacing w:before="69"/>
        <w:ind w:right="60"/>
        <w:jc w:val="center"/>
        <w:rPr>
          <w:rFonts w:ascii="黑体" w:hAnsi="黑体" w:eastAsia="黑体"/>
          <w:b/>
          <w:sz w:val="14"/>
        </w:rPr>
      </w:pPr>
      <w:bookmarkStart w:id="276" w:name="_bookmark295"/>
      <w:bookmarkEnd w:id="276"/>
      <w:r>
        <w:rPr>
          <w:rFonts w:hint="eastAsia" w:ascii="黑体" w:hAnsi="黑体" w:eastAsia="黑体"/>
          <w:b/>
          <w:sz w:val="28"/>
        </w:rPr>
        <w:t>三、</w:t>
      </w:r>
      <w:r>
        <w:rPr>
          <w:rFonts w:hint="eastAsia" w:ascii="黑体" w:hAnsi="黑体" w:eastAsia="黑体"/>
          <w:sz w:val="28"/>
        </w:rPr>
        <w:t>联合体协议书</w:t>
      </w:r>
    </w:p>
    <w:p>
      <w:pPr>
        <w:pStyle w:val="11"/>
        <w:rPr>
          <w:rFonts w:ascii="黑体"/>
          <w:b/>
          <w:sz w:val="20"/>
        </w:rPr>
      </w:pPr>
    </w:p>
    <w:p>
      <w:pPr>
        <w:pStyle w:val="11"/>
        <w:rPr>
          <w:rFonts w:ascii="黑体"/>
          <w:b/>
          <w:sz w:val="20"/>
        </w:rPr>
      </w:pPr>
    </w:p>
    <w:p>
      <w:pPr>
        <w:pStyle w:val="11"/>
        <w:spacing w:before="5"/>
        <w:rPr>
          <w:rFonts w:ascii="黑体"/>
          <w:b/>
          <w:sz w:val="14"/>
        </w:rPr>
      </w:pPr>
    </w:p>
    <w:p>
      <w:pPr>
        <w:pStyle w:val="11"/>
        <w:tabs>
          <w:tab w:val="left" w:pos="2504"/>
          <w:tab w:val="left" w:pos="2756"/>
          <w:tab w:val="left" w:pos="6731"/>
        </w:tabs>
        <w:spacing w:before="74" w:line="312" w:lineRule="auto"/>
        <w:ind w:left="224" w:right="277" w:firstLine="359"/>
        <w:jc w:val="both"/>
      </w:pPr>
      <w:r>
        <w:rPr>
          <w:rFonts w:ascii="Times New Roman" w:eastAsia="Times New Roman"/>
          <w:u w:val="single"/>
        </w:rPr>
        <w:t xml:space="preserve"> </w:t>
      </w:r>
      <w:r>
        <w:rPr>
          <w:rFonts w:ascii="Times New Roman" w:eastAsia="Times New Roman"/>
          <w:u w:val="single"/>
        </w:rPr>
        <w:tab/>
      </w:r>
      <w:r>
        <w:rPr>
          <w:rFonts w:hint="eastAsia" w:ascii="黑体" w:eastAsia="黑体"/>
        </w:rPr>
        <w:t>（</w:t>
      </w:r>
      <w:r>
        <w:t>所有成员单位名称）自愿组成</w:t>
      </w:r>
      <w:r>
        <w:rPr>
          <w:u w:val="single"/>
        </w:rPr>
        <w:t xml:space="preserve"> </w:t>
      </w:r>
      <w:r>
        <w:rPr>
          <w:u w:val="single"/>
        </w:rPr>
        <w:tab/>
      </w:r>
      <w:r>
        <w:t>（联合体名称）联合体，共同参加</w:t>
      </w:r>
      <w:r>
        <w:rPr>
          <w:u w:val="single"/>
        </w:rPr>
        <w:t xml:space="preserve"> </w:t>
      </w:r>
      <w:r>
        <w:rPr>
          <w:u w:val="single"/>
        </w:rPr>
        <w:tab/>
      </w:r>
      <w:r>
        <w:rPr>
          <w:u w:val="single"/>
        </w:rPr>
        <w:tab/>
      </w:r>
      <w:r>
        <w:t>（项目名称）</w:t>
      </w:r>
      <w:r>
        <w:rPr>
          <w:u w:val="single"/>
        </w:rPr>
        <w:t xml:space="preserve">   </w:t>
      </w:r>
      <w:r>
        <w:rPr>
          <w:spacing w:val="18"/>
          <w:u w:val="single"/>
        </w:rPr>
        <w:t xml:space="preserve"> </w:t>
      </w:r>
      <w:r>
        <w:t>标段施工投标。现就联合体投标事宜订立如下协议。</w:t>
      </w:r>
    </w:p>
    <w:p>
      <w:pPr>
        <w:pStyle w:val="20"/>
        <w:numPr>
          <w:ilvl w:val="0"/>
          <w:numId w:val="45"/>
        </w:numPr>
        <w:tabs>
          <w:tab w:val="left" w:pos="797"/>
          <w:tab w:val="left" w:pos="1995"/>
          <w:tab w:val="left" w:pos="5236"/>
        </w:tabs>
        <w:spacing w:before="1"/>
        <w:rPr>
          <w:sz w:val="24"/>
        </w:rPr>
      </w:pPr>
      <w:r>
        <w:rPr>
          <w:rFonts w:ascii="Times New Roman" w:eastAsia="Times New Roman"/>
          <w:sz w:val="24"/>
          <w:u w:val="single"/>
        </w:rPr>
        <w:t xml:space="preserve"> </w:t>
      </w:r>
      <w:r>
        <w:rPr>
          <w:rFonts w:ascii="Times New Roman" w:eastAsia="Times New Roman"/>
          <w:sz w:val="24"/>
          <w:u w:val="single"/>
        </w:rPr>
        <w:tab/>
      </w:r>
      <w:r>
        <w:rPr>
          <w:sz w:val="24"/>
        </w:rPr>
        <w:t>（某成员单位名称）为</w:t>
      </w:r>
      <w:r>
        <w:rPr>
          <w:sz w:val="24"/>
          <w:u w:val="single"/>
        </w:rPr>
        <w:t xml:space="preserve"> </w:t>
      </w:r>
      <w:r>
        <w:rPr>
          <w:sz w:val="24"/>
          <w:u w:val="single"/>
        </w:rPr>
        <w:tab/>
      </w:r>
      <w:r>
        <w:rPr>
          <w:sz w:val="24"/>
        </w:rPr>
        <w:t>（联合体名称）牵头人。</w:t>
      </w:r>
    </w:p>
    <w:p>
      <w:pPr>
        <w:pStyle w:val="11"/>
        <w:spacing w:before="94" w:line="312" w:lineRule="auto"/>
        <w:ind w:left="224" w:right="166" w:firstLine="391"/>
      </w:pPr>
      <w:r>
        <w:rPr>
          <w:rFonts w:ascii="Times New Roman" w:eastAsia="Times New Roman"/>
        </w:rPr>
        <w:t>2.</w:t>
      </w:r>
      <w:r>
        <w:rPr>
          <w:spacing w:val="-3"/>
        </w:rPr>
        <w:t>联合体各成员授权牵头人代表联合体参加投标活动，签署文件，提交和接收相</w:t>
      </w:r>
      <w:r>
        <w:rPr>
          <w:spacing w:val="-10"/>
        </w:rPr>
        <w:t>关的资料、信息及指示，进行合同谈判活动，负责合同实施阶段的组织和协调工作， 以及处理与本招标项目有关的一切事宜。</w:t>
      </w:r>
    </w:p>
    <w:p>
      <w:pPr>
        <w:pStyle w:val="11"/>
        <w:spacing w:before="1" w:line="312" w:lineRule="auto"/>
        <w:ind w:left="224" w:right="285" w:firstLine="391"/>
        <w:jc w:val="both"/>
      </w:pPr>
      <w:r>
        <w:rPr>
          <w:rFonts w:ascii="Times New Roman" w:eastAsia="Times New Roman"/>
        </w:rPr>
        <w:t>3.</w:t>
      </w:r>
      <w:r>
        <w:rPr>
          <w:spacing w:val="-3"/>
        </w:rPr>
        <w:t>联合体牵头人在本项目中签署的一切文件和处理的一切事宜，联合体各成员均予以承认。联合体各成员将严格按照招标文件、投标文件和合同的要求全面履行义务，并向招标人承担连带责任。</w:t>
      </w:r>
    </w:p>
    <w:p>
      <w:pPr>
        <w:pStyle w:val="11"/>
        <w:tabs>
          <w:tab w:val="left" w:pos="2024"/>
          <w:tab w:val="left" w:pos="4801"/>
          <w:tab w:val="left" w:pos="7821"/>
          <w:tab w:val="left" w:pos="7951"/>
        </w:tabs>
        <w:spacing w:line="312" w:lineRule="auto"/>
        <w:ind w:left="224" w:right="162" w:firstLine="479"/>
      </w:pPr>
      <w:r>
        <w:rPr>
          <w:rFonts w:ascii="Times New Roman" w:hAnsi="Times New Roman" w:eastAsia="Times New Roman"/>
        </w:rPr>
        <w:t>4.</w:t>
      </w:r>
      <w:r>
        <w:t>联合体各成员单位内部的职责分工如下</w:t>
      </w:r>
      <w:r>
        <w:rPr>
          <w:spacing w:val="-131"/>
        </w:rPr>
        <w:t>：</w:t>
      </w:r>
      <w:r>
        <w:rPr>
          <w:u w:val="single"/>
        </w:rPr>
        <w:t>（牵头人名称</w:t>
      </w:r>
      <w:r>
        <w:rPr>
          <w:spacing w:val="-12"/>
          <w:u w:val="single"/>
        </w:rPr>
        <w:t>）</w:t>
      </w:r>
      <w:r>
        <w:t>承担</w:t>
      </w:r>
      <w:r>
        <w:rPr>
          <w:rFonts w:ascii="Times New Roman" w:hAnsi="Times New Roman" w:eastAsia="Times New Roman"/>
          <w:u w:val="single"/>
        </w:rPr>
        <w:t xml:space="preserve"> </w:t>
      </w:r>
      <w:r>
        <w:rPr>
          <w:rFonts w:ascii="Times New Roman" w:hAnsi="Times New Roman" w:eastAsia="Times New Roman"/>
          <w:u w:val="single"/>
        </w:rPr>
        <w:tab/>
      </w:r>
      <w:r>
        <w:t>专业工程，占总工程量</w:t>
      </w:r>
      <w:r>
        <w:rPr>
          <w:spacing w:val="-1"/>
        </w:rPr>
        <w:t>的</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spacing w:val="-1"/>
        </w:rPr>
        <w:t>%</w:t>
      </w:r>
      <w:r>
        <w:rPr>
          <w:spacing w:val="-212"/>
        </w:rPr>
        <w:t>；</w:t>
      </w:r>
      <w:r>
        <w:t>（</w:t>
      </w:r>
      <w:r>
        <w:rPr>
          <w:u w:val="single"/>
        </w:rPr>
        <w:t>成员一名称</w:t>
      </w:r>
      <w:r>
        <w:rPr>
          <w:spacing w:val="-92"/>
          <w:u w:val="single"/>
        </w:rPr>
        <w:t>）</w:t>
      </w:r>
      <w:r>
        <w:t>承担</w:t>
      </w:r>
      <w:r>
        <w:rPr>
          <w:rFonts w:ascii="Times New Roman" w:hAnsi="Times New Roman" w:eastAsia="Times New Roman"/>
          <w:u w:val="single"/>
        </w:rPr>
        <w:t xml:space="preserve"> </w:t>
      </w:r>
      <w:r>
        <w:rPr>
          <w:rFonts w:ascii="Times New Roman" w:hAnsi="Times New Roman" w:eastAsia="Times New Roman"/>
          <w:u w:val="single"/>
        </w:rPr>
        <w:tab/>
      </w:r>
      <w:r>
        <w:t>专业工程</w:t>
      </w:r>
      <w:r>
        <w:rPr>
          <w:spacing w:val="-92"/>
        </w:rPr>
        <w:t>，</w:t>
      </w:r>
      <w:r>
        <w:t>占总工程量的</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spacing w:val="-1"/>
        </w:rPr>
        <w:t>%</w:t>
      </w:r>
      <w:r>
        <w:rPr>
          <w:spacing w:val="-92"/>
        </w:rPr>
        <w:t>；</w:t>
      </w:r>
      <w:r>
        <w:rPr>
          <w:rFonts w:ascii="Times New Roman" w:hAnsi="Times New Roman" w:eastAsia="Times New Roman"/>
        </w:rPr>
        <w:t>……</w:t>
      </w:r>
      <w:r>
        <w:t>。</w:t>
      </w:r>
    </w:p>
    <w:p>
      <w:pPr>
        <w:pStyle w:val="11"/>
        <w:spacing w:line="312" w:lineRule="auto"/>
        <w:ind w:left="224" w:right="294" w:firstLine="479"/>
      </w:pPr>
      <w:r>
        <w:rPr>
          <w:rFonts w:ascii="Times New Roman" w:eastAsia="Times New Roman"/>
        </w:rPr>
        <w:t>5.</w:t>
      </w:r>
      <w:r>
        <w:t>投标工作和联合体在中标后工程实施过程中的有关费用按各自承担的工作量分摊。</w:t>
      </w:r>
    </w:p>
    <w:p>
      <w:pPr>
        <w:pStyle w:val="11"/>
        <w:spacing w:before="3" w:line="312" w:lineRule="auto"/>
        <w:ind w:left="224" w:right="288" w:firstLine="479"/>
      </w:pPr>
      <w:r>
        <w:rPr>
          <w:rFonts w:ascii="Times New Roman" w:eastAsia="Times New Roman"/>
        </w:rPr>
        <w:t>6.</w:t>
      </w:r>
      <w:r>
        <w:t>本协议书自所有成员单位法定代表人签字并加盖单位章之日起生效，合同履行完毕后自动失效。</w:t>
      </w:r>
    </w:p>
    <w:p>
      <w:pPr>
        <w:pStyle w:val="11"/>
        <w:tabs>
          <w:tab w:val="left" w:pos="2804"/>
        </w:tabs>
        <w:spacing w:line="307" w:lineRule="exact"/>
        <w:ind w:left="704"/>
      </w:pPr>
      <w:r>
        <w:rPr>
          <w:rFonts w:ascii="Times New Roman" w:eastAsia="Times New Roman"/>
        </w:rPr>
        <w:t>7.</w:t>
      </w:r>
      <w:r>
        <w:t>本协议书一式</w:t>
      </w:r>
      <w:r>
        <w:rPr>
          <w:u w:val="single"/>
        </w:rPr>
        <w:t xml:space="preserve"> </w:t>
      </w:r>
      <w:r>
        <w:rPr>
          <w:u w:val="single"/>
        </w:rPr>
        <w:tab/>
      </w:r>
      <w:r>
        <w:t>份，联合体成员和招标人各执一份。</w:t>
      </w:r>
    </w:p>
    <w:p>
      <w:pPr>
        <w:pStyle w:val="11"/>
        <w:spacing w:before="4"/>
        <w:rPr>
          <w:sz w:val="38"/>
        </w:rPr>
      </w:pPr>
    </w:p>
    <w:p>
      <w:pPr>
        <w:pStyle w:val="11"/>
        <w:tabs>
          <w:tab w:val="left" w:pos="5135"/>
          <w:tab w:val="left" w:pos="5375"/>
        </w:tabs>
        <w:spacing w:line="314" w:lineRule="auto"/>
        <w:ind w:left="694" w:right="2368"/>
      </w:pPr>
      <w:r>
        <w:t>联合体牵头人名称：</w:t>
      </w:r>
      <w:r>
        <w:rPr>
          <w:u w:val="single"/>
        </w:rPr>
        <w:t xml:space="preserve"> </w:t>
      </w:r>
      <w:r>
        <w:rPr>
          <w:u w:val="single"/>
        </w:rPr>
        <w:tab/>
      </w:r>
      <w:r>
        <w:rPr>
          <w:u w:val="single"/>
        </w:rPr>
        <w:tab/>
      </w:r>
      <w:r>
        <w:t>（盖单位章） 法定代表人：</w:t>
      </w:r>
      <w:r>
        <w:rPr>
          <w:u w:val="single"/>
        </w:rPr>
        <w:t xml:space="preserve"> </w:t>
      </w:r>
      <w:r>
        <w:rPr>
          <w:u w:val="single"/>
        </w:rPr>
        <w:tab/>
      </w:r>
      <w:r>
        <w:t>（签字）</w:t>
      </w:r>
    </w:p>
    <w:p>
      <w:pPr>
        <w:pStyle w:val="11"/>
        <w:spacing w:before="11"/>
        <w:rPr>
          <w:sz w:val="30"/>
        </w:rPr>
      </w:pPr>
    </w:p>
    <w:p>
      <w:pPr>
        <w:pStyle w:val="11"/>
        <w:tabs>
          <w:tab w:val="left" w:pos="5135"/>
        </w:tabs>
        <w:spacing w:line="312" w:lineRule="auto"/>
        <w:ind w:left="694" w:right="2608"/>
      </w:pPr>
      <w:r>
        <w:t>联合体成员名称：</w:t>
      </w:r>
      <w:r>
        <w:rPr>
          <w:u w:val="single"/>
        </w:rPr>
        <w:t xml:space="preserve"> </w:t>
      </w:r>
      <w:r>
        <w:rPr>
          <w:u w:val="single"/>
        </w:rPr>
        <w:tab/>
      </w:r>
      <w:r>
        <w:t>（盖单位章） 法定代表人：</w:t>
      </w:r>
      <w:r>
        <w:rPr>
          <w:u w:val="single"/>
        </w:rPr>
        <w:t xml:space="preserve"> </w:t>
      </w:r>
      <w:r>
        <w:rPr>
          <w:u w:val="single"/>
        </w:rPr>
        <w:tab/>
      </w:r>
      <w:r>
        <w:t>（签字）</w:t>
      </w:r>
    </w:p>
    <w:p>
      <w:pPr>
        <w:pStyle w:val="11"/>
        <w:spacing w:before="3"/>
        <w:rPr>
          <w:sz w:val="31"/>
        </w:rPr>
      </w:pPr>
    </w:p>
    <w:p>
      <w:pPr>
        <w:pStyle w:val="11"/>
        <w:tabs>
          <w:tab w:val="left" w:pos="5135"/>
        </w:tabs>
        <w:spacing w:line="312" w:lineRule="auto"/>
        <w:ind w:left="704" w:right="2608" w:hanging="10"/>
      </w:pPr>
      <w:r>
        <w:t>联合体成员名称：</w:t>
      </w:r>
      <w:r>
        <w:rPr>
          <w:u w:val="single"/>
        </w:rPr>
        <w:t xml:space="preserve"> </w:t>
      </w:r>
      <w:r>
        <w:rPr>
          <w:u w:val="single"/>
        </w:rPr>
        <w:tab/>
      </w:r>
      <w:r>
        <w:t>（盖单位章） 法定代表人：</w:t>
      </w:r>
      <w:r>
        <w:rPr>
          <w:u w:val="single"/>
        </w:rPr>
        <w:t xml:space="preserve"> </w:t>
      </w:r>
      <w:r>
        <w:rPr>
          <w:u w:val="single"/>
        </w:rPr>
        <w:tab/>
      </w:r>
      <w:r>
        <w:t>（签字）</w:t>
      </w:r>
    </w:p>
    <w:p>
      <w:pPr>
        <w:pStyle w:val="11"/>
        <w:spacing w:before="30"/>
        <w:ind w:left="704"/>
        <w:rPr>
          <w:rFonts w:ascii="Times New Roman" w:hAnsi="Times New Roman"/>
        </w:rPr>
      </w:pPr>
      <w:r>
        <w:rPr>
          <w:rFonts w:ascii="Times New Roman" w:hAnsi="Times New Roman"/>
        </w:rPr>
        <w:t>……</w:t>
      </w:r>
    </w:p>
    <w:p>
      <w:pPr>
        <w:pStyle w:val="11"/>
        <w:tabs>
          <w:tab w:val="left" w:pos="5685"/>
          <w:tab w:val="left" w:pos="6645"/>
          <w:tab w:val="left" w:pos="7365"/>
        </w:tabs>
        <w:spacing w:before="95"/>
        <w:ind w:left="484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11"/>
        <w:rPr>
          <w:sz w:val="20"/>
        </w:rPr>
      </w:pPr>
    </w:p>
    <w:p>
      <w:pPr>
        <w:pStyle w:val="11"/>
        <w:spacing w:before="1"/>
        <w:rPr>
          <w:sz w:val="13"/>
        </w:rPr>
      </w:pPr>
    </w:p>
    <w:p>
      <w:pPr>
        <w:spacing w:line="312" w:lineRule="auto"/>
        <w:rPr>
          <w:sz w:val="18"/>
        </w:rPr>
        <w:sectPr>
          <w:footerReference r:id="rId83" w:type="default"/>
          <w:pgSz w:w="11910" w:h="16850"/>
          <w:pgMar w:top="1540" w:right="1300" w:bottom="280" w:left="1420" w:header="883" w:footer="0" w:gutter="0"/>
          <w:cols w:space="720" w:num="1"/>
        </w:sectPr>
      </w:pPr>
    </w:p>
    <w:p>
      <w:pPr>
        <w:pStyle w:val="11"/>
        <w:spacing w:before="5"/>
        <w:rPr>
          <w:sz w:val="28"/>
        </w:rPr>
      </w:pPr>
    </w:p>
    <w:p>
      <w:pPr>
        <w:spacing w:before="61"/>
        <w:ind w:right="56"/>
        <w:jc w:val="center"/>
        <w:rPr>
          <w:rFonts w:ascii="黑体" w:eastAsia="黑体"/>
          <w:sz w:val="28"/>
        </w:rPr>
      </w:pPr>
      <w:bookmarkStart w:id="277" w:name="_bookmark296"/>
      <w:bookmarkEnd w:id="277"/>
      <w:r>
        <w:rPr>
          <w:rFonts w:hint="eastAsia" w:ascii="黑体" w:eastAsia="黑体"/>
          <w:sz w:val="28"/>
        </w:rPr>
        <w:t>四、投标保证金</w:t>
      </w:r>
    </w:p>
    <w:p>
      <w:pPr>
        <w:pStyle w:val="11"/>
        <w:rPr>
          <w:rFonts w:ascii="黑体"/>
          <w:sz w:val="28"/>
        </w:rPr>
      </w:pPr>
    </w:p>
    <w:p>
      <w:pPr>
        <w:pStyle w:val="11"/>
        <w:spacing w:before="2"/>
        <w:rPr>
          <w:rFonts w:ascii="黑体"/>
          <w:sz w:val="32"/>
        </w:rPr>
      </w:pPr>
    </w:p>
    <w:p>
      <w:pPr>
        <w:pStyle w:val="11"/>
        <w:ind w:left="733"/>
      </w:pPr>
      <w:r>
        <w:t>若采用现金或支票，投标人应在此提供汇款凭证的复印件。</w:t>
      </w:r>
    </w:p>
    <w:p>
      <w:pPr>
        <w:pStyle w:val="11"/>
        <w:spacing w:before="94"/>
        <w:ind w:left="733"/>
      </w:pPr>
      <w:r>
        <w:t>如采用银行保函，银行保函复印件装订在投标文件中，格式如下。</w:t>
      </w:r>
    </w:p>
    <w:p>
      <w:pPr>
        <w:pStyle w:val="11"/>
        <w:rPr>
          <w:sz w:val="20"/>
        </w:rPr>
      </w:pPr>
    </w:p>
    <w:p>
      <w:pPr>
        <w:pStyle w:val="11"/>
        <w:spacing w:before="8"/>
        <w:rPr>
          <w:sz w:val="17"/>
        </w:rPr>
      </w:pPr>
    </w:p>
    <w:p>
      <w:pPr>
        <w:pStyle w:val="11"/>
        <w:tabs>
          <w:tab w:val="left" w:pos="2144"/>
        </w:tabs>
        <w:spacing w:before="74"/>
        <w:ind w:left="224"/>
      </w:pPr>
      <w:r>
        <w:rPr>
          <w:rFonts w:ascii="Times New Roman" w:eastAsia="Times New Roman"/>
          <w:u w:val="single"/>
        </w:rPr>
        <w:t xml:space="preserve"> </w:t>
      </w:r>
      <w:r>
        <w:rPr>
          <w:rFonts w:ascii="Times New Roman" w:eastAsia="Times New Roman"/>
          <w:u w:val="single"/>
        </w:rPr>
        <w:tab/>
      </w:r>
      <w:r>
        <w:t>（招标人名称</w:t>
      </w:r>
      <w:r>
        <w:rPr>
          <w:spacing w:val="-120"/>
        </w:rPr>
        <w:t>）</w:t>
      </w:r>
      <w:r>
        <w:t>：</w:t>
      </w:r>
    </w:p>
    <w:p>
      <w:pPr>
        <w:pStyle w:val="11"/>
        <w:rPr>
          <w:sz w:val="26"/>
        </w:rPr>
      </w:pPr>
    </w:p>
    <w:p>
      <w:pPr>
        <w:pStyle w:val="11"/>
        <w:spacing w:before="10"/>
        <w:rPr>
          <w:sz w:val="18"/>
        </w:rPr>
      </w:pPr>
    </w:p>
    <w:p>
      <w:pPr>
        <w:pStyle w:val="11"/>
        <w:tabs>
          <w:tab w:val="left" w:pos="1671"/>
          <w:tab w:val="left" w:pos="2766"/>
          <w:tab w:val="left" w:pos="3841"/>
          <w:tab w:val="left" w:pos="4544"/>
          <w:tab w:val="left" w:pos="6734"/>
          <w:tab w:val="left" w:pos="7211"/>
          <w:tab w:val="left" w:pos="7814"/>
          <w:tab w:val="left" w:pos="8421"/>
        </w:tabs>
        <w:spacing w:line="343" w:lineRule="auto"/>
        <w:ind w:left="224" w:right="163" w:firstLine="479"/>
      </w:pPr>
      <w:r>
        <w:rPr>
          <w:spacing w:val="1"/>
        </w:rPr>
        <w:t>鉴于</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t>（</w:t>
      </w:r>
      <w:r>
        <w:rPr>
          <w:spacing w:val="1"/>
        </w:rPr>
        <w:t>投标</w:t>
      </w:r>
      <w:r>
        <w:t>人</w:t>
      </w:r>
      <w:r>
        <w:rPr>
          <w:spacing w:val="1"/>
        </w:rPr>
        <w:t>名</w:t>
      </w:r>
      <w:r>
        <w:t>称</w:t>
      </w:r>
      <w:r>
        <w:rPr>
          <w:spacing w:val="-118"/>
        </w:rPr>
        <w:t>）</w:t>
      </w:r>
      <w:r>
        <w:rPr>
          <w:spacing w:val="1"/>
        </w:rPr>
        <w:t>（</w:t>
      </w:r>
      <w:r>
        <w:t>以</w:t>
      </w:r>
      <w:r>
        <w:rPr>
          <w:spacing w:val="1"/>
        </w:rPr>
        <w:t>下</w:t>
      </w:r>
      <w:r>
        <w:rPr>
          <w:spacing w:val="2"/>
        </w:rPr>
        <w:t>称</w:t>
      </w:r>
      <w:r>
        <w:rPr>
          <w:rFonts w:ascii="Times New Roman" w:hAnsi="Times New Roman" w:eastAsia="Times New Roman"/>
          <w:spacing w:val="-1"/>
        </w:rPr>
        <w:t>“</w:t>
      </w:r>
      <w:r>
        <w:rPr>
          <w:spacing w:val="1"/>
        </w:rPr>
        <w:t>投标人</w:t>
      </w:r>
      <w:r>
        <w:rPr>
          <w:rFonts w:ascii="Times New Roman" w:hAnsi="Times New Roman" w:eastAsia="Times New Roman"/>
          <w:spacing w:val="-1"/>
        </w:rPr>
        <w:t>”</w:t>
      </w:r>
      <w:r>
        <w:rPr>
          <w:spacing w:val="1"/>
        </w:rPr>
        <w:t>）</w:t>
      </w:r>
      <w:r>
        <w:t>于</w:t>
      </w:r>
      <w:r>
        <w:rPr>
          <w:rFonts w:ascii="Times New Roman" w:hAnsi="Times New Roman" w:eastAsia="Times New Roman"/>
          <w:u w:val="single"/>
        </w:rPr>
        <w:t xml:space="preserve"> </w:t>
      </w:r>
      <w:r>
        <w:rPr>
          <w:rFonts w:ascii="Times New Roman" w:hAnsi="Times New Roman" w:eastAsia="Times New Roman"/>
          <w:u w:val="single"/>
        </w:rPr>
        <w:tab/>
      </w:r>
      <w:r>
        <w:t>年</w:t>
      </w:r>
      <w:r>
        <w:rPr>
          <w:rFonts w:ascii="Times New Roman" w:hAnsi="Times New Roman" w:eastAsia="Times New Roman"/>
          <w:u w:val="single"/>
        </w:rPr>
        <w:t xml:space="preserve"> </w:t>
      </w:r>
      <w:r>
        <w:rPr>
          <w:rFonts w:ascii="Times New Roman" w:hAnsi="Times New Roman" w:eastAsia="Times New Roman"/>
          <w:u w:val="single"/>
        </w:rPr>
        <w:tab/>
      </w:r>
      <w:r>
        <w:rPr>
          <w:spacing w:val="1"/>
        </w:rPr>
        <w:t>月</w:t>
      </w:r>
      <w:r>
        <w:rPr>
          <w:rFonts w:ascii="Times New Roman" w:hAnsi="Times New Roman" w:eastAsia="Times New Roman"/>
          <w:u w:val="single"/>
        </w:rPr>
        <w:t xml:space="preserve"> </w:t>
      </w:r>
      <w:r>
        <w:rPr>
          <w:rFonts w:ascii="Times New Roman" w:hAnsi="Times New Roman" w:eastAsia="Times New Roman"/>
          <w:u w:val="single"/>
        </w:rPr>
        <w:tab/>
      </w:r>
      <w:r>
        <w:rPr>
          <w:spacing w:val="1"/>
        </w:rPr>
        <w:t>日参</w:t>
      </w:r>
      <w:r>
        <w:t>加</w:t>
      </w:r>
      <w:r>
        <w:rPr>
          <w:u w:val="single"/>
        </w:rPr>
        <w:t xml:space="preserve"> </w:t>
      </w:r>
      <w:r>
        <w:rPr>
          <w:u w:val="single"/>
        </w:rPr>
        <w:tab/>
      </w:r>
      <w:r>
        <w:t>（项目名称）</w:t>
      </w:r>
      <w:r>
        <w:rPr>
          <w:u w:val="single"/>
        </w:rPr>
        <w:t xml:space="preserve"> </w:t>
      </w:r>
      <w:r>
        <w:rPr>
          <w:u w:val="single"/>
        </w:rPr>
        <w:tab/>
      </w:r>
      <w:r>
        <w:t>标段施工的投标，</w:t>
      </w:r>
      <w:r>
        <w:rPr>
          <w:u w:val="single"/>
        </w:rPr>
        <w:t xml:space="preserve"> </w:t>
      </w:r>
      <w:r>
        <w:rPr>
          <w:u w:val="single"/>
        </w:rPr>
        <w:tab/>
      </w:r>
      <w:r>
        <w:t>（担保人名称，以下简称</w:t>
      </w:r>
      <w:r>
        <w:rPr>
          <w:rFonts w:ascii="Times New Roman" w:hAnsi="Times New Roman" w:eastAsia="Times New Roman"/>
        </w:rPr>
        <w:t>“</w:t>
      </w:r>
      <w:r>
        <w:t>我方</w:t>
      </w:r>
      <w:r>
        <w:rPr>
          <w:rFonts w:ascii="Times New Roman" w:hAnsi="Times New Roman" w:eastAsia="Times New Roman"/>
          <w:spacing w:val="-11"/>
        </w:rPr>
        <w:t>”</w:t>
      </w:r>
      <w:r>
        <w:rPr>
          <w:spacing w:val="-11"/>
        </w:rPr>
        <w:t>）</w:t>
      </w:r>
      <w:r>
        <w:t>无条件地</w:t>
      </w:r>
      <w:r>
        <w:rPr>
          <w:spacing w:val="-20"/>
        </w:rPr>
        <w:t>、</w:t>
      </w:r>
      <w:r>
        <w:t>不可撤销地保证</w:t>
      </w:r>
      <w:r>
        <w:rPr>
          <w:spacing w:val="-19"/>
        </w:rPr>
        <w:t>：</w:t>
      </w:r>
      <w:r>
        <w:t>若投标人在投标有效期内撤销投标文件， 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w:t>
      </w:r>
      <w:r>
        <w:rPr>
          <w:spacing w:val="-43"/>
        </w:rPr>
        <w:t xml:space="preserve"> </w:t>
      </w:r>
      <w:r>
        <w:rPr>
          <w:rFonts w:ascii="Times New Roman" w:hAnsi="Times New Roman" w:eastAsia="Times New Roman"/>
        </w:rPr>
        <w:t>7</w:t>
      </w:r>
      <w:r>
        <w:rPr>
          <w:rFonts w:ascii="Times New Roman" w:hAnsi="Times New Roman" w:eastAsia="Times New Roman"/>
          <w:spacing w:val="15"/>
        </w:rPr>
        <w:t xml:space="preserve"> </w:t>
      </w:r>
      <w:r>
        <w:t>日内向你方无条件支付人民币（大写）</w:t>
      </w:r>
      <w:r>
        <w:rPr>
          <w:u w:val="single"/>
        </w:rPr>
        <w:t xml:space="preserve"> </w:t>
      </w:r>
      <w:r>
        <w:rPr>
          <w:u w:val="single"/>
        </w:rPr>
        <w:tab/>
      </w:r>
      <w:r>
        <w:rPr>
          <w:u w:val="single"/>
        </w:rPr>
        <w:tab/>
      </w:r>
      <w:r>
        <w:t>元。</w:t>
      </w:r>
    </w:p>
    <w:p>
      <w:pPr>
        <w:pStyle w:val="11"/>
        <w:spacing w:before="2" w:line="343" w:lineRule="auto"/>
        <w:ind w:left="224" w:right="290" w:firstLine="479"/>
      </w:pPr>
      <w:r>
        <w:t>本保函在投标有效期或经延长的投标有效期内保持有效。要求我方承担保证责任的通知应在上述期限内送达我方。你方延长投标有效期的决定，应通知我方。</w:t>
      </w:r>
    </w:p>
    <w:p>
      <w:pPr>
        <w:pStyle w:val="11"/>
      </w:pPr>
    </w:p>
    <w:p>
      <w:pPr>
        <w:pStyle w:val="11"/>
      </w:pPr>
    </w:p>
    <w:p>
      <w:pPr>
        <w:pStyle w:val="11"/>
      </w:pPr>
    </w:p>
    <w:p>
      <w:pPr>
        <w:pStyle w:val="11"/>
      </w:pPr>
    </w:p>
    <w:p>
      <w:pPr>
        <w:pStyle w:val="11"/>
      </w:pPr>
    </w:p>
    <w:p>
      <w:pPr>
        <w:pStyle w:val="11"/>
        <w:spacing w:before="6"/>
        <w:rPr>
          <w:sz w:val="17"/>
        </w:rPr>
      </w:pPr>
    </w:p>
    <w:p>
      <w:pPr>
        <w:pStyle w:val="11"/>
        <w:tabs>
          <w:tab w:val="left" w:pos="7245"/>
          <w:tab w:val="left" w:pos="7725"/>
          <w:tab w:val="left" w:pos="8260"/>
        </w:tabs>
        <w:spacing w:line="343" w:lineRule="auto"/>
        <w:ind w:left="2204" w:right="498"/>
        <w:jc w:val="both"/>
        <w:rPr>
          <w:rFonts w:ascii="Times New Roman" w:eastAsia="Times New Roman"/>
        </w:rPr>
      </w:pPr>
      <w:r>
        <w:t>担保人名称：</w:t>
      </w:r>
      <w:r>
        <w:rPr>
          <w:u w:val="single"/>
        </w:rPr>
        <w:t xml:space="preserve"> </w:t>
      </w:r>
      <w:r>
        <w:rPr>
          <w:u w:val="single"/>
        </w:rPr>
        <w:tab/>
      </w:r>
      <w:r>
        <w:t>（盖单位章） 法定代表人或其委托代理人：</w:t>
      </w:r>
      <w:r>
        <w:rPr>
          <w:u w:val="single"/>
        </w:rPr>
        <w:t xml:space="preserve"> </w:t>
      </w:r>
      <w:r>
        <w:rPr>
          <w:u w:val="single"/>
        </w:rPr>
        <w:tab/>
      </w:r>
      <w:r>
        <w:rPr>
          <w:u w:val="single"/>
        </w:rPr>
        <w:tab/>
      </w:r>
      <w:r>
        <w:t>（签字） 地 址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1"/>
        <w:tabs>
          <w:tab w:val="left" w:pos="8260"/>
        </w:tabs>
        <w:spacing w:before="1" w:line="343" w:lineRule="auto"/>
        <w:ind w:left="2204" w:right="923"/>
        <w:jc w:val="both"/>
        <w:rPr>
          <w:rFonts w:ascii="Times New Roman" w:eastAsia="Times New Roman"/>
        </w:rPr>
      </w:pPr>
      <w:r>
        <w:t>邮政编码：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   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传   真 ：</w:t>
      </w:r>
      <w:r>
        <w:rPr>
          <w:rFonts w:ascii="Times New Roman" w:eastAsia="Times New Roman"/>
          <w:u w:val="single"/>
        </w:rPr>
        <w:t xml:space="preserve"> </w:t>
      </w:r>
      <w:r>
        <w:rPr>
          <w:rFonts w:ascii="Times New Roman" w:eastAsia="Times New Roman"/>
          <w:u w:val="single"/>
        </w:rPr>
        <w:tab/>
      </w:r>
    </w:p>
    <w:p>
      <w:pPr>
        <w:pStyle w:val="11"/>
        <w:tabs>
          <w:tab w:val="left" w:pos="6225"/>
          <w:tab w:val="left" w:pos="7185"/>
          <w:tab w:val="left" w:pos="8145"/>
        </w:tabs>
        <w:ind w:left="526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headerReference r:id="rId84" w:type="default"/>
          <w:headerReference r:id="rId85" w:type="even"/>
          <w:footerReference r:id="rId86" w:type="even"/>
          <w:pgSz w:w="11910" w:h="16850"/>
          <w:pgMar w:top="1540" w:right="1300" w:bottom="1060" w:left="1420" w:header="876" w:footer="860" w:gutter="0"/>
          <w:pgNumType w:start="214"/>
          <w:cols w:space="720" w:num="1"/>
        </w:sectPr>
      </w:pPr>
    </w:p>
    <w:p>
      <w:pPr>
        <w:pStyle w:val="11"/>
        <w:spacing w:before="5"/>
        <w:rPr>
          <w:sz w:val="28"/>
        </w:rPr>
      </w:pPr>
    </w:p>
    <w:p>
      <w:pPr>
        <w:spacing w:before="61"/>
        <w:ind w:right="56"/>
        <w:jc w:val="center"/>
        <w:rPr>
          <w:rFonts w:ascii="黑体" w:eastAsia="黑体"/>
          <w:sz w:val="28"/>
        </w:rPr>
      </w:pPr>
      <w:bookmarkStart w:id="278" w:name="_bookmark297"/>
      <w:bookmarkEnd w:id="278"/>
      <w:r>
        <w:rPr>
          <w:rFonts w:hint="eastAsia" w:ascii="黑体" w:eastAsia="黑体"/>
          <w:sz w:val="28"/>
        </w:rPr>
        <w:t>五、施工组织设计</w:t>
      </w:r>
    </w:p>
    <w:p>
      <w:pPr>
        <w:spacing w:before="244"/>
        <w:ind w:right="58"/>
        <w:jc w:val="center"/>
        <w:rPr>
          <w:sz w:val="21"/>
        </w:rPr>
      </w:pPr>
      <w:r>
        <w:rPr>
          <w:sz w:val="21"/>
        </w:rPr>
        <w:t>（适用于合理低价法和经评审的最低投标价法）</w:t>
      </w:r>
    </w:p>
    <w:p>
      <w:pPr>
        <w:pStyle w:val="11"/>
        <w:rPr>
          <w:sz w:val="20"/>
        </w:rPr>
      </w:pPr>
    </w:p>
    <w:p>
      <w:pPr>
        <w:pStyle w:val="11"/>
        <w:spacing w:before="5"/>
        <w:rPr>
          <w:sz w:val="23"/>
        </w:rPr>
      </w:pPr>
    </w:p>
    <w:p>
      <w:pPr>
        <w:pStyle w:val="11"/>
        <w:ind w:left="704"/>
      </w:pPr>
      <w:r>
        <w:t>投标人应按以下要点编制施工组织设计（文字宜精炼、内容具有针对性</w:t>
      </w:r>
      <w:r>
        <w:rPr>
          <w:spacing w:val="-120"/>
        </w:rPr>
        <w:t>）</w:t>
      </w:r>
      <w:r>
        <w:t>：</w:t>
      </w:r>
    </w:p>
    <w:p>
      <w:pPr>
        <w:pStyle w:val="11"/>
        <w:spacing w:before="132"/>
        <w:ind w:left="704"/>
      </w:pPr>
      <w:r>
        <w:rPr>
          <w:rFonts w:ascii="Times New Roman" w:eastAsia="Times New Roman"/>
        </w:rPr>
        <w:t>1.</w:t>
      </w:r>
      <w:r>
        <w:t>总体施工组织布置及规划</w:t>
      </w:r>
    </w:p>
    <w:p>
      <w:pPr>
        <w:pStyle w:val="11"/>
        <w:spacing w:before="131"/>
        <w:ind w:left="704"/>
      </w:pPr>
      <w:r>
        <w:rPr>
          <w:rFonts w:ascii="Times New Roman" w:eastAsia="Times New Roman"/>
        </w:rPr>
        <w:t>2.</w:t>
      </w:r>
      <w:r>
        <w:t>重点、关键和难点工程的施工方案</w:t>
      </w:r>
    </w:p>
    <w:p>
      <w:pPr>
        <w:pStyle w:val="11"/>
        <w:spacing w:before="135"/>
        <w:ind w:left="704"/>
      </w:pPr>
      <w:r>
        <w:rPr>
          <w:rFonts w:ascii="Times New Roman" w:eastAsia="Times New Roman"/>
        </w:rPr>
        <w:t>3.</w:t>
      </w:r>
      <w:r>
        <w:t>工期关键线路图及保证措施</w:t>
      </w:r>
    </w:p>
    <w:p>
      <w:pPr>
        <w:pStyle w:val="11"/>
        <w:spacing w:before="132"/>
        <w:ind w:left="704"/>
      </w:pPr>
      <w:r>
        <w:rPr>
          <w:rFonts w:ascii="Times New Roman" w:eastAsia="Times New Roman"/>
        </w:rPr>
        <w:t>4.</w:t>
      </w:r>
      <w:r>
        <w:t>关键工程质量保证措施</w:t>
      </w:r>
    </w:p>
    <w:p>
      <w:pPr>
        <w:pStyle w:val="11"/>
        <w:spacing w:before="131"/>
        <w:ind w:left="704"/>
      </w:pPr>
      <w:r>
        <w:rPr>
          <w:rFonts w:ascii="Times New Roman" w:eastAsia="Times New Roman"/>
        </w:rPr>
        <w:t>5.</w:t>
      </w:r>
      <w:r>
        <w:t>安全保证措施</w:t>
      </w:r>
    </w:p>
    <w:p>
      <w:pPr>
        <w:pStyle w:val="11"/>
        <w:spacing w:before="134"/>
        <w:ind w:left="704"/>
      </w:pPr>
      <w:r>
        <w:rPr>
          <w:rFonts w:ascii="Times New Roman" w:eastAsia="Times New Roman"/>
        </w:rPr>
        <w:t>6.</w:t>
      </w:r>
      <w:r>
        <w:t>环境保护、水土保持、文明施工、文物保护保证措施</w:t>
      </w:r>
    </w:p>
    <w:p>
      <w:pPr>
        <w:pStyle w:val="11"/>
        <w:spacing w:before="132"/>
        <w:ind w:left="704"/>
      </w:pPr>
      <w:r>
        <w:rPr>
          <w:rFonts w:ascii="Times New Roman" w:eastAsia="Times New Roman"/>
        </w:rPr>
        <w:t>7.</w:t>
      </w:r>
      <w:r>
        <w:t>项目风险预测与防范，事故应急预案</w:t>
      </w:r>
    </w:p>
    <w:p>
      <w:pPr>
        <w:pStyle w:val="11"/>
        <w:spacing w:before="132"/>
        <w:ind w:left="704"/>
      </w:pPr>
      <w:r>
        <w:rPr>
          <w:rFonts w:ascii="Times New Roman" w:eastAsia="Times New Roman"/>
        </w:rPr>
        <w:t>8.</w:t>
      </w:r>
      <w:r>
        <w:t>其他应说明的事项</w:t>
      </w:r>
    </w:p>
    <w:p>
      <w:pPr>
        <w:sectPr>
          <w:footerReference r:id="rId87" w:type="default"/>
          <w:pgSz w:w="11910" w:h="16850"/>
          <w:pgMar w:top="1540" w:right="1300" w:bottom="280" w:left="1420" w:header="883" w:footer="0" w:gutter="0"/>
          <w:cols w:space="720" w:num="1"/>
        </w:sectPr>
      </w:pPr>
    </w:p>
    <w:p>
      <w:pPr>
        <w:pStyle w:val="11"/>
        <w:spacing w:before="5"/>
        <w:rPr>
          <w:sz w:val="28"/>
        </w:rPr>
      </w:pPr>
    </w:p>
    <w:p>
      <w:pPr>
        <w:spacing w:before="61"/>
        <w:ind w:right="56"/>
        <w:jc w:val="center"/>
        <w:rPr>
          <w:rFonts w:ascii="黑体" w:eastAsia="黑体"/>
          <w:sz w:val="28"/>
        </w:rPr>
      </w:pPr>
      <w:bookmarkStart w:id="279" w:name="_bookmark298"/>
      <w:bookmarkEnd w:id="279"/>
      <w:r>
        <w:rPr>
          <w:rFonts w:hint="eastAsia" w:ascii="黑体" w:eastAsia="黑体"/>
          <w:sz w:val="28"/>
        </w:rPr>
        <w:t>五、施工组织设计</w:t>
      </w:r>
    </w:p>
    <w:p>
      <w:pPr>
        <w:spacing w:before="244"/>
        <w:ind w:right="55"/>
        <w:jc w:val="center"/>
        <w:rPr>
          <w:sz w:val="21"/>
        </w:rPr>
      </w:pPr>
      <w:r>
        <w:rPr>
          <w:sz w:val="21"/>
        </w:rPr>
        <w:t>（适用于技术评分最低标价法和综合评分法）</w:t>
      </w:r>
    </w:p>
    <w:p>
      <w:pPr>
        <w:pStyle w:val="11"/>
        <w:rPr>
          <w:sz w:val="20"/>
        </w:rPr>
      </w:pPr>
    </w:p>
    <w:p>
      <w:pPr>
        <w:pStyle w:val="11"/>
        <w:spacing w:before="5"/>
        <w:rPr>
          <w:sz w:val="23"/>
        </w:rPr>
      </w:pPr>
    </w:p>
    <w:p>
      <w:pPr>
        <w:pStyle w:val="20"/>
        <w:numPr>
          <w:ilvl w:val="1"/>
          <w:numId w:val="45"/>
        </w:numPr>
        <w:tabs>
          <w:tab w:val="left" w:pos="1005"/>
        </w:tabs>
        <w:ind w:hanging="420"/>
        <w:rPr>
          <w:sz w:val="24"/>
        </w:rPr>
      </w:pPr>
      <w:r>
        <w:rPr>
          <w:sz w:val="24"/>
        </w:rPr>
        <w:t>投标人应按以下要点编制施工组织设计（文字宜精炼、内容具有针对性</w:t>
      </w:r>
      <w:r>
        <w:rPr>
          <w:spacing w:val="-120"/>
          <w:sz w:val="24"/>
        </w:rPr>
        <w:t>）</w:t>
      </w:r>
      <w:r>
        <w:rPr>
          <w:sz w:val="24"/>
        </w:rPr>
        <w:t>：</w:t>
      </w:r>
    </w:p>
    <w:p>
      <w:pPr>
        <w:pStyle w:val="11"/>
        <w:spacing w:before="132"/>
        <w:ind w:left="704"/>
      </w:pPr>
      <w:r>
        <w:t>（</w:t>
      </w:r>
      <w:r>
        <w:rPr>
          <w:rFonts w:ascii="Times New Roman" w:eastAsia="Times New Roman"/>
        </w:rPr>
        <w:t>1</w:t>
      </w:r>
      <w:r>
        <w:t>）总体施工组织布置及规划</w:t>
      </w:r>
    </w:p>
    <w:p>
      <w:pPr>
        <w:pStyle w:val="11"/>
        <w:spacing w:before="131" w:line="345" w:lineRule="auto"/>
        <w:ind w:left="224" w:right="205" w:firstLine="479"/>
      </w:pPr>
      <w:r>
        <w:t>（</w:t>
      </w:r>
      <w:r>
        <w:rPr>
          <w:rFonts w:ascii="Times New Roman" w:eastAsia="Times New Roman"/>
        </w:rPr>
        <w:t>2</w:t>
      </w:r>
      <w:r>
        <w:t>）主要工程项目的施工方案、方法与技术措施（尤其对重点、关键和难点工程的施工方案、方法及措施）</w:t>
      </w:r>
    </w:p>
    <w:p>
      <w:pPr>
        <w:pStyle w:val="11"/>
        <w:spacing w:line="303" w:lineRule="exact"/>
        <w:ind w:left="704"/>
      </w:pPr>
      <w:r>
        <w:t>（</w:t>
      </w:r>
      <w:r>
        <w:rPr>
          <w:rFonts w:ascii="Times New Roman" w:eastAsia="Times New Roman"/>
        </w:rPr>
        <w:t>3</w:t>
      </w:r>
      <w:r>
        <w:t>）工期保证体系及保证措施</w:t>
      </w:r>
    </w:p>
    <w:p>
      <w:pPr>
        <w:pStyle w:val="11"/>
        <w:spacing w:before="132"/>
        <w:ind w:left="704"/>
      </w:pPr>
      <w:r>
        <w:t>（</w:t>
      </w:r>
      <w:r>
        <w:rPr>
          <w:rFonts w:ascii="Times New Roman" w:eastAsia="Times New Roman"/>
        </w:rPr>
        <w:t>4</w:t>
      </w:r>
      <w:r>
        <w:t>）工程质量管理体系及保证措施</w:t>
      </w:r>
    </w:p>
    <w:p>
      <w:pPr>
        <w:pStyle w:val="11"/>
        <w:spacing w:before="134"/>
        <w:ind w:left="704"/>
      </w:pPr>
      <w:r>
        <w:t>（</w:t>
      </w:r>
      <w:r>
        <w:rPr>
          <w:rFonts w:ascii="Times New Roman" w:eastAsia="Times New Roman"/>
        </w:rPr>
        <w:t>5</w:t>
      </w:r>
      <w:r>
        <w:t>）安全生产管理体系及保证措施</w:t>
      </w:r>
    </w:p>
    <w:p>
      <w:pPr>
        <w:pStyle w:val="11"/>
        <w:spacing w:before="132"/>
        <w:ind w:left="704"/>
      </w:pPr>
      <w:r>
        <w:t>（</w:t>
      </w:r>
      <w:r>
        <w:rPr>
          <w:rFonts w:ascii="Times New Roman" w:eastAsia="Times New Roman"/>
        </w:rPr>
        <w:t>6</w:t>
      </w:r>
      <w:r>
        <w:t>）环境保护、水土保持保证体系及保证措施</w:t>
      </w:r>
    </w:p>
    <w:p>
      <w:pPr>
        <w:pStyle w:val="11"/>
        <w:spacing w:before="131"/>
        <w:ind w:left="704"/>
      </w:pPr>
      <w:r>
        <w:t>（</w:t>
      </w:r>
      <w:r>
        <w:rPr>
          <w:rFonts w:ascii="Times New Roman" w:eastAsia="Times New Roman"/>
        </w:rPr>
        <w:t>7</w:t>
      </w:r>
      <w:r>
        <w:t>）文明施工、文物保护保证体系及保证措施</w:t>
      </w:r>
    </w:p>
    <w:p>
      <w:pPr>
        <w:pStyle w:val="11"/>
        <w:spacing w:before="135"/>
        <w:ind w:left="704"/>
      </w:pPr>
      <w:r>
        <w:t>（</w:t>
      </w:r>
      <w:r>
        <w:rPr>
          <w:rFonts w:ascii="Times New Roman" w:eastAsia="Times New Roman"/>
        </w:rPr>
        <w:t>8</w:t>
      </w:r>
      <w:r>
        <w:t>）项目风险预测与防范，事故应急预案</w:t>
      </w:r>
    </w:p>
    <w:p>
      <w:pPr>
        <w:pStyle w:val="11"/>
        <w:spacing w:before="132"/>
        <w:ind w:left="704"/>
      </w:pPr>
      <w:r>
        <w:t>（</w:t>
      </w:r>
      <w:r>
        <w:rPr>
          <w:rFonts w:ascii="Times New Roman" w:eastAsia="Times New Roman"/>
        </w:rPr>
        <w:t>9</w:t>
      </w:r>
      <w:r>
        <w:t>）其他应说明的事项</w:t>
      </w:r>
    </w:p>
    <w:p>
      <w:pPr>
        <w:pStyle w:val="20"/>
        <w:numPr>
          <w:ilvl w:val="1"/>
          <w:numId w:val="45"/>
        </w:numPr>
        <w:tabs>
          <w:tab w:val="left" w:pos="1005"/>
          <w:tab w:val="left" w:pos="2084"/>
        </w:tabs>
        <w:spacing w:before="131" w:line="345" w:lineRule="auto"/>
        <w:ind w:right="741" w:hanging="420"/>
        <w:rPr>
          <w:sz w:val="24"/>
        </w:rPr>
      </w:pPr>
      <w:r>
        <w:rPr>
          <w:sz w:val="24"/>
        </w:rPr>
        <w:t>施工组织设计除采用文字表述外可附下列图表，图表及格式要求附后。附表一</w:t>
      </w:r>
      <w:r>
        <w:rPr>
          <w:sz w:val="24"/>
        </w:rPr>
        <w:tab/>
      </w:r>
      <w:r>
        <w:rPr>
          <w:sz w:val="24"/>
        </w:rPr>
        <w:t>施工总体计划表</w:t>
      </w:r>
    </w:p>
    <w:p>
      <w:pPr>
        <w:pStyle w:val="11"/>
        <w:tabs>
          <w:tab w:val="left" w:pos="2084"/>
        </w:tabs>
        <w:spacing w:line="343" w:lineRule="auto"/>
        <w:ind w:left="1124" w:right="3739"/>
      </w:pPr>
      <w:r>
        <w:t>附表二</w:t>
      </w:r>
      <w:r>
        <w:tab/>
      </w:r>
      <w:r>
        <w:t>分项工程进度率计划（斜率图） 附表三</w:t>
      </w:r>
      <w:r>
        <w:tab/>
      </w:r>
      <w:r>
        <w:t>工程管理曲线</w:t>
      </w:r>
    </w:p>
    <w:p>
      <w:pPr>
        <w:pStyle w:val="11"/>
        <w:tabs>
          <w:tab w:val="left" w:pos="2084"/>
        </w:tabs>
        <w:spacing w:line="343" w:lineRule="auto"/>
        <w:ind w:left="1124" w:right="3981"/>
      </w:pPr>
      <w:r>
        <w:t>附表四</w:t>
      </w:r>
      <w:r>
        <w:tab/>
      </w:r>
      <w:r>
        <w:t>分项工程生产率和施工周期表附表五</w:t>
      </w:r>
      <w:r>
        <w:tab/>
      </w:r>
      <w:r>
        <w:t>施工总平面图</w:t>
      </w:r>
    </w:p>
    <w:p>
      <w:pPr>
        <w:pStyle w:val="11"/>
        <w:tabs>
          <w:tab w:val="left" w:pos="2084"/>
        </w:tabs>
        <w:spacing w:line="345" w:lineRule="auto"/>
        <w:ind w:left="1124" w:right="5419"/>
      </w:pPr>
      <w:r>
        <w:t>附表六</w:t>
      </w:r>
      <w:r>
        <w:tab/>
      </w:r>
      <w:r>
        <w:t>劳动力计划表 附表七</w:t>
      </w:r>
      <w:r>
        <w:tab/>
      </w:r>
      <w:r>
        <w:t>临时占地计划表</w:t>
      </w:r>
    </w:p>
    <w:p>
      <w:pPr>
        <w:pStyle w:val="11"/>
        <w:tabs>
          <w:tab w:val="left" w:pos="2084"/>
        </w:tabs>
        <w:spacing w:line="303" w:lineRule="exact"/>
        <w:ind w:left="1124"/>
      </w:pPr>
      <w:r>
        <w:t>附表八</w:t>
      </w:r>
      <w:r>
        <w:tab/>
      </w:r>
      <w:r>
        <w:t>外供电力需求计划表</w:t>
      </w:r>
    </w:p>
    <w:p>
      <w:pPr>
        <w:spacing w:line="303" w:lineRule="exact"/>
        <w:sectPr>
          <w:footerReference r:id="rId89" w:type="default"/>
          <w:headerReference r:id="rId88" w:type="even"/>
          <w:footerReference r:id="rId90" w:type="even"/>
          <w:pgSz w:w="11910" w:h="16850"/>
          <w:pgMar w:top="1540" w:right="1300" w:bottom="1060" w:left="1420" w:header="876" w:footer="860" w:gutter="0"/>
          <w:pgNumType w:start="216"/>
          <w:cols w:space="720" w:num="1"/>
        </w:sectPr>
      </w:pPr>
    </w:p>
    <w:p>
      <w:pPr>
        <w:pStyle w:val="11"/>
        <w:spacing w:line="20" w:lineRule="exact"/>
        <w:ind w:left="379"/>
        <w:rPr>
          <w:rFonts w:ascii="黑体"/>
          <w:sz w:val="2"/>
        </w:rPr>
      </w:pPr>
      <w:r>
        <w:rPr>
          <w:rFonts w:ascii="黑体"/>
          <w:sz w:val="2"/>
        </w:rPr>
        <mc:AlternateContent>
          <mc:Choice Requires="wpg">
            <w:drawing>
              <wp:inline distT="0" distB="0" distL="114300" distR="114300">
                <wp:extent cx="8667115" cy="6350"/>
                <wp:effectExtent l="0" t="0" r="0" b="0"/>
                <wp:docPr id="30" name="组合 16"/>
                <wp:cNvGraphicFramePr/>
                <a:graphic xmlns:a="http://schemas.openxmlformats.org/drawingml/2006/main">
                  <a:graphicData uri="http://schemas.microsoft.com/office/word/2010/wordprocessingGroup">
                    <wpg:wgp>
                      <wpg:cNvGrpSpPr/>
                      <wpg:grpSpPr>
                        <a:xfrm>
                          <a:off x="0" y="0"/>
                          <a:ext cx="8667115" cy="6350"/>
                          <a:chOff x="0" y="0"/>
                          <a:chExt cx="13649" cy="10"/>
                        </a:xfrm>
                      </wpg:grpSpPr>
                      <wps:wsp>
                        <wps:cNvPr id="29" name="直线 17"/>
                        <wps:cNvSpPr/>
                        <wps:spPr>
                          <a:xfrm>
                            <a:off x="0" y="5"/>
                            <a:ext cx="13649" cy="0"/>
                          </a:xfrm>
                          <a:prstGeom prst="line">
                            <a:avLst/>
                          </a:prstGeom>
                          <a:ln w="6096" cap="flat" cmpd="sng">
                            <a:solidFill>
                              <a:srgbClr val="000000"/>
                            </a:solidFill>
                            <a:prstDash val="solid"/>
                            <a:headEnd type="none" w="med" len="med"/>
                            <a:tailEnd type="none" w="med" len="med"/>
                          </a:ln>
                        </wps:spPr>
                        <wps:bodyPr upright="true"/>
                      </wps:wsp>
                    </wpg:wgp>
                  </a:graphicData>
                </a:graphic>
              </wp:inline>
            </w:drawing>
          </mc:Choice>
          <mc:Fallback>
            <w:pict>
              <v:group id="组合 16" o:spid="_x0000_s1026" o:spt="203" style="height:0.5pt;width:682.45pt;" coordsize="13649,10" o:gfxdata="UEsFBgAAAAAAAAAAAAAAAAAAAAAAAFBLAwQKAAAAAACHTuJAAAAAAAAAAAAAAAAABAAAAGRycy9Q&#10;SwMEFAAAAAgAh07iQB14w/XVAAAABAEAAA8AAABkcnMvZG93bnJldi54bWxNj0FrwkAQhe8F/8My&#10;Qm91N7UVm2YjRdqepFAVxNuYHZNgdjZk10T/fdde2svwhje89022uNhG9NT52rGGZKJAEBfO1Fxq&#10;2G4+HuYgfEA22DgmDVfysMhHdxmmxg38Tf06lCKGsE9RQxVCm0rpi4os+olriaN3dJ3FENeulKbD&#10;IYbbRj4qNZMWa44NFba0rKg4rc9Ww+eAw9s0ee9Xp+Pyut88f+1WCWl9P07UK4hAl/B3DDf8iA55&#10;ZDq4MxsvGg3xkfA7b9509vQC4hCVApln8j98/gNQSwMEFAAAAAgAh07iQEvDE0o1AgAAuQQAAA4A&#10;AABkcnMvZTJvRG9jLnhtbKWUvW7bMBDH9wJ9B4J7LSuulUSwnKFOvBRtgLQPcKEoiQC/QNKWvXfo&#10;2L2v0akd8jRFXqNHSnG+UKBIPdD8uDv+73c8Lc52SpItd14YXdF8MqWEa2ZqoduKfv508eaEEh9A&#10;1yCN5hXdc0/Plq9fLXpb8iPTGVlzRzCI9mVvK9qFYMss86zjCvzEWK7xsDFOQcCla7PaQY/RlcyO&#10;ptMi642rrTOMe4+7q+GQLlP8puEsfGwazwORFUVtIY0ujddxzJYLKFsHthNslAEvUKFAaLz0EGoF&#10;AcjGiWehlGDOeNOECTMqM00jGE85YDb59Ek2a2c2NuXSln1rD5gQ7RNOLw7LPmwvHRF1RWeIR4PC&#10;Gt3++vL721eSF5FOb9sSjdbOXtlLN260wyomvGuciv+YCtklrvsDV74LhOHmSVEc5/mcEoZnxWw+&#10;Ymcd1uaZE+vOR7d8Vrw9HZzy5JLdXZdFVQcRvcW34+/x+P/Dc9WB5Ym6j5mPeI5QyYjn+4/bnzck&#10;Px7wJKMDG196xPRXMPPhwd2BeZDh4wShtM6HNTeKxElFpdBRE5Swfe8DlgFZ3JnEbalJj2ynpwUC&#10;A2ykRkLAqbJYWq/b5OuNFPWFkDJ6eNdev5OObCG2RvpFcRj3kVm8ZAW+G+zS0ZBDx6E+1zUJe4tv&#10;RmN30yhB8ZoSyfFjEGcYEMoAQv6LJV4tNSqI9Rwoxtm1qfdYg411ou2QRHAbnoSOZU8OqT+S+LGX&#10;YwM+XCer+y/O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AdeMP11QAAAAQBAAAPAAAAAAAAAAEA&#10;IAAAADgAAABkcnMvZG93bnJldi54bWxQSwECFAAUAAAACACHTuJAS8MTSjUCAAC5BAAADgAAAAAA&#10;AAABACAAAAA6AQAAZHJzL2Uyb0RvYy54bWxQSwUGAAAAAAYABgBZAQAA4QUAAAAA&#10;">
                <o:lock v:ext="edit" aspectratio="f"/>
                <v:line id="直线 17" o:spid="_x0000_s1026" o:spt="20" style="position:absolute;left:0;top:5;height:0;width:13649;" filled="f" stroked="t" coordsize="21600,21600" o:gfxdata="UEsFBgAAAAAAAAAAAAAAAAAAAAAAAFBLAwQKAAAAAACHTuJAAAAAAAAAAAAAAAAABAAAAGRycy9Q&#10;SwMEFAAAAAgAh07iQADu7je9AAAA2wAAAA8AAABkcnMvZG93bnJldi54bWxFj0GLwjAUhO8L/ofw&#10;BG9rqgetXdMeFEUPsqzKnh/Ns61tXkoTrf57IyzscZiZb5hl9jCNuFPnKssKJuMIBHFudcWFgvNp&#10;8xmDcB5ZY2OZFDzJQZYOPpaYaNvzD92PvhABwi5BBaX3bSKly0sy6Ma2JQ7exXYGfZBdIXWHfYCb&#10;Rk6jaCYNVhwWSmxpVVJeH29GwSGWa/td/+bPa3/axvG+Xsz3Z6VGw0n0BcLTw/+H/9o7rWC6gPeX&#10;8ANk+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O7uN7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w10:wrap type="none"/>
                <w10:anchorlock/>
              </v:group>
            </w:pict>
          </mc:Fallback>
        </mc:AlternateContent>
      </w:r>
    </w:p>
    <w:p>
      <w:pPr>
        <w:pStyle w:val="11"/>
        <w:rPr>
          <w:rFonts w:ascii="黑体"/>
          <w:sz w:val="20"/>
        </w:rPr>
      </w:pPr>
    </w:p>
    <w:p>
      <w:pPr>
        <w:spacing w:before="229"/>
        <w:ind w:left="413"/>
        <w:rPr>
          <w:rFonts w:ascii="黑体" w:eastAsia="黑体"/>
          <w:sz w:val="28"/>
        </w:rPr>
      </w:pPr>
      <w:r>
        <mc:AlternateContent>
          <mc:Choice Requires="wps">
            <w:drawing>
              <wp:anchor distT="0" distB="0" distL="114300" distR="114300" simplePos="0" relativeHeight="251696128" behindDoc="1" locked="0" layoutInCell="1" allowOverlap="1">
                <wp:simplePos x="0" y="0"/>
                <wp:positionH relativeFrom="page">
                  <wp:posOffset>804545</wp:posOffset>
                </wp:positionH>
                <wp:positionV relativeFrom="paragraph">
                  <wp:posOffset>908685</wp:posOffset>
                </wp:positionV>
                <wp:extent cx="1529080" cy="228600"/>
                <wp:effectExtent l="635" t="4445" r="13335" b="14605"/>
                <wp:wrapNone/>
                <wp:docPr id="78" name="直线 15"/>
                <wp:cNvGraphicFramePr/>
                <a:graphic xmlns:a="http://schemas.openxmlformats.org/drawingml/2006/main">
                  <a:graphicData uri="http://schemas.microsoft.com/office/word/2010/wordprocessingShape">
                    <wps:wsp>
                      <wps:cNvSpPr/>
                      <wps:spPr>
                        <a:xfrm>
                          <a:off x="0" y="0"/>
                          <a:ext cx="1529080" cy="22860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5" o:spid="_x0000_s1026" o:spt="20" style="position:absolute;left:0pt;margin-left:63.35pt;margin-top:71.55pt;height:18pt;width:120.4pt;mso-position-horizontal-relative:page;z-index:-251620352;mso-width-relative:page;mso-height-relative:page;" filled="f" stroked="t" coordsize="21600,21600" o:gfxdata="UEsFBgAAAAAAAAAAAAAAAAAAAAAAAFBLAwQKAAAAAACHTuJAAAAAAAAAAAAAAAAABAAAAGRycy9Q&#10;SwMEFAAAAAgAh07iQONZuXfaAAAACwEAAA8AAABkcnMvZG93bnJldi54bWxNj0FPwzAMhe9I/IfI&#10;SNxY2g3armu6AwikHRBimzhnjdeWNk7VZOv27zEnuPnZT8/fK9YX24szjr51pCCeRSCQKmdaqhXs&#10;d68PGQgfNBndO0IFV/SwLm9vCp0bN9EnnrehFhxCPtcKmhCGXEpfNWi1n7kBiW9HN1odWI61NKOe&#10;ONz2ch5FibS6Jf7Q6AGfG6y67ckqeM/ki/vovqrr97R7y7JNt0w3e6Xu7+JoBSLgJfyZ4Ref0aFk&#10;poM7kfGiZz1PUrby8LiIQbBjkaRPIA68SZcxyLKQ/zuUP1BLAwQUAAAACACHTuJAYj3tYNcBAACX&#10;AwAADgAAAGRycy9lMm9Eb2MueG1srVPNjtMwEL4j8Q6W7zRppC3dqOkeKMsFwUrLPsDUdhJL/pPH&#10;bdpn4TU4ceFx9jUYu6UL7GWFyMEZe8bfzPfNeHVzsIbtVUTtXcfns5oz5YSX2g0df/hy+2bJGSZw&#10;Eox3quNHhfxm/frVagqtavzojVSREYjDdgodH1MKbVWhGJUFnPmgHDl7Hy0k2sahkhEmQremaup6&#10;UU0+yhC9UIh0ujk5+brg970S6XPfo0rMdJxqS2WNZd3mtVqvoB0ihFGLcxnwD1VY0I6SXqA2kIDt&#10;on4GZbWIHn2fZsLbyve9FqpwIDbz+i829yMEVbiQOBguMuH/gxWf9neRadnxt9QpB5Z69Pj12+P3&#10;H2x+ldWZArYUdB/u4nmHZGaqhz7a/CcS7FAUPV4UVYfEBB3Or5rreknCC/I1zXJRF8mrp9shYvqg&#10;vGXZ6LjRLjOGFvYfMVFGCv0Vko+NY1PHF/X1gjCBBqY3kMi0gSigG8pd9EbLW21MvoFx2L4zke0h&#10;j0D5Mi/C/SMsJ9kAjqe44joNx6hAvneSpWMgbRxNMc8lWCU5M4qGPlsECG0CbV4SSamNowqytCcx&#10;s7X18kit2IWoh5GUSHGnSqHZSd0vJZ8nNY/X7/sC9vSe1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41m5d9oAAAALAQAADwAAAAAAAAABACAAAAA4AAAAZHJzL2Rvd25yZXYueG1sUEsBAhQAFAAA&#10;AAgAh07iQGI97WDXAQAAlwMAAA4AAAAAAAAAAQAgAAAAPwEAAGRycy9lMm9Eb2MueG1sUEsFBgAA&#10;AAAGAAYAWQEAAIgFAAAAAA==&#10;">
                <v:fill on="f" focussize="0,0"/>
                <v:stroke weight="0.48pt" color="#000000" joinstyle="round"/>
                <v:imagedata o:title=""/>
                <o:lock v:ext="edit" aspectratio="f"/>
              </v:line>
            </w:pict>
          </mc:Fallback>
        </mc:AlternateContent>
      </w:r>
      <w:bookmarkStart w:id="280" w:name="_bookmark299"/>
      <w:bookmarkEnd w:id="280"/>
      <w:r>
        <w:rPr>
          <w:rFonts w:hint="eastAsia" w:ascii="黑体" w:eastAsia="黑体"/>
          <w:sz w:val="28"/>
        </w:rPr>
        <w:t>附表一 施工总体计划表</w:t>
      </w:r>
    </w:p>
    <w:p>
      <w:pPr>
        <w:pStyle w:val="11"/>
        <w:rPr>
          <w:rFonts w:ascii="黑体"/>
          <w:sz w:val="20"/>
        </w:rPr>
      </w:pPr>
    </w:p>
    <w:p>
      <w:pPr>
        <w:pStyle w:val="11"/>
        <w:spacing w:before="2"/>
        <w:rPr>
          <w:rFonts w:ascii="黑体"/>
          <w:sz w:val="16"/>
        </w:rPr>
      </w:pPr>
    </w:p>
    <w:tbl>
      <w:tblPr>
        <w:tblStyle w:val="19"/>
        <w:tblW w:w="14369"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7"/>
        <w:gridCol w:w="422"/>
        <w:gridCol w:w="424"/>
        <w:gridCol w:w="425"/>
        <w:gridCol w:w="424"/>
        <w:gridCol w:w="424"/>
        <w:gridCol w:w="424"/>
        <w:gridCol w:w="422"/>
        <w:gridCol w:w="424"/>
        <w:gridCol w:w="424"/>
        <w:gridCol w:w="424"/>
        <w:gridCol w:w="424"/>
        <w:gridCol w:w="422"/>
        <w:gridCol w:w="424"/>
        <w:gridCol w:w="424"/>
        <w:gridCol w:w="424"/>
        <w:gridCol w:w="424"/>
        <w:gridCol w:w="425"/>
        <w:gridCol w:w="422"/>
        <w:gridCol w:w="424"/>
        <w:gridCol w:w="424"/>
        <w:gridCol w:w="424"/>
        <w:gridCol w:w="424"/>
        <w:gridCol w:w="422"/>
        <w:gridCol w:w="427"/>
        <w:gridCol w:w="355"/>
        <w:gridCol w:w="357"/>
        <w:gridCol w:w="357"/>
        <w:gridCol w:w="357"/>
        <w:gridCol w:w="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7" w:type="dxa"/>
          </w:tcPr>
          <w:p>
            <w:pPr>
              <w:pStyle w:val="21"/>
              <w:tabs>
                <w:tab w:val="left" w:pos="1509"/>
              </w:tabs>
              <w:spacing w:before="102" w:line="237" w:lineRule="exact"/>
              <w:ind w:left="708"/>
              <w:rPr>
                <w:sz w:val="20"/>
              </w:rPr>
            </w:pPr>
            <w:r>
              <w:rPr>
                <w:sz w:val="20"/>
              </w:rPr>
              <w:t>年</w:t>
            </w:r>
            <w:r>
              <w:rPr>
                <w:sz w:val="20"/>
              </w:rPr>
              <w:tab/>
            </w:r>
            <w:r>
              <w:rPr>
                <w:sz w:val="20"/>
              </w:rPr>
              <w:t>度</w:t>
            </w:r>
          </w:p>
        </w:tc>
        <w:tc>
          <w:tcPr>
            <w:tcW w:w="5083" w:type="dxa"/>
            <w:gridSpan w:val="12"/>
          </w:tcPr>
          <w:p>
            <w:pPr>
              <w:pStyle w:val="21"/>
              <w:tabs>
                <w:tab w:val="left" w:pos="517"/>
              </w:tabs>
              <w:spacing w:before="102" w:line="237" w:lineRule="exact"/>
              <w:ind w:left="16"/>
              <w:jc w:val="center"/>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p>
        </w:tc>
        <w:tc>
          <w:tcPr>
            <w:tcW w:w="5088" w:type="dxa"/>
            <w:gridSpan w:val="12"/>
          </w:tcPr>
          <w:p>
            <w:pPr>
              <w:pStyle w:val="21"/>
              <w:tabs>
                <w:tab w:val="left" w:pos="539"/>
              </w:tabs>
              <w:spacing w:before="102" w:line="237" w:lineRule="exact"/>
              <w:ind w:left="37"/>
              <w:jc w:val="center"/>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p>
        </w:tc>
        <w:tc>
          <w:tcPr>
            <w:tcW w:w="1781" w:type="dxa"/>
            <w:gridSpan w:val="5"/>
          </w:tcPr>
          <w:p>
            <w:pPr>
              <w:pStyle w:val="21"/>
              <w:tabs>
                <w:tab w:val="left" w:pos="1060"/>
              </w:tabs>
              <w:spacing w:before="102" w:line="237" w:lineRule="exact"/>
              <w:ind w:left="558"/>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7" w:type="dxa"/>
          </w:tcPr>
          <w:p>
            <w:pPr>
              <w:pStyle w:val="21"/>
              <w:tabs>
                <w:tab w:val="left" w:pos="1855"/>
              </w:tabs>
              <w:spacing w:before="102" w:line="237" w:lineRule="exact"/>
              <w:ind w:left="52"/>
              <w:rPr>
                <w:sz w:val="20"/>
              </w:rPr>
            </w:pPr>
            <w:r>
              <w:rPr>
                <w:sz w:val="20"/>
              </w:rPr>
              <w:t>主要工程项目</w:t>
            </w:r>
            <w:r>
              <w:rPr>
                <w:sz w:val="20"/>
              </w:rPr>
              <w:tab/>
            </w:r>
            <w:r>
              <w:rPr>
                <w:sz w:val="20"/>
              </w:rPr>
              <w:t>月份</w:t>
            </w:r>
          </w:p>
        </w:tc>
        <w:tc>
          <w:tcPr>
            <w:tcW w:w="422" w:type="dxa"/>
          </w:tcPr>
          <w:p>
            <w:pPr>
              <w:pStyle w:val="21"/>
              <w:spacing w:before="125" w:line="215" w:lineRule="exact"/>
              <w:ind w:left="9"/>
              <w:jc w:val="center"/>
              <w:rPr>
                <w:rFonts w:ascii="Times New Roman"/>
                <w:sz w:val="20"/>
              </w:rPr>
            </w:pPr>
            <w:r>
              <w:rPr>
                <w:rFonts w:ascii="Times New Roman"/>
                <w:w w:val="99"/>
                <w:sz w:val="20"/>
              </w:rPr>
              <w:t>1</w:t>
            </w:r>
          </w:p>
        </w:tc>
        <w:tc>
          <w:tcPr>
            <w:tcW w:w="424" w:type="dxa"/>
          </w:tcPr>
          <w:p>
            <w:pPr>
              <w:pStyle w:val="21"/>
              <w:spacing w:before="125" w:line="215" w:lineRule="exact"/>
              <w:ind w:left="12"/>
              <w:jc w:val="center"/>
              <w:rPr>
                <w:rFonts w:ascii="Times New Roman"/>
                <w:sz w:val="20"/>
              </w:rPr>
            </w:pPr>
            <w:r>
              <w:rPr>
                <w:rFonts w:ascii="Times New Roman"/>
                <w:w w:val="99"/>
                <w:sz w:val="20"/>
              </w:rPr>
              <w:t>2</w:t>
            </w:r>
          </w:p>
        </w:tc>
        <w:tc>
          <w:tcPr>
            <w:tcW w:w="425" w:type="dxa"/>
          </w:tcPr>
          <w:p>
            <w:pPr>
              <w:pStyle w:val="21"/>
              <w:spacing w:before="125" w:line="215" w:lineRule="exact"/>
              <w:ind w:left="9"/>
              <w:jc w:val="center"/>
              <w:rPr>
                <w:rFonts w:ascii="Times New Roman"/>
                <w:sz w:val="20"/>
              </w:rPr>
            </w:pPr>
            <w:r>
              <w:rPr>
                <w:rFonts w:ascii="Times New Roman"/>
                <w:w w:val="99"/>
                <w:sz w:val="20"/>
              </w:rPr>
              <w:t>3</w:t>
            </w:r>
          </w:p>
        </w:tc>
        <w:tc>
          <w:tcPr>
            <w:tcW w:w="424" w:type="dxa"/>
          </w:tcPr>
          <w:p>
            <w:pPr>
              <w:pStyle w:val="21"/>
              <w:spacing w:before="125" w:line="215" w:lineRule="exact"/>
              <w:ind w:left="10"/>
              <w:jc w:val="center"/>
              <w:rPr>
                <w:rFonts w:ascii="Times New Roman"/>
                <w:sz w:val="20"/>
              </w:rPr>
            </w:pPr>
            <w:r>
              <w:rPr>
                <w:rFonts w:ascii="Times New Roman"/>
                <w:w w:val="99"/>
                <w:sz w:val="20"/>
              </w:rPr>
              <w:t>4</w:t>
            </w:r>
          </w:p>
        </w:tc>
        <w:tc>
          <w:tcPr>
            <w:tcW w:w="424" w:type="dxa"/>
          </w:tcPr>
          <w:p>
            <w:pPr>
              <w:pStyle w:val="21"/>
              <w:spacing w:before="125" w:line="215" w:lineRule="exact"/>
              <w:ind w:left="12"/>
              <w:jc w:val="center"/>
              <w:rPr>
                <w:rFonts w:ascii="Times New Roman"/>
                <w:sz w:val="20"/>
              </w:rPr>
            </w:pPr>
            <w:r>
              <w:rPr>
                <w:rFonts w:ascii="Times New Roman"/>
                <w:w w:val="99"/>
                <w:sz w:val="20"/>
              </w:rPr>
              <w:t>5</w:t>
            </w:r>
          </w:p>
        </w:tc>
        <w:tc>
          <w:tcPr>
            <w:tcW w:w="424" w:type="dxa"/>
          </w:tcPr>
          <w:p>
            <w:pPr>
              <w:pStyle w:val="21"/>
              <w:spacing w:before="125" w:line="215" w:lineRule="exact"/>
              <w:ind w:left="13"/>
              <w:jc w:val="center"/>
              <w:rPr>
                <w:rFonts w:ascii="Times New Roman"/>
                <w:sz w:val="20"/>
              </w:rPr>
            </w:pPr>
            <w:r>
              <w:rPr>
                <w:rFonts w:ascii="Times New Roman"/>
                <w:w w:val="99"/>
                <w:sz w:val="20"/>
              </w:rPr>
              <w:t>6</w:t>
            </w:r>
          </w:p>
        </w:tc>
        <w:tc>
          <w:tcPr>
            <w:tcW w:w="422" w:type="dxa"/>
          </w:tcPr>
          <w:p>
            <w:pPr>
              <w:pStyle w:val="21"/>
              <w:spacing w:before="125" w:line="215" w:lineRule="exact"/>
              <w:ind w:left="17"/>
              <w:jc w:val="center"/>
              <w:rPr>
                <w:rFonts w:ascii="Times New Roman"/>
                <w:sz w:val="20"/>
              </w:rPr>
            </w:pPr>
            <w:r>
              <w:rPr>
                <w:rFonts w:ascii="Times New Roman"/>
                <w:w w:val="99"/>
                <w:sz w:val="20"/>
              </w:rPr>
              <w:t>7</w:t>
            </w:r>
          </w:p>
        </w:tc>
        <w:tc>
          <w:tcPr>
            <w:tcW w:w="424" w:type="dxa"/>
          </w:tcPr>
          <w:p>
            <w:pPr>
              <w:pStyle w:val="21"/>
              <w:spacing w:before="125" w:line="215" w:lineRule="exact"/>
              <w:ind w:left="16"/>
              <w:jc w:val="center"/>
              <w:rPr>
                <w:rFonts w:ascii="Times New Roman"/>
                <w:sz w:val="20"/>
              </w:rPr>
            </w:pPr>
            <w:r>
              <w:rPr>
                <w:rFonts w:ascii="Times New Roman"/>
                <w:w w:val="99"/>
                <w:sz w:val="20"/>
              </w:rPr>
              <w:t>8</w:t>
            </w:r>
          </w:p>
        </w:tc>
        <w:tc>
          <w:tcPr>
            <w:tcW w:w="424" w:type="dxa"/>
          </w:tcPr>
          <w:p>
            <w:pPr>
              <w:pStyle w:val="21"/>
              <w:spacing w:before="125" w:line="215" w:lineRule="exact"/>
              <w:ind w:left="17"/>
              <w:jc w:val="center"/>
              <w:rPr>
                <w:rFonts w:ascii="Times New Roman"/>
                <w:sz w:val="20"/>
              </w:rPr>
            </w:pPr>
            <w:r>
              <w:rPr>
                <w:rFonts w:ascii="Times New Roman"/>
                <w:w w:val="99"/>
                <w:sz w:val="20"/>
              </w:rPr>
              <w:t>9</w:t>
            </w:r>
          </w:p>
        </w:tc>
        <w:tc>
          <w:tcPr>
            <w:tcW w:w="424" w:type="dxa"/>
          </w:tcPr>
          <w:p>
            <w:pPr>
              <w:pStyle w:val="21"/>
              <w:spacing w:before="125" w:line="215" w:lineRule="exact"/>
              <w:ind w:left="116"/>
              <w:rPr>
                <w:rFonts w:ascii="Times New Roman"/>
                <w:sz w:val="20"/>
              </w:rPr>
            </w:pPr>
            <w:r>
              <w:rPr>
                <w:rFonts w:ascii="Times New Roman"/>
                <w:sz w:val="20"/>
              </w:rPr>
              <w:t>10</w:t>
            </w:r>
          </w:p>
        </w:tc>
        <w:tc>
          <w:tcPr>
            <w:tcW w:w="424" w:type="dxa"/>
          </w:tcPr>
          <w:p>
            <w:pPr>
              <w:pStyle w:val="21"/>
              <w:spacing w:before="125" w:line="215" w:lineRule="exact"/>
              <w:ind w:left="122"/>
              <w:rPr>
                <w:rFonts w:ascii="Times New Roman"/>
                <w:sz w:val="20"/>
              </w:rPr>
            </w:pPr>
            <w:r>
              <w:rPr>
                <w:rFonts w:ascii="Times New Roman"/>
                <w:sz w:val="20"/>
              </w:rPr>
              <w:t>11</w:t>
            </w:r>
          </w:p>
        </w:tc>
        <w:tc>
          <w:tcPr>
            <w:tcW w:w="422" w:type="dxa"/>
          </w:tcPr>
          <w:p>
            <w:pPr>
              <w:pStyle w:val="21"/>
              <w:spacing w:before="125" w:line="215" w:lineRule="exact"/>
              <w:ind w:left="118"/>
              <w:rPr>
                <w:rFonts w:ascii="Times New Roman"/>
                <w:sz w:val="20"/>
              </w:rPr>
            </w:pPr>
            <w:r>
              <w:rPr>
                <w:rFonts w:ascii="Times New Roman"/>
                <w:sz w:val="20"/>
              </w:rPr>
              <w:t>12</w:t>
            </w:r>
          </w:p>
        </w:tc>
        <w:tc>
          <w:tcPr>
            <w:tcW w:w="424" w:type="dxa"/>
          </w:tcPr>
          <w:p>
            <w:pPr>
              <w:pStyle w:val="21"/>
              <w:spacing w:before="125" w:line="215" w:lineRule="exact"/>
              <w:ind w:left="28"/>
              <w:jc w:val="center"/>
              <w:rPr>
                <w:rFonts w:ascii="Times New Roman"/>
                <w:sz w:val="20"/>
              </w:rPr>
            </w:pPr>
            <w:r>
              <w:rPr>
                <w:rFonts w:ascii="Times New Roman"/>
                <w:w w:val="99"/>
                <w:sz w:val="20"/>
              </w:rPr>
              <w:t>1</w:t>
            </w:r>
          </w:p>
        </w:tc>
        <w:tc>
          <w:tcPr>
            <w:tcW w:w="424" w:type="dxa"/>
          </w:tcPr>
          <w:p>
            <w:pPr>
              <w:pStyle w:val="21"/>
              <w:spacing w:before="125" w:line="215" w:lineRule="exact"/>
              <w:ind w:left="25"/>
              <w:jc w:val="center"/>
              <w:rPr>
                <w:rFonts w:ascii="Times New Roman"/>
                <w:sz w:val="20"/>
              </w:rPr>
            </w:pPr>
            <w:r>
              <w:rPr>
                <w:rFonts w:ascii="Times New Roman"/>
                <w:w w:val="99"/>
                <w:sz w:val="20"/>
              </w:rPr>
              <w:t>2</w:t>
            </w:r>
          </w:p>
        </w:tc>
        <w:tc>
          <w:tcPr>
            <w:tcW w:w="424" w:type="dxa"/>
          </w:tcPr>
          <w:p>
            <w:pPr>
              <w:pStyle w:val="21"/>
              <w:spacing w:before="125" w:line="215" w:lineRule="exact"/>
              <w:ind w:left="27"/>
              <w:jc w:val="center"/>
              <w:rPr>
                <w:rFonts w:ascii="Times New Roman"/>
                <w:sz w:val="20"/>
              </w:rPr>
            </w:pPr>
            <w:r>
              <w:rPr>
                <w:rFonts w:ascii="Times New Roman"/>
                <w:w w:val="99"/>
                <w:sz w:val="20"/>
              </w:rPr>
              <w:t>3</w:t>
            </w:r>
          </w:p>
        </w:tc>
        <w:tc>
          <w:tcPr>
            <w:tcW w:w="424" w:type="dxa"/>
          </w:tcPr>
          <w:p>
            <w:pPr>
              <w:pStyle w:val="21"/>
              <w:spacing w:before="125" w:line="215" w:lineRule="exact"/>
              <w:ind w:left="28"/>
              <w:jc w:val="center"/>
              <w:rPr>
                <w:rFonts w:ascii="Times New Roman"/>
                <w:sz w:val="20"/>
              </w:rPr>
            </w:pPr>
            <w:r>
              <w:rPr>
                <w:rFonts w:ascii="Times New Roman"/>
                <w:w w:val="99"/>
                <w:sz w:val="20"/>
              </w:rPr>
              <w:t>4</w:t>
            </w:r>
          </w:p>
        </w:tc>
        <w:tc>
          <w:tcPr>
            <w:tcW w:w="425" w:type="dxa"/>
          </w:tcPr>
          <w:p>
            <w:pPr>
              <w:pStyle w:val="21"/>
              <w:spacing w:before="125" w:line="215" w:lineRule="exact"/>
              <w:ind w:left="29"/>
              <w:jc w:val="center"/>
              <w:rPr>
                <w:rFonts w:ascii="Times New Roman"/>
                <w:sz w:val="20"/>
              </w:rPr>
            </w:pPr>
            <w:r>
              <w:rPr>
                <w:rFonts w:ascii="Times New Roman"/>
                <w:w w:val="99"/>
                <w:sz w:val="20"/>
              </w:rPr>
              <w:t>5</w:t>
            </w:r>
          </w:p>
        </w:tc>
        <w:tc>
          <w:tcPr>
            <w:tcW w:w="422" w:type="dxa"/>
          </w:tcPr>
          <w:p>
            <w:pPr>
              <w:pStyle w:val="21"/>
              <w:spacing w:before="125" w:line="215" w:lineRule="exact"/>
              <w:ind w:left="33"/>
              <w:jc w:val="center"/>
              <w:rPr>
                <w:rFonts w:ascii="Times New Roman"/>
                <w:sz w:val="20"/>
              </w:rPr>
            </w:pPr>
            <w:r>
              <w:rPr>
                <w:rFonts w:ascii="Times New Roman"/>
                <w:w w:val="99"/>
                <w:sz w:val="20"/>
              </w:rPr>
              <w:t>6</w:t>
            </w:r>
          </w:p>
        </w:tc>
        <w:tc>
          <w:tcPr>
            <w:tcW w:w="424" w:type="dxa"/>
          </w:tcPr>
          <w:p>
            <w:pPr>
              <w:pStyle w:val="21"/>
              <w:spacing w:before="125" w:line="215" w:lineRule="exact"/>
              <w:ind w:left="32"/>
              <w:jc w:val="center"/>
              <w:rPr>
                <w:rFonts w:ascii="Times New Roman"/>
                <w:sz w:val="20"/>
              </w:rPr>
            </w:pPr>
            <w:r>
              <w:rPr>
                <w:rFonts w:ascii="Times New Roman"/>
                <w:w w:val="99"/>
                <w:sz w:val="20"/>
              </w:rPr>
              <w:t>7</w:t>
            </w:r>
          </w:p>
        </w:tc>
        <w:tc>
          <w:tcPr>
            <w:tcW w:w="424" w:type="dxa"/>
          </w:tcPr>
          <w:p>
            <w:pPr>
              <w:pStyle w:val="21"/>
              <w:spacing w:before="125" w:line="215" w:lineRule="exact"/>
              <w:ind w:left="33"/>
              <w:jc w:val="center"/>
              <w:rPr>
                <w:rFonts w:ascii="Times New Roman"/>
                <w:sz w:val="20"/>
              </w:rPr>
            </w:pPr>
            <w:r>
              <w:rPr>
                <w:rFonts w:ascii="Times New Roman"/>
                <w:w w:val="99"/>
                <w:sz w:val="20"/>
              </w:rPr>
              <w:t>8</w:t>
            </w:r>
          </w:p>
        </w:tc>
        <w:tc>
          <w:tcPr>
            <w:tcW w:w="424" w:type="dxa"/>
          </w:tcPr>
          <w:p>
            <w:pPr>
              <w:pStyle w:val="21"/>
              <w:spacing w:before="125" w:line="215" w:lineRule="exact"/>
              <w:ind w:left="35"/>
              <w:jc w:val="center"/>
              <w:rPr>
                <w:rFonts w:ascii="Times New Roman"/>
                <w:sz w:val="20"/>
              </w:rPr>
            </w:pPr>
            <w:r>
              <w:rPr>
                <w:rFonts w:ascii="Times New Roman"/>
                <w:w w:val="99"/>
                <w:sz w:val="20"/>
              </w:rPr>
              <w:t>9</w:t>
            </w:r>
          </w:p>
        </w:tc>
        <w:tc>
          <w:tcPr>
            <w:tcW w:w="424" w:type="dxa"/>
          </w:tcPr>
          <w:p>
            <w:pPr>
              <w:pStyle w:val="21"/>
              <w:spacing w:before="125" w:line="215" w:lineRule="exact"/>
              <w:ind w:left="127"/>
              <w:rPr>
                <w:rFonts w:ascii="Times New Roman"/>
                <w:sz w:val="20"/>
              </w:rPr>
            </w:pPr>
            <w:r>
              <w:rPr>
                <w:rFonts w:ascii="Times New Roman"/>
                <w:sz w:val="20"/>
              </w:rPr>
              <w:t>10</w:t>
            </w:r>
          </w:p>
        </w:tc>
        <w:tc>
          <w:tcPr>
            <w:tcW w:w="422" w:type="dxa"/>
          </w:tcPr>
          <w:p>
            <w:pPr>
              <w:pStyle w:val="21"/>
              <w:spacing w:before="125" w:line="215" w:lineRule="exact"/>
              <w:ind w:left="130"/>
              <w:rPr>
                <w:rFonts w:ascii="Times New Roman"/>
                <w:sz w:val="20"/>
              </w:rPr>
            </w:pPr>
            <w:r>
              <w:rPr>
                <w:rFonts w:ascii="Times New Roman"/>
                <w:sz w:val="20"/>
              </w:rPr>
              <w:t>11</w:t>
            </w:r>
          </w:p>
        </w:tc>
        <w:tc>
          <w:tcPr>
            <w:tcW w:w="427" w:type="dxa"/>
          </w:tcPr>
          <w:p>
            <w:pPr>
              <w:pStyle w:val="21"/>
              <w:spacing w:before="125" w:line="215" w:lineRule="exact"/>
              <w:ind w:left="131"/>
              <w:rPr>
                <w:rFonts w:ascii="Times New Roman"/>
                <w:sz w:val="20"/>
              </w:rPr>
            </w:pPr>
            <w:r>
              <w:rPr>
                <w:rFonts w:ascii="Times New Roman"/>
                <w:sz w:val="20"/>
              </w:rPr>
              <w:t>12</w:t>
            </w:r>
          </w:p>
        </w:tc>
        <w:tc>
          <w:tcPr>
            <w:tcW w:w="355" w:type="dxa"/>
          </w:tcPr>
          <w:p>
            <w:pPr>
              <w:pStyle w:val="21"/>
              <w:spacing w:before="125" w:line="215" w:lineRule="exact"/>
              <w:ind w:left="143"/>
              <w:rPr>
                <w:rFonts w:ascii="Times New Roman"/>
                <w:sz w:val="20"/>
              </w:rPr>
            </w:pPr>
            <w:r>
              <w:rPr>
                <w:rFonts w:ascii="Times New Roman"/>
                <w:w w:val="99"/>
                <w:sz w:val="20"/>
              </w:rPr>
              <w:t>1</w:t>
            </w:r>
          </w:p>
        </w:tc>
        <w:tc>
          <w:tcPr>
            <w:tcW w:w="357" w:type="dxa"/>
          </w:tcPr>
          <w:p>
            <w:pPr>
              <w:pStyle w:val="21"/>
              <w:spacing w:before="125" w:line="215" w:lineRule="exact"/>
              <w:ind w:left="143"/>
              <w:rPr>
                <w:rFonts w:ascii="Times New Roman"/>
                <w:sz w:val="20"/>
              </w:rPr>
            </w:pPr>
            <w:r>
              <w:rPr>
                <w:rFonts w:ascii="Times New Roman"/>
                <w:w w:val="99"/>
                <w:sz w:val="20"/>
              </w:rPr>
              <w:t>2</w:t>
            </w:r>
          </w:p>
        </w:tc>
        <w:tc>
          <w:tcPr>
            <w:tcW w:w="357" w:type="dxa"/>
          </w:tcPr>
          <w:p>
            <w:pPr>
              <w:pStyle w:val="21"/>
              <w:spacing w:before="125" w:line="215" w:lineRule="exact"/>
              <w:ind w:left="144"/>
              <w:rPr>
                <w:rFonts w:ascii="Times New Roman"/>
                <w:sz w:val="20"/>
              </w:rPr>
            </w:pPr>
            <w:r>
              <w:rPr>
                <w:rFonts w:ascii="Times New Roman"/>
                <w:w w:val="99"/>
                <w:sz w:val="20"/>
              </w:rPr>
              <w:t>3</w:t>
            </w:r>
          </w:p>
        </w:tc>
        <w:tc>
          <w:tcPr>
            <w:tcW w:w="357" w:type="dxa"/>
          </w:tcPr>
          <w:p>
            <w:pPr>
              <w:pStyle w:val="21"/>
              <w:spacing w:before="125" w:line="215" w:lineRule="exact"/>
              <w:ind w:left="145"/>
              <w:rPr>
                <w:rFonts w:ascii="Times New Roman"/>
                <w:sz w:val="20"/>
              </w:rPr>
            </w:pPr>
            <w:r>
              <w:rPr>
                <w:rFonts w:ascii="Times New Roman"/>
                <w:w w:val="99"/>
                <w:sz w:val="20"/>
              </w:rPr>
              <w:t>4</w:t>
            </w:r>
          </w:p>
        </w:tc>
        <w:tc>
          <w:tcPr>
            <w:tcW w:w="355" w:type="dxa"/>
          </w:tcPr>
          <w:p>
            <w:pPr>
              <w:pStyle w:val="21"/>
              <w:spacing w:before="125" w:line="215" w:lineRule="exact"/>
              <w:ind w:left="97"/>
              <w:rPr>
                <w:rFonts w:ascii="Times New Roman" w:hAnsi="Times New Roman"/>
                <w:sz w:val="20"/>
              </w:rPr>
            </w:pPr>
            <w:r>
              <w:rPr>
                <w:rFonts w:ascii="Times New Roman" w:hAnsi="Times New Roman"/>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pPr>
              <w:pStyle w:val="21"/>
              <w:spacing w:before="102" w:line="209" w:lineRule="exact"/>
              <w:ind w:left="52"/>
              <w:rPr>
                <w:sz w:val="20"/>
              </w:rPr>
            </w:pPr>
            <w:r>
              <w:rPr>
                <w:rFonts w:ascii="Times New Roman" w:eastAsia="Times New Roman"/>
                <w:sz w:val="20"/>
              </w:rPr>
              <w:t>1.</w:t>
            </w:r>
            <w:r>
              <w:rPr>
                <w:sz w:val="20"/>
              </w:rPr>
              <w:t>施工准备</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2417" w:type="dxa"/>
          </w:tcPr>
          <w:p>
            <w:pPr>
              <w:pStyle w:val="21"/>
              <w:spacing w:before="102" w:line="209" w:lineRule="exact"/>
              <w:ind w:left="52"/>
              <w:rPr>
                <w:sz w:val="20"/>
              </w:rPr>
            </w:pPr>
            <w:r>
              <w:rPr>
                <w:rFonts w:ascii="Times New Roman" w:eastAsia="Times New Roman"/>
                <w:sz w:val="20"/>
              </w:rPr>
              <w:t>2.</w:t>
            </w:r>
            <w:r>
              <w:rPr>
                <w:sz w:val="20"/>
              </w:rPr>
              <w:t>路基处理</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417" w:type="dxa"/>
          </w:tcPr>
          <w:p>
            <w:pPr>
              <w:pStyle w:val="21"/>
              <w:spacing w:before="102" w:line="206" w:lineRule="exact"/>
              <w:ind w:left="52"/>
              <w:rPr>
                <w:sz w:val="20"/>
              </w:rPr>
            </w:pPr>
            <w:r>
              <w:rPr>
                <w:rFonts w:ascii="Times New Roman" w:eastAsia="Times New Roman"/>
                <w:sz w:val="20"/>
              </w:rPr>
              <w:t>3.</w:t>
            </w:r>
            <w:r>
              <w:rPr>
                <w:sz w:val="20"/>
              </w:rPr>
              <w:t>路基填筑</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pPr>
              <w:pStyle w:val="21"/>
              <w:spacing w:before="102" w:line="209" w:lineRule="exact"/>
              <w:ind w:left="52"/>
              <w:rPr>
                <w:sz w:val="20"/>
              </w:rPr>
            </w:pPr>
            <w:r>
              <w:rPr>
                <w:rFonts w:ascii="Times New Roman" w:eastAsia="Times New Roman"/>
                <w:sz w:val="20"/>
              </w:rPr>
              <w:t>4.</w:t>
            </w:r>
            <w:r>
              <w:rPr>
                <w:sz w:val="20"/>
              </w:rPr>
              <w:t>涵洞</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pPr>
              <w:pStyle w:val="21"/>
              <w:spacing w:before="102" w:line="209" w:lineRule="exact"/>
              <w:ind w:left="52"/>
              <w:rPr>
                <w:sz w:val="20"/>
              </w:rPr>
            </w:pPr>
            <w:r>
              <w:rPr>
                <w:rFonts w:ascii="Times New Roman" w:eastAsia="Times New Roman"/>
                <w:sz w:val="20"/>
              </w:rPr>
              <w:t>5.</w:t>
            </w:r>
            <w:r>
              <w:rPr>
                <w:sz w:val="20"/>
              </w:rPr>
              <w:t>通道</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417" w:type="dxa"/>
          </w:tcPr>
          <w:p>
            <w:pPr>
              <w:pStyle w:val="21"/>
              <w:spacing w:before="102" w:line="206" w:lineRule="exact"/>
              <w:ind w:left="52"/>
              <w:rPr>
                <w:sz w:val="20"/>
              </w:rPr>
            </w:pPr>
            <w:r>
              <w:rPr>
                <w:rFonts w:ascii="Times New Roman" w:eastAsia="Times New Roman"/>
                <w:sz w:val="20"/>
              </w:rPr>
              <w:t>6.</w:t>
            </w:r>
            <w:r>
              <w:rPr>
                <w:sz w:val="20"/>
              </w:rPr>
              <w:t>防护及排水</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pPr>
              <w:pStyle w:val="21"/>
              <w:spacing w:before="102" w:line="209" w:lineRule="exact"/>
              <w:ind w:left="52"/>
              <w:rPr>
                <w:sz w:val="20"/>
              </w:rPr>
            </w:pPr>
            <w:r>
              <w:rPr>
                <w:rFonts w:ascii="Times New Roman" w:eastAsia="Times New Roman"/>
                <w:sz w:val="20"/>
              </w:rPr>
              <w:t>7.</w:t>
            </w:r>
            <w:r>
              <w:rPr>
                <w:sz w:val="20"/>
              </w:rPr>
              <w:t>路面基层</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pPr>
              <w:pStyle w:val="21"/>
              <w:spacing w:before="102" w:line="209" w:lineRule="exact"/>
              <w:ind w:left="317"/>
              <w:rPr>
                <w:sz w:val="20"/>
              </w:rPr>
            </w:pPr>
            <w:r>
              <w:rPr>
                <w:sz w:val="20"/>
              </w:rPr>
              <w:t>（</w:t>
            </w:r>
            <w:r>
              <w:rPr>
                <w:rFonts w:ascii="Times New Roman" w:eastAsia="Times New Roman"/>
                <w:sz w:val="20"/>
              </w:rPr>
              <w:t>1</w:t>
            </w:r>
            <w:r>
              <w:rPr>
                <w:sz w:val="20"/>
              </w:rPr>
              <w:t>）底基层</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417" w:type="dxa"/>
          </w:tcPr>
          <w:p>
            <w:pPr>
              <w:pStyle w:val="21"/>
              <w:spacing w:before="102" w:line="206" w:lineRule="exact"/>
              <w:ind w:left="317"/>
              <w:rPr>
                <w:sz w:val="20"/>
              </w:rPr>
            </w:pPr>
            <w:r>
              <w:rPr>
                <w:sz w:val="20"/>
              </w:rPr>
              <w:t>（</w:t>
            </w:r>
            <w:r>
              <w:rPr>
                <w:rFonts w:ascii="Times New Roman" w:eastAsia="Times New Roman"/>
                <w:sz w:val="20"/>
              </w:rPr>
              <w:t>2</w:t>
            </w:r>
            <w:r>
              <w:rPr>
                <w:sz w:val="20"/>
              </w:rPr>
              <w:t>）基层</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2417" w:type="dxa"/>
          </w:tcPr>
          <w:p>
            <w:pPr>
              <w:pStyle w:val="21"/>
              <w:spacing w:before="102" w:line="209" w:lineRule="exact"/>
              <w:ind w:left="52"/>
              <w:rPr>
                <w:sz w:val="20"/>
              </w:rPr>
            </w:pPr>
            <w:r>
              <w:rPr>
                <w:rFonts w:ascii="Times New Roman" w:eastAsia="Times New Roman"/>
                <w:sz w:val="20"/>
              </w:rPr>
              <w:t>8.</w:t>
            </w:r>
            <w:r>
              <w:rPr>
                <w:sz w:val="20"/>
              </w:rPr>
              <w:t>路面铺筑</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pPr>
              <w:pStyle w:val="21"/>
              <w:spacing w:before="102" w:line="209" w:lineRule="exact"/>
              <w:ind w:left="52"/>
              <w:rPr>
                <w:sz w:val="20"/>
              </w:rPr>
            </w:pPr>
            <w:r>
              <w:rPr>
                <w:rFonts w:ascii="Times New Roman" w:eastAsia="Times New Roman"/>
                <w:sz w:val="20"/>
              </w:rPr>
              <w:t>9.</w:t>
            </w:r>
            <w:r>
              <w:rPr>
                <w:sz w:val="20"/>
              </w:rPr>
              <w:t>路面标志标线</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417" w:type="dxa"/>
          </w:tcPr>
          <w:p>
            <w:pPr>
              <w:pStyle w:val="21"/>
              <w:spacing w:before="102" w:line="206" w:lineRule="exact"/>
              <w:ind w:left="52"/>
              <w:rPr>
                <w:sz w:val="20"/>
              </w:rPr>
            </w:pPr>
            <w:r>
              <w:rPr>
                <w:rFonts w:ascii="Times New Roman" w:eastAsia="Times New Roman"/>
                <w:sz w:val="20"/>
              </w:rPr>
              <w:t>10.</w:t>
            </w:r>
            <w:r>
              <w:rPr>
                <w:sz w:val="20"/>
              </w:rPr>
              <w:t>桥梁工程</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pPr>
              <w:pStyle w:val="21"/>
              <w:spacing w:before="102" w:line="209" w:lineRule="exact"/>
              <w:ind w:left="317"/>
              <w:rPr>
                <w:sz w:val="20"/>
              </w:rPr>
            </w:pPr>
            <w:r>
              <w:rPr>
                <w:sz w:val="20"/>
              </w:rPr>
              <w:t>（</w:t>
            </w:r>
            <w:r>
              <w:rPr>
                <w:rFonts w:ascii="Times New Roman" w:eastAsia="Times New Roman"/>
                <w:sz w:val="20"/>
              </w:rPr>
              <w:t>1</w:t>
            </w:r>
            <w:r>
              <w:rPr>
                <w:sz w:val="20"/>
              </w:rPr>
              <w:t>）基础工程</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pPr>
              <w:pStyle w:val="21"/>
              <w:spacing w:before="102" w:line="209" w:lineRule="exact"/>
              <w:ind w:left="317"/>
              <w:rPr>
                <w:sz w:val="20"/>
              </w:rPr>
            </w:pPr>
            <w:r>
              <w:rPr>
                <w:sz w:val="20"/>
              </w:rPr>
              <w:t>（</w:t>
            </w:r>
            <w:r>
              <w:rPr>
                <w:rFonts w:ascii="Times New Roman" w:eastAsia="Times New Roman"/>
                <w:sz w:val="20"/>
              </w:rPr>
              <w:t>2</w:t>
            </w:r>
            <w:r>
              <w:rPr>
                <w:sz w:val="20"/>
              </w:rPr>
              <w:t>）墩台工程</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417" w:type="dxa"/>
          </w:tcPr>
          <w:p>
            <w:pPr>
              <w:pStyle w:val="21"/>
              <w:spacing w:before="102" w:line="206" w:lineRule="exact"/>
              <w:ind w:left="317"/>
              <w:rPr>
                <w:sz w:val="20"/>
              </w:rPr>
            </w:pPr>
            <w:r>
              <w:rPr>
                <w:sz w:val="20"/>
              </w:rPr>
              <w:t>（</w:t>
            </w:r>
            <w:r>
              <w:rPr>
                <w:rFonts w:ascii="Times New Roman" w:eastAsia="Times New Roman"/>
                <w:sz w:val="20"/>
              </w:rPr>
              <w:t>3</w:t>
            </w:r>
            <w:r>
              <w:rPr>
                <w:sz w:val="20"/>
              </w:rPr>
              <w:t>）梁体工程</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pPr>
              <w:pStyle w:val="21"/>
              <w:spacing w:before="102" w:line="209" w:lineRule="exact"/>
              <w:ind w:left="317"/>
              <w:rPr>
                <w:sz w:val="20"/>
              </w:rPr>
            </w:pPr>
            <w:r>
              <w:rPr>
                <w:sz w:val="20"/>
              </w:rPr>
              <w:t>（</w:t>
            </w:r>
            <w:r>
              <w:rPr>
                <w:rFonts w:ascii="Times New Roman" w:eastAsia="Times New Roman"/>
                <w:sz w:val="20"/>
              </w:rPr>
              <w:t>4</w:t>
            </w:r>
            <w:r>
              <w:rPr>
                <w:sz w:val="20"/>
              </w:rPr>
              <w:t>）梁体安装</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2417" w:type="dxa"/>
          </w:tcPr>
          <w:p>
            <w:pPr>
              <w:pStyle w:val="21"/>
              <w:spacing w:before="103" w:line="209" w:lineRule="exact"/>
              <w:ind w:left="317"/>
              <w:rPr>
                <w:sz w:val="20"/>
              </w:rPr>
            </w:pPr>
            <w:r>
              <w:rPr>
                <w:spacing w:val="-17"/>
                <w:sz w:val="20"/>
              </w:rPr>
              <w:t>（</w:t>
            </w:r>
            <w:r>
              <w:rPr>
                <w:rFonts w:ascii="Times New Roman" w:eastAsia="Times New Roman"/>
                <w:spacing w:val="-17"/>
                <w:sz w:val="20"/>
              </w:rPr>
              <w:t>5</w:t>
            </w:r>
            <w:r>
              <w:rPr>
                <w:spacing w:val="-17"/>
                <w:sz w:val="20"/>
              </w:rPr>
              <w:t>）</w:t>
            </w:r>
            <w:r>
              <w:rPr>
                <w:sz w:val="20"/>
              </w:rPr>
              <w:t>桥面铺装及人行道</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417" w:type="dxa"/>
          </w:tcPr>
          <w:p>
            <w:pPr>
              <w:pStyle w:val="21"/>
              <w:spacing w:before="102" w:line="206" w:lineRule="exact"/>
              <w:ind w:left="52"/>
              <w:rPr>
                <w:sz w:val="20"/>
              </w:rPr>
            </w:pPr>
            <w:r>
              <w:rPr>
                <w:rFonts w:ascii="Times New Roman" w:eastAsia="Times New Roman"/>
                <w:sz w:val="20"/>
              </w:rPr>
              <w:t>11.</w:t>
            </w:r>
            <w:r>
              <w:rPr>
                <w:sz w:val="20"/>
              </w:rPr>
              <w:t>隧道</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17" w:type="dxa"/>
          </w:tcPr>
          <w:p>
            <w:pPr>
              <w:pStyle w:val="21"/>
              <w:spacing w:before="102" w:line="209" w:lineRule="exact"/>
              <w:ind w:left="52"/>
              <w:rPr>
                <w:sz w:val="20"/>
              </w:rPr>
            </w:pPr>
            <w:r>
              <w:rPr>
                <w:rFonts w:ascii="Times New Roman" w:eastAsia="Times New Roman"/>
                <w:sz w:val="20"/>
              </w:rPr>
              <w:t>12.</w:t>
            </w:r>
            <w:r>
              <w:rPr>
                <w:sz w:val="20"/>
              </w:rPr>
              <w:t>其他</w:t>
            </w:r>
          </w:p>
        </w:tc>
        <w:tc>
          <w:tcPr>
            <w:tcW w:w="422"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5" w:type="dxa"/>
          </w:tcPr>
          <w:p>
            <w:pPr>
              <w:pStyle w:val="21"/>
              <w:rPr>
                <w:rFonts w:ascii="Times New Roman"/>
                <w:sz w:val="20"/>
              </w:rPr>
            </w:pPr>
          </w:p>
        </w:tc>
        <w:tc>
          <w:tcPr>
            <w:tcW w:w="422"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4" w:type="dxa"/>
          </w:tcPr>
          <w:p>
            <w:pPr>
              <w:pStyle w:val="21"/>
              <w:rPr>
                <w:rFonts w:ascii="Times New Roman"/>
                <w:sz w:val="20"/>
              </w:rPr>
            </w:pPr>
          </w:p>
        </w:tc>
        <w:tc>
          <w:tcPr>
            <w:tcW w:w="422" w:type="dxa"/>
          </w:tcPr>
          <w:p>
            <w:pPr>
              <w:pStyle w:val="21"/>
              <w:rPr>
                <w:rFonts w:ascii="Times New Roman"/>
                <w:sz w:val="20"/>
              </w:rPr>
            </w:pPr>
          </w:p>
        </w:tc>
        <w:tc>
          <w:tcPr>
            <w:tcW w:w="427" w:type="dxa"/>
          </w:tcPr>
          <w:p>
            <w:pPr>
              <w:pStyle w:val="21"/>
              <w:rPr>
                <w:rFonts w:ascii="Times New Roman"/>
                <w:sz w:val="20"/>
              </w:rPr>
            </w:pPr>
          </w:p>
        </w:tc>
        <w:tc>
          <w:tcPr>
            <w:tcW w:w="355"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7" w:type="dxa"/>
          </w:tcPr>
          <w:p>
            <w:pPr>
              <w:pStyle w:val="21"/>
              <w:rPr>
                <w:rFonts w:ascii="Times New Roman"/>
                <w:sz w:val="20"/>
              </w:rPr>
            </w:pPr>
          </w:p>
        </w:tc>
        <w:tc>
          <w:tcPr>
            <w:tcW w:w="355" w:type="dxa"/>
          </w:tcPr>
          <w:p>
            <w:pPr>
              <w:pStyle w:val="21"/>
              <w:rPr>
                <w:rFonts w:ascii="Times New Roman"/>
                <w:sz w:val="20"/>
              </w:rPr>
            </w:pPr>
          </w:p>
        </w:tc>
      </w:tr>
    </w:tbl>
    <w:p>
      <w:pPr>
        <w:rPr>
          <w:rFonts w:ascii="Times New Roman"/>
          <w:sz w:val="20"/>
        </w:rPr>
        <w:sectPr>
          <w:headerReference r:id="rId91" w:type="default"/>
          <w:pgSz w:w="16850" w:h="11910" w:orient="landscape"/>
          <w:pgMar w:top="800" w:right="1080" w:bottom="1060" w:left="1060" w:header="0" w:footer="861" w:gutter="0"/>
          <w:cols w:space="720" w:num="1"/>
        </w:sectPr>
      </w:pPr>
    </w:p>
    <w:p>
      <w:pPr>
        <w:pStyle w:val="11"/>
        <w:rPr>
          <w:rFonts w:ascii="黑体"/>
          <w:sz w:val="20"/>
        </w:rPr>
      </w:pPr>
    </w:p>
    <w:p>
      <w:pPr>
        <w:spacing w:before="239"/>
        <w:ind w:left="413"/>
        <w:rPr>
          <w:rFonts w:ascii="黑体" w:eastAsia="黑体"/>
          <w:sz w:val="28"/>
        </w:rPr>
      </w:pPr>
      <w:bookmarkStart w:id="281" w:name="_bookmark300"/>
      <w:bookmarkEnd w:id="281"/>
      <w:r>
        <w:rPr>
          <w:rFonts w:hint="eastAsia" w:ascii="黑体" w:eastAsia="黑体"/>
          <w:sz w:val="28"/>
        </w:rPr>
        <w:t>附表二 分项工程进度率计划（斜率图）</w:t>
      </w:r>
    </w:p>
    <w:p>
      <w:pPr>
        <w:pStyle w:val="11"/>
        <w:rPr>
          <w:rFonts w:ascii="黑体"/>
          <w:sz w:val="20"/>
        </w:rPr>
      </w:pPr>
    </w:p>
    <w:p>
      <w:pPr>
        <w:pStyle w:val="11"/>
        <w:spacing w:before="9"/>
        <w:rPr>
          <w:rFonts w:ascii="黑体"/>
          <w:sz w:val="14"/>
        </w:rPr>
      </w:pPr>
    </w:p>
    <w:tbl>
      <w:tblPr>
        <w:tblStyle w:val="19"/>
        <w:tblW w:w="14367"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8"/>
        <w:gridCol w:w="735"/>
        <w:gridCol w:w="486"/>
        <w:gridCol w:w="485"/>
        <w:gridCol w:w="485"/>
        <w:gridCol w:w="485"/>
        <w:gridCol w:w="485"/>
        <w:gridCol w:w="485"/>
        <w:gridCol w:w="488"/>
        <w:gridCol w:w="485"/>
        <w:gridCol w:w="485"/>
        <w:gridCol w:w="485"/>
        <w:gridCol w:w="485"/>
        <w:gridCol w:w="485"/>
        <w:gridCol w:w="485"/>
        <w:gridCol w:w="488"/>
        <w:gridCol w:w="485"/>
        <w:gridCol w:w="485"/>
        <w:gridCol w:w="485"/>
        <w:gridCol w:w="485"/>
        <w:gridCol w:w="485"/>
        <w:gridCol w:w="485"/>
        <w:gridCol w:w="485"/>
        <w:gridCol w:w="485"/>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203" w:type="dxa"/>
            <w:gridSpan w:val="2"/>
          </w:tcPr>
          <w:p>
            <w:pPr>
              <w:pStyle w:val="21"/>
              <w:tabs>
                <w:tab w:val="left" w:pos="409"/>
              </w:tabs>
              <w:spacing w:before="121" w:line="187" w:lineRule="exact"/>
              <w:ind w:left="9"/>
              <w:jc w:val="center"/>
              <w:rPr>
                <w:sz w:val="20"/>
              </w:rPr>
            </w:pPr>
            <w:r>
              <w:rPr>
                <w:sz w:val="20"/>
              </w:rPr>
              <w:t>年</w:t>
            </w:r>
            <w:r>
              <w:rPr>
                <w:sz w:val="20"/>
              </w:rPr>
              <w:tab/>
            </w:r>
            <w:r>
              <w:rPr>
                <w:sz w:val="20"/>
              </w:rPr>
              <w:t>度</w:t>
            </w:r>
          </w:p>
        </w:tc>
        <w:tc>
          <w:tcPr>
            <w:tcW w:w="5824" w:type="dxa"/>
            <w:gridSpan w:val="12"/>
          </w:tcPr>
          <w:p>
            <w:pPr>
              <w:pStyle w:val="21"/>
              <w:tabs>
                <w:tab w:val="left" w:pos="503"/>
              </w:tabs>
              <w:spacing w:before="61" w:line="247" w:lineRule="exact"/>
              <w:ind w:left="2"/>
              <w:jc w:val="center"/>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p>
        </w:tc>
        <w:tc>
          <w:tcPr>
            <w:tcW w:w="5340" w:type="dxa"/>
            <w:gridSpan w:val="11"/>
          </w:tcPr>
          <w:p>
            <w:pPr>
              <w:pStyle w:val="21"/>
              <w:tabs>
                <w:tab w:val="left" w:pos="501"/>
              </w:tabs>
              <w:spacing w:before="61" w:line="247" w:lineRule="exact"/>
              <w:ind w:right="2"/>
              <w:jc w:val="center"/>
              <w:rPr>
                <w:sz w:val="20"/>
              </w:rPr>
            </w:pPr>
            <w:r>
              <w:rPr>
                <w:rFonts w:ascii="Times New Roman" w:eastAsia="Times New Roman"/>
                <w:w w:val="99"/>
                <w:sz w:val="20"/>
                <w:u w:val="single"/>
              </w:rPr>
              <w:t xml:space="preserve"> </w:t>
            </w:r>
            <w:r>
              <w:rPr>
                <w:rFonts w:ascii="Times New Roman" w:eastAsia="Times New Roman"/>
                <w:sz w:val="20"/>
                <w:u w:val="single"/>
              </w:rPr>
              <w:tab/>
            </w:r>
            <w:r>
              <w:rPr>
                <w:sz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203" w:type="dxa"/>
            <w:gridSpan w:val="2"/>
          </w:tcPr>
          <w:p>
            <w:pPr>
              <w:pStyle w:val="21"/>
              <w:tabs>
                <w:tab w:val="left" w:pos="409"/>
              </w:tabs>
              <w:spacing w:before="121" w:line="189" w:lineRule="exact"/>
              <w:ind w:left="9"/>
              <w:jc w:val="center"/>
              <w:rPr>
                <w:sz w:val="20"/>
              </w:rPr>
            </w:pPr>
            <w:r>
              <w:rPr>
                <w:sz w:val="20"/>
              </w:rPr>
              <w:t>季</w:t>
            </w:r>
            <w:r>
              <w:rPr>
                <w:sz w:val="20"/>
              </w:rPr>
              <w:tab/>
            </w:r>
            <w:r>
              <w:rPr>
                <w:sz w:val="20"/>
              </w:rPr>
              <w:t>度</w:t>
            </w:r>
          </w:p>
        </w:tc>
        <w:tc>
          <w:tcPr>
            <w:tcW w:w="1456" w:type="dxa"/>
            <w:gridSpan w:val="3"/>
          </w:tcPr>
          <w:p>
            <w:pPr>
              <w:pStyle w:val="21"/>
              <w:spacing w:before="37"/>
              <w:ind w:left="4"/>
              <w:jc w:val="center"/>
              <w:rPr>
                <w:sz w:val="20"/>
              </w:rPr>
            </w:pPr>
            <w:r>
              <w:rPr>
                <w:w w:val="99"/>
                <w:sz w:val="20"/>
              </w:rPr>
              <w:t>一</w:t>
            </w:r>
          </w:p>
        </w:tc>
        <w:tc>
          <w:tcPr>
            <w:tcW w:w="1455" w:type="dxa"/>
            <w:gridSpan w:val="3"/>
          </w:tcPr>
          <w:p>
            <w:pPr>
              <w:pStyle w:val="21"/>
              <w:spacing w:before="37"/>
              <w:ind w:left="2"/>
              <w:jc w:val="center"/>
              <w:rPr>
                <w:sz w:val="20"/>
              </w:rPr>
            </w:pPr>
            <w:r>
              <w:rPr>
                <w:w w:val="99"/>
                <w:sz w:val="20"/>
              </w:rPr>
              <w:t>二</w:t>
            </w:r>
          </w:p>
        </w:tc>
        <w:tc>
          <w:tcPr>
            <w:tcW w:w="1458" w:type="dxa"/>
            <w:gridSpan w:val="3"/>
          </w:tcPr>
          <w:p>
            <w:pPr>
              <w:pStyle w:val="21"/>
              <w:spacing w:before="37"/>
              <w:ind w:left="4"/>
              <w:jc w:val="center"/>
              <w:rPr>
                <w:sz w:val="20"/>
              </w:rPr>
            </w:pPr>
            <w:r>
              <w:rPr>
                <w:w w:val="99"/>
                <w:sz w:val="20"/>
              </w:rPr>
              <w:t>三</w:t>
            </w:r>
          </w:p>
        </w:tc>
        <w:tc>
          <w:tcPr>
            <w:tcW w:w="1455" w:type="dxa"/>
            <w:gridSpan w:val="3"/>
          </w:tcPr>
          <w:p>
            <w:pPr>
              <w:pStyle w:val="21"/>
              <w:spacing w:before="37"/>
              <w:jc w:val="center"/>
              <w:rPr>
                <w:sz w:val="20"/>
              </w:rPr>
            </w:pPr>
            <w:r>
              <w:rPr>
                <w:w w:val="99"/>
                <w:sz w:val="20"/>
              </w:rPr>
              <w:t>四</w:t>
            </w:r>
          </w:p>
        </w:tc>
        <w:tc>
          <w:tcPr>
            <w:tcW w:w="1458" w:type="dxa"/>
            <w:gridSpan w:val="3"/>
          </w:tcPr>
          <w:p>
            <w:pPr>
              <w:pStyle w:val="21"/>
              <w:spacing w:before="37"/>
              <w:ind w:right="1"/>
              <w:jc w:val="center"/>
              <w:rPr>
                <w:sz w:val="20"/>
              </w:rPr>
            </w:pPr>
            <w:r>
              <w:rPr>
                <w:w w:val="99"/>
                <w:sz w:val="20"/>
              </w:rPr>
              <w:t>一</w:t>
            </w:r>
          </w:p>
        </w:tc>
        <w:tc>
          <w:tcPr>
            <w:tcW w:w="1455" w:type="dxa"/>
            <w:gridSpan w:val="3"/>
          </w:tcPr>
          <w:p>
            <w:pPr>
              <w:pStyle w:val="21"/>
              <w:spacing w:before="37"/>
              <w:jc w:val="center"/>
              <w:rPr>
                <w:sz w:val="20"/>
              </w:rPr>
            </w:pPr>
            <w:r>
              <w:rPr>
                <w:w w:val="99"/>
                <w:sz w:val="20"/>
              </w:rPr>
              <w:t>二</w:t>
            </w:r>
          </w:p>
        </w:tc>
        <w:tc>
          <w:tcPr>
            <w:tcW w:w="1455" w:type="dxa"/>
            <w:gridSpan w:val="3"/>
          </w:tcPr>
          <w:p>
            <w:pPr>
              <w:pStyle w:val="21"/>
              <w:spacing w:before="37"/>
              <w:ind w:right="1"/>
              <w:jc w:val="center"/>
              <w:rPr>
                <w:sz w:val="20"/>
              </w:rPr>
            </w:pPr>
            <w:r>
              <w:rPr>
                <w:w w:val="99"/>
                <w:sz w:val="20"/>
              </w:rPr>
              <w:t>三</w:t>
            </w:r>
          </w:p>
        </w:tc>
        <w:tc>
          <w:tcPr>
            <w:tcW w:w="972" w:type="dxa"/>
            <w:gridSpan w:val="2"/>
          </w:tcPr>
          <w:p>
            <w:pPr>
              <w:pStyle w:val="21"/>
              <w:spacing w:before="37"/>
              <w:ind w:right="5"/>
              <w:jc w:val="center"/>
              <w:rPr>
                <w:sz w:val="20"/>
              </w:rPr>
            </w:pPr>
            <w:r>
              <w:rPr>
                <w:w w:val="99"/>
                <w:sz w:val="20"/>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203" w:type="dxa"/>
            <w:gridSpan w:val="2"/>
          </w:tcPr>
          <w:p>
            <w:pPr>
              <w:pStyle w:val="21"/>
              <w:tabs>
                <w:tab w:val="left" w:pos="409"/>
              </w:tabs>
              <w:spacing w:before="121" w:line="189" w:lineRule="exact"/>
              <w:ind w:left="9"/>
              <w:jc w:val="center"/>
              <w:rPr>
                <w:sz w:val="20"/>
              </w:rPr>
            </w:pPr>
            <w:r>
              <w:rPr>
                <w:sz w:val="20"/>
              </w:rPr>
              <w:t>月</w:t>
            </w:r>
            <w:r>
              <w:rPr>
                <w:sz w:val="20"/>
              </w:rPr>
              <w:tab/>
            </w:r>
            <w:r>
              <w:rPr>
                <w:sz w:val="20"/>
              </w:rPr>
              <w:t>份</w:t>
            </w:r>
          </w:p>
        </w:tc>
        <w:tc>
          <w:tcPr>
            <w:tcW w:w="486" w:type="dxa"/>
          </w:tcPr>
          <w:p>
            <w:pPr>
              <w:pStyle w:val="21"/>
              <w:spacing w:before="43"/>
              <w:ind w:left="5"/>
              <w:jc w:val="center"/>
              <w:rPr>
                <w:rFonts w:ascii="Times New Roman"/>
                <w:sz w:val="20"/>
              </w:rPr>
            </w:pPr>
            <w:r>
              <w:rPr>
                <w:rFonts w:ascii="Times New Roman"/>
                <w:w w:val="99"/>
                <w:sz w:val="20"/>
              </w:rPr>
              <w:t>1</w:t>
            </w:r>
          </w:p>
        </w:tc>
        <w:tc>
          <w:tcPr>
            <w:tcW w:w="485" w:type="dxa"/>
          </w:tcPr>
          <w:p>
            <w:pPr>
              <w:pStyle w:val="21"/>
              <w:spacing w:before="43"/>
              <w:ind w:left="5"/>
              <w:jc w:val="center"/>
              <w:rPr>
                <w:rFonts w:ascii="Times New Roman"/>
                <w:sz w:val="20"/>
              </w:rPr>
            </w:pPr>
            <w:r>
              <w:rPr>
                <w:rFonts w:ascii="Times New Roman"/>
                <w:w w:val="99"/>
                <w:sz w:val="20"/>
              </w:rPr>
              <w:t>2</w:t>
            </w:r>
          </w:p>
        </w:tc>
        <w:tc>
          <w:tcPr>
            <w:tcW w:w="485" w:type="dxa"/>
          </w:tcPr>
          <w:p>
            <w:pPr>
              <w:pStyle w:val="21"/>
              <w:spacing w:before="43"/>
              <w:ind w:left="4"/>
              <w:jc w:val="center"/>
              <w:rPr>
                <w:rFonts w:ascii="Times New Roman"/>
                <w:sz w:val="20"/>
              </w:rPr>
            </w:pPr>
            <w:r>
              <w:rPr>
                <w:rFonts w:ascii="Times New Roman"/>
                <w:w w:val="99"/>
                <w:sz w:val="20"/>
              </w:rPr>
              <w:t>3</w:t>
            </w:r>
          </w:p>
        </w:tc>
        <w:tc>
          <w:tcPr>
            <w:tcW w:w="485" w:type="dxa"/>
          </w:tcPr>
          <w:p>
            <w:pPr>
              <w:pStyle w:val="21"/>
              <w:spacing w:before="43"/>
              <w:ind w:left="4"/>
              <w:jc w:val="center"/>
              <w:rPr>
                <w:rFonts w:ascii="Times New Roman"/>
                <w:sz w:val="20"/>
              </w:rPr>
            </w:pPr>
            <w:r>
              <w:rPr>
                <w:rFonts w:ascii="Times New Roman"/>
                <w:w w:val="99"/>
                <w:sz w:val="20"/>
              </w:rPr>
              <w:t>4</w:t>
            </w:r>
          </w:p>
        </w:tc>
        <w:tc>
          <w:tcPr>
            <w:tcW w:w="485" w:type="dxa"/>
          </w:tcPr>
          <w:p>
            <w:pPr>
              <w:pStyle w:val="21"/>
              <w:spacing w:before="43"/>
              <w:ind w:left="3"/>
              <w:jc w:val="center"/>
              <w:rPr>
                <w:rFonts w:ascii="Times New Roman"/>
                <w:sz w:val="20"/>
              </w:rPr>
            </w:pPr>
            <w:r>
              <w:rPr>
                <w:rFonts w:ascii="Times New Roman"/>
                <w:w w:val="99"/>
                <w:sz w:val="20"/>
              </w:rPr>
              <w:t>5</w:t>
            </w:r>
          </w:p>
        </w:tc>
        <w:tc>
          <w:tcPr>
            <w:tcW w:w="485" w:type="dxa"/>
          </w:tcPr>
          <w:p>
            <w:pPr>
              <w:pStyle w:val="21"/>
              <w:spacing w:before="43"/>
              <w:ind w:left="3"/>
              <w:jc w:val="center"/>
              <w:rPr>
                <w:rFonts w:ascii="Times New Roman"/>
                <w:sz w:val="20"/>
              </w:rPr>
            </w:pPr>
            <w:r>
              <w:rPr>
                <w:rFonts w:ascii="Times New Roman"/>
                <w:w w:val="99"/>
                <w:sz w:val="20"/>
              </w:rPr>
              <w:t>6</w:t>
            </w:r>
          </w:p>
        </w:tc>
        <w:tc>
          <w:tcPr>
            <w:tcW w:w="488" w:type="dxa"/>
          </w:tcPr>
          <w:p>
            <w:pPr>
              <w:pStyle w:val="21"/>
              <w:spacing w:before="43"/>
              <w:ind w:left="4"/>
              <w:jc w:val="center"/>
              <w:rPr>
                <w:rFonts w:ascii="Times New Roman"/>
                <w:sz w:val="20"/>
              </w:rPr>
            </w:pPr>
            <w:r>
              <w:rPr>
                <w:rFonts w:ascii="Times New Roman"/>
                <w:w w:val="99"/>
                <w:sz w:val="20"/>
              </w:rPr>
              <w:t>7</w:t>
            </w:r>
          </w:p>
        </w:tc>
        <w:tc>
          <w:tcPr>
            <w:tcW w:w="485" w:type="dxa"/>
          </w:tcPr>
          <w:p>
            <w:pPr>
              <w:pStyle w:val="21"/>
              <w:spacing w:before="43"/>
              <w:ind w:left="2"/>
              <w:jc w:val="center"/>
              <w:rPr>
                <w:rFonts w:ascii="Times New Roman"/>
                <w:sz w:val="20"/>
              </w:rPr>
            </w:pPr>
            <w:r>
              <w:rPr>
                <w:rFonts w:ascii="Times New Roman"/>
                <w:w w:val="99"/>
                <w:sz w:val="20"/>
              </w:rPr>
              <w:t>8</w:t>
            </w:r>
          </w:p>
        </w:tc>
        <w:tc>
          <w:tcPr>
            <w:tcW w:w="485" w:type="dxa"/>
          </w:tcPr>
          <w:p>
            <w:pPr>
              <w:pStyle w:val="21"/>
              <w:spacing w:before="43"/>
              <w:ind w:left="1"/>
              <w:jc w:val="center"/>
              <w:rPr>
                <w:rFonts w:ascii="Times New Roman"/>
                <w:sz w:val="20"/>
              </w:rPr>
            </w:pPr>
            <w:r>
              <w:rPr>
                <w:rFonts w:ascii="Times New Roman"/>
                <w:w w:val="99"/>
                <w:sz w:val="20"/>
              </w:rPr>
              <w:t>9</w:t>
            </w:r>
          </w:p>
        </w:tc>
        <w:tc>
          <w:tcPr>
            <w:tcW w:w="485" w:type="dxa"/>
          </w:tcPr>
          <w:p>
            <w:pPr>
              <w:pStyle w:val="21"/>
              <w:spacing w:before="43"/>
              <w:ind w:left="138"/>
              <w:rPr>
                <w:rFonts w:ascii="Times New Roman"/>
                <w:sz w:val="20"/>
              </w:rPr>
            </w:pPr>
            <w:r>
              <w:rPr>
                <w:rFonts w:ascii="Times New Roman"/>
                <w:sz w:val="20"/>
              </w:rPr>
              <w:t>10</w:t>
            </w:r>
          </w:p>
        </w:tc>
        <w:tc>
          <w:tcPr>
            <w:tcW w:w="485" w:type="dxa"/>
          </w:tcPr>
          <w:p>
            <w:pPr>
              <w:pStyle w:val="21"/>
              <w:spacing w:before="43"/>
              <w:ind w:left="142"/>
              <w:rPr>
                <w:rFonts w:ascii="Times New Roman"/>
                <w:sz w:val="20"/>
              </w:rPr>
            </w:pPr>
            <w:r>
              <w:rPr>
                <w:rFonts w:ascii="Times New Roman"/>
                <w:sz w:val="20"/>
              </w:rPr>
              <w:t>11</w:t>
            </w:r>
          </w:p>
        </w:tc>
        <w:tc>
          <w:tcPr>
            <w:tcW w:w="485" w:type="dxa"/>
          </w:tcPr>
          <w:p>
            <w:pPr>
              <w:pStyle w:val="21"/>
              <w:spacing w:before="43"/>
              <w:ind w:left="137"/>
              <w:rPr>
                <w:rFonts w:ascii="Times New Roman"/>
                <w:sz w:val="20"/>
              </w:rPr>
            </w:pPr>
            <w:r>
              <w:rPr>
                <w:rFonts w:ascii="Times New Roman"/>
                <w:sz w:val="20"/>
              </w:rPr>
              <w:t>12</w:t>
            </w:r>
          </w:p>
        </w:tc>
        <w:tc>
          <w:tcPr>
            <w:tcW w:w="485" w:type="dxa"/>
          </w:tcPr>
          <w:p>
            <w:pPr>
              <w:pStyle w:val="21"/>
              <w:spacing w:before="43"/>
              <w:jc w:val="center"/>
              <w:rPr>
                <w:rFonts w:ascii="Times New Roman"/>
                <w:sz w:val="20"/>
              </w:rPr>
            </w:pPr>
            <w:r>
              <w:rPr>
                <w:rFonts w:ascii="Times New Roman"/>
                <w:w w:val="99"/>
                <w:sz w:val="20"/>
              </w:rPr>
              <w:t>1</w:t>
            </w:r>
          </w:p>
        </w:tc>
        <w:tc>
          <w:tcPr>
            <w:tcW w:w="488" w:type="dxa"/>
          </w:tcPr>
          <w:p>
            <w:pPr>
              <w:pStyle w:val="21"/>
              <w:spacing w:before="43"/>
              <w:ind w:left="2"/>
              <w:jc w:val="center"/>
              <w:rPr>
                <w:rFonts w:ascii="Times New Roman"/>
                <w:sz w:val="20"/>
              </w:rPr>
            </w:pPr>
            <w:r>
              <w:rPr>
                <w:rFonts w:ascii="Times New Roman"/>
                <w:w w:val="99"/>
                <w:sz w:val="20"/>
              </w:rPr>
              <w:t>2</w:t>
            </w:r>
          </w:p>
        </w:tc>
        <w:tc>
          <w:tcPr>
            <w:tcW w:w="485" w:type="dxa"/>
          </w:tcPr>
          <w:p>
            <w:pPr>
              <w:pStyle w:val="21"/>
              <w:spacing w:before="43"/>
              <w:jc w:val="center"/>
              <w:rPr>
                <w:rFonts w:ascii="Times New Roman"/>
                <w:sz w:val="20"/>
              </w:rPr>
            </w:pPr>
            <w:r>
              <w:rPr>
                <w:rFonts w:ascii="Times New Roman"/>
                <w:w w:val="99"/>
                <w:sz w:val="20"/>
              </w:rPr>
              <w:t>3</w:t>
            </w:r>
          </w:p>
        </w:tc>
        <w:tc>
          <w:tcPr>
            <w:tcW w:w="485" w:type="dxa"/>
          </w:tcPr>
          <w:p>
            <w:pPr>
              <w:pStyle w:val="21"/>
              <w:spacing w:before="43"/>
              <w:jc w:val="center"/>
              <w:rPr>
                <w:rFonts w:ascii="Times New Roman"/>
                <w:sz w:val="20"/>
              </w:rPr>
            </w:pPr>
            <w:r>
              <w:rPr>
                <w:rFonts w:ascii="Times New Roman"/>
                <w:w w:val="99"/>
                <w:sz w:val="20"/>
              </w:rPr>
              <w:t>4</w:t>
            </w:r>
          </w:p>
        </w:tc>
        <w:tc>
          <w:tcPr>
            <w:tcW w:w="485" w:type="dxa"/>
          </w:tcPr>
          <w:p>
            <w:pPr>
              <w:pStyle w:val="21"/>
              <w:spacing w:before="43"/>
              <w:ind w:right="1"/>
              <w:jc w:val="center"/>
              <w:rPr>
                <w:rFonts w:ascii="Times New Roman"/>
                <w:sz w:val="20"/>
              </w:rPr>
            </w:pPr>
            <w:r>
              <w:rPr>
                <w:rFonts w:ascii="Times New Roman"/>
                <w:w w:val="99"/>
                <w:sz w:val="20"/>
              </w:rPr>
              <w:t>5</w:t>
            </w:r>
          </w:p>
        </w:tc>
        <w:tc>
          <w:tcPr>
            <w:tcW w:w="485" w:type="dxa"/>
          </w:tcPr>
          <w:p>
            <w:pPr>
              <w:pStyle w:val="21"/>
              <w:spacing w:before="43"/>
              <w:ind w:right="1"/>
              <w:jc w:val="center"/>
              <w:rPr>
                <w:rFonts w:ascii="Times New Roman"/>
                <w:sz w:val="20"/>
              </w:rPr>
            </w:pPr>
            <w:r>
              <w:rPr>
                <w:rFonts w:ascii="Times New Roman"/>
                <w:w w:val="99"/>
                <w:sz w:val="20"/>
              </w:rPr>
              <w:t>6</w:t>
            </w:r>
          </w:p>
        </w:tc>
        <w:tc>
          <w:tcPr>
            <w:tcW w:w="485" w:type="dxa"/>
          </w:tcPr>
          <w:p>
            <w:pPr>
              <w:pStyle w:val="21"/>
              <w:spacing w:before="43"/>
              <w:jc w:val="center"/>
              <w:rPr>
                <w:rFonts w:ascii="Times New Roman"/>
                <w:sz w:val="20"/>
              </w:rPr>
            </w:pPr>
            <w:r>
              <w:rPr>
                <w:rFonts w:ascii="Times New Roman"/>
                <w:w w:val="99"/>
                <w:sz w:val="20"/>
              </w:rPr>
              <w:t>7</w:t>
            </w:r>
          </w:p>
        </w:tc>
        <w:tc>
          <w:tcPr>
            <w:tcW w:w="485" w:type="dxa"/>
          </w:tcPr>
          <w:p>
            <w:pPr>
              <w:pStyle w:val="21"/>
              <w:spacing w:before="43"/>
              <w:jc w:val="center"/>
              <w:rPr>
                <w:rFonts w:ascii="Times New Roman"/>
                <w:sz w:val="20"/>
              </w:rPr>
            </w:pPr>
            <w:r>
              <w:rPr>
                <w:rFonts w:ascii="Times New Roman"/>
                <w:w w:val="99"/>
                <w:sz w:val="20"/>
              </w:rPr>
              <w:t>8</w:t>
            </w:r>
          </w:p>
        </w:tc>
        <w:tc>
          <w:tcPr>
            <w:tcW w:w="485" w:type="dxa"/>
          </w:tcPr>
          <w:p>
            <w:pPr>
              <w:pStyle w:val="21"/>
              <w:spacing w:before="43"/>
              <w:jc w:val="center"/>
              <w:rPr>
                <w:rFonts w:ascii="Times New Roman"/>
                <w:sz w:val="20"/>
              </w:rPr>
            </w:pPr>
            <w:r>
              <w:rPr>
                <w:rFonts w:ascii="Times New Roman"/>
                <w:w w:val="99"/>
                <w:sz w:val="20"/>
              </w:rPr>
              <w:t>9</w:t>
            </w:r>
          </w:p>
        </w:tc>
        <w:tc>
          <w:tcPr>
            <w:tcW w:w="485" w:type="dxa"/>
          </w:tcPr>
          <w:p>
            <w:pPr>
              <w:pStyle w:val="21"/>
              <w:spacing w:before="43"/>
              <w:ind w:left="136"/>
              <w:rPr>
                <w:rFonts w:ascii="Times New Roman"/>
                <w:sz w:val="20"/>
              </w:rPr>
            </w:pPr>
            <w:r>
              <w:rPr>
                <w:rFonts w:ascii="Times New Roman"/>
                <w:sz w:val="20"/>
              </w:rPr>
              <w:t>10</w:t>
            </w:r>
          </w:p>
        </w:tc>
        <w:tc>
          <w:tcPr>
            <w:tcW w:w="487" w:type="dxa"/>
          </w:tcPr>
          <w:p>
            <w:pPr>
              <w:pStyle w:val="21"/>
              <w:spacing w:line="235" w:lineRule="exact"/>
              <w:ind w:left="102"/>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8" w:type="dxa"/>
            <w:vMerge w:val="restart"/>
            <w:tcBorders>
              <w:right w:val="nil"/>
            </w:tcBorders>
          </w:tcPr>
          <w:p>
            <w:pPr>
              <w:pStyle w:val="21"/>
              <w:spacing w:before="1"/>
              <w:ind w:left="191"/>
              <w:rPr>
                <w:sz w:val="20"/>
              </w:rPr>
            </w:pPr>
            <w:r>
              <w:rPr>
                <w:sz w:val="20"/>
              </w:rPr>
              <w:t>图例：</w:t>
            </w:r>
          </w:p>
        </w:tc>
        <w:tc>
          <w:tcPr>
            <w:tcW w:w="735" w:type="dxa"/>
            <w:tcBorders>
              <w:left w:val="nil"/>
              <w:bottom w:val="nil"/>
            </w:tcBorders>
          </w:tcPr>
          <w:p>
            <w:pPr>
              <w:pStyle w:val="21"/>
              <w:spacing w:line="223" w:lineRule="exact"/>
              <w:ind w:right="37"/>
              <w:jc w:val="right"/>
              <w:rPr>
                <w:rFonts w:ascii="Times New Roman"/>
                <w:sz w:val="20"/>
              </w:rPr>
            </w:pPr>
            <w:r>
              <w:rPr>
                <w:rFonts w:ascii="Times New Roman"/>
                <w:sz w:val="20"/>
              </w:rPr>
              <w:t>100</w:t>
            </w:r>
          </w:p>
        </w:tc>
        <w:tc>
          <w:tcPr>
            <w:tcW w:w="486"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8" w:type="dxa"/>
            <w:vMerge w:val="continue"/>
            <w:tcBorders>
              <w:top w:val="nil"/>
              <w:right w:val="nil"/>
            </w:tcBorders>
          </w:tcPr>
          <w:p>
            <w:pPr>
              <w:rPr>
                <w:sz w:val="2"/>
                <w:szCs w:val="2"/>
              </w:rPr>
            </w:pPr>
          </w:p>
        </w:tc>
        <w:tc>
          <w:tcPr>
            <w:tcW w:w="735" w:type="dxa"/>
            <w:tcBorders>
              <w:top w:val="nil"/>
              <w:left w:val="nil"/>
              <w:bottom w:val="nil"/>
            </w:tcBorders>
          </w:tcPr>
          <w:p>
            <w:pPr>
              <w:pStyle w:val="21"/>
              <w:rPr>
                <w:rFonts w:ascii="Times New Roman"/>
                <w:sz w:val="20"/>
              </w:rPr>
            </w:pPr>
          </w:p>
        </w:tc>
        <w:tc>
          <w:tcPr>
            <w:tcW w:w="486"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68" w:type="dxa"/>
            <w:vMerge w:val="restart"/>
            <w:tcBorders>
              <w:bottom w:val="double" w:color="000000" w:sz="0" w:space="0"/>
              <w:right w:val="nil"/>
            </w:tcBorders>
          </w:tcPr>
          <w:p>
            <w:pPr>
              <w:pStyle w:val="21"/>
              <w:spacing w:before="1"/>
              <w:ind w:left="861"/>
              <w:rPr>
                <w:sz w:val="20"/>
              </w:rPr>
            </w:pPr>
            <w:r>
              <w:rPr>
                <w:sz w:val="20"/>
              </w:rPr>
              <w:t>施工准备</w:t>
            </w:r>
          </w:p>
        </w:tc>
        <w:tc>
          <w:tcPr>
            <w:tcW w:w="735" w:type="dxa"/>
            <w:tcBorders>
              <w:top w:val="nil"/>
              <w:left w:val="nil"/>
              <w:bottom w:val="nil"/>
            </w:tcBorders>
          </w:tcPr>
          <w:p>
            <w:pPr>
              <w:pStyle w:val="21"/>
              <w:spacing w:line="223" w:lineRule="exact"/>
              <w:ind w:right="37"/>
              <w:jc w:val="right"/>
              <w:rPr>
                <w:rFonts w:ascii="Times New Roman"/>
                <w:sz w:val="20"/>
              </w:rPr>
            </w:pPr>
            <w:r>
              <w:rPr>
                <w:rFonts w:ascii="Times New Roman"/>
                <w:sz w:val="20"/>
              </w:rPr>
              <w:t>90</w:t>
            </w:r>
          </w:p>
        </w:tc>
        <w:tc>
          <w:tcPr>
            <w:tcW w:w="486"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8"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8"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7"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468" w:type="dxa"/>
            <w:vMerge w:val="continue"/>
            <w:tcBorders>
              <w:top w:val="nil"/>
              <w:bottom w:val="double" w:color="000000" w:sz="0" w:space="0"/>
              <w:right w:val="nil"/>
            </w:tcBorders>
          </w:tcPr>
          <w:p>
            <w:pPr>
              <w:rPr>
                <w:sz w:val="2"/>
                <w:szCs w:val="2"/>
              </w:rPr>
            </w:pPr>
          </w:p>
        </w:tc>
        <w:tc>
          <w:tcPr>
            <w:tcW w:w="735" w:type="dxa"/>
            <w:tcBorders>
              <w:top w:val="nil"/>
              <w:left w:val="nil"/>
              <w:bottom w:val="nil"/>
            </w:tcBorders>
          </w:tcPr>
          <w:p>
            <w:pPr>
              <w:pStyle w:val="21"/>
              <w:rPr>
                <w:rFonts w:ascii="Times New Roman"/>
                <w:sz w:val="18"/>
              </w:rPr>
            </w:pPr>
          </w:p>
        </w:tc>
        <w:tc>
          <w:tcPr>
            <w:tcW w:w="486"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8"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8"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7"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2468" w:type="dxa"/>
            <w:tcBorders>
              <w:top w:val="double" w:color="000000" w:sz="0" w:space="0"/>
              <w:bottom w:val="nil"/>
              <w:right w:val="nil"/>
            </w:tcBorders>
          </w:tcPr>
          <w:p>
            <w:pPr>
              <w:pStyle w:val="21"/>
              <w:spacing w:before="10" w:line="233" w:lineRule="exact"/>
              <w:ind w:left="861"/>
              <w:rPr>
                <w:sz w:val="20"/>
              </w:rPr>
            </w:pPr>
            <w:r>
              <w:rPr>
                <w:sz w:val="20"/>
              </w:rPr>
              <w:t>路基填筑</w:t>
            </w:r>
          </w:p>
        </w:tc>
        <w:tc>
          <w:tcPr>
            <w:tcW w:w="735" w:type="dxa"/>
            <w:tcBorders>
              <w:top w:val="nil"/>
              <w:left w:val="nil"/>
              <w:bottom w:val="nil"/>
            </w:tcBorders>
          </w:tcPr>
          <w:p>
            <w:pPr>
              <w:pStyle w:val="21"/>
              <w:spacing w:before="2"/>
              <w:ind w:right="37"/>
              <w:jc w:val="right"/>
              <w:rPr>
                <w:rFonts w:ascii="Times New Roman"/>
                <w:sz w:val="20"/>
              </w:rPr>
            </w:pPr>
            <w:r>
              <w:rPr>
                <w:rFonts w:ascii="Times New Roman"/>
                <w:sz w:val="20"/>
              </w:rPr>
              <w:t>80</w:t>
            </w:r>
          </w:p>
        </w:tc>
        <w:tc>
          <w:tcPr>
            <w:tcW w:w="486"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8"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8"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7"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68" w:type="dxa"/>
            <w:tcBorders>
              <w:top w:val="nil"/>
              <w:bottom w:val="nil"/>
              <w:right w:val="nil"/>
            </w:tcBorders>
          </w:tcPr>
          <w:p>
            <w:pPr>
              <w:pStyle w:val="21"/>
              <w:rPr>
                <w:rFonts w:ascii="Times New Roman"/>
                <w:sz w:val="20"/>
              </w:rPr>
            </w:pPr>
          </w:p>
        </w:tc>
        <w:tc>
          <w:tcPr>
            <w:tcW w:w="735" w:type="dxa"/>
            <w:tcBorders>
              <w:top w:val="nil"/>
              <w:left w:val="nil"/>
              <w:bottom w:val="nil"/>
            </w:tcBorders>
          </w:tcPr>
          <w:p>
            <w:pPr>
              <w:pStyle w:val="21"/>
              <w:rPr>
                <w:rFonts w:ascii="Times New Roman"/>
                <w:sz w:val="20"/>
              </w:rPr>
            </w:pPr>
          </w:p>
        </w:tc>
        <w:tc>
          <w:tcPr>
            <w:tcW w:w="486"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8" w:type="dxa"/>
            <w:tcBorders>
              <w:top w:val="nil"/>
              <w:bottom w:val="nil"/>
              <w:right w:val="nil"/>
            </w:tcBorders>
          </w:tcPr>
          <w:p>
            <w:pPr>
              <w:pStyle w:val="21"/>
              <w:spacing w:line="60" w:lineRule="exact"/>
              <w:ind w:left="-5" w:right="-52"/>
              <w:rPr>
                <w:rFonts w:ascii="黑体"/>
                <w:sz w:val="6"/>
              </w:rPr>
            </w:pPr>
            <w:r>
              <w:rPr>
                <w:rFonts w:ascii="黑体"/>
                <w:sz w:val="6"/>
              </w:rPr>
              <mc:AlternateContent>
                <mc:Choice Requires="wpg">
                  <w:drawing>
                    <wp:inline distT="0" distB="0" distL="114300" distR="114300">
                      <wp:extent cx="1570355" cy="38100"/>
                      <wp:effectExtent l="0" t="0" r="0" b="0"/>
                      <wp:docPr id="33" name="组合 12"/>
                      <wp:cNvGraphicFramePr/>
                      <a:graphic xmlns:a="http://schemas.openxmlformats.org/drawingml/2006/main">
                        <a:graphicData uri="http://schemas.microsoft.com/office/word/2010/wordprocessingGroup">
                          <wpg:wgp>
                            <wpg:cNvGrpSpPr/>
                            <wpg:grpSpPr>
                              <a:xfrm>
                                <a:off x="0" y="0"/>
                                <a:ext cx="1570355" cy="38100"/>
                                <a:chOff x="0" y="0"/>
                                <a:chExt cx="2473" cy="60"/>
                              </a:xfrm>
                            </wpg:grpSpPr>
                            <pic:pic xmlns:pic="http://schemas.openxmlformats.org/drawingml/2006/picture">
                              <pic:nvPicPr>
                                <pic:cNvPr id="31" name="图片 14"/>
                                <pic:cNvPicPr>
                                  <a:picLocks noChangeAspect="true"/>
                                </pic:cNvPicPr>
                              </pic:nvPicPr>
                              <pic:blipFill>
                                <a:blip r:embed="rId117"/>
                                <a:stretch>
                                  <a:fillRect/>
                                </a:stretch>
                              </pic:blipFill>
                              <pic:spPr>
                                <a:xfrm>
                                  <a:off x="0" y="0"/>
                                  <a:ext cx="2473" cy="60"/>
                                </a:xfrm>
                                <a:prstGeom prst="rect">
                                  <a:avLst/>
                                </a:prstGeom>
                                <a:noFill/>
                                <a:ln>
                                  <a:noFill/>
                                </a:ln>
                              </pic:spPr>
                            </pic:pic>
                            <wps:wsp>
                              <wps:cNvPr id="32" name="直线 13"/>
                              <wps:cNvSpPr/>
                              <wps:spPr>
                                <a:xfrm>
                                  <a:off x="1241" y="19"/>
                                  <a:ext cx="0" cy="0"/>
                                </a:xfrm>
                                <a:prstGeom prst="line">
                                  <a:avLst/>
                                </a:prstGeom>
                                <a:ln w="9525" cap="flat" cmpd="sng">
                                  <a:solidFill>
                                    <a:srgbClr val="000000"/>
                                  </a:solidFill>
                                  <a:prstDash val="solid"/>
                                  <a:headEnd type="none" w="med" len="med"/>
                                  <a:tailEnd type="none" w="med" len="med"/>
                                </a:ln>
                              </wps:spPr>
                              <wps:bodyPr upright="true"/>
                            </wps:wsp>
                          </wpg:wgp>
                        </a:graphicData>
                      </a:graphic>
                    </wp:inline>
                  </w:drawing>
                </mc:Choice>
                <mc:Fallback>
                  <w:pict>
                    <v:group id="组合 12" o:spid="_x0000_s1026" o:spt="203" style="height:3pt;width:123.65pt;" coordsize="2473,60" o:gfxdata="UEsFBgAAAAAAAAAAAAAAAAAAAAAAAFBLAwQKAAAAAACHTuJAAAAAAAAAAAAAAAAABAAAAGRycy9Q&#10;SwMEFAAAAAgAh07iQKRvyoLVAAAAAwEAAA8AAABkcnMvZG93bnJldi54bWxNj0FrwkAQhe+F/odl&#10;Cr3V3WirJc1GRGxPUqgK4m3MjkkwOxuya6L/vtte2svA4z3e+yabX20jeup87VhDMlIgiAtnai41&#10;7LbvT68gfEA22DgmDTfyMM/v7zJMjRv4i/pNKEUsYZ+ihiqENpXSFxVZ9CPXEkfv5DqLIcqulKbD&#10;IZbbRo6VmkqLNceFCltaVlScNxer4WPAYTFJVv36fFreDtuXz/06Ia0fHxL1BiLQNfyF4Qc/okMe&#10;mY7uwsaLRkN8JPze6I2fZxMQRw1TBTLP5H/2/BtQSwMEFAAAAAgAh07iQKkdh7n4AgAA3gYAAA4A&#10;AABkcnMvZTJvRG9jLnhtbJ1V3W7TMBS+R+IdLN+zNO26n2jphNZtQpqgYvAAruMkFolt2e7P7pGA&#10;O+73GlyBBE8z9TU4x0m6dmUCVqmJf86xv/Od75ycnC7risyFdVKrlMZ7PUqE4jqTqkjp+3cXL44o&#10;cZ6pjFVaiZTeCEdPR8+fnSxMIvq61FUmLIFDlEsWJqWl9yaJIsdLUTO3p41QsJlrWzMPU1tEmWUL&#10;OL2uon6vdxAttM2M1Vw4B6vjZpOOwvl5Lrh/k+dOeFKlFLD58LThOcVnNDphSWGZKSVvYbAnoKiZ&#10;VHDp+qgx84zMrNw5qpbcaqdzv8d1Hek8l1yEGCCauPcgmkurZybEUiSLwqxpAmof8PTkY/nr+cQS&#10;maV0MKBEsRpytPrx8e7rZxL3kZ2FKRIwurTm2kxsu1A0Mwx4mdsa3xAKWQZeb9a8iqUnHBbj4WFv&#10;MBxSwmFvcBT3Wt55CcnZ8eLleevX3z8EUOh0EDyi7roIUa1BGMkT+Lf0wGiHnr/LCLz8zAogG09T&#10;84nkE9tMNiiKO4rubn+uvnwi8T5ShB5o1LgwxHKl+QdHlD4rmSrES2dAiCn1dibQIdr2CNOtK6eV&#10;NBeyqpBYHLehgW4f5P0PgTWaGms+q4XyTZFYUTEPFepKaRwlNhH1VEDO7assRkAscd4Kz0sc5nDx&#10;W8CLQDc2Asp7YBiCA0Wgx79o4NFcAl/W+Uuha4IDAAV3Qx5YwuZXrkXRmeCy0khNQF2prQWAiysB&#10;aYMtDAEq6hgajOuYhNkOl/9VQ9clM6gWPHZDIP1OIKvbb6vvv0g8QHpbo3UBuceYi/v7IDHQe3zc&#10;pKWrIGhdWAbbVbDDXCUVYnqUuUqRRUqPh30sRQbdNgdZwLA2oAWniuDrdCWzTnzOFtOzypI5w/4Z&#10;fkHAoItNM0zPmLmysQtbDf5SsOxcZcTfGGgsCj4BFCHUIqOkEvDFwFFIpWey+hfLLsfIaZNjHE11&#10;dgN9bGasLMrNSsNNSDuIAlsGNNEg6rbhY5fenAer+8/S6DdQSwMECgAAAAAAh07iQAAAAAAAAAAA&#10;AAAAAAoAAABkcnMvbWVkaWEvUEsDBBQAAAAIAIdO4kCZM0BhlwAAAKIAAAAUAAAAZHJzL21lZGlh&#10;L2ltYWdlMS5wbmfrDPBz5+WS4mJgYOD19HAJYmBg9AKyOTjYgOT8c9uuASm2JG93F4b/ILhg7/LJ&#10;QBHOAo/IYgYGviMgzDhVm08aKOjk6eIYktH49spGxgYDniMO7S/ndJ4tS2To0l+4Y7bD1LDQuTNv&#10;3q0VZ9C/fp2RoT59CkNjIBOLG6eAhKpDAoTD7z6flVc3Ns0MaBqDp6ufyzqnhCY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CCBwAAW0Nv&#10;bnRlbnRfVHlwZXNdLnhtbFBLAQIUAAoAAAAAAIdO4kAAAAAAAAAAAAAAAAAGAAAAAAAAAAAAEAAA&#10;AE8FAABfcmVscy9QSwECFAAUAAAACACHTuJAihRmPNEAAACUAQAACwAAAAAAAAABACAAAABzBQAA&#10;X3JlbHMvLnJlbHNQSwECFAAKAAAAAACHTuJAAAAAAAAAAAAAAAAABAAAAAAAAAAAABAAAAAWAAAA&#10;ZHJzL1BLAQIUAAoAAAAAAIdO4kAAAAAAAAAAAAAAAAAKAAAAAAAAAAAAEAAAAG0GAABkcnMvX3Jl&#10;bHMvUEsBAhQAFAAAAAgAh07iQKomDr62AAAAIQEAABkAAAAAAAAAAQAgAAAAlQYAAGRycy9fcmVs&#10;cy9lMm9Eb2MueG1sLnJlbHNQSwECFAAUAAAACACHTuJApG/KgtUAAAADAQAADwAAAAAAAAABACAA&#10;AAA4AAAAZHJzL2Rvd25yZXYueG1sUEsBAhQAFAAAAAgAh07iQKkdh7n4AgAA3gYAAA4AAAAAAAAA&#10;AQAgAAAAOgEAAGRycy9lMm9Eb2MueG1sUEsBAhQACgAAAAAAh07iQAAAAAAAAAAAAAAAAAoAAAAA&#10;AAAAAAAQAAAAXgQAAGRycy9tZWRpYS9QSwECFAAUAAAACACHTuJAmTNAYZcAAACiAAAAFAAAAAAA&#10;AAABACAAAACGBAAAZHJzL21lZGlhL2ltYWdlMS5wbmdQSwUGAAAAAAoACgBSAgAAtwgAAAAA&#10;">
                      <o:lock v:ext="edit" aspectratio="f"/>
                      <v:shape id="图片 14" o:spid="_x0000_s1026" o:spt="75" alt="" type="#_x0000_t75" style="position:absolute;left:0;top:0;height:60;width:2473;" filled="f" o:preferrelative="t" stroked="f" coordsize="21600,21600" o:gfxdata="UEsFBgAAAAAAAAAAAAAAAAAAAAAAAFBLAwQKAAAAAACHTuJAAAAAAAAAAAAAAAAABAAAAGRycy9Q&#10;SwMEFAAAAAgAh07iQMIUw8vAAAAA2wAAAA8AAABkcnMvZG93bnJldi54bWxFj09rwkAUxO+C32F5&#10;Qm+6ibXSRlcPSiFVPFR76e2RfSYx2bchu/Hfp3eFQo/DzPyGmS+vphZnal1pWUE8ikAQZ1aXnCv4&#10;OXwO30E4j6yxtkwKbuRguej35phoe+FvOu99LgKEXYIKCu+bREqXFWTQjWxDHLyjbQ36INtc6hYv&#10;AW5qOY6iqTRYclgosKFVQVm174yC03Y9TX936emje7tPVptDlX1tK6VeBnE0A+Hp6v/Df+1UK3iN&#10;4fkl/AC5eA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whTDy8AAAADbAAAADwAAAAAAAAABACAAAAA4AAAAZHJzL2Rvd25y&#10;ZXYueG1sUEsBAhQAFAAAAAgAh07iQDMvBZ47AAAAOQAAABAAAAAAAAAAAQAgAAAAJQEAAGRycy9z&#10;aGFwZXhtbC54bWxQSwUGAAAAAAYABgBbAQAAzwMAAAAA&#10;">
                        <v:fill on="f" focussize="0,0"/>
                        <v:stroke on="f"/>
                        <v:imagedata r:id="rId117" o:title=""/>
                        <o:lock v:ext="edit" aspectratio="t"/>
                      </v:shape>
                      <v:line id="直线 13" o:spid="_x0000_s1026" o:spt="20" style="position:absolute;left:1241;top:19;height:0;width:0;" filled="f" stroked="t" coordsize="21600,21600" o:gfxdata="UEsFBgAAAAAAAAAAAAAAAAAAAAAAAFBLAwQKAAAAAACHTuJAAAAAAAAAAAAAAAAABAAAAGRycy9Q&#10;SwMEFAAAAAgAh07iQPMXtyS8AAAA2wAAAA8AAABkcnMvZG93bnJldi54bWxFj82LwjAUxO+C/0N4&#10;wl5EEyuIdI0eVgsevPiF10fzti3bvNQmfqx/vREEj8PM/IaZLe62FldqfeVYw2ioQBDnzlRcaDjs&#10;s8EUhA/IBmvHpOGfPCzm3c4MU+NuvKXrLhQiQtinqKEMoUml9HlJFv3QNcTR+3WtxRBlW0jT4i3C&#10;bS0TpSbSYsVxocSGfkrK/3YXq8FnRzpnj37eV6dx4Sg5Lzcr1PqrN1LfIALdwyf8bq+NhnECry/x&#10;B8j5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F7ck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w10:wrap type="none"/>
                      <w10:anchorlock/>
                    </v:group>
                  </w:pict>
                </mc:Fallback>
              </mc:AlternateContent>
            </w:r>
          </w:p>
          <w:p>
            <w:pPr>
              <w:pStyle w:val="21"/>
              <w:spacing w:line="192" w:lineRule="exact"/>
              <w:ind w:left="861"/>
              <w:rPr>
                <w:sz w:val="20"/>
              </w:rPr>
            </w:pPr>
            <w:r>
              <w:rPr>
                <w:sz w:val="20"/>
              </w:rPr>
              <w:t>路面基层</w:t>
            </w:r>
          </w:p>
        </w:tc>
        <w:tc>
          <w:tcPr>
            <w:tcW w:w="735" w:type="dxa"/>
            <w:tcBorders>
              <w:top w:val="nil"/>
              <w:left w:val="nil"/>
              <w:bottom w:val="nil"/>
            </w:tcBorders>
          </w:tcPr>
          <w:p>
            <w:pPr>
              <w:pStyle w:val="21"/>
              <w:spacing w:before="43" w:line="210" w:lineRule="exact"/>
              <w:ind w:right="37"/>
              <w:jc w:val="right"/>
              <w:rPr>
                <w:rFonts w:ascii="Times New Roman"/>
                <w:sz w:val="20"/>
              </w:rPr>
            </w:pPr>
            <w:r>
              <w:rPr>
                <w:rFonts w:ascii="Times New Roman"/>
                <w:sz w:val="20"/>
              </w:rPr>
              <w:t>70</w:t>
            </w:r>
          </w:p>
        </w:tc>
        <w:tc>
          <w:tcPr>
            <w:tcW w:w="486"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2468" w:type="dxa"/>
            <w:tcBorders>
              <w:top w:val="nil"/>
              <w:bottom w:val="thinThickThinSmallGap" w:color="000000" w:sz="12" w:space="0"/>
              <w:right w:val="nil"/>
            </w:tcBorders>
          </w:tcPr>
          <w:p>
            <w:pPr>
              <w:pStyle w:val="21"/>
              <w:rPr>
                <w:rFonts w:ascii="Times New Roman"/>
                <w:sz w:val="18"/>
              </w:rPr>
            </w:pPr>
          </w:p>
        </w:tc>
        <w:tc>
          <w:tcPr>
            <w:tcW w:w="735" w:type="dxa"/>
            <w:tcBorders>
              <w:top w:val="nil"/>
              <w:left w:val="nil"/>
              <w:bottom w:val="nil"/>
            </w:tcBorders>
          </w:tcPr>
          <w:p>
            <w:pPr>
              <w:pStyle w:val="21"/>
              <w:rPr>
                <w:rFonts w:ascii="Times New Roman"/>
                <w:sz w:val="18"/>
              </w:rPr>
            </w:pPr>
          </w:p>
        </w:tc>
        <w:tc>
          <w:tcPr>
            <w:tcW w:w="486"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8"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8"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7"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2468" w:type="dxa"/>
            <w:vMerge w:val="restart"/>
            <w:tcBorders>
              <w:top w:val="thinThickThinSmallGap" w:color="000000" w:sz="12" w:space="0"/>
              <w:bottom w:val="nil"/>
              <w:right w:val="nil"/>
            </w:tcBorders>
          </w:tcPr>
          <w:p>
            <w:pPr>
              <w:pStyle w:val="21"/>
              <w:spacing w:before="58"/>
              <w:ind w:left="861"/>
              <w:rPr>
                <w:sz w:val="20"/>
              </w:rPr>
            </w:pPr>
            <w:r>
              <w:rPr>
                <w:sz w:val="20"/>
              </w:rPr>
              <w:t>路面面层</w:t>
            </w:r>
          </w:p>
          <w:p>
            <w:pPr>
              <w:pStyle w:val="21"/>
              <w:spacing w:before="1" w:after="1"/>
              <w:rPr>
                <w:rFonts w:ascii="黑体"/>
                <w:sz w:val="17"/>
              </w:rPr>
            </w:pPr>
          </w:p>
          <w:p>
            <w:pPr>
              <w:pStyle w:val="21"/>
              <w:spacing w:line="73" w:lineRule="exact"/>
              <w:ind w:left="-5"/>
              <w:rPr>
                <w:rFonts w:ascii="黑体"/>
                <w:sz w:val="7"/>
              </w:rPr>
            </w:pPr>
            <w:r>
              <w:rPr>
                <w:rFonts w:ascii="黑体"/>
                <w:sz w:val="7"/>
                <w:lang w:val="en-US" w:bidi="ar-SA"/>
              </w:rPr>
              <w:drawing>
                <wp:inline distT="0" distB="0" distL="0" distR="0">
                  <wp:extent cx="1540510" cy="46355"/>
                  <wp:effectExtent l="0" t="0" r="0" b="0"/>
                  <wp:docPr id="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true"/>
                          </pic:cNvPicPr>
                        </pic:nvPicPr>
                        <pic:blipFill>
                          <a:blip r:embed="rId118" cstate="print"/>
                          <a:stretch>
                            <a:fillRect/>
                          </a:stretch>
                        </pic:blipFill>
                        <pic:spPr>
                          <a:xfrm>
                            <a:off x="0" y="0"/>
                            <a:ext cx="1541040" cy="46672"/>
                          </a:xfrm>
                          <a:prstGeom prst="rect">
                            <a:avLst/>
                          </a:prstGeom>
                        </pic:spPr>
                      </pic:pic>
                    </a:graphicData>
                  </a:graphic>
                </wp:inline>
              </w:drawing>
            </w:r>
          </w:p>
        </w:tc>
        <w:tc>
          <w:tcPr>
            <w:tcW w:w="735" w:type="dxa"/>
            <w:tcBorders>
              <w:top w:val="nil"/>
              <w:left w:val="nil"/>
              <w:bottom w:val="nil"/>
            </w:tcBorders>
          </w:tcPr>
          <w:p>
            <w:pPr>
              <w:pStyle w:val="21"/>
              <w:spacing w:before="49" w:line="181" w:lineRule="exact"/>
              <w:ind w:right="37"/>
              <w:jc w:val="right"/>
              <w:rPr>
                <w:rFonts w:ascii="Times New Roman"/>
                <w:sz w:val="20"/>
              </w:rPr>
            </w:pPr>
            <w:r>
              <w:rPr>
                <w:rFonts w:ascii="Times New Roman"/>
                <w:sz w:val="20"/>
              </w:rPr>
              <w:t>60</w:t>
            </w:r>
          </w:p>
        </w:tc>
        <w:tc>
          <w:tcPr>
            <w:tcW w:w="486"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8"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8"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5" w:type="dxa"/>
          </w:tcPr>
          <w:p>
            <w:pPr>
              <w:pStyle w:val="21"/>
              <w:rPr>
                <w:rFonts w:ascii="Times New Roman"/>
                <w:sz w:val="18"/>
              </w:rPr>
            </w:pPr>
          </w:p>
        </w:tc>
        <w:tc>
          <w:tcPr>
            <w:tcW w:w="487" w:type="dxa"/>
          </w:tcPr>
          <w:p>
            <w:pPr>
              <w:pStyle w:val="2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8" w:type="dxa"/>
            <w:vMerge w:val="continue"/>
            <w:tcBorders>
              <w:top w:val="nil"/>
              <w:bottom w:val="nil"/>
              <w:right w:val="nil"/>
            </w:tcBorders>
          </w:tcPr>
          <w:p>
            <w:pPr>
              <w:rPr>
                <w:sz w:val="2"/>
                <w:szCs w:val="2"/>
              </w:rPr>
            </w:pPr>
          </w:p>
        </w:tc>
        <w:tc>
          <w:tcPr>
            <w:tcW w:w="735" w:type="dxa"/>
            <w:tcBorders>
              <w:top w:val="nil"/>
              <w:left w:val="nil"/>
              <w:bottom w:val="nil"/>
            </w:tcBorders>
          </w:tcPr>
          <w:p>
            <w:pPr>
              <w:pStyle w:val="21"/>
              <w:rPr>
                <w:rFonts w:ascii="Times New Roman"/>
                <w:sz w:val="20"/>
              </w:rPr>
            </w:pPr>
          </w:p>
        </w:tc>
        <w:tc>
          <w:tcPr>
            <w:tcW w:w="486"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 w:hRule="atLeast"/>
        </w:trPr>
        <w:tc>
          <w:tcPr>
            <w:tcW w:w="2468" w:type="dxa"/>
            <w:vMerge w:val="continue"/>
            <w:tcBorders>
              <w:top w:val="nil"/>
              <w:bottom w:val="nil"/>
              <w:right w:val="nil"/>
            </w:tcBorders>
          </w:tcPr>
          <w:p>
            <w:pPr>
              <w:rPr>
                <w:sz w:val="2"/>
                <w:szCs w:val="2"/>
              </w:rPr>
            </w:pPr>
          </w:p>
        </w:tc>
        <w:tc>
          <w:tcPr>
            <w:tcW w:w="735" w:type="dxa"/>
            <w:tcBorders>
              <w:top w:val="nil"/>
              <w:left w:val="nil"/>
              <w:bottom w:val="nil"/>
            </w:tcBorders>
          </w:tcPr>
          <w:p>
            <w:pPr>
              <w:pStyle w:val="21"/>
              <w:rPr>
                <w:rFonts w:ascii="Times New Roman"/>
                <w:sz w:val="2"/>
              </w:rPr>
            </w:pPr>
          </w:p>
        </w:tc>
        <w:tc>
          <w:tcPr>
            <w:tcW w:w="486"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8"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8"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5" w:type="dxa"/>
            <w:vMerge w:val="restart"/>
          </w:tcPr>
          <w:p>
            <w:pPr>
              <w:pStyle w:val="21"/>
              <w:rPr>
                <w:rFonts w:ascii="Times New Roman"/>
                <w:sz w:val="20"/>
              </w:rPr>
            </w:pPr>
          </w:p>
        </w:tc>
        <w:tc>
          <w:tcPr>
            <w:tcW w:w="487" w:type="dxa"/>
            <w:vMerge w:val="restart"/>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2468" w:type="dxa"/>
            <w:tcBorders>
              <w:top w:val="nil"/>
              <w:bottom w:val="nil"/>
              <w:right w:val="nil"/>
            </w:tcBorders>
          </w:tcPr>
          <w:p>
            <w:pPr>
              <w:pStyle w:val="21"/>
              <w:spacing w:line="180" w:lineRule="exact"/>
              <w:ind w:left="761"/>
              <w:rPr>
                <w:sz w:val="20"/>
              </w:rPr>
            </w:pPr>
            <w:r>
              <w:rPr>
                <w:sz w:val="20"/>
              </w:rPr>
              <w:t>防护及排水</w:t>
            </w:r>
          </w:p>
        </w:tc>
        <w:tc>
          <w:tcPr>
            <w:tcW w:w="735" w:type="dxa"/>
            <w:tcBorders>
              <w:top w:val="nil"/>
              <w:left w:val="nil"/>
              <w:bottom w:val="nil"/>
            </w:tcBorders>
          </w:tcPr>
          <w:p>
            <w:pPr>
              <w:pStyle w:val="21"/>
              <w:spacing w:line="180" w:lineRule="exact"/>
              <w:ind w:right="37"/>
              <w:jc w:val="right"/>
              <w:rPr>
                <w:rFonts w:ascii="Times New Roman"/>
                <w:sz w:val="20"/>
              </w:rPr>
            </w:pPr>
            <w:r>
              <w:rPr>
                <w:rFonts w:ascii="Times New Roman"/>
                <w:sz w:val="20"/>
              </w:rPr>
              <w:t>50</w:t>
            </w:r>
          </w:p>
        </w:tc>
        <w:tc>
          <w:tcPr>
            <w:tcW w:w="486"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8"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8"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68" w:type="dxa"/>
            <w:tcBorders>
              <w:top w:val="nil"/>
              <w:bottom w:val="nil"/>
              <w:right w:val="nil"/>
            </w:tcBorders>
          </w:tcPr>
          <w:p>
            <w:pPr>
              <w:pStyle w:val="21"/>
              <w:spacing w:before="6"/>
              <w:rPr>
                <w:rFonts w:ascii="黑体"/>
                <w:sz w:val="21"/>
              </w:rPr>
            </w:pPr>
          </w:p>
          <w:p>
            <w:pPr>
              <w:pStyle w:val="21"/>
              <w:spacing w:line="31" w:lineRule="exact"/>
              <w:ind w:left="-5" w:right="-45"/>
              <w:rPr>
                <w:rFonts w:ascii="黑体"/>
                <w:sz w:val="3"/>
              </w:rPr>
            </w:pPr>
            <w:r>
              <w:rPr>
                <w:rFonts w:ascii="黑体"/>
                <w:sz w:val="3"/>
                <w:lang w:val="en-US" w:bidi="ar-SA"/>
              </w:rPr>
              <w:drawing>
                <wp:inline distT="0" distB="0" distL="0" distR="0">
                  <wp:extent cx="1569720" cy="19685"/>
                  <wp:effectExtent l="0" t="0" r="0" b="0"/>
                  <wp:docPr id="3" name="image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true"/>
                          </pic:cNvPicPr>
                        </pic:nvPicPr>
                        <pic:blipFill>
                          <a:blip r:embed="rId119" cstate="print"/>
                          <a:stretch>
                            <a:fillRect/>
                          </a:stretch>
                        </pic:blipFill>
                        <pic:spPr>
                          <a:xfrm>
                            <a:off x="0" y="0"/>
                            <a:ext cx="1569973" cy="19812"/>
                          </a:xfrm>
                          <a:prstGeom prst="rect">
                            <a:avLst/>
                          </a:prstGeom>
                        </pic:spPr>
                      </pic:pic>
                    </a:graphicData>
                  </a:graphic>
                </wp:inline>
              </w:drawing>
            </w:r>
          </w:p>
        </w:tc>
        <w:tc>
          <w:tcPr>
            <w:tcW w:w="735" w:type="dxa"/>
            <w:tcBorders>
              <w:top w:val="nil"/>
              <w:left w:val="nil"/>
              <w:bottom w:val="nil"/>
            </w:tcBorders>
          </w:tcPr>
          <w:p>
            <w:pPr>
              <w:pStyle w:val="21"/>
              <w:rPr>
                <w:rFonts w:ascii="Times New Roman"/>
                <w:sz w:val="20"/>
              </w:rPr>
            </w:pPr>
          </w:p>
        </w:tc>
        <w:tc>
          <w:tcPr>
            <w:tcW w:w="486"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468" w:type="dxa"/>
            <w:tcBorders>
              <w:top w:val="nil"/>
              <w:bottom w:val="nil"/>
              <w:right w:val="nil"/>
            </w:tcBorders>
          </w:tcPr>
          <w:p>
            <w:pPr>
              <w:pStyle w:val="21"/>
              <w:spacing w:line="222" w:lineRule="exact"/>
              <w:ind w:left="761"/>
              <w:rPr>
                <w:sz w:val="20"/>
              </w:rPr>
            </w:pPr>
            <w:r>
              <w:rPr>
                <w:sz w:val="20"/>
              </w:rPr>
              <w:t>涵洞及通道</w:t>
            </w:r>
          </w:p>
        </w:tc>
        <w:tc>
          <w:tcPr>
            <w:tcW w:w="735" w:type="dxa"/>
            <w:tcBorders>
              <w:top w:val="nil"/>
              <w:left w:val="nil"/>
              <w:bottom w:val="nil"/>
            </w:tcBorders>
          </w:tcPr>
          <w:p>
            <w:pPr>
              <w:pStyle w:val="21"/>
              <w:spacing w:line="211" w:lineRule="exact"/>
              <w:ind w:right="37"/>
              <w:jc w:val="right"/>
              <w:rPr>
                <w:rFonts w:ascii="Times New Roman"/>
                <w:sz w:val="20"/>
              </w:rPr>
            </w:pPr>
            <w:r>
              <w:rPr>
                <w:rFonts w:ascii="Times New Roman"/>
                <w:sz w:val="20"/>
              </w:rPr>
              <w:t>40</w:t>
            </w:r>
          </w:p>
        </w:tc>
        <w:tc>
          <w:tcPr>
            <w:tcW w:w="486"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8"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8"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7"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2468" w:type="dxa"/>
            <w:tcBorders>
              <w:top w:val="nil"/>
              <w:bottom w:val="thickThinMediumGap" w:color="000000" w:sz="12" w:space="0"/>
              <w:right w:val="nil"/>
            </w:tcBorders>
          </w:tcPr>
          <w:p>
            <w:pPr>
              <w:pStyle w:val="21"/>
              <w:rPr>
                <w:rFonts w:ascii="Times New Roman"/>
                <w:sz w:val="16"/>
              </w:rPr>
            </w:pPr>
          </w:p>
        </w:tc>
        <w:tc>
          <w:tcPr>
            <w:tcW w:w="735" w:type="dxa"/>
            <w:tcBorders>
              <w:top w:val="nil"/>
              <w:left w:val="nil"/>
              <w:bottom w:val="nil"/>
            </w:tcBorders>
          </w:tcPr>
          <w:p>
            <w:pPr>
              <w:pStyle w:val="21"/>
              <w:rPr>
                <w:rFonts w:ascii="Times New Roman"/>
                <w:sz w:val="16"/>
              </w:rPr>
            </w:pPr>
          </w:p>
        </w:tc>
        <w:tc>
          <w:tcPr>
            <w:tcW w:w="486"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8"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8"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7"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2468" w:type="dxa"/>
            <w:vMerge w:val="restart"/>
            <w:tcBorders>
              <w:top w:val="thinThickMediumGap" w:color="000000" w:sz="12" w:space="0"/>
              <w:bottom w:val="thinThickMediumGap" w:color="000000" w:sz="12" w:space="0"/>
              <w:right w:val="nil"/>
            </w:tcBorders>
          </w:tcPr>
          <w:p>
            <w:pPr>
              <w:pStyle w:val="21"/>
              <w:spacing w:before="43"/>
              <w:ind w:left="703"/>
              <w:rPr>
                <w:sz w:val="20"/>
              </w:rPr>
            </w:pPr>
            <w:r>
              <w:rPr>
                <w:sz w:val="20"/>
              </w:rPr>
              <w:t>桥梁下部工程</w:t>
            </w:r>
          </w:p>
        </w:tc>
        <w:tc>
          <w:tcPr>
            <w:tcW w:w="735" w:type="dxa"/>
            <w:tcBorders>
              <w:top w:val="nil"/>
              <w:left w:val="nil"/>
              <w:bottom w:val="nil"/>
            </w:tcBorders>
          </w:tcPr>
          <w:p>
            <w:pPr>
              <w:pStyle w:val="21"/>
              <w:spacing w:before="34" w:line="141" w:lineRule="exact"/>
              <w:ind w:right="37"/>
              <w:jc w:val="right"/>
              <w:rPr>
                <w:rFonts w:ascii="Times New Roman"/>
                <w:sz w:val="20"/>
              </w:rPr>
            </w:pPr>
            <w:r>
              <w:rPr>
                <w:rFonts w:ascii="Times New Roman"/>
                <w:sz w:val="20"/>
              </w:rPr>
              <w:t>30</w:t>
            </w:r>
          </w:p>
        </w:tc>
        <w:tc>
          <w:tcPr>
            <w:tcW w:w="486"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8"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8"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7" w:type="dxa"/>
          </w:tcPr>
          <w:p>
            <w:pPr>
              <w:pStyle w:val="21"/>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2468" w:type="dxa"/>
            <w:vMerge w:val="continue"/>
            <w:tcBorders>
              <w:top w:val="nil"/>
              <w:bottom w:val="thinThickMediumGap" w:color="000000" w:sz="12" w:space="0"/>
              <w:right w:val="nil"/>
            </w:tcBorders>
          </w:tcPr>
          <w:p>
            <w:pPr>
              <w:rPr>
                <w:sz w:val="2"/>
                <w:szCs w:val="2"/>
              </w:rPr>
            </w:pPr>
          </w:p>
        </w:tc>
        <w:tc>
          <w:tcPr>
            <w:tcW w:w="735" w:type="dxa"/>
            <w:tcBorders>
              <w:top w:val="nil"/>
              <w:left w:val="nil"/>
              <w:bottom w:val="nil"/>
            </w:tcBorders>
          </w:tcPr>
          <w:p>
            <w:pPr>
              <w:pStyle w:val="21"/>
              <w:rPr>
                <w:rFonts w:ascii="Times New Roman"/>
                <w:sz w:val="12"/>
              </w:rPr>
            </w:pPr>
          </w:p>
        </w:tc>
        <w:tc>
          <w:tcPr>
            <w:tcW w:w="486"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8"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8"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5" w:type="dxa"/>
          </w:tcPr>
          <w:p>
            <w:pPr>
              <w:pStyle w:val="21"/>
              <w:rPr>
                <w:rFonts w:ascii="Times New Roman"/>
                <w:sz w:val="12"/>
              </w:rPr>
            </w:pPr>
          </w:p>
        </w:tc>
        <w:tc>
          <w:tcPr>
            <w:tcW w:w="487" w:type="dxa"/>
          </w:tcPr>
          <w:p>
            <w:pPr>
              <w:pStyle w:val="21"/>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2468" w:type="dxa"/>
            <w:tcBorders>
              <w:top w:val="thickThinMediumGap" w:color="000000" w:sz="12" w:space="0"/>
              <w:bottom w:val="nil"/>
              <w:right w:val="nil"/>
            </w:tcBorders>
          </w:tcPr>
          <w:p>
            <w:pPr>
              <w:pStyle w:val="21"/>
              <w:spacing w:before="40" w:line="173" w:lineRule="exact"/>
              <w:ind w:left="703"/>
              <w:rPr>
                <w:sz w:val="20"/>
              </w:rPr>
            </w:pPr>
            <w:r>
              <w:rPr>
                <w:sz w:val="20"/>
              </w:rPr>
              <w:t>桥梁上部工程</w:t>
            </w:r>
          </w:p>
        </w:tc>
        <w:tc>
          <w:tcPr>
            <w:tcW w:w="735" w:type="dxa"/>
            <w:tcBorders>
              <w:top w:val="nil"/>
              <w:left w:val="nil"/>
              <w:bottom w:val="nil"/>
            </w:tcBorders>
          </w:tcPr>
          <w:p>
            <w:pPr>
              <w:pStyle w:val="21"/>
              <w:spacing w:before="32" w:line="181" w:lineRule="exact"/>
              <w:ind w:right="37"/>
              <w:jc w:val="right"/>
              <w:rPr>
                <w:rFonts w:ascii="Times New Roman"/>
                <w:sz w:val="20"/>
              </w:rPr>
            </w:pPr>
            <w:r>
              <w:rPr>
                <w:rFonts w:ascii="Times New Roman"/>
                <w:sz w:val="20"/>
              </w:rPr>
              <w:t>20</w:t>
            </w:r>
          </w:p>
        </w:tc>
        <w:tc>
          <w:tcPr>
            <w:tcW w:w="486"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8"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8"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7"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68" w:type="dxa"/>
            <w:tcBorders>
              <w:top w:val="nil"/>
              <w:bottom w:val="nil"/>
              <w:right w:val="nil"/>
            </w:tcBorders>
          </w:tcPr>
          <w:p>
            <w:pPr>
              <w:pStyle w:val="21"/>
              <w:spacing w:before="6"/>
              <w:rPr>
                <w:rFonts w:ascii="黑体"/>
                <w:sz w:val="21"/>
              </w:rPr>
            </w:pPr>
          </w:p>
          <w:p>
            <w:pPr>
              <w:pStyle w:val="21"/>
              <w:spacing w:line="31" w:lineRule="exact"/>
              <w:ind w:left="-5" w:right="-45"/>
              <w:rPr>
                <w:rFonts w:ascii="黑体"/>
                <w:sz w:val="3"/>
              </w:rPr>
            </w:pPr>
            <w:r>
              <w:rPr>
                <w:rFonts w:ascii="黑体"/>
                <w:sz w:val="3"/>
                <w:lang w:val="en-US" w:bidi="ar-SA"/>
              </w:rPr>
              <w:drawing>
                <wp:inline distT="0" distB="0" distL="0" distR="0">
                  <wp:extent cx="1569720" cy="19685"/>
                  <wp:effectExtent l="0" t="0" r="0" b="0"/>
                  <wp:docPr id="5" name="image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true"/>
                          </pic:cNvPicPr>
                        </pic:nvPicPr>
                        <pic:blipFill>
                          <a:blip r:embed="rId120" cstate="print"/>
                          <a:stretch>
                            <a:fillRect/>
                          </a:stretch>
                        </pic:blipFill>
                        <pic:spPr>
                          <a:xfrm>
                            <a:off x="0" y="0"/>
                            <a:ext cx="1569973" cy="19812"/>
                          </a:xfrm>
                          <a:prstGeom prst="rect">
                            <a:avLst/>
                          </a:prstGeom>
                        </pic:spPr>
                      </pic:pic>
                    </a:graphicData>
                  </a:graphic>
                </wp:inline>
              </w:drawing>
            </w:r>
          </w:p>
        </w:tc>
        <w:tc>
          <w:tcPr>
            <w:tcW w:w="735" w:type="dxa"/>
            <w:tcBorders>
              <w:top w:val="nil"/>
              <w:left w:val="nil"/>
              <w:bottom w:val="nil"/>
            </w:tcBorders>
          </w:tcPr>
          <w:p>
            <w:pPr>
              <w:pStyle w:val="21"/>
              <w:rPr>
                <w:rFonts w:ascii="Times New Roman"/>
                <w:sz w:val="20"/>
              </w:rPr>
            </w:pPr>
          </w:p>
        </w:tc>
        <w:tc>
          <w:tcPr>
            <w:tcW w:w="486"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468" w:type="dxa"/>
            <w:tcBorders>
              <w:top w:val="nil"/>
              <w:bottom w:val="nil"/>
              <w:right w:val="nil"/>
            </w:tcBorders>
          </w:tcPr>
          <w:p>
            <w:pPr>
              <w:pStyle w:val="21"/>
              <w:spacing w:line="223" w:lineRule="exact"/>
              <w:ind w:left="1011" w:right="1011"/>
              <w:jc w:val="center"/>
              <w:rPr>
                <w:sz w:val="20"/>
              </w:rPr>
            </w:pPr>
            <w:r>
              <w:rPr>
                <w:sz w:val="20"/>
              </w:rPr>
              <w:t>隧道</w:t>
            </w:r>
          </w:p>
        </w:tc>
        <w:tc>
          <w:tcPr>
            <w:tcW w:w="735" w:type="dxa"/>
            <w:tcBorders>
              <w:top w:val="nil"/>
              <w:left w:val="nil"/>
              <w:bottom w:val="nil"/>
            </w:tcBorders>
          </w:tcPr>
          <w:p>
            <w:pPr>
              <w:pStyle w:val="21"/>
              <w:spacing w:line="211" w:lineRule="exact"/>
              <w:ind w:right="37"/>
              <w:jc w:val="right"/>
              <w:rPr>
                <w:rFonts w:ascii="Times New Roman"/>
                <w:sz w:val="20"/>
              </w:rPr>
            </w:pPr>
            <w:r>
              <w:rPr>
                <w:rFonts w:ascii="Times New Roman"/>
                <w:sz w:val="20"/>
              </w:rPr>
              <w:t>10</w:t>
            </w:r>
          </w:p>
        </w:tc>
        <w:tc>
          <w:tcPr>
            <w:tcW w:w="486"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8"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8"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5" w:type="dxa"/>
          </w:tcPr>
          <w:p>
            <w:pPr>
              <w:pStyle w:val="21"/>
              <w:rPr>
                <w:rFonts w:ascii="Times New Roman"/>
                <w:sz w:val="16"/>
              </w:rPr>
            </w:pPr>
          </w:p>
        </w:tc>
        <w:tc>
          <w:tcPr>
            <w:tcW w:w="487"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8" w:type="dxa"/>
            <w:tcBorders>
              <w:top w:val="nil"/>
              <w:right w:val="nil"/>
            </w:tcBorders>
          </w:tcPr>
          <w:p>
            <w:pPr>
              <w:pStyle w:val="21"/>
              <w:rPr>
                <w:rFonts w:ascii="Times New Roman"/>
                <w:sz w:val="20"/>
              </w:rPr>
            </w:pPr>
          </w:p>
        </w:tc>
        <w:tc>
          <w:tcPr>
            <w:tcW w:w="735" w:type="dxa"/>
            <w:tcBorders>
              <w:top w:val="nil"/>
              <w:left w:val="nil"/>
            </w:tcBorders>
          </w:tcPr>
          <w:p>
            <w:pPr>
              <w:pStyle w:val="21"/>
              <w:rPr>
                <w:rFonts w:ascii="Times New Roman"/>
                <w:sz w:val="20"/>
              </w:rPr>
            </w:pPr>
          </w:p>
        </w:tc>
        <w:tc>
          <w:tcPr>
            <w:tcW w:w="486"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8"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5" w:type="dxa"/>
          </w:tcPr>
          <w:p>
            <w:pPr>
              <w:pStyle w:val="21"/>
              <w:rPr>
                <w:rFonts w:ascii="Times New Roman"/>
                <w:sz w:val="20"/>
              </w:rPr>
            </w:pPr>
          </w:p>
        </w:tc>
        <w:tc>
          <w:tcPr>
            <w:tcW w:w="487" w:type="dxa"/>
          </w:tcPr>
          <w:p>
            <w:pPr>
              <w:pStyle w:val="21"/>
              <w:rPr>
                <w:rFonts w:ascii="Times New Roman"/>
                <w:sz w:val="20"/>
              </w:rPr>
            </w:pPr>
          </w:p>
        </w:tc>
      </w:tr>
    </w:tbl>
    <w:p>
      <w:pPr>
        <w:pStyle w:val="11"/>
        <w:spacing w:before="11"/>
        <w:rPr>
          <w:rFonts w:ascii="黑体"/>
          <w:sz w:val="5"/>
        </w:rPr>
      </w:pPr>
    </w:p>
    <w:p>
      <w:pPr>
        <w:spacing w:before="77"/>
        <w:ind w:left="814"/>
        <w:rPr>
          <w:sz w:val="20"/>
        </w:rPr>
      </w:pPr>
      <w:r>
        <w:rPr>
          <w:sz w:val="20"/>
        </w:rPr>
        <w:t>注：</w:t>
      </w:r>
      <w:r>
        <w:rPr>
          <w:rFonts w:ascii="Times New Roman" w:eastAsia="Times New Roman"/>
          <w:sz w:val="20"/>
        </w:rPr>
        <w:t>1.</w:t>
      </w:r>
      <w:r>
        <w:rPr>
          <w:sz w:val="20"/>
        </w:rPr>
        <w:t>应按各标段实际工程内容填写。</w:t>
      </w:r>
    </w:p>
    <w:p>
      <w:pPr>
        <w:spacing w:before="186"/>
        <w:ind w:left="1213"/>
        <w:rPr>
          <w:sz w:val="20"/>
        </w:rPr>
      </w:pPr>
      <w:r>
        <w:rPr>
          <w:rFonts w:ascii="Times New Roman" w:eastAsia="Times New Roman"/>
          <w:sz w:val="20"/>
        </w:rPr>
        <w:t>2.</w:t>
      </w:r>
      <w:r>
        <w:rPr>
          <w:sz w:val="20"/>
        </w:rPr>
        <w:t>各个项目的进程可用线条的长短来表示。</w:t>
      </w:r>
    </w:p>
    <w:p>
      <w:pPr>
        <w:rPr>
          <w:sz w:val="20"/>
        </w:rPr>
        <w:sectPr>
          <w:headerReference r:id="rId92" w:type="default"/>
          <w:footerReference r:id="rId94" w:type="default"/>
          <w:headerReference r:id="rId93" w:type="even"/>
          <w:footerReference r:id="rId95" w:type="even"/>
          <w:pgSz w:w="16850" w:h="11910" w:orient="landscape"/>
          <w:pgMar w:top="1160" w:right="1080" w:bottom="1060" w:left="1060" w:header="876" w:footer="861" w:gutter="0"/>
          <w:cols w:space="720" w:num="1"/>
        </w:sectPr>
      </w:pPr>
    </w:p>
    <w:p>
      <w:pPr>
        <w:spacing w:before="51"/>
        <w:ind w:left="324"/>
        <w:rPr>
          <w:rFonts w:ascii="黑体" w:eastAsia="黑体"/>
          <w:sz w:val="28"/>
        </w:rPr>
      </w:pPr>
      <w:r>
        <mc:AlternateContent>
          <mc:Choice Requires="wpg">
            <w:drawing>
              <wp:anchor distT="0" distB="0" distL="114300" distR="114300" simplePos="0" relativeHeight="251697152" behindDoc="1" locked="0" layoutInCell="1" allowOverlap="1">
                <wp:simplePos x="0" y="0"/>
                <wp:positionH relativeFrom="page">
                  <wp:posOffset>907415</wp:posOffset>
                </wp:positionH>
                <wp:positionV relativeFrom="paragraph">
                  <wp:posOffset>417830</wp:posOffset>
                </wp:positionV>
                <wp:extent cx="825500" cy="525780"/>
                <wp:effectExtent l="0" t="635" r="13335" b="6985"/>
                <wp:wrapNone/>
                <wp:docPr id="81" name="组合 9"/>
                <wp:cNvGraphicFramePr/>
                <a:graphic xmlns:a="http://schemas.openxmlformats.org/drawingml/2006/main">
                  <a:graphicData uri="http://schemas.microsoft.com/office/word/2010/wordprocessingGroup">
                    <wpg:wgp>
                      <wpg:cNvGrpSpPr/>
                      <wpg:grpSpPr>
                        <a:xfrm>
                          <a:off x="0" y="0"/>
                          <a:ext cx="825500" cy="525780"/>
                          <a:chOff x="1429" y="658"/>
                          <a:chExt cx="1300" cy="828"/>
                        </a:xfrm>
                      </wpg:grpSpPr>
                      <wps:wsp>
                        <wps:cNvPr id="79" name="直线 11"/>
                        <wps:cNvSpPr/>
                        <wps:spPr>
                          <a:xfrm>
                            <a:off x="1438" y="665"/>
                            <a:ext cx="1229" cy="429"/>
                          </a:xfrm>
                          <a:prstGeom prst="line">
                            <a:avLst/>
                          </a:prstGeom>
                          <a:ln w="6096" cap="flat" cmpd="sng">
                            <a:solidFill>
                              <a:srgbClr val="000000"/>
                            </a:solidFill>
                            <a:prstDash val="solid"/>
                            <a:headEnd type="none" w="med" len="med"/>
                            <a:tailEnd type="none" w="med" len="med"/>
                          </a:ln>
                        </wps:spPr>
                        <wps:bodyPr upright="true"/>
                      </wps:wsp>
                      <wps:wsp>
                        <wps:cNvPr id="80" name="直线 10"/>
                        <wps:cNvSpPr/>
                        <wps:spPr>
                          <a:xfrm>
                            <a:off x="1434" y="663"/>
                            <a:ext cx="1290" cy="818"/>
                          </a:xfrm>
                          <a:prstGeom prst="line">
                            <a:avLst/>
                          </a:prstGeom>
                          <a:ln w="6350" cap="flat" cmpd="sng">
                            <a:solidFill>
                              <a:srgbClr val="000000"/>
                            </a:solidFill>
                            <a:prstDash val="solid"/>
                            <a:headEnd type="none" w="med" len="med"/>
                            <a:tailEnd type="none" w="med" len="med"/>
                          </a:ln>
                        </wps:spPr>
                        <wps:bodyPr upright="true"/>
                      </wps:wsp>
                    </wpg:wgp>
                  </a:graphicData>
                </a:graphic>
              </wp:anchor>
            </w:drawing>
          </mc:Choice>
          <mc:Fallback>
            <w:pict>
              <v:group id="组合 9" o:spid="_x0000_s1026" o:spt="203" style="position:absolute;left:0pt;margin-left:71.45pt;margin-top:32.9pt;height:41.4pt;width:65pt;mso-position-horizontal-relative:page;z-index:-251619328;mso-width-relative:page;mso-height-relative:page;" coordorigin="1429,658" coordsize="1300,828" o:gfxdata="UEsFBgAAAAAAAAAAAAAAAAAAAAAAAFBLAwQKAAAAAACHTuJAAAAAAAAAAAAAAAAABAAAAGRycy9Q&#10;SwMEFAAAAAgAh07iQB5kQzzYAAAACgEAAA8AAABkcnMvZG93bnJldi54bWxNj8FOwzAQRO9I/IO1&#10;SNyok0BDG+JUqAJOFRItEuptG2+TqLEdxW7S/j2bExxnZzT7Jl9dTCsG6n3jrIJ4FoEgWzrd2ErB&#10;9+79YQHCB7QaW2dJwZU8rIrbmxwz7Ub7RcM2VIJLrM9QQR1Cl0npy5oM+pnryLJ3dL3BwLKvpO5x&#10;5HLTyiSKUmmwsfyhxo7WNZWn7dko+BhxfH2M34bN6bi+7nfzz59NTErd38XRC4hAl/AXhgmf0aFg&#10;poM7W+1Fy/opWXJUQTrnCRxInqfDYXIWKcgil/8nFL9QSwMEFAAAAAgAh07iQJnZQ/N6AgAAygYA&#10;AA4AAABkcnMvZTJvRG9jLnhtbOWVvW7bMBDH9wJ9B4J7I0uOHFmInKH5WIo2QNoHYChKIkCRBElb&#10;9t6hY/e+Rqd26NMUeY3eUbLTpB2KFOhSDzQ/jse73/1JnZ5te0U2wnlpdEXToxklQnNTS91W9N3b&#10;yxcFJT4wXTNltKjoTnh6tnr+7HSwpchMZ1QtHAEn2peDrWgXgi2TxPNO9MwfGSs0LDbG9SzA0LVJ&#10;7dgA3nuVZLPZIhmMq60zXHgPs+fjIl1F/00jeHjTNF4EoioKsYXYutjeYpusTlnZOmY7yacw2BOi&#10;6JnUcOjB1TkLjKyd/MVVL7kz3jThiJs+MU0juYg5QDbp7FE2V86sbcylLYfWHjAB2kecnuyWv95c&#10;OyLrihYpJZr1UKO7r++/f/xAlghnsG0JNlfO3thrN0204wjz3Taux3/IhGwj1t0Bq9gGwmGyyPJ8&#10;BvA5LOVZflJM2HkHtcFd6XG2pARWF3kxVoR3F9PmdL7fWmRxMdkfmmBsh1AGCwLy94z83zG66ZgV&#10;Eb3H/CdGJxDmxOjT57sv30iajpCi0YGQLz3A+g2e9HgO9wETXeRjontGaYYIkBCyAM6HNFlpnQ9X&#10;wvQEOxVVUmNkrGSbVz6MpnsTnFaaDHDCbLkAhwzuVKNYgG5vocpet3GvN0rWl1Ip3OFde/tSObJh&#10;eEvibwrhgRkecs58N9rFpTGJTrD6Qtck7CzIR8NFpxhCL2pKlIB3AXsQKCsDk+pPLCF7pQECVnVk&#10;ib1bU++gEmvrZNsBieDWIgY6FR/l+g9UAPp9pIIoaDwbpPJHKjieVDAfsdyrYDndkyJ9KPanqmCe&#10;o8P/TAXxZYAHM96i6XHHF/nncRTX/Sdo9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AeZEM82AAA&#10;AAoBAAAPAAAAAAAAAAEAIAAAADgAAABkcnMvZG93bnJldi54bWxQSwECFAAUAAAACACHTuJAmdlD&#10;83oCAADKBgAADgAAAAAAAAABACAAAAA9AQAAZHJzL2Uyb0RvYy54bWxQSwUGAAAAAAYABgBZAQAA&#10;KQYAAAAA&#10;">
                <o:lock v:ext="edit" aspectratio="f"/>
                <v:line id="直线 11" o:spid="_x0000_s1026" o:spt="20" style="position:absolute;left:1438;top:665;height:429;width:1229;" filled="f" stroked="t" coordsize="21600,21600" o:gfxdata="UEsFBgAAAAAAAAAAAAAAAAAAAAAAAFBLAwQKAAAAAACHTuJAAAAAAAAAAAAAAAAABAAAAGRycy9Q&#10;SwMEFAAAAAgAh07iQBNdwSq9AAAA2wAAAA8AAABkcnMvZG93bnJldi54bWxFj0+LwjAUxO+C3yG8&#10;BW+a6kFr17SHFUUPsviHPT+at223zUtpotVvb4QFj8PM/IZZZXfTiBt1rrKsYDqJQBDnVldcKLic&#10;N+MYhPPIGhvLpOBBDrJ0OFhhom3PR7qdfCEChF2CCkrv20RKl5dk0E1sSxy8X9sZ9EF2hdQd9gFu&#10;GjmLork0WHFYKLGlr5Ly+nQ1Cg6xXNvv+id//PXnbRzv6+Vif1Fq9DGNPkF4uvt3+L+90woWS3h9&#10;CT9Apk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13BKr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直线 10" o:spid="_x0000_s1026" o:spt="20" style="position:absolute;left:1434;top:663;height:818;width:1290;" filled="f" stroked="t" coordsize="21600,21600" o:gfxdata="UEsFBgAAAAAAAAAAAAAAAAAAAAAAAFBLAwQKAAAAAACHTuJAAAAAAAAAAAAAAAAABAAAAGRycy9Q&#10;SwMEFAAAAAgAh07iQACR0hS4AAAA2wAAAA8AAABkcnMvZG93bnJldi54bWxFTz1rwzAQ3Qv9D+IK&#10;3RrJBZfgRMlQcMnSoWnpfFgX28Q6Gelqpfn10VDo+Hjf2/3FT2qhmMbAFqqVAUXcBTdyb+Hrs31a&#10;g0qC7HAKTBZ+KcF+d3+3xcaFzB+0HKVXJYRTgxYGkbnROnUDeUyrMBMX7hSiRykw9tpFzCXcT/rZ&#10;mBftceTSMOBMrwN15+OPt8CVfE85S17itX6rq7o9mPfW2seHymxACV3kX/znPjgL67K+fCk/QO9u&#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ACR0hS4AAAA2wAAAA8AAAAAAAAAAQAgAAAAOAAAAGRycy9kb3ducmV2LnhtbFBL&#10;AQIUABQAAAAIAIdO4kAzLwWeOwAAADkAAAAQAAAAAAAAAAEAIAAAAB0BAABkcnMvc2hhcGV4bWwu&#10;eG1sUEsFBgAAAAAGAAYAWwEAAMcDAAAAAA==&#10;">
                  <v:fill on="f" focussize="0,0"/>
                  <v:stroke weight="0.5pt" color="#000000" joinstyle="round"/>
                  <v:imagedata o:title=""/>
                  <o:lock v:ext="edit" aspectratio="f"/>
                </v:line>
              </v:group>
            </w:pict>
          </mc:Fallback>
        </mc:AlternateContent>
      </w:r>
      <w:bookmarkStart w:id="282" w:name="_bookmark301"/>
      <w:bookmarkEnd w:id="282"/>
      <w:r>
        <w:rPr>
          <w:rFonts w:hint="eastAsia" w:ascii="黑体" w:eastAsia="黑体"/>
          <w:sz w:val="28"/>
        </w:rPr>
        <w:t>附表三 工程管理曲线</w:t>
      </w:r>
    </w:p>
    <w:p>
      <w:pPr>
        <w:pStyle w:val="11"/>
        <w:spacing w:before="2"/>
        <w:rPr>
          <w:rFonts w:ascii="黑体"/>
          <w:sz w:val="19"/>
        </w:rPr>
      </w:pPr>
    </w:p>
    <w:tbl>
      <w:tblPr>
        <w:tblStyle w:val="19"/>
        <w:tblW w:w="936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376"/>
        <w:gridCol w:w="399"/>
        <w:gridCol w:w="406"/>
        <w:gridCol w:w="407"/>
        <w:gridCol w:w="406"/>
        <w:gridCol w:w="406"/>
        <w:gridCol w:w="404"/>
        <w:gridCol w:w="406"/>
        <w:gridCol w:w="406"/>
        <w:gridCol w:w="406"/>
        <w:gridCol w:w="406"/>
        <w:gridCol w:w="406"/>
        <w:gridCol w:w="406"/>
        <w:gridCol w:w="406"/>
        <w:gridCol w:w="406"/>
        <w:gridCol w:w="406"/>
        <w:gridCol w:w="407"/>
        <w:gridCol w:w="409"/>
        <w:gridCol w:w="407"/>
        <w:gridCol w:w="409"/>
        <w:gridCol w:w="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44" w:type="dxa"/>
            <w:gridSpan w:val="2"/>
            <w:tcBorders>
              <w:bottom w:val="nil"/>
            </w:tcBorders>
          </w:tcPr>
          <w:p>
            <w:pPr>
              <w:pStyle w:val="21"/>
              <w:spacing w:before="1"/>
              <w:ind w:left="813" w:right="-15"/>
              <w:rPr>
                <w:sz w:val="21"/>
              </w:rPr>
            </w:pPr>
            <w:r>
              <w:rPr>
                <w:sz w:val="21"/>
              </w:rPr>
              <w:t>年度</w:t>
            </w:r>
          </w:p>
        </w:tc>
        <w:tc>
          <w:tcPr>
            <w:tcW w:w="4864" w:type="dxa"/>
            <w:gridSpan w:val="12"/>
          </w:tcPr>
          <w:p>
            <w:pPr>
              <w:pStyle w:val="21"/>
              <w:tabs>
                <w:tab w:val="left" w:pos="842"/>
              </w:tabs>
              <w:spacing w:before="80"/>
              <w:jc w:val="center"/>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c>
          <w:tcPr>
            <w:tcW w:w="3259" w:type="dxa"/>
            <w:gridSpan w:val="8"/>
          </w:tcPr>
          <w:p>
            <w:pPr>
              <w:pStyle w:val="21"/>
              <w:tabs>
                <w:tab w:val="left" w:pos="2041"/>
              </w:tabs>
              <w:spacing w:before="80"/>
              <w:ind w:left="989"/>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244" w:type="dxa"/>
            <w:gridSpan w:val="2"/>
            <w:vMerge w:val="restart"/>
            <w:tcBorders>
              <w:top w:val="nil"/>
            </w:tcBorders>
          </w:tcPr>
          <w:p>
            <w:pPr>
              <w:pStyle w:val="21"/>
              <w:spacing w:before="1"/>
              <w:ind w:left="813" w:right="-15"/>
              <w:rPr>
                <w:sz w:val="21"/>
              </w:rPr>
            </w:pPr>
            <w:r>
              <w:rPr>
                <w:sz w:val="21"/>
              </w:rPr>
              <w:t>季度</w:t>
            </w:r>
          </w:p>
          <w:p>
            <w:pPr>
              <w:pStyle w:val="21"/>
              <w:spacing w:before="4"/>
              <w:ind w:left="2"/>
              <w:rPr>
                <w:sz w:val="21"/>
              </w:rPr>
            </w:pPr>
            <w:r>
              <w:rPr>
                <w:sz w:val="21"/>
              </w:rPr>
              <w:t>进度</w:t>
            </w:r>
          </w:p>
        </w:tc>
        <w:tc>
          <w:tcPr>
            <w:tcW w:w="1212" w:type="dxa"/>
            <w:gridSpan w:val="3"/>
            <w:tcBorders>
              <w:bottom w:val="single" w:color="000000" w:sz="6" w:space="0"/>
            </w:tcBorders>
          </w:tcPr>
          <w:p>
            <w:pPr>
              <w:pStyle w:val="21"/>
              <w:spacing w:before="1"/>
              <w:ind w:right="2"/>
              <w:jc w:val="center"/>
              <w:rPr>
                <w:sz w:val="21"/>
              </w:rPr>
            </w:pPr>
            <w:r>
              <w:rPr>
                <w:sz w:val="21"/>
              </w:rPr>
              <w:t>一</w:t>
            </w:r>
          </w:p>
        </w:tc>
        <w:tc>
          <w:tcPr>
            <w:tcW w:w="1216" w:type="dxa"/>
            <w:gridSpan w:val="3"/>
            <w:tcBorders>
              <w:bottom w:val="single" w:color="000000" w:sz="6" w:space="0"/>
            </w:tcBorders>
          </w:tcPr>
          <w:p>
            <w:pPr>
              <w:pStyle w:val="21"/>
              <w:spacing w:before="1"/>
              <w:ind w:left="2"/>
              <w:jc w:val="center"/>
              <w:rPr>
                <w:sz w:val="21"/>
              </w:rPr>
            </w:pPr>
            <w:r>
              <w:rPr>
                <w:sz w:val="21"/>
              </w:rPr>
              <w:t>二</w:t>
            </w:r>
          </w:p>
        </w:tc>
        <w:tc>
          <w:tcPr>
            <w:tcW w:w="1218" w:type="dxa"/>
            <w:gridSpan w:val="3"/>
            <w:tcBorders>
              <w:bottom w:val="single" w:color="000000" w:sz="6" w:space="0"/>
            </w:tcBorders>
          </w:tcPr>
          <w:p>
            <w:pPr>
              <w:pStyle w:val="21"/>
              <w:spacing w:before="1"/>
              <w:jc w:val="center"/>
              <w:rPr>
                <w:sz w:val="21"/>
              </w:rPr>
            </w:pPr>
            <w:r>
              <w:rPr>
                <w:sz w:val="21"/>
              </w:rPr>
              <w:t>三</w:t>
            </w:r>
          </w:p>
        </w:tc>
        <w:tc>
          <w:tcPr>
            <w:tcW w:w="1218" w:type="dxa"/>
            <w:gridSpan w:val="3"/>
            <w:tcBorders>
              <w:bottom w:val="single" w:color="000000" w:sz="6" w:space="0"/>
            </w:tcBorders>
          </w:tcPr>
          <w:p>
            <w:pPr>
              <w:pStyle w:val="21"/>
              <w:spacing w:before="1"/>
              <w:ind w:right="2"/>
              <w:jc w:val="center"/>
              <w:rPr>
                <w:sz w:val="21"/>
              </w:rPr>
            </w:pPr>
            <w:r>
              <w:rPr>
                <w:sz w:val="21"/>
              </w:rPr>
              <w:t>四</w:t>
            </w:r>
          </w:p>
        </w:tc>
        <w:tc>
          <w:tcPr>
            <w:tcW w:w="1218" w:type="dxa"/>
            <w:gridSpan w:val="3"/>
            <w:tcBorders>
              <w:bottom w:val="single" w:color="000000" w:sz="6" w:space="0"/>
            </w:tcBorders>
          </w:tcPr>
          <w:p>
            <w:pPr>
              <w:pStyle w:val="21"/>
              <w:spacing w:before="1"/>
              <w:ind w:right="4"/>
              <w:jc w:val="center"/>
              <w:rPr>
                <w:sz w:val="21"/>
              </w:rPr>
            </w:pPr>
            <w:r>
              <w:rPr>
                <w:sz w:val="21"/>
              </w:rPr>
              <w:t>一</w:t>
            </w:r>
          </w:p>
        </w:tc>
        <w:tc>
          <w:tcPr>
            <w:tcW w:w="1223" w:type="dxa"/>
            <w:gridSpan w:val="3"/>
            <w:tcBorders>
              <w:bottom w:val="single" w:color="000000" w:sz="6" w:space="0"/>
            </w:tcBorders>
          </w:tcPr>
          <w:p>
            <w:pPr>
              <w:pStyle w:val="21"/>
              <w:spacing w:before="1"/>
              <w:ind w:right="10"/>
              <w:jc w:val="center"/>
              <w:rPr>
                <w:sz w:val="21"/>
              </w:rPr>
            </w:pPr>
            <w:r>
              <w:rPr>
                <w:sz w:val="21"/>
              </w:rPr>
              <w:t>二</w:t>
            </w:r>
          </w:p>
        </w:tc>
        <w:tc>
          <w:tcPr>
            <w:tcW w:w="818" w:type="dxa"/>
            <w:gridSpan w:val="2"/>
            <w:tcBorders>
              <w:bottom w:val="single" w:color="000000" w:sz="6" w:space="0"/>
            </w:tcBorders>
          </w:tcPr>
          <w:p>
            <w:pPr>
              <w:pStyle w:val="21"/>
              <w:spacing w:line="235" w:lineRule="exact"/>
              <w:ind w:left="185"/>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244" w:type="dxa"/>
            <w:gridSpan w:val="2"/>
            <w:vMerge w:val="continue"/>
            <w:tcBorders>
              <w:top w:val="nil"/>
            </w:tcBorders>
          </w:tcPr>
          <w:p>
            <w:pPr>
              <w:rPr>
                <w:sz w:val="2"/>
                <w:szCs w:val="2"/>
              </w:rPr>
            </w:pPr>
          </w:p>
        </w:tc>
        <w:tc>
          <w:tcPr>
            <w:tcW w:w="399" w:type="dxa"/>
            <w:tcBorders>
              <w:top w:val="single" w:color="000000" w:sz="6" w:space="0"/>
              <w:right w:val="nil"/>
            </w:tcBorders>
          </w:tcPr>
          <w:p>
            <w:pPr>
              <w:pStyle w:val="21"/>
              <w:spacing w:before="119" w:line="229" w:lineRule="exact"/>
              <w:jc w:val="center"/>
              <w:rPr>
                <w:rFonts w:ascii="Times New Roman"/>
                <w:sz w:val="21"/>
              </w:rPr>
            </w:pPr>
            <w:r>
              <w:rPr>
                <w:rFonts w:ascii="Times New Roman"/>
                <w:sz w:val="21"/>
              </w:rPr>
              <w:t>1</w:t>
            </w:r>
          </w:p>
        </w:tc>
        <w:tc>
          <w:tcPr>
            <w:tcW w:w="406" w:type="dxa"/>
            <w:tcBorders>
              <w:top w:val="single" w:color="000000" w:sz="6" w:space="0"/>
              <w:left w:val="nil"/>
              <w:right w:val="nil"/>
            </w:tcBorders>
          </w:tcPr>
          <w:p>
            <w:pPr>
              <w:pStyle w:val="21"/>
              <w:spacing w:before="119" w:line="229" w:lineRule="exact"/>
              <w:ind w:left="3"/>
              <w:jc w:val="center"/>
              <w:rPr>
                <w:rFonts w:ascii="Times New Roman"/>
                <w:sz w:val="21"/>
              </w:rPr>
            </w:pPr>
            <w:r>
              <w:rPr>
                <w:rFonts w:ascii="Times New Roman"/>
                <w:sz w:val="21"/>
              </w:rPr>
              <w:t>2</w:t>
            </w:r>
          </w:p>
        </w:tc>
        <w:tc>
          <w:tcPr>
            <w:tcW w:w="407" w:type="dxa"/>
            <w:tcBorders>
              <w:top w:val="single" w:color="000000" w:sz="6" w:space="0"/>
              <w:left w:val="nil"/>
            </w:tcBorders>
          </w:tcPr>
          <w:p>
            <w:pPr>
              <w:pStyle w:val="21"/>
              <w:spacing w:before="119" w:line="229" w:lineRule="exact"/>
              <w:ind w:left="7"/>
              <w:jc w:val="center"/>
              <w:rPr>
                <w:rFonts w:ascii="Times New Roman"/>
                <w:sz w:val="21"/>
              </w:rPr>
            </w:pPr>
            <w:r>
              <w:rPr>
                <w:rFonts w:ascii="Times New Roman"/>
                <w:sz w:val="21"/>
              </w:rPr>
              <w:t>3</w:t>
            </w:r>
          </w:p>
        </w:tc>
        <w:tc>
          <w:tcPr>
            <w:tcW w:w="406" w:type="dxa"/>
            <w:tcBorders>
              <w:top w:val="single" w:color="000000" w:sz="6" w:space="0"/>
              <w:right w:val="nil"/>
            </w:tcBorders>
          </w:tcPr>
          <w:p>
            <w:pPr>
              <w:pStyle w:val="21"/>
              <w:spacing w:before="119" w:line="229" w:lineRule="exact"/>
              <w:ind w:right="1"/>
              <w:jc w:val="center"/>
              <w:rPr>
                <w:rFonts w:ascii="Times New Roman"/>
                <w:sz w:val="21"/>
              </w:rPr>
            </w:pPr>
            <w:r>
              <w:rPr>
                <w:rFonts w:ascii="Times New Roman"/>
                <w:sz w:val="21"/>
              </w:rPr>
              <w:t>4</w:t>
            </w:r>
          </w:p>
        </w:tc>
        <w:tc>
          <w:tcPr>
            <w:tcW w:w="406" w:type="dxa"/>
            <w:tcBorders>
              <w:top w:val="single" w:color="000000" w:sz="6" w:space="0"/>
              <w:left w:val="nil"/>
              <w:right w:val="nil"/>
            </w:tcBorders>
          </w:tcPr>
          <w:p>
            <w:pPr>
              <w:pStyle w:val="21"/>
              <w:spacing w:before="119" w:line="229" w:lineRule="exact"/>
              <w:jc w:val="center"/>
              <w:rPr>
                <w:rFonts w:ascii="Times New Roman"/>
                <w:sz w:val="21"/>
              </w:rPr>
            </w:pPr>
            <w:r>
              <w:rPr>
                <w:rFonts w:ascii="Times New Roman"/>
                <w:sz w:val="21"/>
              </w:rPr>
              <w:t>5</w:t>
            </w:r>
          </w:p>
        </w:tc>
        <w:tc>
          <w:tcPr>
            <w:tcW w:w="404" w:type="dxa"/>
            <w:tcBorders>
              <w:top w:val="single" w:color="000000" w:sz="6" w:space="0"/>
              <w:left w:val="nil"/>
            </w:tcBorders>
          </w:tcPr>
          <w:p>
            <w:pPr>
              <w:pStyle w:val="21"/>
              <w:spacing w:before="119" w:line="229" w:lineRule="exact"/>
              <w:ind w:left="6"/>
              <w:jc w:val="center"/>
              <w:rPr>
                <w:rFonts w:ascii="Times New Roman"/>
                <w:sz w:val="21"/>
              </w:rPr>
            </w:pPr>
            <w:r>
              <w:rPr>
                <w:rFonts w:ascii="Times New Roman"/>
                <w:sz w:val="21"/>
              </w:rPr>
              <w:t>6</w:t>
            </w:r>
          </w:p>
        </w:tc>
        <w:tc>
          <w:tcPr>
            <w:tcW w:w="406" w:type="dxa"/>
            <w:tcBorders>
              <w:top w:val="single" w:color="000000" w:sz="6" w:space="0"/>
              <w:right w:val="nil"/>
            </w:tcBorders>
          </w:tcPr>
          <w:p>
            <w:pPr>
              <w:pStyle w:val="21"/>
              <w:spacing w:before="119" w:line="229" w:lineRule="exact"/>
              <w:ind w:right="4"/>
              <w:jc w:val="center"/>
              <w:rPr>
                <w:rFonts w:ascii="Times New Roman"/>
                <w:sz w:val="21"/>
              </w:rPr>
            </w:pPr>
            <w:r>
              <w:rPr>
                <w:rFonts w:ascii="Times New Roman"/>
                <w:sz w:val="21"/>
              </w:rPr>
              <w:t>7</w:t>
            </w:r>
          </w:p>
        </w:tc>
        <w:tc>
          <w:tcPr>
            <w:tcW w:w="406" w:type="dxa"/>
            <w:tcBorders>
              <w:top w:val="single" w:color="000000" w:sz="6" w:space="0"/>
              <w:left w:val="nil"/>
              <w:right w:val="nil"/>
            </w:tcBorders>
          </w:tcPr>
          <w:p>
            <w:pPr>
              <w:pStyle w:val="21"/>
              <w:spacing w:before="119" w:line="229" w:lineRule="exact"/>
              <w:jc w:val="center"/>
              <w:rPr>
                <w:rFonts w:ascii="Times New Roman"/>
                <w:sz w:val="21"/>
              </w:rPr>
            </w:pPr>
            <w:r>
              <w:rPr>
                <w:rFonts w:ascii="Times New Roman"/>
                <w:sz w:val="21"/>
              </w:rPr>
              <w:t>8</w:t>
            </w:r>
          </w:p>
        </w:tc>
        <w:tc>
          <w:tcPr>
            <w:tcW w:w="406" w:type="dxa"/>
            <w:tcBorders>
              <w:top w:val="single" w:color="000000" w:sz="6" w:space="0"/>
              <w:left w:val="nil"/>
            </w:tcBorders>
          </w:tcPr>
          <w:p>
            <w:pPr>
              <w:pStyle w:val="21"/>
              <w:spacing w:before="119" w:line="229" w:lineRule="exact"/>
              <w:ind w:left="1"/>
              <w:jc w:val="center"/>
              <w:rPr>
                <w:rFonts w:ascii="Times New Roman"/>
                <w:sz w:val="21"/>
              </w:rPr>
            </w:pPr>
            <w:r>
              <w:rPr>
                <w:rFonts w:ascii="Times New Roman"/>
                <w:sz w:val="21"/>
              </w:rPr>
              <w:t>9</w:t>
            </w:r>
          </w:p>
        </w:tc>
        <w:tc>
          <w:tcPr>
            <w:tcW w:w="406" w:type="dxa"/>
            <w:tcBorders>
              <w:top w:val="single" w:color="000000" w:sz="6" w:space="0"/>
              <w:right w:val="nil"/>
            </w:tcBorders>
          </w:tcPr>
          <w:p>
            <w:pPr>
              <w:pStyle w:val="21"/>
              <w:spacing w:before="119" w:line="229" w:lineRule="exact"/>
              <w:ind w:left="90"/>
              <w:rPr>
                <w:rFonts w:ascii="Times New Roman"/>
                <w:sz w:val="21"/>
              </w:rPr>
            </w:pPr>
            <w:r>
              <w:rPr>
                <w:rFonts w:ascii="Times New Roman"/>
                <w:sz w:val="21"/>
              </w:rPr>
              <w:t>10</w:t>
            </w:r>
          </w:p>
        </w:tc>
        <w:tc>
          <w:tcPr>
            <w:tcW w:w="406" w:type="dxa"/>
            <w:tcBorders>
              <w:top w:val="single" w:color="000000" w:sz="6" w:space="0"/>
              <w:left w:val="nil"/>
              <w:right w:val="nil"/>
            </w:tcBorders>
          </w:tcPr>
          <w:p>
            <w:pPr>
              <w:pStyle w:val="21"/>
              <w:spacing w:before="119" w:line="229" w:lineRule="exact"/>
              <w:ind w:left="100"/>
              <w:rPr>
                <w:rFonts w:ascii="Times New Roman"/>
                <w:sz w:val="21"/>
              </w:rPr>
            </w:pPr>
            <w:r>
              <w:rPr>
                <w:rFonts w:ascii="Times New Roman"/>
                <w:sz w:val="21"/>
              </w:rPr>
              <w:t>11</w:t>
            </w:r>
          </w:p>
        </w:tc>
        <w:tc>
          <w:tcPr>
            <w:tcW w:w="406" w:type="dxa"/>
            <w:tcBorders>
              <w:top w:val="single" w:color="000000" w:sz="6" w:space="0"/>
              <w:left w:val="nil"/>
            </w:tcBorders>
          </w:tcPr>
          <w:p>
            <w:pPr>
              <w:pStyle w:val="21"/>
              <w:spacing w:before="119" w:line="229" w:lineRule="exact"/>
              <w:ind w:left="94"/>
              <w:rPr>
                <w:rFonts w:ascii="Times New Roman"/>
                <w:sz w:val="21"/>
              </w:rPr>
            </w:pPr>
            <w:r>
              <w:rPr>
                <w:rFonts w:ascii="Times New Roman"/>
                <w:sz w:val="21"/>
              </w:rPr>
              <w:t>12</w:t>
            </w:r>
          </w:p>
        </w:tc>
        <w:tc>
          <w:tcPr>
            <w:tcW w:w="406" w:type="dxa"/>
            <w:tcBorders>
              <w:top w:val="single" w:color="000000" w:sz="6" w:space="0"/>
              <w:right w:val="nil"/>
            </w:tcBorders>
          </w:tcPr>
          <w:p>
            <w:pPr>
              <w:pStyle w:val="21"/>
              <w:spacing w:before="119" w:line="229" w:lineRule="exact"/>
              <w:ind w:right="8"/>
              <w:jc w:val="center"/>
              <w:rPr>
                <w:rFonts w:ascii="Times New Roman"/>
                <w:sz w:val="21"/>
              </w:rPr>
            </w:pPr>
            <w:r>
              <w:rPr>
                <w:rFonts w:ascii="Times New Roman"/>
                <w:sz w:val="21"/>
              </w:rPr>
              <w:t>1</w:t>
            </w:r>
          </w:p>
        </w:tc>
        <w:tc>
          <w:tcPr>
            <w:tcW w:w="406" w:type="dxa"/>
            <w:tcBorders>
              <w:top w:val="single" w:color="000000" w:sz="6" w:space="0"/>
              <w:left w:val="nil"/>
              <w:right w:val="nil"/>
            </w:tcBorders>
          </w:tcPr>
          <w:p>
            <w:pPr>
              <w:pStyle w:val="21"/>
              <w:spacing w:before="119" w:line="229" w:lineRule="exact"/>
              <w:ind w:right="4"/>
              <w:jc w:val="center"/>
              <w:rPr>
                <w:rFonts w:ascii="Times New Roman"/>
                <w:sz w:val="21"/>
              </w:rPr>
            </w:pPr>
            <w:r>
              <w:rPr>
                <w:rFonts w:ascii="Times New Roman"/>
                <w:sz w:val="21"/>
              </w:rPr>
              <w:t>2</w:t>
            </w:r>
          </w:p>
        </w:tc>
        <w:tc>
          <w:tcPr>
            <w:tcW w:w="406" w:type="dxa"/>
            <w:tcBorders>
              <w:top w:val="single" w:color="000000" w:sz="6" w:space="0"/>
              <w:left w:val="nil"/>
            </w:tcBorders>
          </w:tcPr>
          <w:p>
            <w:pPr>
              <w:pStyle w:val="21"/>
              <w:spacing w:before="119" w:line="229" w:lineRule="exact"/>
              <w:jc w:val="center"/>
              <w:rPr>
                <w:rFonts w:ascii="Times New Roman"/>
                <w:sz w:val="21"/>
              </w:rPr>
            </w:pPr>
            <w:r>
              <w:rPr>
                <w:rFonts w:ascii="Times New Roman"/>
                <w:sz w:val="21"/>
              </w:rPr>
              <w:t>3</w:t>
            </w:r>
          </w:p>
        </w:tc>
        <w:tc>
          <w:tcPr>
            <w:tcW w:w="407" w:type="dxa"/>
            <w:tcBorders>
              <w:top w:val="single" w:color="000000" w:sz="6" w:space="0"/>
              <w:right w:val="nil"/>
            </w:tcBorders>
          </w:tcPr>
          <w:p>
            <w:pPr>
              <w:pStyle w:val="21"/>
              <w:spacing w:before="119" w:line="229" w:lineRule="exact"/>
              <w:ind w:right="10"/>
              <w:jc w:val="center"/>
              <w:rPr>
                <w:rFonts w:ascii="Times New Roman"/>
                <w:sz w:val="21"/>
              </w:rPr>
            </w:pPr>
            <w:r>
              <w:rPr>
                <w:rFonts w:ascii="Times New Roman"/>
                <w:sz w:val="21"/>
              </w:rPr>
              <w:t>4</w:t>
            </w:r>
          </w:p>
        </w:tc>
        <w:tc>
          <w:tcPr>
            <w:tcW w:w="409" w:type="dxa"/>
            <w:tcBorders>
              <w:top w:val="single" w:color="000000" w:sz="6" w:space="0"/>
              <w:left w:val="nil"/>
              <w:right w:val="nil"/>
            </w:tcBorders>
          </w:tcPr>
          <w:p>
            <w:pPr>
              <w:pStyle w:val="21"/>
              <w:spacing w:before="119" w:line="229" w:lineRule="exact"/>
              <w:ind w:right="10"/>
              <w:jc w:val="center"/>
              <w:rPr>
                <w:rFonts w:ascii="Times New Roman"/>
                <w:sz w:val="21"/>
              </w:rPr>
            </w:pPr>
            <w:r>
              <w:rPr>
                <w:rFonts w:ascii="Times New Roman"/>
                <w:sz w:val="21"/>
              </w:rPr>
              <w:t>5</w:t>
            </w:r>
          </w:p>
        </w:tc>
        <w:tc>
          <w:tcPr>
            <w:tcW w:w="407" w:type="dxa"/>
            <w:tcBorders>
              <w:top w:val="single" w:color="000000" w:sz="6" w:space="0"/>
              <w:left w:val="nil"/>
            </w:tcBorders>
          </w:tcPr>
          <w:p>
            <w:pPr>
              <w:pStyle w:val="21"/>
              <w:spacing w:before="119" w:line="229" w:lineRule="exact"/>
              <w:ind w:right="5"/>
              <w:jc w:val="center"/>
              <w:rPr>
                <w:rFonts w:ascii="Times New Roman"/>
                <w:sz w:val="21"/>
              </w:rPr>
            </w:pPr>
            <w:r>
              <w:rPr>
                <w:rFonts w:ascii="Times New Roman"/>
                <w:sz w:val="21"/>
              </w:rPr>
              <w:t>6</w:t>
            </w:r>
          </w:p>
        </w:tc>
        <w:tc>
          <w:tcPr>
            <w:tcW w:w="818" w:type="dxa"/>
            <w:gridSpan w:val="2"/>
            <w:tcBorders>
              <w:top w:val="single" w:color="000000" w:sz="6" w:space="0"/>
            </w:tcBorders>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tcBorders>
              <w:bottom w:val="nil"/>
              <w:right w:val="nil"/>
            </w:tcBorders>
          </w:tcPr>
          <w:p>
            <w:pPr>
              <w:pStyle w:val="21"/>
              <w:rPr>
                <w:rFonts w:ascii="Times New Roman"/>
                <w:sz w:val="16"/>
              </w:rPr>
            </w:pPr>
          </w:p>
        </w:tc>
        <w:tc>
          <w:tcPr>
            <w:tcW w:w="376" w:type="dxa"/>
            <w:tcBorders>
              <w:left w:val="nil"/>
              <w:bottom w:val="nil"/>
            </w:tcBorders>
          </w:tcPr>
          <w:p>
            <w:pPr>
              <w:pStyle w:val="21"/>
              <w:spacing w:line="222" w:lineRule="exact"/>
              <w:ind w:right="-15"/>
              <w:jc w:val="right"/>
              <w:rPr>
                <w:rFonts w:ascii="Times New Roman"/>
                <w:sz w:val="21"/>
              </w:rPr>
            </w:pPr>
            <w:r>
              <w:rPr>
                <w:rFonts w:ascii="Times New Roman"/>
                <w:sz w:val="21"/>
              </w:rPr>
              <w:t>100</w:t>
            </w: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68" w:type="dxa"/>
            <w:tcBorders>
              <w:top w:val="nil"/>
              <w:bottom w:val="nil"/>
              <w:right w:val="nil"/>
            </w:tcBorders>
          </w:tcPr>
          <w:p>
            <w:pPr>
              <w:pStyle w:val="21"/>
              <w:rPr>
                <w:rFonts w:ascii="Times New Roman"/>
                <w:sz w:val="16"/>
              </w:rPr>
            </w:pPr>
          </w:p>
        </w:tc>
        <w:tc>
          <w:tcPr>
            <w:tcW w:w="376" w:type="dxa"/>
            <w:tcBorders>
              <w:top w:val="nil"/>
              <w:left w:val="nil"/>
              <w:bottom w:val="nil"/>
            </w:tcBorders>
          </w:tcPr>
          <w:p>
            <w:pPr>
              <w:pStyle w:val="21"/>
              <w:rPr>
                <w:rFonts w:ascii="Times New Roman"/>
                <w:sz w:val="16"/>
              </w:rPr>
            </w:pP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tcBorders>
              <w:top w:val="nil"/>
              <w:bottom w:val="nil"/>
              <w:right w:val="nil"/>
            </w:tcBorders>
          </w:tcPr>
          <w:p>
            <w:pPr>
              <w:pStyle w:val="21"/>
              <w:rPr>
                <w:rFonts w:ascii="Times New Roman"/>
                <w:sz w:val="16"/>
              </w:rPr>
            </w:pPr>
          </w:p>
        </w:tc>
        <w:tc>
          <w:tcPr>
            <w:tcW w:w="376" w:type="dxa"/>
            <w:tcBorders>
              <w:top w:val="nil"/>
              <w:left w:val="nil"/>
              <w:bottom w:val="nil"/>
            </w:tcBorders>
          </w:tcPr>
          <w:p>
            <w:pPr>
              <w:pStyle w:val="21"/>
              <w:spacing w:line="222" w:lineRule="exact"/>
              <w:ind w:right="-15"/>
              <w:jc w:val="right"/>
              <w:rPr>
                <w:rFonts w:ascii="Times New Roman"/>
                <w:sz w:val="21"/>
              </w:rPr>
            </w:pPr>
            <w:r>
              <w:rPr>
                <w:rFonts w:ascii="Times New Roman"/>
                <w:sz w:val="21"/>
              </w:rPr>
              <w:t>90</w:t>
            </w: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68" w:type="dxa"/>
            <w:tcBorders>
              <w:top w:val="nil"/>
              <w:bottom w:val="nil"/>
              <w:right w:val="nil"/>
            </w:tcBorders>
          </w:tcPr>
          <w:p>
            <w:pPr>
              <w:pStyle w:val="21"/>
              <w:rPr>
                <w:rFonts w:ascii="Times New Roman"/>
                <w:sz w:val="16"/>
              </w:rPr>
            </w:pPr>
          </w:p>
        </w:tc>
        <w:tc>
          <w:tcPr>
            <w:tcW w:w="376" w:type="dxa"/>
            <w:tcBorders>
              <w:top w:val="nil"/>
              <w:left w:val="nil"/>
              <w:bottom w:val="nil"/>
            </w:tcBorders>
          </w:tcPr>
          <w:p>
            <w:pPr>
              <w:pStyle w:val="21"/>
              <w:rPr>
                <w:rFonts w:ascii="Times New Roman"/>
                <w:sz w:val="16"/>
              </w:rPr>
            </w:pP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vMerge w:val="restart"/>
            <w:tcBorders>
              <w:top w:val="nil"/>
              <w:bottom w:val="nil"/>
              <w:right w:val="nil"/>
            </w:tcBorders>
          </w:tcPr>
          <w:p>
            <w:pPr>
              <w:pStyle w:val="21"/>
              <w:spacing w:before="155" w:line="242" w:lineRule="auto"/>
              <w:ind w:left="304" w:right="345"/>
              <w:jc w:val="both"/>
              <w:rPr>
                <w:sz w:val="21"/>
              </w:rPr>
            </w:pPr>
            <w:r>
              <w:rPr>
                <w:sz w:val="21"/>
              </w:rPr>
              <w:t>工程完成的百分比</w:t>
            </w:r>
          </w:p>
          <w:p>
            <w:pPr>
              <w:pStyle w:val="21"/>
              <w:spacing w:before="5"/>
              <w:ind w:left="112"/>
              <w:rPr>
                <w:sz w:val="21"/>
              </w:rPr>
            </w:pPr>
            <w:r>
              <w:rPr>
                <w:sz w:val="21"/>
              </w:rPr>
              <w:t>（</w:t>
            </w:r>
            <w:r>
              <w:rPr>
                <w:rFonts w:ascii="Times New Roman" w:eastAsia="Times New Roman"/>
                <w:sz w:val="21"/>
              </w:rPr>
              <w:t>%</w:t>
            </w:r>
            <w:r>
              <w:rPr>
                <w:sz w:val="21"/>
              </w:rPr>
              <w:t>）</w:t>
            </w:r>
          </w:p>
        </w:tc>
        <w:tc>
          <w:tcPr>
            <w:tcW w:w="376" w:type="dxa"/>
            <w:tcBorders>
              <w:top w:val="nil"/>
              <w:left w:val="nil"/>
              <w:bottom w:val="nil"/>
            </w:tcBorders>
          </w:tcPr>
          <w:p>
            <w:pPr>
              <w:pStyle w:val="21"/>
              <w:spacing w:line="223" w:lineRule="exact"/>
              <w:ind w:right="-15"/>
              <w:jc w:val="right"/>
              <w:rPr>
                <w:rFonts w:ascii="Times New Roman"/>
                <w:sz w:val="21"/>
              </w:rPr>
            </w:pPr>
            <w:r>
              <w:rPr>
                <w:rFonts w:ascii="Times New Roman"/>
                <w:sz w:val="21"/>
              </w:rPr>
              <w:t>80</w:t>
            </w: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vMerge w:val="continue"/>
            <w:tcBorders>
              <w:top w:val="nil"/>
              <w:bottom w:val="nil"/>
              <w:right w:val="nil"/>
            </w:tcBorders>
          </w:tcPr>
          <w:p>
            <w:pPr>
              <w:rPr>
                <w:sz w:val="2"/>
                <w:szCs w:val="2"/>
              </w:rPr>
            </w:pPr>
          </w:p>
        </w:tc>
        <w:tc>
          <w:tcPr>
            <w:tcW w:w="376" w:type="dxa"/>
            <w:tcBorders>
              <w:top w:val="nil"/>
              <w:left w:val="nil"/>
              <w:bottom w:val="nil"/>
            </w:tcBorders>
          </w:tcPr>
          <w:p>
            <w:pPr>
              <w:pStyle w:val="21"/>
              <w:rPr>
                <w:rFonts w:ascii="Times New Roman"/>
                <w:sz w:val="16"/>
              </w:rPr>
            </w:pP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68" w:type="dxa"/>
            <w:vMerge w:val="continue"/>
            <w:tcBorders>
              <w:top w:val="nil"/>
              <w:bottom w:val="nil"/>
              <w:right w:val="nil"/>
            </w:tcBorders>
          </w:tcPr>
          <w:p>
            <w:pPr>
              <w:rPr>
                <w:sz w:val="2"/>
                <w:szCs w:val="2"/>
              </w:rPr>
            </w:pPr>
          </w:p>
        </w:tc>
        <w:tc>
          <w:tcPr>
            <w:tcW w:w="376" w:type="dxa"/>
            <w:tcBorders>
              <w:top w:val="nil"/>
              <w:left w:val="nil"/>
              <w:bottom w:val="nil"/>
            </w:tcBorders>
          </w:tcPr>
          <w:p>
            <w:pPr>
              <w:pStyle w:val="21"/>
              <w:spacing w:line="220" w:lineRule="exact"/>
              <w:ind w:right="-15"/>
              <w:jc w:val="right"/>
              <w:rPr>
                <w:rFonts w:ascii="Times New Roman"/>
                <w:sz w:val="21"/>
              </w:rPr>
            </w:pPr>
            <w:r>
              <w:rPr>
                <w:rFonts w:ascii="Times New Roman"/>
                <w:sz w:val="21"/>
              </w:rPr>
              <w:t>70</w:t>
            </w: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vMerge w:val="continue"/>
            <w:tcBorders>
              <w:top w:val="nil"/>
              <w:bottom w:val="nil"/>
              <w:right w:val="nil"/>
            </w:tcBorders>
          </w:tcPr>
          <w:p>
            <w:pPr>
              <w:rPr>
                <w:sz w:val="2"/>
                <w:szCs w:val="2"/>
              </w:rPr>
            </w:pPr>
          </w:p>
        </w:tc>
        <w:tc>
          <w:tcPr>
            <w:tcW w:w="376" w:type="dxa"/>
            <w:tcBorders>
              <w:top w:val="nil"/>
              <w:left w:val="nil"/>
              <w:bottom w:val="nil"/>
            </w:tcBorders>
          </w:tcPr>
          <w:p>
            <w:pPr>
              <w:pStyle w:val="21"/>
              <w:rPr>
                <w:rFonts w:ascii="Times New Roman"/>
                <w:sz w:val="16"/>
              </w:rPr>
            </w:pP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vMerge w:val="continue"/>
            <w:tcBorders>
              <w:top w:val="nil"/>
              <w:bottom w:val="nil"/>
              <w:right w:val="nil"/>
            </w:tcBorders>
          </w:tcPr>
          <w:p>
            <w:pPr>
              <w:rPr>
                <w:sz w:val="2"/>
                <w:szCs w:val="2"/>
              </w:rPr>
            </w:pPr>
          </w:p>
        </w:tc>
        <w:tc>
          <w:tcPr>
            <w:tcW w:w="376" w:type="dxa"/>
            <w:tcBorders>
              <w:top w:val="nil"/>
              <w:left w:val="nil"/>
              <w:bottom w:val="nil"/>
            </w:tcBorders>
          </w:tcPr>
          <w:p>
            <w:pPr>
              <w:pStyle w:val="21"/>
              <w:spacing w:line="222" w:lineRule="exact"/>
              <w:ind w:right="-15"/>
              <w:jc w:val="right"/>
              <w:rPr>
                <w:rFonts w:ascii="Times New Roman"/>
                <w:sz w:val="21"/>
              </w:rPr>
            </w:pPr>
            <w:r>
              <w:rPr>
                <w:rFonts w:ascii="Times New Roman"/>
                <w:sz w:val="21"/>
              </w:rPr>
              <w:t>60</w:t>
            </w: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68" w:type="dxa"/>
            <w:vMerge w:val="continue"/>
            <w:tcBorders>
              <w:top w:val="nil"/>
              <w:bottom w:val="nil"/>
              <w:right w:val="nil"/>
            </w:tcBorders>
          </w:tcPr>
          <w:p>
            <w:pPr>
              <w:rPr>
                <w:sz w:val="2"/>
                <w:szCs w:val="2"/>
              </w:rPr>
            </w:pPr>
          </w:p>
        </w:tc>
        <w:tc>
          <w:tcPr>
            <w:tcW w:w="376" w:type="dxa"/>
            <w:tcBorders>
              <w:top w:val="nil"/>
              <w:left w:val="nil"/>
              <w:bottom w:val="nil"/>
            </w:tcBorders>
          </w:tcPr>
          <w:p>
            <w:pPr>
              <w:pStyle w:val="21"/>
              <w:rPr>
                <w:rFonts w:ascii="Times New Roman"/>
                <w:sz w:val="16"/>
              </w:rPr>
            </w:pP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68" w:type="dxa"/>
            <w:vMerge w:val="continue"/>
            <w:tcBorders>
              <w:top w:val="nil"/>
              <w:bottom w:val="nil"/>
              <w:right w:val="nil"/>
            </w:tcBorders>
          </w:tcPr>
          <w:p>
            <w:pPr>
              <w:rPr>
                <w:sz w:val="2"/>
                <w:szCs w:val="2"/>
              </w:rPr>
            </w:pPr>
          </w:p>
        </w:tc>
        <w:tc>
          <w:tcPr>
            <w:tcW w:w="376" w:type="dxa"/>
            <w:tcBorders>
              <w:top w:val="nil"/>
              <w:left w:val="nil"/>
              <w:bottom w:val="nil"/>
            </w:tcBorders>
          </w:tcPr>
          <w:p>
            <w:pPr>
              <w:pStyle w:val="21"/>
              <w:spacing w:line="220" w:lineRule="exact"/>
              <w:ind w:right="-15"/>
              <w:jc w:val="right"/>
              <w:rPr>
                <w:rFonts w:ascii="Times New Roman"/>
                <w:sz w:val="21"/>
              </w:rPr>
            </w:pPr>
            <w:r>
              <w:rPr>
                <w:rFonts w:ascii="Times New Roman"/>
                <w:sz w:val="21"/>
              </w:rPr>
              <w:t>50</w:t>
            </w: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vMerge w:val="continue"/>
            <w:tcBorders>
              <w:top w:val="nil"/>
              <w:bottom w:val="nil"/>
              <w:right w:val="nil"/>
            </w:tcBorders>
          </w:tcPr>
          <w:p>
            <w:pPr>
              <w:rPr>
                <w:sz w:val="2"/>
                <w:szCs w:val="2"/>
              </w:rPr>
            </w:pPr>
          </w:p>
        </w:tc>
        <w:tc>
          <w:tcPr>
            <w:tcW w:w="376" w:type="dxa"/>
            <w:tcBorders>
              <w:top w:val="nil"/>
              <w:left w:val="nil"/>
              <w:bottom w:val="nil"/>
            </w:tcBorders>
          </w:tcPr>
          <w:p>
            <w:pPr>
              <w:pStyle w:val="21"/>
              <w:rPr>
                <w:rFonts w:ascii="Times New Roman"/>
                <w:sz w:val="16"/>
              </w:rPr>
            </w:pP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68" w:type="dxa"/>
            <w:vMerge w:val="continue"/>
            <w:tcBorders>
              <w:top w:val="nil"/>
              <w:bottom w:val="nil"/>
              <w:right w:val="nil"/>
            </w:tcBorders>
          </w:tcPr>
          <w:p>
            <w:pPr>
              <w:rPr>
                <w:sz w:val="2"/>
                <w:szCs w:val="2"/>
              </w:rPr>
            </w:pPr>
          </w:p>
        </w:tc>
        <w:tc>
          <w:tcPr>
            <w:tcW w:w="376" w:type="dxa"/>
            <w:tcBorders>
              <w:top w:val="nil"/>
              <w:left w:val="nil"/>
              <w:bottom w:val="nil"/>
            </w:tcBorders>
          </w:tcPr>
          <w:p>
            <w:pPr>
              <w:pStyle w:val="21"/>
              <w:spacing w:line="222" w:lineRule="exact"/>
              <w:ind w:right="-15"/>
              <w:jc w:val="right"/>
              <w:rPr>
                <w:rFonts w:ascii="Times New Roman"/>
                <w:sz w:val="21"/>
              </w:rPr>
            </w:pPr>
            <w:r>
              <w:rPr>
                <w:rFonts w:ascii="Times New Roman"/>
                <w:sz w:val="21"/>
              </w:rPr>
              <w:t>40</w:t>
            </w: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68" w:type="dxa"/>
            <w:vMerge w:val="continue"/>
            <w:tcBorders>
              <w:top w:val="nil"/>
              <w:bottom w:val="nil"/>
              <w:right w:val="nil"/>
            </w:tcBorders>
          </w:tcPr>
          <w:p>
            <w:pPr>
              <w:rPr>
                <w:sz w:val="2"/>
                <w:szCs w:val="2"/>
              </w:rPr>
            </w:pPr>
          </w:p>
        </w:tc>
        <w:tc>
          <w:tcPr>
            <w:tcW w:w="376" w:type="dxa"/>
            <w:tcBorders>
              <w:top w:val="nil"/>
              <w:left w:val="nil"/>
              <w:bottom w:val="nil"/>
            </w:tcBorders>
          </w:tcPr>
          <w:p>
            <w:pPr>
              <w:pStyle w:val="21"/>
              <w:rPr>
                <w:rFonts w:ascii="Times New Roman"/>
                <w:sz w:val="16"/>
              </w:rPr>
            </w:pP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68" w:type="dxa"/>
            <w:vMerge w:val="continue"/>
            <w:tcBorders>
              <w:top w:val="nil"/>
              <w:bottom w:val="nil"/>
              <w:right w:val="nil"/>
            </w:tcBorders>
          </w:tcPr>
          <w:p>
            <w:pPr>
              <w:rPr>
                <w:sz w:val="2"/>
                <w:szCs w:val="2"/>
              </w:rPr>
            </w:pPr>
          </w:p>
        </w:tc>
        <w:tc>
          <w:tcPr>
            <w:tcW w:w="376" w:type="dxa"/>
            <w:tcBorders>
              <w:top w:val="nil"/>
              <w:left w:val="nil"/>
              <w:bottom w:val="nil"/>
            </w:tcBorders>
          </w:tcPr>
          <w:p>
            <w:pPr>
              <w:pStyle w:val="21"/>
              <w:spacing w:line="222" w:lineRule="exact"/>
              <w:ind w:right="-15"/>
              <w:jc w:val="right"/>
              <w:rPr>
                <w:rFonts w:ascii="Times New Roman"/>
                <w:sz w:val="21"/>
              </w:rPr>
            </w:pPr>
            <w:r>
              <w:rPr>
                <w:rFonts w:ascii="Times New Roman"/>
                <w:sz w:val="21"/>
              </w:rPr>
              <w:t>30</w:t>
            </w: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68" w:type="dxa"/>
            <w:tcBorders>
              <w:top w:val="nil"/>
              <w:bottom w:val="nil"/>
              <w:right w:val="nil"/>
            </w:tcBorders>
          </w:tcPr>
          <w:p>
            <w:pPr>
              <w:pStyle w:val="21"/>
              <w:rPr>
                <w:rFonts w:ascii="Times New Roman"/>
                <w:sz w:val="16"/>
              </w:rPr>
            </w:pPr>
          </w:p>
        </w:tc>
        <w:tc>
          <w:tcPr>
            <w:tcW w:w="376" w:type="dxa"/>
            <w:tcBorders>
              <w:top w:val="nil"/>
              <w:left w:val="nil"/>
              <w:bottom w:val="nil"/>
            </w:tcBorders>
          </w:tcPr>
          <w:p>
            <w:pPr>
              <w:pStyle w:val="21"/>
              <w:rPr>
                <w:rFonts w:ascii="Times New Roman"/>
                <w:sz w:val="16"/>
              </w:rPr>
            </w:pP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tcBorders>
              <w:top w:val="nil"/>
              <w:bottom w:val="nil"/>
              <w:right w:val="nil"/>
            </w:tcBorders>
          </w:tcPr>
          <w:p>
            <w:pPr>
              <w:pStyle w:val="21"/>
              <w:rPr>
                <w:rFonts w:ascii="Times New Roman"/>
                <w:sz w:val="16"/>
              </w:rPr>
            </w:pPr>
          </w:p>
        </w:tc>
        <w:tc>
          <w:tcPr>
            <w:tcW w:w="376" w:type="dxa"/>
            <w:tcBorders>
              <w:top w:val="nil"/>
              <w:left w:val="nil"/>
              <w:bottom w:val="nil"/>
            </w:tcBorders>
          </w:tcPr>
          <w:p>
            <w:pPr>
              <w:pStyle w:val="21"/>
              <w:spacing w:line="222" w:lineRule="exact"/>
              <w:ind w:right="-15"/>
              <w:jc w:val="right"/>
              <w:rPr>
                <w:rFonts w:ascii="Times New Roman"/>
                <w:sz w:val="21"/>
              </w:rPr>
            </w:pPr>
            <w:r>
              <w:rPr>
                <w:rFonts w:ascii="Times New Roman"/>
                <w:sz w:val="21"/>
              </w:rPr>
              <w:t>20</w:t>
            </w: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tcBorders>
              <w:top w:val="nil"/>
              <w:bottom w:val="nil"/>
              <w:right w:val="nil"/>
            </w:tcBorders>
          </w:tcPr>
          <w:p>
            <w:pPr>
              <w:pStyle w:val="21"/>
              <w:rPr>
                <w:rFonts w:ascii="Times New Roman"/>
                <w:sz w:val="16"/>
              </w:rPr>
            </w:pPr>
          </w:p>
        </w:tc>
        <w:tc>
          <w:tcPr>
            <w:tcW w:w="376" w:type="dxa"/>
            <w:tcBorders>
              <w:top w:val="nil"/>
              <w:left w:val="nil"/>
              <w:bottom w:val="nil"/>
            </w:tcBorders>
          </w:tcPr>
          <w:p>
            <w:pPr>
              <w:pStyle w:val="21"/>
              <w:rPr>
                <w:rFonts w:ascii="Times New Roman"/>
                <w:sz w:val="16"/>
              </w:rPr>
            </w:pP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68" w:type="dxa"/>
            <w:tcBorders>
              <w:top w:val="nil"/>
              <w:bottom w:val="nil"/>
              <w:right w:val="nil"/>
            </w:tcBorders>
          </w:tcPr>
          <w:p>
            <w:pPr>
              <w:pStyle w:val="21"/>
              <w:rPr>
                <w:rFonts w:ascii="Times New Roman"/>
                <w:sz w:val="16"/>
              </w:rPr>
            </w:pPr>
          </w:p>
        </w:tc>
        <w:tc>
          <w:tcPr>
            <w:tcW w:w="376" w:type="dxa"/>
            <w:tcBorders>
              <w:top w:val="nil"/>
              <w:left w:val="nil"/>
              <w:bottom w:val="nil"/>
            </w:tcBorders>
          </w:tcPr>
          <w:p>
            <w:pPr>
              <w:pStyle w:val="21"/>
              <w:spacing w:line="222" w:lineRule="exact"/>
              <w:ind w:right="-15"/>
              <w:jc w:val="right"/>
              <w:rPr>
                <w:rFonts w:ascii="Times New Roman"/>
                <w:sz w:val="21"/>
              </w:rPr>
            </w:pPr>
            <w:r>
              <w:rPr>
                <w:rFonts w:ascii="Times New Roman"/>
                <w:sz w:val="21"/>
              </w:rPr>
              <w:t>10</w:t>
            </w: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68" w:type="dxa"/>
            <w:tcBorders>
              <w:top w:val="nil"/>
              <w:right w:val="nil"/>
            </w:tcBorders>
          </w:tcPr>
          <w:p>
            <w:pPr>
              <w:pStyle w:val="21"/>
              <w:rPr>
                <w:rFonts w:ascii="Times New Roman"/>
                <w:sz w:val="16"/>
              </w:rPr>
            </w:pPr>
          </w:p>
        </w:tc>
        <w:tc>
          <w:tcPr>
            <w:tcW w:w="376" w:type="dxa"/>
            <w:tcBorders>
              <w:top w:val="nil"/>
              <w:left w:val="nil"/>
            </w:tcBorders>
          </w:tcPr>
          <w:p>
            <w:pPr>
              <w:pStyle w:val="21"/>
              <w:rPr>
                <w:rFonts w:ascii="Times New Roman"/>
                <w:sz w:val="16"/>
              </w:rPr>
            </w:pPr>
          </w:p>
        </w:tc>
        <w:tc>
          <w:tcPr>
            <w:tcW w:w="399"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4"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6"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7" w:type="dxa"/>
          </w:tcPr>
          <w:p>
            <w:pPr>
              <w:pStyle w:val="21"/>
              <w:rPr>
                <w:rFonts w:ascii="Times New Roman"/>
                <w:sz w:val="16"/>
              </w:rPr>
            </w:pPr>
          </w:p>
        </w:tc>
        <w:tc>
          <w:tcPr>
            <w:tcW w:w="409" w:type="dxa"/>
          </w:tcPr>
          <w:p>
            <w:pPr>
              <w:pStyle w:val="21"/>
              <w:rPr>
                <w:rFonts w:ascii="Times New Roman"/>
                <w:sz w:val="16"/>
              </w:rPr>
            </w:pPr>
          </w:p>
        </w:tc>
        <w:tc>
          <w:tcPr>
            <w:tcW w:w="409" w:type="dxa"/>
          </w:tcPr>
          <w:p>
            <w:pPr>
              <w:pStyle w:val="21"/>
              <w:rPr>
                <w:rFonts w:ascii="Times New Roman"/>
                <w:sz w:val="16"/>
              </w:rPr>
            </w:pPr>
          </w:p>
        </w:tc>
      </w:tr>
    </w:tbl>
    <w:p>
      <w:pPr>
        <w:tabs>
          <w:tab w:val="left" w:pos="1989"/>
          <w:tab w:val="left" w:pos="2844"/>
          <w:tab w:val="left" w:pos="3699"/>
          <w:tab w:val="left" w:pos="4551"/>
          <w:tab w:val="left" w:pos="5403"/>
          <w:tab w:val="left" w:pos="6049"/>
          <w:tab w:val="left" w:pos="6903"/>
          <w:tab w:val="left" w:pos="7756"/>
          <w:tab w:val="left" w:pos="8610"/>
          <w:tab w:val="left" w:pos="9148"/>
        </w:tabs>
        <w:ind w:left="1243"/>
        <w:rPr>
          <w:rFonts w:ascii="Times New Roman"/>
          <w:sz w:val="21"/>
        </w:rPr>
      </w:pPr>
      <w:r>
        <w:rPr>
          <w:rFonts w:ascii="Times New Roman"/>
          <w:sz w:val="21"/>
        </w:rPr>
        <w:t>0</w:t>
      </w:r>
      <w:r>
        <w:rPr>
          <w:rFonts w:ascii="Times New Roman"/>
          <w:sz w:val="21"/>
        </w:rPr>
        <w:tab/>
      </w:r>
      <w:r>
        <w:rPr>
          <w:rFonts w:ascii="Times New Roman"/>
          <w:sz w:val="21"/>
        </w:rPr>
        <w:t>10</w:t>
      </w:r>
      <w:r>
        <w:rPr>
          <w:rFonts w:ascii="Times New Roman"/>
          <w:sz w:val="21"/>
        </w:rPr>
        <w:tab/>
      </w:r>
      <w:r>
        <w:rPr>
          <w:rFonts w:ascii="Times New Roman"/>
          <w:sz w:val="21"/>
        </w:rPr>
        <w:t>20</w:t>
      </w:r>
      <w:r>
        <w:rPr>
          <w:rFonts w:ascii="Times New Roman"/>
          <w:sz w:val="21"/>
        </w:rPr>
        <w:tab/>
      </w:r>
      <w:r>
        <w:rPr>
          <w:rFonts w:ascii="Times New Roman"/>
          <w:sz w:val="21"/>
        </w:rPr>
        <w:t>30</w:t>
      </w:r>
      <w:r>
        <w:rPr>
          <w:rFonts w:ascii="Times New Roman"/>
          <w:sz w:val="21"/>
        </w:rPr>
        <w:tab/>
      </w:r>
      <w:r>
        <w:rPr>
          <w:rFonts w:ascii="Times New Roman"/>
          <w:sz w:val="21"/>
        </w:rPr>
        <w:t>40</w:t>
      </w:r>
      <w:r>
        <w:rPr>
          <w:rFonts w:ascii="Times New Roman"/>
          <w:sz w:val="21"/>
        </w:rPr>
        <w:tab/>
      </w:r>
      <w:r>
        <w:rPr>
          <w:rFonts w:ascii="Times New Roman"/>
          <w:sz w:val="21"/>
        </w:rPr>
        <w:t>50</w:t>
      </w:r>
      <w:r>
        <w:rPr>
          <w:rFonts w:ascii="Times New Roman"/>
          <w:sz w:val="21"/>
        </w:rPr>
        <w:tab/>
      </w:r>
      <w:r>
        <w:rPr>
          <w:rFonts w:ascii="Times New Roman"/>
          <w:sz w:val="21"/>
        </w:rPr>
        <w:t>60</w:t>
      </w:r>
      <w:r>
        <w:rPr>
          <w:rFonts w:ascii="Times New Roman"/>
          <w:sz w:val="21"/>
        </w:rPr>
        <w:tab/>
      </w:r>
      <w:r>
        <w:rPr>
          <w:rFonts w:ascii="Times New Roman"/>
          <w:sz w:val="21"/>
        </w:rPr>
        <w:t>70</w:t>
      </w:r>
      <w:r>
        <w:rPr>
          <w:rFonts w:ascii="Times New Roman"/>
          <w:sz w:val="21"/>
        </w:rPr>
        <w:tab/>
      </w:r>
      <w:r>
        <w:rPr>
          <w:rFonts w:ascii="Times New Roman"/>
          <w:sz w:val="21"/>
        </w:rPr>
        <w:t>80</w:t>
      </w:r>
      <w:r>
        <w:rPr>
          <w:rFonts w:ascii="Times New Roman"/>
          <w:sz w:val="21"/>
        </w:rPr>
        <w:tab/>
      </w:r>
      <w:r>
        <w:rPr>
          <w:rFonts w:ascii="Times New Roman"/>
          <w:sz w:val="21"/>
        </w:rPr>
        <w:t>90</w:t>
      </w:r>
      <w:r>
        <w:rPr>
          <w:rFonts w:ascii="Times New Roman"/>
          <w:sz w:val="21"/>
        </w:rPr>
        <w:tab/>
      </w:r>
      <w:r>
        <w:rPr>
          <w:rFonts w:ascii="Times New Roman"/>
          <w:sz w:val="21"/>
        </w:rPr>
        <w:t>100</w:t>
      </w:r>
    </w:p>
    <w:p>
      <w:pPr>
        <w:spacing w:before="147"/>
        <w:ind w:left="3508" w:right="3766"/>
        <w:jc w:val="center"/>
        <w:rPr>
          <w:sz w:val="21"/>
        </w:rPr>
      </w:pPr>
      <w:r>
        <w:rPr>
          <w:sz w:val="21"/>
        </w:rPr>
        <w:t>工期历程的百分比（</w:t>
      </w:r>
      <w:r>
        <w:rPr>
          <w:rFonts w:ascii="Times New Roman" w:eastAsia="Times New Roman"/>
          <w:sz w:val="21"/>
        </w:rPr>
        <w:t>%</w:t>
      </w:r>
      <w:r>
        <w:rPr>
          <w:sz w:val="21"/>
        </w:rPr>
        <w:t>）</w:t>
      </w:r>
    </w:p>
    <w:p>
      <w:pPr>
        <w:jc w:val="center"/>
        <w:rPr>
          <w:sz w:val="21"/>
        </w:rPr>
        <w:sectPr>
          <w:pgSz w:w="11910" w:h="16850"/>
          <w:pgMar w:top="1540" w:right="1000" w:bottom="1060" w:left="1320" w:header="883" w:footer="863" w:gutter="0"/>
          <w:cols w:space="720" w:num="1"/>
        </w:sectPr>
      </w:pPr>
    </w:p>
    <w:p>
      <w:pPr>
        <w:pStyle w:val="11"/>
        <w:rPr>
          <w:sz w:val="20"/>
        </w:rPr>
      </w:pPr>
    </w:p>
    <w:p>
      <w:pPr>
        <w:spacing w:before="225"/>
        <w:ind w:left="273"/>
        <w:rPr>
          <w:rFonts w:ascii="黑体" w:eastAsia="黑体"/>
          <w:sz w:val="28"/>
        </w:rPr>
      </w:pPr>
      <w:bookmarkStart w:id="283" w:name="_bookmark302"/>
      <w:bookmarkEnd w:id="283"/>
      <w:r>
        <w:rPr>
          <w:rFonts w:hint="eastAsia" w:ascii="黑体" w:eastAsia="黑体"/>
          <w:sz w:val="28"/>
        </w:rPr>
        <w:t>附表四 分项工程生产率和施工周期表</w:t>
      </w:r>
    </w:p>
    <w:p>
      <w:pPr>
        <w:pStyle w:val="11"/>
        <w:rPr>
          <w:rFonts w:ascii="黑体"/>
          <w:sz w:val="20"/>
        </w:rPr>
      </w:pPr>
    </w:p>
    <w:p>
      <w:pPr>
        <w:pStyle w:val="11"/>
        <w:spacing w:before="6"/>
        <w:rPr>
          <w:rFonts w:ascii="黑体"/>
          <w:sz w:val="11"/>
        </w:rPr>
      </w:pPr>
    </w:p>
    <w:tbl>
      <w:tblPr>
        <w:tblStyle w:val="19"/>
        <w:tblW w:w="14086" w:type="dxa"/>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4"/>
        <w:gridCol w:w="1994"/>
        <w:gridCol w:w="900"/>
        <w:gridCol w:w="899"/>
        <w:gridCol w:w="2699"/>
        <w:gridCol w:w="2159"/>
        <w:gridCol w:w="2145"/>
        <w:gridCol w:w="2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1" w:hRule="atLeast"/>
        </w:trPr>
        <w:tc>
          <w:tcPr>
            <w:tcW w:w="814" w:type="dxa"/>
          </w:tcPr>
          <w:p>
            <w:pPr>
              <w:pStyle w:val="21"/>
              <w:spacing w:before="8"/>
              <w:rPr>
                <w:rFonts w:ascii="黑体"/>
                <w:sz w:val="26"/>
              </w:rPr>
            </w:pPr>
          </w:p>
          <w:p>
            <w:pPr>
              <w:pStyle w:val="21"/>
              <w:spacing w:before="1"/>
              <w:ind w:left="185" w:right="174"/>
              <w:jc w:val="center"/>
              <w:rPr>
                <w:sz w:val="20"/>
              </w:rPr>
            </w:pPr>
            <w:r>
              <w:rPr>
                <w:sz w:val="20"/>
              </w:rPr>
              <w:t>序号</w:t>
            </w:r>
          </w:p>
        </w:tc>
        <w:tc>
          <w:tcPr>
            <w:tcW w:w="1994" w:type="dxa"/>
          </w:tcPr>
          <w:p>
            <w:pPr>
              <w:pStyle w:val="21"/>
              <w:spacing w:before="8"/>
              <w:rPr>
                <w:rFonts w:ascii="黑体"/>
                <w:sz w:val="26"/>
              </w:rPr>
            </w:pPr>
          </w:p>
          <w:p>
            <w:pPr>
              <w:pStyle w:val="21"/>
              <w:spacing w:before="1"/>
              <w:ind w:left="597"/>
              <w:rPr>
                <w:sz w:val="20"/>
              </w:rPr>
            </w:pPr>
            <w:r>
              <w:rPr>
                <w:sz w:val="20"/>
              </w:rPr>
              <w:t>工程项目</w:t>
            </w:r>
          </w:p>
        </w:tc>
        <w:tc>
          <w:tcPr>
            <w:tcW w:w="900" w:type="dxa"/>
          </w:tcPr>
          <w:p>
            <w:pPr>
              <w:pStyle w:val="21"/>
              <w:spacing w:before="8"/>
              <w:rPr>
                <w:rFonts w:ascii="黑体"/>
                <w:sz w:val="26"/>
              </w:rPr>
            </w:pPr>
          </w:p>
          <w:p>
            <w:pPr>
              <w:pStyle w:val="21"/>
              <w:spacing w:before="1"/>
              <w:ind w:left="167" w:right="155"/>
              <w:jc w:val="center"/>
              <w:rPr>
                <w:sz w:val="20"/>
              </w:rPr>
            </w:pPr>
            <w:r>
              <w:rPr>
                <w:sz w:val="20"/>
              </w:rPr>
              <w:t>单位</w:t>
            </w:r>
          </w:p>
        </w:tc>
        <w:tc>
          <w:tcPr>
            <w:tcW w:w="899" w:type="dxa"/>
          </w:tcPr>
          <w:p>
            <w:pPr>
              <w:pStyle w:val="21"/>
              <w:spacing w:before="8"/>
              <w:rPr>
                <w:rFonts w:ascii="黑体"/>
                <w:sz w:val="26"/>
              </w:rPr>
            </w:pPr>
          </w:p>
          <w:p>
            <w:pPr>
              <w:pStyle w:val="21"/>
              <w:spacing w:before="1"/>
              <w:ind w:left="250"/>
              <w:rPr>
                <w:sz w:val="20"/>
              </w:rPr>
            </w:pPr>
            <w:r>
              <w:rPr>
                <w:sz w:val="20"/>
              </w:rPr>
              <w:t>数量</w:t>
            </w:r>
          </w:p>
        </w:tc>
        <w:tc>
          <w:tcPr>
            <w:tcW w:w="2699" w:type="dxa"/>
          </w:tcPr>
          <w:p>
            <w:pPr>
              <w:pStyle w:val="21"/>
              <w:spacing w:before="20" w:line="400" w:lineRule="exact"/>
              <w:ind w:left="652" w:right="-15" w:hanging="543"/>
              <w:rPr>
                <w:sz w:val="20"/>
              </w:rPr>
            </w:pPr>
            <w:r>
              <w:rPr>
                <w:spacing w:val="-2"/>
                <w:sz w:val="20"/>
              </w:rPr>
              <w:t>平均每生产单位规模</w:t>
            </w:r>
            <w:r>
              <w:rPr>
                <w:sz w:val="20"/>
              </w:rPr>
              <w:t>（</w:t>
            </w:r>
            <w:r>
              <w:rPr>
                <w:spacing w:val="95"/>
                <w:sz w:val="20"/>
                <w:u w:val="single"/>
              </w:rPr>
              <w:t xml:space="preserve"> </w:t>
            </w:r>
            <w:r>
              <w:rPr>
                <w:sz w:val="20"/>
              </w:rPr>
              <w:t>人， 各种机械</w:t>
            </w:r>
            <w:r>
              <w:rPr>
                <w:spacing w:val="97"/>
                <w:sz w:val="20"/>
                <w:u w:val="single"/>
              </w:rPr>
              <w:t xml:space="preserve"> </w:t>
            </w:r>
            <w:r>
              <w:rPr>
                <w:sz w:val="20"/>
              </w:rPr>
              <w:t>台）</w:t>
            </w:r>
          </w:p>
        </w:tc>
        <w:tc>
          <w:tcPr>
            <w:tcW w:w="2159" w:type="dxa"/>
          </w:tcPr>
          <w:p>
            <w:pPr>
              <w:pStyle w:val="21"/>
              <w:spacing w:before="140"/>
              <w:ind w:left="260" w:right="244"/>
              <w:jc w:val="center"/>
              <w:rPr>
                <w:sz w:val="20"/>
              </w:rPr>
            </w:pPr>
            <w:r>
              <w:rPr>
                <w:sz w:val="20"/>
              </w:rPr>
              <w:t>平均每单位生产率</w:t>
            </w:r>
          </w:p>
          <w:p>
            <w:pPr>
              <w:pStyle w:val="21"/>
              <w:spacing w:before="145" w:line="240" w:lineRule="exact"/>
              <w:ind w:left="260" w:right="243"/>
              <w:jc w:val="center"/>
              <w:rPr>
                <w:sz w:val="20"/>
              </w:rPr>
            </w:pPr>
            <w:r>
              <w:rPr>
                <w:sz w:val="20"/>
              </w:rPr>
              <w:t>（数量、每周）</w:t>
            </w:r>
          </w:p>
        </w:tc>
        <w:tc>
          <w:tcPr>
            <w:tcW w:w="2145" w:type="dxa"/>
          </w:tcPr>
          <w:p>
            <w:pPr>
              <w:pStyle w:val="21"/>
              <w:spacing w:before="140"/>
              <w:ind w:left="103" w:right="84"/>
              <w:jc w:val="center"/>
              <w:rPr>
                <w:sz w:val="20"/>
              </w:rPr>
            </w:pPr>
            <w:r>
              <w:rPr>
                <w:sz w:val="20"/>
              </w:rPr>
              <w:t>每生产单位</w:t>
            </w:r>
          </w:p>
          <w:p>
            <w:pPr>
              <w:pStyle w:val="21"/>
              <w:spacing w:before="145" w:line="240" w:lineRule="exact"/>
              <w:ind w:left="106" w:right="84"/>
              <w:jc w:val="center"/>
              <w:rPr>
                <w:sz w:val="20"/>
              </w:rPr>
            </w:pPr>
            <w:r>
              <w:rPr>
                <w:sz w:val="20"/>
              </w:rPr>
              <w:t>平均施工时间 （周）</w:t>
            </w:r>
          </w:p>
        </w:tc>
        <w:tc>
          <w:tcPr>
            <w:tcW w:w="2476" w:type="dxa"/>
          </w:tcPr>
          <w:p>
            <w:pPr>
              <w:pStyle w:val="21"/>
              <w:spacing w:before="140"/>
              <w:ind w:left="622" w:right="599"/>
              <w:jc w:val="center"/>
              <w:rPr>
                <w:sz w:val="20"/>
              </w:rPr>
            </w:pPr>
            <w:r>
              <w:rPr>
                <w:sz w:val="20"/>
              </w:rPr>
              <w:t>生产单位总数</w:t>
            </w:r>
          </w:p>
          <w:p>
            <w:pPr>
              <w:pStyle w:val="21"/>
              <w:spacing w:before="145" w:line="240" w:lineRule="exact"/>
              <w:ind w:left="622" w:right="598"/>
              <w:jc w:val="center"/>
              <w:rPr>
                <w:sz w:val="20"/>
              </w:rPr>
            </w:pPr>
            <w:r>
              <w:rPr>
                <w:sz w:val="20"/>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814" w:type="dxa"/>
          </w:tcPr>
          <w:p>
            <w:pPr>
              <w:pStyle w:val="21"/>
              <w:spacing w:before="163"/>
              <w:ind w:left="11"/>
              <w:jc w:val="center"/>
              <w:rPr>
                <w:rFonts w:ascii="Times New Roman"/>
                <w:sz w:val="20"/>
              </w:rPr>
            </w:pPr>
            <w:r>
              <w:rPr>
                <w:rFonts w:ascii="Times New Roman"/>
                <w:w w:val="99"/>
                <w:sz w:val="20"/>
              </w:rPr>
              <w:t>1</w:t>
            </w:r>
          </w:p>
        </w:tc>
        <w:tc>
          <w:tcPr>
            <w:tcW w:w="1994" w:type="dxa"/>
          </w:tcPr>
          <w:p>
            <w:pPr>
              <w:pStyle w:val="21"/>
              <w:spacing w:before="140"/>
              <w:ind w:left="107"/>
              <w:rPr>
                <w:sz w:val="20"/>
              </w:rPr>
            </w:pPr>
            <w:r>
              <w:rPr>
                <w:sz w:val="20"/>
              </w:rPr>
              <w:t>特殊路基处理</w:t>
            </w:r>
          </w:p>
        </w:tc>
        <w:tc>
          <w:tcPr>
            <w:tcW w:w="900" w:type="dxa"/>
          </w:tcPr>
          <w:p>
            <w:pPr>
              <w:pStyle w:val="21"/>
              <w:spacing w:before="163"/>
              <w:ind w:left="167" w:right="152"/>
              <w:jc w:val="center"/>
              <w:rPr>
                <w:rFonts w:ascii="Times New Roman"/>
                <w:sz w:val="20"/>
              </w:rPr>
            </w:pPr>
            <w:r>
              <w:rPr>
                <w:rFonts w:ascii="Times New Roman"/>
                <w:sz w:val="20"/>
              </w:rPr>
              <w:t>km</w:t>
            </w:r>
          </w:p>
        </w:tc>
        <w:tc>
          <w:tcPr>
            <w:tcW w:w="899" w:type="dxa"/>
          </w:tcPr>
          <w:p>
            <w:pPr>
              <w:pStyle w:val="21"/>
              <w:rPr>
                <w:rFonts w:ascii="Times New Roman"/>
                <w:sz w:val="20"/>
              </w:rPr>
            </w:pPr>
          </w:p>
        </w:tc>
        <w:tc>
          <w:tcPr>
            <w:tcW w:w="2699" w:type="dxa"/>
          </w:tcPr>
          <w:p>
            <w:pPr>
              <w:pStyle w:val="21"/>
              <w:rPr>
                <w:rFonts w:ascii="Times New Roman"/>
                <w:sz w:val="20"/>
              </w:rPr>
            </w:pPr>
          </w:p>
        </w:tc>
        <w:tc>
          <w:tcPr>
            <w:tcW w:w="2159" w:type="dxa"/>
          </w:tcPr>
          <w:p>
            <w:pPr>
              <w:pStyle w:val="21"/>
              <w:rPr>
                <w:rFonts w:ascii="Times New Roman"/>
                <w:sz w:val="20"/>
              </w:rPr>
            </w:pPr>
          </w:p>
        </w:tc>
        <w:tc>
          <w:tcPr>
            <w:tcW w:w="2145" w:type="dxa"/>
          </w:tcPr>
          <w:p>
            <w:pPr>
              <w:pStyle w:val="21"/>
              <w:rPr>
                <w:rFonts w:ascii="Times New Roman"/>
                <w:sz w:val="20"/>
              </w:rPr>
            </w:pPr>
          </w:p>
        </w:tc>
        <w:tc>
          <w:tcPr>
            <w:tcW w:w="2476"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4" w:type="dxa"/>
          </w:tcPr>
          <w:p>
            <w:pPr>
              <w:pStyle w:val="21"/>
              <w:spacing w:before="185"/>
              <w:ind w:left="11"/>
              <w:jc w:val="center"/>
              <w:rPr>
                <w:rFonts w:ascii="Times New Roman"/>
                <w:sz w:val="20"/>
              </w:rPr>
            </w:pPr>
            <w:r>
              <w:rPr>
                <w:rFonts w:ascii="Times New Roman"/>
                <w:w w:val="99"/>
                <w:sz w:val="20"/>
              </w:rPr>
              <w:t>2</w:t>
            </w:r>
          </w:p>
        </w:tc>
        <w:tc>
          <w:tcPr>
            <w:tcW w:w="1994" w:type="dxa"/>
          </w:tcPr>
          <w:p>
            <w:pPr>
              <w:pStyle w:val="21"/>
              <w:spacing w:before="162"/>
              <w:ind w:left="107"/>
              <w:rPr>
                <w:sz w:val="20"/>
              </w:rPr>
            </w:pPr>
            <w:r>
              <w:rPr>
                <w:sz w:val="20"/>
              </w:rPr>
              <w:t>路基填筑</w:t>
            </w:r>
          </w:p>
        </w:tc>
        <w:tc>
          <w:tcPr>
            <w:tcW w:w="900" w:type="dxa"/>
          </w:tcPr>
          <w:p>
            <w:pPr>
              <w:pStyle w:val="21"/>
              <w:spacing w:before="162"/>
              <w:ind w:left="167" w:right="156"/>
              <w:jc w:val="center"/>
              <w:rPr>
                <w:rFonts w:ascii="Times New Roman" w:eastAsia="Times New Roman"/>
                <w:sz w:val="20"/>
              </w:rPr>
            </w:pPr>
            <w:r>
              <w:rPr>
                <w:sz w:val="20"/>
              </w:rPr>
              <w:t xml:space="preserve">万 </w:t>
            </w:r>
            <w:r>
              <w:rPr>
                <w:rFonts w:ascii="Times New Roman" w:eastAsia="Times New Roman"/>
                <w:sz w:val="20"/>
              </w:rPr>
              <w:t>m</w:t>
            </w:r>
            <w:r>
              <w:rPr>
                <w:rFonts w:ascii="Times New Roman" w:eastAsia="Times New Roman"/>
                <w:sz w:val="20"/>
                <w:vertAlign w:val="superscript"/>
              </w:rPr>
              <w:t>3</w:t>
            </w:r>
          </w:p>
        </w:tc>
        <w:tc>
          <w:tcPr>
            <w:tcW w:w="899" w:type="dxa"/>
          </w:tcPr>
          <w:p>
            <w:pPr>
              <w:pStyle w:val="21"/>
              <w:rPr>
                <w:rFonts w:ascii="Times New Roman"/>
                <w:sz w:val="20"/>
              </w:rPr>
            </w:pPr>
          </w:p>
        </w:tc>
        <w:tc>
          <w:tcPr>
            <w:tcW w:w="2699" w:type="dxa"/>
          </w:tcPr>
          <w:p>
            <w:pPr>
              <w:pStyle w:val="21"/>
              <w:rPr>
                <w:rFonts w:ascii="Times New Roman"/>
                <w:sz w:val="20"/>
              </w:rPr>
            </w:pPr>
          </w:p>
        </w:tc>
        <w:tc>
          <w:tcPr>
            <w:tcW w:w="2159" w:type="dxa"/>
          </w:tcPr>
          <w:p>
            <w:pPr>
              <w:pStyle w:val="21"/>
              <w:rPr>
                <w:rFonts w:ascii="Times New Roman"/>
                <w:sz w:val="20"/>
              </w:rPr>
            </w:pPr>
          </w:p>
        </w:tc>
        <w:tc>
          <w:tcPr>
            <w:tcW w:w="2145" w:type="dxa"/>
          </w:tcPr>
          <w:p>
            <w:pPr>
              <w:pStyle w:val="21"/>
              <w:rPr>
                <w:rFonts w:ascii="Times New Roman"/>
                <w:sz w:val="20"/>
              </w:rPr>
            </w:pPr>
          </w:p>
        </w:tc>
        <w:tc>
          <w:tcPr>
            <w:tcW w:w="2476"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814" w:type="dxa"/>
          </w:tcPr>
          <w:p>
            <w:pPr>
              <w:pStyle w:val="21"/>
              <w:spacing w:before="182"/>
              <w:ind w:left="11"/>
              <w:jc w:val="center"/>
              <w:rPr>
                <w:rFonts w:ascii="Times New Roman"/>
                <w:sz w:val="20"/>
              </w:rPr>
            </w:pPr>
            <w:r>
              <w:rPr>
                <w:rFonts w:ascii="Times New Roman"/>
                <w:w w:val="99"/>
                <w:sz w:val="20"/>
              </w:rPr>
              <w:t>3</w:t>
            </w:r>
          </w:p>
        </w:tc>
        <w:tc>
          <w:tcPr>
            <w:tcW w:w="1994" w:type="dxa"/>
          </w:tcPr>
          <w:p>
            <w:pPr>
              <w:pStyle w:val="21"/>
              <w:spacing w:before="159"/>
              <w:ind w:left="107"/>
              <w:rPr>
                <w:sz w:val="20"/>
              </w:rPr>
            </w:pPr>
            <w:r>
              <w:rPr>
                <w:sz w:val="20"/>
              </w:rPr>
              <w:t>路面基层</w:t>
            </w:r>
          </w:p>
        </w:tc>
        <w:tc>
          <w:tcPr>
            <w:tcW w:w="900" w:type="dxa"/>
          </w:tcPr>
          <w:p>
            <w:pPr>
              <w:pStyle w:val="21"/>
              <w:spacing w:before="159"/>
              <w:ind w:left="167" w:right="156"/>
              <w:jc w:val="center"/>
              <w:rPr>
                <w:rFonts w:ascii="Times New Roman" w:eastAsia="Times New Roman"/>
                <w:sz w:val="20"/>
              </w:rPr>
            </w:pPr>
            <w:r>
              <w:rPr>
                <w:sz w:val="20"/>
              </w:rPr>
              <w:t xml:space="preserve">万 </w:t>
            </w:r>
            <w:r>
              <w:rPr>
                <w:rFonts w:ascii="Times New Roman" w:eastAsia="Times New Roman"/>
                <w:sz w:val="20"/>
              </w:rPr>
              <w:t>m</w:t>
            </w:r>
            <w:r>
              <w:rPr>
                <w:rFonts w:ascii="Times New Roman" w:eastAsia="Times New Roman"/>
                <w:sz w:val="20"/>
                <w:vertAlign w:val="superscript"/>
              </w:rPr>
              <w:t>2</w:t>
            </w:r>
          </w:p>
        </w:tc>
        <w:tc>
          <w:tcPr>
            <w:tcW w:w="899" w:type="dxa"/>
          </w:tcPr>
          <w:p>
            <w:pPr>
              <w:pStyle w:val="21"/>
              <w:rPr>
                <w:rFonts w:ascii="Times New Roman"/>
                <w:sz w:val="20"/>
              </w:rPr>
            </w:pPr>
          </w:p>
        </w:tc>
        <w:tc>
          <w:tcPr>
            <w:tcW w:w="2699" w:type="dxa"/>
          </w:tcPr>
          <w:p>
            <w:pPr>
              <w:pStyle w:val="21"/>
              <w:rPr>
                <w:rFonts w:ascii="Times New Roman"/>
                <w:sz w:val="20"/>
              </w:rPr>
            </w:pPr>
          </w:p>
        </w:tc>
        <w:tc>
          <w:tcPr>
            <w:tcW w:w="2159" w:type="dxa"/>
          </w:tcPr>
          <w:p>
            <w:pPr>
              <w:pStyle w:val="21"/>
              <w:rPr>
                <w:rFonts w:ascii="Times New Roman"/>
                <w:sz w:val="20"/>
              </w:rPr>
            </w:pPr>
          </w:p>
        </w:tc>
        <w:tc>
          <w:tcPr>
            <w:tcW w:w="2145" w:type="dxa"/>
          </w:tcPr>
          <w:p>
            <w:pPr>
              <w:pStyle w:val="21"/>
              <w:rPr>
                <w:rFonts w:ascii="Times New Roman"/>
                <w:sz w:val="20"/>
              </w:rPr>
            </w:pPr>
          </w:p>
        </w:tc>
        <w:tc>
          <w:tcPr>
            <w:tcW w:w="2476"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4" w:type="dxa"/>
          </w:tcPr>
          <w:p>
            <w:pPr>
              <w:pStyle w:val="21"/>
              <w:spacing w:before="185"/>
              <w:ind w:left="11"/>
              <w:jc w:val="center"/>
              <w:rPr>
                <w:rFonts w:ascii="Times New Roman"/>
                <w:sz w:val="20"/>
              </w:rPr>
            </w:pPr>
            <w:r>
              <w:rPr>
                <w:rFonts w:ascii="Times New Roman"/>
                <w:w w:val="99"/>
                <w:sz w:val="20"/>
              </w:rPr>
              <w:t>4</w:t>
            </w:r>
          </w:p>
        </w:tc>
        <w:tc>
          <w:tcPr>
            <w:tcW w:w="1994" w:type="dxa"/>
          </w:tcPr>
          <w:p>
            <w:pPr>
              <w:pStyle w:val="21"/>
              <w:spacing w:before="162"/>
              <w:ind w:left="107"/>
              <w:rPr>
                <w:sz w:val="20"/>
              </w:rPr>
            </w:pPr>
            <w:r>
              <w:rPr>
                <w:sz w:val="20"/>
              </w:rPr>
              <w:t>路面面层</w:t>
            </w:r>
          </w:p>
        </w:tc>
        <w:tc>
          <w:tcPr>
            <w:tcW w:w="900" w:type="dxa"/>
          </w:tcPr>
          <w:p>
            <w:pPr>
              <w:pStyle w:val="21"/>
              <w:spacing w:before="162"/>
              <w:ind w:left="167" w:right="156"/>
              <w:jc w:val="center"/>
              <w:rPr>
                <w:rFonts w:ascii="Times New Roman" w:eastAsia="Times New Roman"/>
                <w:sz w:val="20"/>
              </w:rPr>
            </w:pPr>
            <w:r>
              <w:rPr>
                <w:sz w:val="20"/>
              </w:rPr>
              <w:t xml:space="preserve">万 </w:t>
            </w:r>
            <w:r>
              <w:rPr>
                <w:rFonts w:ascii="Times New Roman" w:eastAsia="Times New Roman"/>
                <w:sz w:val="20"/>
              </w:rPr>
              <w:t>m</w:t>
            </w:r>
            <w:r>
              <w:rPr>
                <w:rFonts w:ascii="Times New Roman" w:eastAsia="Times New Roman"/>
                <w:sz w:val="20"/>
                <w:vertAlign w:val="superscript"/>
              </w:rPr>
              <w:t>2</w:t>
            </w:r>
          </w:p>
        </w:tc>
        <w:tc>
          <w:tcPr>
            <w:tcW w:w="899" w:type="dxa"/>
          </w:tcPr>
          <w:p>
            <w:pPr>
              <w:pStyle w:val="21"/>
              <w:rPr>
                <w:rFonts w:ascii="Times New Roman"/>
                <w:sz w:val="20"/>
              </w:rPr>
            </w:pPr>
          </w:p>
        </w:tc>
        <w:tc>
          <w:tcPr>
            <w:tcW w:w="2699" w:type="dxa"/>
          </w:tcPr>
          <w:p>
            <w:pPr>
              <w:pStyle w:val="21"/>
              <w:rPr>
                <w:rFonts w:ascii="Times New Roman"/>
                <w:sz w:val="20"/>
              </w:rPr>
            </w:pPr>
          </w:p>
        </w:tc>
        <w:tc>
          <w:tcPr>
            <w:tcW w:w="2159" w:type="dxa"/>
          </w:tcPr>
          <w:p>
            <w:pPr>
              <w:pStyle w:val="21"/>
              <w:rPr>
                <w:rFonts w:ascii="Times New Roman"/>
                <w:sz w:val="20"/>
              </w:rPr>
            </w:pPr>
          </w:p>
        </w:tc>
        <w:tc>
          <w:tcPr>
            <w:tcW w:w="2145" w:type="dxa"/>
          </w:tcPr>
          <w:p>
            <w:pPr>
              <w:pStyle w:val="21"/>
              <w:rPr>
                <w:rFonts w:ascii="Times New Roman"/>
                <w:sz w:val="20"/>
              </w:rPr>
            </w:pPr>
          </w:p>
        </w:tc>
        <w:tc>
          <w:tcPr>
            <w:tcW w:w="2476"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814" w:type="dxa"/>
          </w:tcPr>
          <w:p>
            <w:pPr>
              <w:pStyle w:val="21"/>
              <w:spacing w:before="182"/>
              <w:ind w:left="11"/>
              <w:jc w:val="center"/>
              <w:rPr>
                <w:rFonts w:ascii="Times New Roman"/>
                <w:sz w:val="20"/>
              </w:rPr>
            </w:pPr>
            <w:r>
              <w:rPr>
                <w:rFonts w:ascii="Times New Roman"/>
                <w:w w:val="99"/>
                <w:sz w:val="20"/>
              </w:rPr>
              <w:t>5</w:t>
            </w:r>
          </w:p>
        </w:tc>
        <w:tc>
          <w:tcPr>
            <w:tcW w:w="1994" w:type="dxa"/>
          </w:tcPr>
          <w:p>
            <w:pPr>
              <w:pStyle w:val="21"/>
              <w:spacing w:before="159"/>
              <w:ind w:left="107"/>
              <w:rPr>
                <w:sz w:val="20"/>
              </w:rPr>
            </w:pPr>
            <w:r>
              <w:rPr>
                <w:sz w:val="20"/>
              </w:rPr>
              <w:t>路基防护及排水</w:t>
            </w:r>
          </w:p>
        </w:tc>
        <w:tc>
          <w:tcPr>
            <w:tcW w:w="900" w:type="dxa"/>
          </w:tcPr>
          <w:p>
            <w:pPr>
              <w:pStyle w:val="21"/>
              <w:spacing w:before="182"/>
              <w:ind w:left="167" w:right="152"/>
              <w:jc w:val="center"/>
              <w:rPr>
                <w:rFonts w:ascii="Times New Roman"/>
                <w:sz w:val="20"/>
              </w:rPr>
            </w:pPr>
            <w:r>
              <w:rPr>
                <w:rFonts w:ascii="Times New Roman"/>
                <w:sz w:val="20"/>
              </w:rPr>
              <w:t>km</w:t>
            </w:r>
          </w:p>
        </w:tc>
        <w:tc>
          <w:tcPr>
            <w:tcW w:w="899" w:type="dxa"/>
          </w:tcPr>
          <w:p>
            <w:pPr>
              <w:pStyle w:val="21"/>
              <w:rPr>
                <w:rFonts w:ascii="Times New Roman"/>
                <w:sz w:val="20"/>
              </w:rPr>
            </w:pPr>
          </w:p>
        </w:tc>
        <w:tc>
          <w:tcPr>
            <w:tcW w:w="2699" w:type="dxa"/>
          </w:tcPr>
          <w:p>
            <w:pPr>
              <w:pStyle w:val="21"/>
              <w:rPr>
                <w:rFonts w:ascii="Times New Roman"/>
                <w:sz w:val="20"/>
              </w:rPr>
            </w:pPr>
          </w:p>
        </w:tc>
        <w:tc>
          <w:tcPr>
            <w:tcW w:w="2159" w:type="dxa"/>
          </w:tcPr>
          <w:p>
            <w:pPr>
              <w:pStyle w:val="21"/>
              <w:rPr>
                <w:rFonts w:ascii="Times New Roman"/>
                <w:sz w:val="20"/>
              </w:rPr>
            </w:pPr>
          </w:p>
        </w:tc>
        <w:tc>
          <w:tcPr>
            <w:tcW w:w="2145" w:type="dxa"/>
          </w:tcPr>
          <w:p>
            <w:pPr>
              <w:pStyle w:val="21"/>
              <w:rPr>
                <w:rFonts w:ascii="Times New Roman"/>
                <w:sz w:val="20"/>
              </w:rPr>
            </w:pPr>
          </w:p>
        </w:tc>
        <w:tc>
          <w:tcPr>
            <w:tcW w:w="2476"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4" w:type="dxa"/>
          </w:tcPr>
          <w:p>
            <w:pPr>
              <w:pStyle w:val="21"/>
              <w:spacing w:before="185"/>
              <w:ind w:left="11"/>
              <w:jc w:val="center"/>
              <w:rPr>
                <w:rFonts w:ascii="Times New Roman"/>
                <w:sz w:val="20"/>
              </w:rPr>
            </w:pPr>
            <w:r>
              <w:rPr>
                <w:rFonts w:ascii="Times New Roman"/>
                <w:w w:val="99"/>
                <w:sz w:val="20"/>
              </w:rPr>
              <w:t>6</w:t>
            </w:r>
          </w:p>
        </w:tc>
        <w:tc>
          <w:tcPr>
            <w:tcW w:w="1994" w:type="dxa"/>
          </w:tcPr>
          <w:p>
            <w:pPr>
              <w:pStyle w:val="21"/>
              <w:spacing w:before="162"/>
              <w:ind w:left="107"/>
              <w:rPr>
                <w:sz w:val="20"/>
              </w:rPr>
            </w:pPr>
            <w:r>
              <w:rPr>
                <w:sz w:val="20"/>
              </w:rPr>
              <w:t>涵洞</w:t>
            </w:r>
          </w:p>
        </w:tc>
        <w:tc>
          <w:tcPr>
            <w:tcW w:w="900" w:type="dxa"/>
          </w:tcPr>
          <w:p>
            <w:pPr>
              <w:pStyle w:val="21"/>
              <w:spacing w:before="162"/>
              <w:ind w:left="15"/>
              <w:jc w:val="center"/>
              <w:rPr>
                <w:sz w:val="20"/>
              </w:rPr>
            </w:pPr>
            <w:r>
              <w:rPr>
                <w:w w:val="99"/>
                <w:sz w:val="20"/>
              </w:rPr>
              <w:t>道</w:t>
            </w:r>
          </w:p>
        </w:tc>
        <w:tc>
          <w:tcPr>
            <w:tcW w:w="899" w:type="dxa"/>
          </w:tcPr>
          <w:p>
            <w:pPr>
              <w:pStyle w:val="21"/>
              <w:rPr>
                <w:rFonts w:ascii="Times New Roman"/>
                <w:sz w:val="20"/>
              </w:rPr>
            </w:pPr>
          </w:p>
        </w:tc>
        <w:tc>
          <w:tcPr>
            <w:tcW w:w="2699" w:type="dxa"/>
          </w:tcPr>
          <w:p>
            <w:pPr>
              <w:pStyle w:val="21"/>
              <w:rPr>
                <w:rFonts w:ascii="Times New Roman"/>
                <w:sz w:val="20"/>
              </w:rPr>
            </w:pPr>
          </w:p>
        </w:tc>
        <w:tc>
          <w:tcPr>
            <w:tcW w:w="2159" w:type="dxa"/>
          </w:tcPr>
          <w:p>
            <w:pPr>
              <w:pStyle w:val="21"/>
              <w:rPr>
                <w:rFonts w:ascii="Times New Roman"/>
                <w:sz w:val="20"/>
              </w:rPr>
            </w:pPr>
          </w:p>
        </w:tc>
        <w:tc>
          <w:tcPr>
            <w:tcW w:w="2145" w:type="dxa"/>
          </w:tcPr>
          <w:p>
            <w:pPr>
              <w:pStyle w:val="21"/>
              <w:rPr>
                <w:rFonts w:ascii="Times New Roman"/>
                <w:sz w:val="20"/>
              </w:rPr>
            </w:pPr>
          </w:p>
        </w:tc>
        <w:tc>
          <w:tcPr>
            <w:tcW w:w="2476"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4" w:type="dxa"/>
          </w:tcPr>
          <w:p>
            <w:pPr>
              <w:pStyle w:val="21"/>
              <w:spacing w:before="185"/>
              <w:ind w:left="11"/>
              <w:jc w:val="center"/>
              <w:rPr>
                <w:rFonts w:ascii="Times New Roman"/>
                <w:sz w:val="20"/>
              </w:rPr>
            </w:pPr>
            <w:r>
              <w:rPr>
                <w:rFonts w:ascii="Times New Roman"/>
                <w:w w:val="99"/>
                <w:sz w:val="20"/>
              </w:rPr>
              <w:t>7</w:t>
            </w:r>
          </w:p>
        </w:tc>
        <w:tc>
          <w:tcPr>
            <w:tcW w:w="1994" w:type="dxa"/>
          </w:tcPr>
          <w:p>
            <w:pPr>
              <w:pStyle w:val="21"/>
              <w:spacing w:before="162"/>
              <w:ind w:left="107"/>
              <w:rPr>
                <w:sz w:val="20"/>
              </w:rPr>
            </w:pPr>
            <w:r>
              <w:rPr>
                <w:sz w:val="20"/>
              </w:rPr>
              <w:t>通道</w:t>
            </w:r>
          </w:p>
        </w:tc>
        <w:tc>
          <w:tcPr>
            <w:tcW w:w="900" w:type="dxa"/>
          </w:tcPr>
          <w:p>
            <w:pPr>
              <w:pStyle w:val="21"/>
              <w:spacing w:before="162"/>
              <w:ind w:left="15"/>
              <w:jc w:val="center"/>
              <w:rPr>
                <w:sz w:val="20"/>
              </w:rPr>
            </w:pPr>
            <w:r>
              <w:rPr>
                <w:w w:val="99"/>
                <w:sz w:val="20"/>
              </w:rPr>
              <w:t>道</w:t>
            </w:r>
          </w:p>
        </w:tc>
        <w:tc>
          <w:tcPr>
            <w:tcW w:w="899" w:type="dxa"/>
          </w:tcPr>
          <w:p>
            <w:pPr>
              <w:pStyle w:val="21"/>
              <w:rPr>
                <w:rFonts w:ascii="Times New Roman"/>
                <w:sz w:val="20"/>
              </w:rPr>
            </w:pPr>
          </w:p>
        </w:tc>
        <w:tc>
          <w:tcPr>
            <w:tcW w:w="2699" w:type="dxa"/>
          </w:tcPr>
          <w:p>
            <w:pPr>
              <w:pStyle w:val="21"/>
              <w:rPr>
                <w:rFonts w:ascii="Times New Roman"/>
                <w:sz w:val="20"/>
              </w:rPr>
            </w:pPr>
          </w:p>
        </w:tc>
        <w:tc>
          <w:tcPr>
            <w:tcW w:w="2159" w:type="dxa"/>
          </w:tcPr>
          <w:p>
            <w:pPr>
              <w:pStyle w:val="21"/>
              <w:rPr>
                <w:rFonts w:ascii="Times New Roman"/>
                <w:sz w:val="20"/>
              </w:rPr>
            </w:pPr>
          </w:p>
        </w:tc>
        <w:tc>
          <w:tcPr>
            <w:tcW w:w="2145" w:type="dxa"/>
          </w:tcPr>
          <w:p>
            <w:pPr>
              <w:pStyle w:val="21"/>
              <w:rPr>
                <w:rFonts w:ascii="Times New Roman"/>
                <w:sz w:val="20"/>
              </w:rPr>
            </w:pPr>
          </w:p>
        </w:tc>
        <w:tc>
          <w:tcPr>
            <w:tcW w:w="2476"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814" w:type="dxa"/>
          </w:tcPr>
          <w:p>
            <w:pPr>
              <w:pStyle w:val="21"/>
              <w:spacing w:before="182"/>
              <w:ind w:left="11"/>
              <w:jc w:val="center"/>
              <w:rPr>
                <w:rFonts w:ascii="Times New Roman"/>
                <w:sz w:val="20"/>
              </w:rPr>
            </w:pPr>
            <w:r>
              <w:rPr>
                <w:rFonts w:ascii="Times New Roman"/>
                <w:w w:val="99"/>
                <w:sz w:val="20"/>
              </w:rPr>
              <w:t>8</w:t>
            </w:r>
          </w:p>
        </w:tc>
        <w:tc>
          <w:tcPr>
            <w:tcW w:w="1994" w:type="dxa"/>
          </w:tcPr>
          <w:p>
            <w:pPr>
              <w:pStyle w:val="21"/>
              <w:spacing w:before="159"/>
              <w:ind w:left="107"/>
              <w:rPr>
                <w:sz w:val="20"/>
              </w:rPr>
            </w:pPr>
            <w:r>
              <w:rPr>
                <w:sz w:val="20"/>
              </w:rPr>
              <w:t>桥梁基桩</w:t>
            </w:r>
          </w:p>
        </w:tc>
        <w:tc>
          <w:tcPr>
            <w:tcW w:w="900" w:type="dxa"/>
          </w:tcPr>
          <w:p>
            <w:pPr>
              <w:pStyle w:val="21"/>
              <w:spacing w:before="159"/>
              <w:ind w:left="15"/>
              <w:jc w:val="center"/>
              <w:rPr>
                <w:sz w:val="20"/>
              </w:rPr>
            </w:pPr>
            <w:r>
              <w:rPr>
                <w:w w:val="99"/>
                <w:sz w:val="20"/>
              </w:rPr>
              <w:t>根</w:t>
            </w:r>
          </w:p>
        </w:tc>
        <w:tc>
          <w:tcPr>
            <w:tcW w:w="899" w:type="dxa"/>
          </w:tcPr>
          <w:p>
            <w:pPr>
              <w:pStyle w:val="21"/>
              <w:rPr>
                <w:rFonts w:ascii="Times New Roman"/>
                <w:sz w:val="20"/>
              </w:rPr>
            </w:pPr>
          </w:p>
        </w:tc>
        <w:tc>
          <w:tcPr>
            <w:tcW w:w="2699" w:type="dxa"/>
          </w:tcPr>
          <w:p>
            <w:pPr>
              <w:pStyle w:val="21"/>
              <w:rPr>
                <w:rFonts w:ascii="Times New Roman"/>
                <w:sz w:val="20"/>
              </w:rPr>
            </w:pPr>
          </w:p>
        </w:tc>
        <w:tc>
          <w:tcPr>
            <w:tcW w:w="2159" w:type="dxa"/>
          </w:tcPr>
          <w:p>
            <w:pPr>
              <w:pStyle w:val="21"/>
              <w:rPr>
                <w:rFonts w:ascii="Times New Roman"/>
                <w:sz w:val="20"/>
              </w:rPr>
            </w:pPr>
          </w:p>
        </w:tc>
        <w:tc>
          <w:tcPr>
            <w:tcW w:w="2145" w:type="dxa"/>
          </w:tcPr>
          <w:p>
            <w:pPr>
              <w:pStyle w:val="21"/>
              <w:rPr>
                <w:rFonts w:ascii="Times New Roman"/>
                <w:sz w:val="20"/>
              </w:rPr>
            </w:pPr>
          </w:p>
        </w:tc>
        <w:tc>
          <w:tcPr>
            <w:tcW w:w="2476"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4" w:type="dxa"/>
          </w:tcPr>
          <w:p>
            <w:pPr>
              <w:pStyle w:val="21"/>
              <w:spacing w:before="185"/>
              <w:ind w:left="11"/>
              <w:jc w:val="center"/>
              <w:rPr>
                <w:rFonts w:ascii="Times New Roman"/>
                <w:sz w:val="20"/>
              </w:rPr>
            </w:pPr>
            <w:r>
              <w:rPr>
                <w:rFonts w:ascii="Times New Roman"/>
                <w:w w:val="99"/>
                <w:sz w:val="20"/>
              </w:rPr>
              <w:t>9</w:t>
            </w:r>
          </w:p>
        </w:tc>
        <w:tc>
          <w:tcPr>
            <w:tcW w:w="1994" w:type="dxa"/>
          </w:tcPr>
          <w:p>
            <w:pPr>
              <w:pStyle w:val="21"/>
              <w:spacing w:before="162"/>
              <w:ind w:left="107"/>
              <w:rPr>
                <w:sz w:val="20"/>
              </w:rPr>
            </w:pPr>
            <w:r>
              <w:rPr>
                <w:sz w:val="20"/>
              </w:rPr>
              <w:t>桥梁墩台</w:t>
            </w:r>
          </w:p>
        </w:tc>
        <w:tc>
          <w:tcPr>
            <w:tcW w:w="900" w:type="dxa"/>
          </w:tcPr>
          <w:p>
            <w:pPr>
              <w:pStyle w:val="21"/>
              <w:spacing w:before="162"/>
              <w:ind w:left="15"/>
              <w:jc w:val="center"/>
              <w:rPr>
                <w:sz w:val="20"/>
              </w:rPr>
            </w:pPr>
            <w:r>
              <w:rPr>
                <w:w w:val="99"/>
                <w:sz w:val="20"/>
              </w:rPr>
              <w:t>座</w:t>
            </w:r>
          </w:p>
        </w:tc>
        <w:tc>
          <w:tcPr>
            <w:tcW w:w="899" w:type="dxa"/>
          </w:tcPr>
          <w:p>
            <w:pPr>
              <w:pStyle w:val="21"/>
              <w:rPr>
                <w:rFonts w:ascii="Times New Roman"/>
                <w:sz w:val="20"/>
              </w:rPr>
            </w:pPr>
          </w:p>
        </w:tc>
        <w:tc>
          <w:tcPr>
            <w:tcW w:w="2699" w:type="dxa"/>
          </w:tcPr>
          <w:p>
            <w:pPr>
              <w:pStyle w:val="21"/>
              <w:rPr>
                <w:rFonts w:ascii="Times New Roman"/>
                <w:sz w:val="20"/>
              </w:rPr>
            </w:pPr>
          </w:p>
        </w:tc>
        <w:tc>
          <w:tcPr>
            <w:tcW w:w="2159" w:type="dxa"/>
          </w:tcPr>
          <w:p>
            <w:pPr>
              <w:pStyle w:val="21"/>
              <w:rPr>
                <w:rFonts w:ascii="Times New Roman"/>
                <w:sz w:val="20"/>
              </w:rPr>
            </w:pPr>
          </w:p>
        </w:tc>
        <w:tc>
          <w:tcPr>
            <w:tcW w:w="2145" w:type="dxa"/>
          </w:tcPr>
          <w:p>
            <w:pPr>
              <w:pStyle w:val="21"/>
              <w:rPr>
                <w:rFonts w:ascii="Times New Roman"/>
                <w:sz w:val="20"/>
              </w:rPr>
            </w:pPr>
          </w:p>
        </w:tc>
        <w:tc>
          <w:tcPr>
            <w:tcW w:w="2476"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4" w:type="dxa"/>
          </w:tcPr>
          <w:p>
            <w:pPr>
              <w:pStyle w:val="21"/>
              <w:spacing w:before="182"/>
              <w:ind w:left="185" w:right="168"/>
              <w:jc w:val="center"/>
              <w:rPr>
                <w:rFonts w:ascii="Times New Roman"/>
                <w:sz w:val="20"/>
              </w:rPr>
            </w:pPr>
            <w:r>
              <w:rPr>
                <w:rFonts w:ascii="Times New Roman"/>
                <w:sz w:val="20"/>
              </w:rPr>
              <w:t>10</w:t>
            </w:r>
          </w:p>
        </w:tc>
        <w:tc>
          <w:tcPr>
            <w:tcW w:w="1994" w:type="dxa"/>
          </w:tcPr>
          <w:p>
            <w:pPr>
              <w:pStyle w:val="21"/>
              <w:spacing w:before="159"/>
              <w:ind w:left="107"/>
              <w:rPr>
                <w:sz w:val="20"/>
              </w:rPr>
            </w:pPr>
            <w:r>
              <w:rPr>
                <w:sz w:val="20"/>
              </w:rPr>
              <w:t>梁体预制安装</w:t>
            </w:r>
          </w:p>
        </w:tc>
        <w:tc>
          <w:tcPr>
            <w:tcW w:w="900" w:type="dxa"/>
          </w:tcPr>
          <w:p>
            <w:pPr>
              <w:pStyle w:val="21"/>
              <w:spacing w:before="159"/>
              <w:ind w:left="15"/>
              <w:jc w:val="center"/>
              <w:rPr>
                <w:sz w:val="20"/>
              </w:rPr>
            </w:pPr>
            <w:r>
              <w:rPr>
                <w:w w:val="99"/>
                <w:sz w:val="20"/>
              </w:rPr>
              <w:t>片</w:t>
            </w:r>
          </w:p>
        </w:tc>
        <w:tc>
          <w:tcPr>
            <w:tcW w:w="899" w:type="dxa"/>
          </w:tcPr>
          <w:p>
            <w:pPr>
              <w:pStyle w:val="21"/>
              <w:rPr>
                <w:rFonts w:ascii="Times New Roman"/>
                <w:sz w:val="20"/>
              </w:rPr>
            </w:pPr>
          </w:p>
        </w:tc>
        <w:tc>
          <w:tcPr>
            <w:tcW w:w="2699" w:type="dxa"/>
          </w:tcPr>
          <w:p>
            <w:pPr>
              <w:pStyle w:val="21"/>
              <w:rPr>
                <w:rFonts w:ascii="Times New Roman"/>
                <w:sz w:val="20"/>
              </w:rPr>
            </w:pPr>
          </w:p>
        </w:tc>
        <w:tc>
          <w:tcPr>
            <w:tcW w:w="2159" w:type="dxa"/>
          </w:tcPr>
          <w:p>
            <w:pPr>
              <w:pStyle w:val="21"/>
              <w:rPr>
                <w:rFonts w:ascii="Times New Roman"/>
                <w:sz w:val="20"/>
              </w:rPr>
            </w:pPr>
          </w:p>
        </w:tc>
        <w:tc>
          <w:tcPr>
            <w:tcW w:w="2145" w:type="dxa"/>
          </w:tcPr>
          <w:p>
            <w:pPr>
              <w:pStyle w:val="21"/>
              <w:rPr>
                <w:rFonts w:ascii="Times New Roman"/>
                <w:sz w:val="20"/>
              </w:rPr>
            </w:pPr>
          </w:p>
        </w:tc>
        <w:tc>
          <w:tcPr>
            <w:tcW w:w="2476" w:type="dxa"/>
          </w:tcPr>
          <w:p>
            <w:pPr>
              <w:pStyle w:val="21"/>
              <w:rPr>
                <w:rFonts w:ascii="Times New Roman"/>
                <w:sz w:val="20"/>
              </w:rPr>
            </w:pPr>
          </w:p>
        </w:tc>
      </w:tr>
    </w:tbl>
    <w:p>
      <w:pPr>
        <w:pStyle w:val="11"/>
        <w:spacing w:before="4"/>
        <w:rPr>
          <w:rFonts w:ascii="黑体"/>
          <w:sz w:val="6"/>
        </w:rPr>
      </w:pPr>
    </w:p>
    <w:p>
      <w:pPr>
        <w:spacing w:before="72"/>
        <w:ind w:left="273"/>
        <w:rPr>
          <w:sz w:val="20"/>
        </w:rPr>
      </w:pPr>
      <w:r>
        <w:rPr>
          <w:sz w:val="20"/>
        </w:rPr>
        <w:t>注：互通立交、分离立交的匝道、匝道涵洞、通道、桥梁分别归入表中相关的项目内。</w:t>
      </w:r>
    </w:p>
    <w:p>
      <w:pPr>
        <w:rPr>
          <w:sz w:val="20"/>
        </w:rPr>
        <w:sectPr>
          <w:footerReference r:id="rId96" w:type="default"/>
          <w:footerReference r:id="rId97" w:type="even"/>
          <w:pgSz w:w="16850" w:h="11910" w:orient="landscape"/>
          <w:pgMar w:top="1180" w:right="1300" w:bottom="1060" w:left="1200" w:header="876" w:footer="861" w:gutter="0"/>
          <w:cols w:space="720" w:num="1"/>
        </w:sectPr>
      </w:pPr>
    </w:p>
    <w:p>
      <w:pPr>
        <w:spacing w:before="56"/>
        <w:ind w:left="264"/>
        <w:rPr>
          <w:rFonts w:ascii="黑体" w:eastAsia="黑体"/>
          <w:sz w:val="28"/>
        </w:rPr>
      </w:pPr>
      <w:bookmarkStart w:id="284" w:name="_bookmark303"/>
      <w:bookmarkEnd w:id="284"/>
      <w:r>
        <w:rPr>
          <w:rFonts w:hint="eastAsia" w:ascii="黑体" w:eastAsia="黑体"/>
          <w:sz w:val="28"/>
        </w:rPr>
        <w:t>附表五 施工总平面图</w:t>
      </w:r>
    </w:p>
    <w:p>
      <w:pPr>
        <w:pStyle w:val="11"/>
        <w:rPr>
          <w:rFonts w:ascii="黑体"/>
          <w:sz w:val="28"/>
        </w:rPr>
      </w:pPr>
    </w:p>
    <w:p>
      <w:pPr>
        <w:pStyle w:val="11"/>
        <w:spacing w:before="196" w:line="343" w:lineRule="auto"/>
        <w:ind w:left="264" w:right="323" w:firstLine="479"/>
      </w:pPr>
      <w:r>
        <w:t xml:space="preserve">投标人应递交一份施工总平面图，绘出现场临时设施布置图表并附文字说明， </w:t>
      </w:r>
      <w:r>
        <w:rPr>
          <w:spacing w:val="-8"/>
        </w:rPr>
        <w:t>说明施工营地、料场、临时设施、加工车间、现场办公、设备及仓储、供电、供水、卫生、生活、道路、消防等设施的情况和布置。</w:t>
      </w:r>
    </w:p>
    <w:p>
      <w:pPr>
        <w:spacing w:line="343" w:lineRule="auto"/>
        <w:sectPr>
          <w:pgSz w:w="11910" w:h="16850"/>
          <w:pgMar w:top="1540" w:right="1140" w:bottom="1080" w:left="1380" w:header="883" w:footer="884" w:gutter="0"/>
          <w:cols w:space="720" w:num="1"/>
        </w:sectPr>
      </w:pPr>
    </w:p>
    <w:p>
      <w:pPr>
        <w:spacing w:before="56"/>
        <w:ind w:left="264"/>
        <w:rPr>
          <w:rFonts w:ascii="黑体" w:eastAsia="黑体"/>
          <w:sz w:val="28"/>
        </w:rPr>
      </w:pPr>
      <w:bookmarkStart w:id="285" w:name="_bookmark304"/>
      <w:bookmarkEnd w:id="285"/>
      <w:r>
        <w:rPr>
          <w:rFonts w:hint="eastAsia" w:ascii="黑体" w:eastAsia="黑体"/>
          <w:sz w:val="28"/>
        </w:rPr>
        <w:t>附表六 劳动力计划表</w:t>
      </w:r>
    </w:p>
    <w:p>
      <w:pPr>
        <w:spacing w:before="145" w:after="28"/>
        <w:ind w:right="641"/>
        <w:jc w:val="right"/>
        <w:rPr>
          <w:rFonts w:ascii="黑体" w:eastAsia="黑体"/>
          <w:sz w:val="21"/>
        </w:rPr>
      </w:pPr>
      <w:r>
        <w:rPr>
          <w:rFonts w:hint="eastAsia" w:ascii="黑体" w:eastAsia="黑体"/>
          <w:sz w:val="21"/>
        </w:rPr>
        <w:t>单位：人</w:t>
      </w:r>
    </w:p>
    <w:tbl>
      <w:tblPr>
        <w:tblStyle w:val="19"/>
        <w:tblW w:w="8892"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363"/>
        <w:gridCol w:w="1109"/>
        <w:gridCol w:w="1111"/>
        <w:gridCol w:w="1111"/>
        <w:gridCol w:w="1111"/>
        <w:gridCol w:w="1112"/>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spacing w:before="142"/>
              <w:ind w:left="220"/>
              <w:rPr>
                <w:sz w:val="21"/>
              </w:rPr>
            </w:pPr>
            <w:r>
              <w:rPr>
                <w:sz w:val="21"/>
              </w:rPr>
              <w:t>工种</w:t>
            </w:r>
          </w:p>
        </w:tc>
        <w:tc>
          <w:tcPr>
            <w:tcW w:w="8028" w:type="dxa"/>
            <w:gridSpan w:val="7"/>
          </w:tcPr>
          <w:p>
            <w:pPr>
              <w:pStyle w:val="21"/>
              <w:spacing w:before="142"/>
              <w:ind w:left="2541"/>
              <w:rPr>
                <w:sz w:val="21"/>
              </w:rPr>
            </w:pPr>
            <w:r>
              <w:rPr>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64" w:type="dxa"/>
          </w:tcPr>
          <w:p>
            <w:pPr>
              <w:pStyle w:val="21"/>
              <w:rPr>
                <w:rFonts w:ascii="Times New Roman"/>
              </w:rPr>
            </w:pPr>
          </w:p>
        </w:tc>
        <w:tc>
          <w:tcPr>
            <w:tcW w:w="1363" w:type="dxa"/>
          </w:tcPr>
          <w:p>
            <w:pPr>
              <w:pStyle w:val="21"/>
              <w:rPr>
                <w:rFonts w:ascii="Times New Roman"/>
              </w:rPr>
            </w:pPr>
          </w:p>
        </w:tc>
        <w:tc>
          <w:tcPr>
            <w:tcW w:w="1109"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1" w:type="dxa"/>
          </w:tcPr>
          <w:p>
            <w:pPr>
              <w:pStyle w:val="21"/>
              <w:rPr>
                <w:rFonts w:ascii="Times New Roman"/>
              </w:rPr>
            </w:pPr>
          </w:p>
        </w:tc>
        <w:tc>
          <w:tcPr>
            <w:tcW w:w="1112" w:type="dxa"/>
          </w:tcPr>
          <w:p>
            <w:pPr>
              <w:pStyle w:val="21"/>
              <w:rPr>
                <w:rFonts w:ascii="Times New Roman"/>
              </w:rPr>
            </w:pPr>
          </w:p>
        </w:tc>
        <w:tc>
          <w:tcPr>
            <w:tcW w:w="1111" w:type="dxa"/>
          </w:tcPr>
          <w:p>
            <w:pPr>
              <w:pStyle w:val="21"/>
              <w:rPr>
                <w:rFonts w:ascii="Times New Roman"/>
              </w:rPr>
            </w:pPr>
          </w:p>
        </w:tc>
      </w:tr>
    </w:tbl>
    <w:p>
      <w:pPr>
        <w:rPr>
          <w:rFonts w:ascii="Times New Roman"/>
        </w:rPr>
        <w:sectPr>
          <w:headerReference r:id="rId98" w:type="default"/>
          <w:footerReference r:id="rId100" w:type="default"/>
          <w:headerReference r:id="rId99" w:type="even"/>
          <w:footerReference r:id="rId101" w:type="even"/>
          <w:pgSz w:w="11910" w:h="16850"/>
          <w:pgMar w:top="1540" w:right="1140" w:bottom="1060" w:left="1380" w:header="876" w:footer="860" w:gutter="0"/>
          <w:pgNumType w:start="222"/>
          <w:cols w:space="720" w:num="1"/>
        </w:sectPr>
      </w:pPr>
    </w:p>
    <w:p>
      <w:pPr>
        <w:spacing w:before="56"/>
        <w:ind w:left="264"/>
        <w:rPr>
          <w:rFonts w:ascii="黑体" w:eastAsia="黑体"/>
          <w:sz w:val="28"/>
        </w:rPr>
      </w:pPr>
      <w:bookmarkStart w:id="286" w:name="_bookmark305"/>
      <w:bookmarkEnd w:id="286"/>
      <w:r>
        <w:rPr>
          <w:rFonts w:hint="eastAsia" w:ascii="黑体" w:eastAsia="黑体"/>
          <w:sz w:val="28"/>
        </w:rPr>
        <w:t>附表七 临时占地计划表</w:t>
      </w:r>
    </w:p>
    <w:p>
      <w:pPr>
        <w:pStyle w:val="11"/>
        <w:rPr>
          <w:rFonts w:ascii="黑体"/>
          <w:sz w:val="20"/>
        </w:rPr>
      </w:pPr>
    </w:p>
    <w:p>
      <w:pPr>
        <w:pStyle w:val="11"/>
        <w:spacing w:before="6"/>
        <w:rPr>
          <w:rFonts w:ascii="黑体"/>
          <w:sz w:val="14"/>
        </w:rPr>
      </w:pPr>
    </w:p>
    <w:tbl>
      <w:tblPr>
        <w:tblStyle w:val="19"/>
        <w:tblW w:w="8839" w:type="dxa"/>
        <w:tblInd w:w="1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40"/>
        <w:gridCol w:w="394"/>
        <w:gridCol w:w="396"/>
        <w:gridCol w:w="600"/>
        <w:gridCol w:w="600"/>
        <w:gridCol w:w="600"/>
        <w:gridCol w:w="1560"/>
        <w:gridCol w:w="601"/>
        <w:gridCol w:w="624"/>
        <w:gridCol w:w="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vMerge w:val="restart"/>
          </w:tcPr>
          <w:p>
            <w:pPr>
              <w:pStyle w:val="21"/>
              <w:rPr>
                <w:rFonts w:ascii="黑体"/>
                <w:sz w:val="20"/>
              </w:rPr>
            </w:pPr>
          </w:p>
          <w:p>
            <w:pPr>
              <w:pStyle w:val="21"/>
              <w:spacing w:before="10"/>
              <w:rPr>
                <w:rFonts w:ascii="黑体"/>
                <w:sz w:val="21"/>
              </w:rPr>
            </w:pPr>
          </w:p>
          <w:p>
            <w:pPr>
              <w:pStyle w:val="21"/>
              <w:tabs>
                <w:tab w:val="left" w:pos="1840"/>
              </w:tabs>
              <w:ind w:left="789"/>
              <w:rPr>
                <w:sz w:val="21"/>
              </w:rPr>
            </w:pPr>
            <w:r>
              <w:rPr>
                <w:sz w:val="21"/>
              </w:rPr>
              <w:t>用</w:t>
            </w:r>
            <w:r>
              <w:rPr>
                <w:sz w:val="21"/>
              </w:rPr>
              <w:tab/>
            </w:r>
            <w:r>
              <w:rPr>
                <w:sz w:val="21"/>
              </w:rPr>
              <w:t>途</w:t>
            </w:r>
          </w:p>
        </w:tc>
        <w:tc>
          <w:tcPr>
            <w:tcW w:w="2590" w:type="dxa"/>
            <w:gridSpan w:val="5"/>
          </w:tcPr>
          <w:p>
            <w:pPr>
              <w:pStyle w:val="21"/>
              <w:tabs>
                <w:tab w:val="left" w:pos="1177"/>
              </w:tabs>
              <w:spacing w:before="130" w:line="250" w:lineRule="exact"/>
              <w:ind w:left="441"/>
              <w:rPr>
                <w:sz w:val="21"/>
              </w:rPr>
            </w:pPr>
            <w:r>
              <w:rPr>
                <w:sz w:val="21"/>
              </w:rPr>
              <w:t>面</w:t>
            </w:r>
            <w:r>
              <w:rPr>
                <w:sz w:val="21"/>
              </w:rPr>
              <w:tab/>
            </w:r>
            <w:r>
              <w:rPr>
                <w:sz w:val="21"/>
              </w:rPr>
              <w:t>积</w:t>
            </w:r>
            <w:r>
              <w:rPr>
                <w:spacing w:val="-3"/>
                <w:sz w:val="21"/>
              </w:rPr>
              <w:t xml:space="preserve"> </w:t>
            </w:r>
            <w:r>
              <w:rPr>
                <w:sz w:val="21"/>
              </w:rPr>
              <w:t>（</w:t>
            </w:r>
            <w:r>
              <w:rPr>
                <w:rFonts w:ascii="Times New Roman" w:eastAsia="Times New Roman"/>
                <w:sz w:val="21"/>
              </w:rPr>
              <w:t>m</w:t>
            </w:r>
            <w:r>
              <w:rPr>
                <w:rFonts w:ascii="Times New Roman" w:eastAsia="Times New Roman"/>
                <w:sz w:val="21"/>
                <w:vertAlign w:val="superscript"/>
              </w:rPr>
              <w:t>2</w:t>
            </w:r>
            <w:r>
              <w:rPr>
                <w:sz w:val="21"/>
              </w:rPr>
              <w:t>）</w:t>
            </w:r>
          </w:p>
        </w:tc>
        <w:tc>
          <w:tcPr>
            <w:tcW w:w="1560" w:type="dxa"/>
            <w:tcBorders>
              <w:bottom w:val="nil"/>
            </w:tcBorders>
          </w:tcPr>
          <w:p>
            <w:pPr>
              <w:pStyle w:val="21"/>
              <w:spacing w:before="130" w:line="250" w:lineRule="exact"/>
              <w:ind w:left="359"/>
              <w:rPr>
                <w:sz w:val="21"/>
              </w:rPr>
            </w:pPr>
            <w:r>
              <w:rPr>
                <w:sz w:val="21"/>
              </w:rPr>
              <w:t>需用时间</w:t>
            </w:r>
          </w:p>
        </w:tc>
        <w:tc>
          <w:tcPr>
            <w:tcW w:w="1849" w:type="dxa"/>
            <w:gridSpan w:val="3"/>
          </w:tcPr>
          <w:p>
            <w:pPr>
              <w:pStyle w:val="21"/>
              <w:spacing w:before="130" w:line="250" w:lineRule="exact"/>
              <w:ind w:left="504"/>
              <w:rPr>
                <w:sz w:val="21"/>
              </w:rPr>
            </w:pPr>
            <w:r>
              <w:rPr>
                <w:sz w:val="21"/>
              </w:rPr>
              <w:t>用地位置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2840" w:type="dxa"/>
            <w:vMerge w:val="continue"/>
            <w:tcBorders>
              <w:top w:val="nil"/>
            </w:tcBorders>
          </w:tcPr>
          <w:p>
            <w:pPr>
              <w:rPr>
                <w:sz w:val="2"/>
                <w:szCs w:val="2"/>
              </w:rPr>
            </w:pPr>
          </w:p>
        </w:tc>
        <w:tc>
          <w:tcPr>
            <w:tcW w:w="394" w:type="dxa"/>
          </w:tcPr>
          <w:p>
            <w:pPr>
              <w:pStyle w:val="21"/>
              <w:spacing w:before="18" w:line="400" w:lineRule="exact"/>
              <w:ind w:left="90" w:right="75"/>
              <w:rPr>
                <w:sz w:val="21"/>
              </w:rPr>
            </w:pPr>
            <w:r>
              <w:rPr>
                <w:sz w:val="21"/>
              </w:rPr>
              <w:t>菜地</w:t>
            </w:r>
          </w:p>
        </w:tc>
        <w:tc>
          <w:tcPr>
            <w:tcW w:w="396" w:type="dxa"/>
          </w:tcPr>
          <w:p>
            <w:pPr>
              <w:pStyle w:val="21"/>
              <w:spacing w:before="18" w:line="400" w:lineRule="exact"/>
              <w:ind w:left="90" w:right="77"/>
              <w:rPr>
                <w:sz w:val="21"/>
              </w:rPr>
            </w:pPr>
            <w:r>
              <w:rPr>
                <w:sz w:val="21"/>
              </w:rPr>
              <w:t>水田</w:t>
            </w:r>
          </w:p>
        </w:tc>
        <w:tc>
          <w:tcPr>
            <w:tcW w:w="600" w:type="dxa"/>
          </w:tcPr>
          <w:p>
            <w:pPr>
              <w:pStyle w:val="21"/>
              <w:spacing w:before="9"/>
              <w:rPr>
                <w:rFonts w:ascii="黑体"/>
                <w:sz w:val="25"/>
              </w:rPr>
            </w:pPr>
          </w:p>
          <w:p>
            <w:pPr>
              <w:pStyle w:val="21"/>
              <w:ind w:left="90"/>
              <w:rPr>
                <w:sz w:val="21"/>
              </w:rPr>
            </w:pPr>
            <w:r>
              <w:rPr>
                <w:sz w:val="21"/>
              </w:rPr>
              <w:t>旱地</w:t>
            </w:r>
          </w:p>
        </w:tc>
        <w:tc>
          <w:tcPr>
            <w:tcW w:w="600" w:type="dxa"/>
          </w:tcPr>
          <w:p>
            <w:pPr>
              <w:pStyle w:val="21"/>
              <w:spacing w:before="9"/>
              <w:rPr>
                <w:rFonts w:ascii="黑体"/>
                <w:sz w:val="25"/>
              </w:rPr>
            </w:pPr>
          </w:p>
          <w:p>
            <w:pPr>
              <w:pStyle w:val="21"/>
              <w:ind w:left="90"/>
              <w:rPr>
                <w:sz w:val="21"/>
              </w:rPr>
            </w:pPr>
            <w:r>
              <w:rPr>
                <w:sz w:val="21"/>
              </w:rPr>
              <w:t>果园</w:t>
            </w:r>
          </w:p>
        </w:tc>
        <w:tc>
          <w:tcPr>
            <w:tcW w:w="600" w:type="dxa"/>
          </w:tcPr>
          <w:p>
            <w:pPr>
              <w:pStyle w:val="21"/>
              <w:spacing w:before="9"/>
              <w:rPr>
                <w:rFonts w:ascii="黑体"/>
                <w:sz w:val="25"/>
              </w:rPr>
            </w:pPr>
          </w:p>
          <w:p>
            <w:pPr>
              <w:pStyle w:val="21"/>
              <w:ind w:left="90"/>
              <w:rPr>
                <w:sz w:val="21"/>
              </w:rPr>
            </w:pPr>
            <w:r>
              <w:rPr>
                <w:sz w:val="21"/>
              </w:rPr>
              <w:t>荒地</w:t>
            </w:r>
          </w:p>
        </w:tc>
        <w:tc>
          <w:tcPr>
            <w:tcW w:w="1560" w:type="dxa"/>
            <w:tcBorders>
              <w:top w:val="nil"/>
            </w:tcBorders>
          </w:tcPr>
          <w:p>
            <w:pPr>
              <w:pStyle w:val="21"/>
              <w:tabs>
                <w:tab w:val="left" w:pos="332"/>
                <w:tab w:val="left" w:pos="858"/>
              </w:tabs>
              <w:spacing w:before="128"/>
              <w:ind w:left="16"/>
              <w:jc w:val="center"/>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pacing w:val="-3"/>
                <w:sz w:val="21"/>
              </w:rPr>
              <w:t>月至</w:t>
            </w:r>
          </w:p>
          <w:p>
            <w:pPr>
              <w:pStyle w:val="21"/>
              <w:tabs>
                <w:tab w:val="left" w:pos="332"/>
                <w:tab w:val="left" w:pos="858"/>
              </w:tabs>
              <w:spacing w:before="132" w:line="252" w:lineRule="exact"/>
              <w:ind w:left="16"/>
              <w:jc w:val="center"/>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z w:val="21"/>
              </w:rPr>
              <w:t>月</w:t>
            </w:r>
          </w:p>
        </w:tc>
        <w:tc>
          <w:tcPr>
            <w:tcW w:w="601" w:type="dxa"/>
          </w:tcPr>
          <w:p>
            <w:pPr>
              <w:pStyle w:val="21"/>
              <w:spacing w:before="9"/>
              <w:rPr>
                <w:rFonts w:ascii="黑体"/>
                <w:sz w:val="25"/>
              </w:rPr>
            </w:pPr>
          </w:p>
          <w:p>
            <w:pPr>
              <w:pStyle w:val="21"/>
              <w:ind w:left="90"/>
              <w:rPr>
                <w:sz w:val="21"/>
              </w:rPr>
            </w:pPr>
            <w:r>
              <w:rPr>
                <w:sz w:val="21"/>
              </w:rPr>
              <w:t>桩号</w:t>
            </w:r>
          </w:p>
        </w:tc>
        <w:tc>
          <w:tcPr>
            <w:tcW w:w="624" w:type="dxa"/>
          </w:tcPr>
          <w:p>
            <w:pPr>
              <w:pStyle w:val="21"/>
              <w:spacing w:before="128"/>
              <w:ind w:left="102"/>
              <w:rPr>
                <w:sz w:val="21"/>
              </w:rPr>
            </w:pPr>
            <w:r>
              <w:rPr>
                <w:sz w:val="21"/>
              </w:rPr>
              <w:t>左侧</w:t>
            </w:r>
          </w:p>
          <w:p>
            <w:pPr>
              <w:pStyle w:val="21"/>
              <w:spacing w:before="132" w:line="252" w:lineRule="exact"/>
              <w:ind w:left="27" w:right="-15"/>
              <w:rPr>
                <w:sz w:val="21"/>
              </w:rPr>
            </w:pPr>
            <w:r>
              <w:rPr>
                <w:sz w:val="21"/>
              </w:rPr>
              <w:t>（</w:t>
            </w:r>
            <w:r>
              <w:rPr>
                <w:rFonts w:ascii="Times New Roman" w:eastAsia="Times New Roman"/>
                <w:sz w:val="21"/>
              </w:rPr>
              <w:t>m</w:t>
            </w:r>
            <w:r>
              <w:rPr>
                <w:sz w:val="21"/>
              </w:rPr>
              <w:t>）</w:t>
            </w:r>
          </w:p>
        </w:tc>
        <w:tc>
          <w:tcPr>
            <w:tcW w:w="624" w:type="dxa"/>
          </w:tcPr>
          <w:p>
            <w:pPr>
              <w:pStyle w:val="21"/>
              <w:spacing w:before="128"/>
              <w:ind w:left="102"/>
              <w:rPr>
                <w:sz w:val="21"/>
              </w:rPr>
            </w:pPr>
            <w:r>
              <w:rPr>
                <w:sz w:val="21"/>
              </w:rPr>
              <w:t>右侧</w:t>
            </w:r>
          </w:p>
          <w:p>
            <w:pPr>
              <w:pStyle w:val="21"/>
              <w:spacing w:before="132" w:line="252" w:lineRule="exact"/>
              <w:ind w:left="27" w:right="-15"/>
              <w:rPr>
                <w:sz w:val="21"/>
              </w:rPr>
            </w:pPr>
            <w:r>
              <w:rPr>
                <w:sz w:val="21"/>
              </w:rPr>
              <w:t>（</w:t>
            </w:r>
            <w:r>
              <w:rPr>
                <w:rFonts w:ascii="Times New Roman" w:eastAsia="Times New Roman"/>
                <w:sz w:val="21"/>
              </w:rPr>
              <w:t>m</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2840" w:type="dxa"/>
          </w:tcPr>
          <w:p>
            <w:pPr>
              <w:pStyle w:val="21"/>
              <w:spacing w:before="111" w:line="252" w:lineRule="exact"/>
              <w:ind w:left="28"/>
              <w:rPr>
                <w:sz w:val="21"/>
              </w:rPr>
            </w:pPr>
            <w:r>
              <w:rPr>
                <w:sz w:val="21"/>
              </w:rPr>
              <w:t>一、临时工程</w:t>
            </w: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spacing w:before="128" w:line="252" w:lineRule="exact"/>
              <w:ind w:left="239"/>
              <w:rPr>
                <w:sz w:val="21"/>
              </w:rPr>
            </w:pPr>
            <w:r>
              <w:rPr>
                <w:rFonts w:ascii="Times New Roman" w:eastAsia="Times New Roman"/>
                <w:sz w:val="21"/>
              </w:rPr>
              <w:t>1.</w:t>
            </w:r>
            <w:r>
              <w:rPr>
                <w:sz w:val="21"/>
              </w:rPr>
              <w:t>便道</w:t>
            </w: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spacing w:before="128" w:line="252" w:lineRule="exact"/>
              <w:ind w:left="239"/>
              <w:rPr>
                <w:sz w:val="21"/>
              </w:rPr>
            </w:pPr>
            <w:r>
              <w:rPr>
                <w:rFonts w:ascii="Times New Roman" w:eastAsia="Times New Roman"/>
                <w:sz w:val="21"/>
              </w:rPr>
              <w:t>2.</w:t>
            </w:r>
            <w:r>
              <w:rPr>
                <w:sz w:val="21"/>
              </w:rPr>
              <w:t>便桥</w:t>
            </w: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840" w:type="dxa"/>
          </w:tcPr>
          <w:p>
            <w:pPr>
              <w:pStyle w:val="21"/>
              <w:spacing w:before="151" w:line="226" w:lineRule="exact"/>
              <w:ind w:left="239"/>
              <w:rPr>
                <w:rFonts w:ascii="Times New Roman" w:hAnsi="Times New Roman"/>
                <w:sz w:val="21"/>
              </w:rPr>
            </w:pPr>
            <w:r>
              <w:rPr>
                <w:rFonts w:ascii="Times New Roman" w:hAnsi="Times New Roman"/>
                <w:sz w:val="21"/>
              </w:rPr>
              <w:t>3.……</w:t>
            </w: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spacing w:before="154" w:line="226" w:lineRule="exact"/>
              <w:ind w:left="345"/>
              <w:rPr>
                <w:rFonts w:ascii="Times New Roman" w:hAnsi="Times New Roman"/>
                <w:sz w:val="21"/>
              </w:rPr>
            </w:pPr>
            <w:r>
              <w:rPr>
                <w:rFonts w:ascii="Times New Roman" w:hAnsi="Times New Roman"/>
                <w:sz w:val="21"/>
              </w:rPr>
              <w:t>……</w:t>
            </w: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spacing w:before="130" w:line="250" w:lineRule="exact"/>
              <w:ind w:left="28"/>
              <w:rPr>
                <w:sz w:val="21"/>
              </w:rPr>
            </w:pPr>
            <w:r>
              <w:rPr>
                <w:sz w:val="21"/>
              </w:rPr>
              <w:t>二、生产及生活临时设施</w:t>
            </w: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spacing w:before="130" w:line="250" w:lineRule="exact"/>
              <w:ind w:left="239"/>
              <w:rPr>
                <w:sz w:val="21"/>
              </w:rPr>
            </w:pPr>
            <w:r>
              <w:rPr>
                <w:rFonts w:ascii="Times New Roman" w:eastAsia="Times New Roman"/>
                <w:sz w:val="21"/>
              </w:rPr>
              <w:t>1.</w:t>
            </w:r>
            <w:r>
              <w:rPr>
                <w:sz w:val="21"/>
              </w:rPr>
              <w:t>临时住房</w:t>
            </w: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spacing w:before="128" w:line="252" w:lineRule="exact"/>
              <w:ind w:left="239"/>
              <w:rPr>
                <w:sz w:val="21"/>
              </w:rPr>
            </w:pPr>
            <w:r>
              <w:rPr>
                <w:rFonts w:ascii="Times New Roman" w:eastAsia="Times New Roman"/>
                <w:sz w:val="21"/>
              </w:rPr>
              <w:t>2.</w:t>
            </w:r>
            <w:r>
              <w:rPr>
                <w:sz w:val="21"/>
              </w:rPr>
              <w:t>办公等公用房屋</w:t>
            </w: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spacing w:before="128" w:line="252" w:lineRule="exact"/>
              <w:ind w:left="239"/>
              <w:rPr>
                <w:sz w:val="21"/>
              </w:rPr>
            </w:pPr>
            <w:r>
              <w:rPr>
                <w:rFonts w:ascii="Times New Roman" w:eastAsia="Times New Roman"/>
                <w:sz w:val="21"/>
              </w:rPr>
              <w:t>3.</w:t>
            </w:r>
            <w:r>
              <w:rPr>
                <w:sz w:val="21"/>
              </w:rPr>
              <w:t>料库</w:t>
            </w: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spacing w:before="128" w:line="252" w:lineRule="exact"/>
              <w:ind w:left="239"/>
              <w:rPr>
                <w:sz w:val="21"/>
              </w:rPr>
            </w:pPr>
            <w:r>
              <w:rPr>
                <w:rFonts w:ascii="Times New Roman" w:eastAsia="Times New Roman"/>
                <w:sz w:val="21"/>
              </w:rPr>
              <w:t>4.</w:t>
            </w:r>
            <w:r>
              <w:rPr>
                <w:sz w:val="21"/>
              </w:rPr>
              <w:t>预制场</w:t>
            </w: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spacing w:before="151" w:line="229" w:lineRule="exact"/>
              <w:ind w:left="239"/>
              <w:rPr>
                <w:rFonts w:ascii="Times New Roman" w:hAnsi="Times New Roman"/>
                <w:sz w:val="21"/>
              </w:rPr>
            </w:pPr>
            <w:r>
              <w:rPr>
                <w:rFonts w:ascii="Times New Roman" w:hAnsi="Times New Roman"/>
                <w:sz w:val="21"/>
              </w:rPr>
              <w:t>……</w:t>
            </w: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rPr>
                <w:rFonts w:ascii="Times New Roman"/>
                <w:sz w:val="20"/>
              </w:rPr>
            </w:pP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tcPr>
          <w:p>
            <w:pPr>
              <w:pStyle w:val="21"/>
              <w:spacing w:before="128" w:line="252" w:lineRule="exact"/>
              <w:ind w:left="28"/>
              <w:rPr>
                <w:sz w:val="21"/>
              </w:rPr>
            </w:pPr>
            <w:r>
              <w:rPr>
                <w:sz w:val="21"/>
              </w:rPr>
              <w:t>租用面积合计</w:t>
            </w:r>
          </w:p>
        </w:tc>
        <w:tc>
          <w:tcPr>
            <w:tcW w:w="394" w:type="dxa"/>
          </w:tcPr>
          <w:p>
            <w:pPr>
              <w:pStyle w:val="21"/>
              <w:rPr>
                <w:rFonts w:ascii="Times New Roman"/>
                <w:sz w:val="20"/>
              </w:rPr>
            </w:pPr>
          </w:p>
        </w:tc>
        <w:tc>
          <w:tcPr>
            <w:tcW w:w="396"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600" w:type="dxa"/>
          </w:tcPr>
          <w:p>
            <w:pPr>
              <w:pStyle w:val="21"/>
              <w:rPr>
                <w:rFonts w:ascii="Times New Roman"/>
                <w:sz w:val="20"/>
              </w:rPr>
            </w:pPr>
          </w:p>
        </w:tc>
        <w:tc>
          <w:tcPr>
            <w:tcW w:w="1560" w:type="dxa"/>
          </w:tcPr>
          <w:p>
            <w:pPr>
              <w:pStyle w:val="21"/>
              <w:rPr>
                <w:rFonts w:ascii="Times New Roman"/>
                <w:sz w:val="20"/>
              </w:rPr>
            </w:pPr>
          </w:p>
        </w:tc>
        <w:tc>
          <w:tcPr>
            <w:tcW w:w="601" w:type="dxa"/>
          </w:tcPr>
          <w:p>
            <w:pPr>
              <w:pStyle w:val="21"/>
              <w:rPr>
                <w:rFonts w:ascii="Times New Roman"/>
                <w:sz w:val="20"/>
              </w:rPr>
            </w:pPr>
          </w:p>
        </w:tc>
        <w:tc>
          <w:tcPr>
            <w:tcW w:w="624" w:type="dxa"/>
          </w:tcPr>
          <w:p>
            <w:pPr>
              <w:pStyle w:val="21"/>
              <w:rPr>
                <w:rFonts w:ascii="Times New Roman"/>
                <w:sz w:val="20"/>
              </w:rPr>
            </w:pPr>
          </w:p>
        </w:tc>
        <w:tc>
          <w:tcPr>
            <w:tcW w:w="624" w:type="dxa"/>
          </w:tcPr>
          <w:p>
            <w:pPr>
              <w:pStyle w:val="21"/>
              <w:rPr>
                <w:rFonts w:ascii="Times New Roman"/>
                <w:sz w:val="20"/>
              </w:rPr>
            </w:pPr>
          </w:p>
        </w:tc>
      </w:tr>
    </w:tbl>
    <w:p>
      <w:pPr>
        <w:rPr>
          <w:rFonts w:ascii="Times New Roman"/>
          <w:sz w:val="20"/>
        </w:rPr>
        <w:sectPr>
          <w:pgSz w:w="11910" w:h="16850"/>
          <w:pgMar w:top="1540" w:right="1140" w:bottom="1080" w:left="1380" w:header="883" w:footer="884" w:gutter="0"/>
          <w:cols w:space="720" w:num="1"/>
        </w:sectPr>
      </w:pPr>
    </w:p>
    <w:p>
      <w:pPr>
        <w:spacing w:before="56"/>
        <w:ind w:left="264"/>
        <w:rPr>
          <w:rFonts w:ascii="黑体" w:eastAsia="黑体"/>
          <w:sz w:val="28"/>
        </w:rPr>
      </w:pPr>
      <w:bookmarkStart w:id="287" w:name="_bookmark306"/>
      <w:bookmarkEnd w:id="287"/>
      <w:r>
        <w:rPr>
          <w:rFonts w:hint="eastAsia" w:ascii="黑体" w:eastAsia="黑体"/>
          <w:sz w:val="28"/>
        </w:rPr>
        <w:t>附表八 外供电力需求计划表</w:t>
      </w:r>
    </w:p>
    <w:p>
      <w:pPr>
        <w:pStyle w:val="11"/>
        <w:rPr>
          <w:rFonts w:ascii="黑体"/>
          <w:sz w:val="20"/>
        </w:rPr>
      </w:pPr>
    </w:p>
    <w:p>
      <w:pPr>
        <w:pStyle w:val="11"/>
        <w:spacing w:before="6"/>
        <w:rPr>
          <w:rFonts w:ascii="黑体"/>
          <w:sz w:val="11"/>
        </w:rPr>
      </w:pPr>
    </w:p>
    <w:tbl>
      <w:tblPr>
        <w:tblStyle w:val="19"/>
        <w:tblW w:w="8784" w:type="dxa"/>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
        <w:gridCol w:w="511"/>
        <w:gridCol w:w="993"/>
        <w:gridCol w:w="1385"/>
        <w:gridCol w:w="621"/>
        <w:gridCol w:w="604"/>
        <w:gridCol w:w="2366"/>
        <w:gridCol w:w="893"/>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032" w:type="dxa"/>
            <w:gridSpan w:val="3"/>
          </w:tcPr>
          <w:p>
            <w:pPr>
              <w:pStyle w:val="21"/>
              <w:spacing w:before="87" w:line="252" w:lineRule="exact"/>
              <w:ind w:left="446"/>
              <w:rPr>
                <w:sz w:val="21"/>
              </w:rPr>
            </w:pPr>
            <w:r>
              <w:rPr>
                <w:sz w:val="21"/>
              </w:rPr>
              <w:t>用 电 位 置</w:t>
            </w:r>
          </w:p>
        </w:tc>
        <w:tc>
          <w:tcPr>
            <w:tcW w:w="1385" w:type="dxa"/>
            <w:vMerge w:val="restart"/>
          </w:tcPr>
          <w:p>
            <w:pPr>
              <w:pStyle w:val="21"/>
              <w:tabs>
                <w:tab w:val="left" w:pos="910"/>
              </w:tabs>
              <w:spacing w:before="87" w:line="321" w:lineRule="auto"/>
              <w:ind w:left="279" w:right="246"/>
              <w:rPr>
                <w:sz w:val="21"/>
              </w:rPr>
            </w:pPr>
            <w:r>
              <w:rPr>
                <w:sz w:val="21"/>
              </w:rPr>
              <w:t>计划</w:t>
            </w:r>
            <w:r>
              <w:rPr>
                <w:spacing w:val="-3"/>
                <w:sz w:val="21"/>
              </w:rPr>
              <w:t>用</w:t>
            </w:r>
            <w:r>
              <w:rPr>
                <w:sz w:val="21"/>
              </w:rPr>
              <w:t>电数</w:t>
            </w:r>
            <w:r>
              <w:rPr>
                <w:sz w:val="21"/>
              </w:rPr>
              <w:tab/>
            </w:r>
            <w:r>
              <w:rPr>
                <w:sz w:val="21"/>
              </w:rPr>
              <w:t>量</w:t>
            </w:r>
          </w:p>
          <w:p>
            <w:pPr>
              <w:pStyle w:val="21"/>
              <w:spacing w:line="265" w:lineRule="exact"/>
              <w:ind w:left="266"/>
              <w:rPr>
                <w:sz w:val="21"/>
              </w:rPr>
            </w:pPr>
            <w:r>
              <w:rPr>
                <w:sz w:val="21"/>
              </w:rPr>
              <w:t>（</w:t>
            </w:r>
            <w:r>
              <w:rPr>
                <w:rFonts w:ascii="Times New Roman" w:eastAsia="Times New Roman"/>
                <w:sz w:val="21"/>
              </w:rPr>
              <w:t>kW.h</w:t>
            </w:r>
            <w:r>
              <w:rPr>
                <w:sz w:val="21"/>
              </w:rPr>
              <w:t>）</w:t>
            </w:r>
          </w:p>
        </w:tc>
        <w:tc>
          <w:tcPr>
            <w:tcW w:w="621" w:type="dxa"/>
            <w:vMerge w:val="restart"/>
            <w:tcBorders>
              <w:right w:val="nil"/>
            </w:tcBorders>
          </w:tcPr>
          <w:p>
            <w:pPr>
              <w:pStyle w:val="21"/>
              <w:rPr>
                <w:rFonts w:ascii="黑体"/>
                <w:sz w:val="20"/>
              </w:rPr>
            </w:pPr>
          </w:p>
          <w:p>
            <w:pPr>
              <w:pStyle w:val="21"/>
              <w:spacing w:before="6"/>
              <w:rPr>
                <w:rFonts w:ascii="黑体"/>
                <w:sz w:val="15"/>
              </w:rPr>
            </w:pPr>
          </w:p>
          <w:p>
            <w:pPr>
              <w:pStyle w:val="21"/>
              <w:ind w:left="305"/>
              <w:rPr>
                <w:sz w:val="21"/>
              </w:rPr>
            </w:pPr>
            <w:r>
              <w:rPr>
                <w:sz w:val="21"/>
              </w:rPr>
              <w:t>用</w:t>
            </w:r>
          </w:p>
        </w:tc>
        <w:tc>
          <w:tcPr>
            <w:tcW w:w="604" w:type="dxa"/>
            <w:vMerge w:val="restart"/>
            <w:tcBorders>
              <w:left w:val="nil"/>
            </w:tcBorders>
          </w:tcPr>
          <w:p>
            <w:pPr>
              <w:pStyle w:val="21"/>
              <w:rPr>
                <w:rFonts w:ascii="黑体"/>
                <w:sz w:val="20"/>
              </w:rPr>
            </w:pPr>
          </w:p>
          <w:p>
            <w:pPr>
              <w:pStyle w:val="21"/>
              <w:spacing w:before="6"/>
              <w:rPr>
                <w:rFonts w:ascii="黑体"/>
                <w:sz w:val="15"/>
              </w:rPr>
            </w:pPr>
          </w:p>
          <w:p>
            <w:pPr>
              <w:pStyle w:val="21"/>
              <w:ind w:left="114"/>
              <w:rPr>
                <w:sz w:val="21"/>
              </w:rPr>
            </w:pPr>
            <w:r>
              <w:rPr>
                <w:sz w:val="21"/>
              </w:rPr>
              <w:t>途</w:t>
            </w:r>
          </w:p>
        </w:tc>
        <w:tc>
          <w:tcPr>
            <w:tcW w:w="2366" w:type="dxa"/>
            <w:tcBorders>
              <w:bottom w:val="nil"/>
            </w:tcBorders>
          </w:tcPr>
          <w:p>
            <w:pPr>
              <w:pStyle w:val="21"/>
              <w:spacing w:before="87" w:line="252" w:lineRule="exact"/>
              <w:ind w:left="612"/>
              <w:rPr>
                <w:sz w:val="21"/>
              </w:rPr>
            </w:pPr>
            <w:r>
              <w:rPr>
                <w:sz w:val="21"/>
              </w:rPr>
              <w:t>需 用 时 间</w:t>
            </w:r>
          </w:p>
        </w:tc>
        <w:tc>
          <w:tcPr>
            <w:tcW w:w="893" w:type="dxa"/>
            <w:vMerge w:val="restart"/>
            <w:tcBorders>
              <w:right w:val="nil"/>
            </w:tcBorders>
          </w:tcPr>
          <w:p>
            <w:pPr>
              <w:pStyle w:val="21"/>
              <w:rPr>
                <w:rFonts w:ascii="黑体"/>
                <w:sz w:val="20"/>
              </w:rPr>
            </w:pPr>
          </w:p>
          <w:p>
            <w:pPr>
              <w:pStyle w:val="21"/>
              <w:spacing w:before="6"/>
              <w:rPr>
                <w:rFonts w:ascii="黑体"/>
                <w:sz w:val="15"/>
              </w:rPr>
            </w:pPr>
          </w:p>
          <w:p>
            <w:pPr>
              <w:pStyle w:val="21"/>
              <w:ind w:left="579"/>
              <w:rPr>
                <w:sz w:val="21"/>
              </w:rPr>
            </w:pPr>
            <w:r>
              <w:rPr>
                <w:sz w:val="21"/>
              </w:rPr>
              <w:t>备</w:t>
            </w:r>
          </w:p>
        </w:tc>
        <w:tc>
          <w:tcPr>
            <w:tcW w:w="883" w:type="dxa"/>
            <w:vMerge w:val="restart"/>
            <w:tcBorders>
              <w:left w:val="nil"/>
            </w:tcBorders>
          </w:tcPr>
          <w:p>
            <w:pPr>
              <w:pStyle w:val="21"/>
              <w:rPr>
                <w:rFonts w:ascii="黑体"/>
                <w:sz w:val="20"/>
              </w:rPr>
            </w:pPr>
          </w:p>
          <w:p>
            <w:pPr>
              <w:pStyle w:val="21"/>
              <w:spacing w:before="6"/>
              <w:rPr>
                <w:rFonts w:ascii="黑体"/>
                <w:sz w:val="15"/>
              </w:rPr>
            </w:pPr>
          </w:p>
          <w:p>
            <w:pPr>
              <w:pStyle w:val="21"/>
              <w:ind w:left="116"/>
              <w:rPr>
                <w:sz w:val="21"/>
              </w:rPr>
            </w:pPr>
            <w:r>
              <w:rPr>
                <w:sz w:val="21"/>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28" w:type="dxa"/>
            <w:tcBorders>
              <w:right w:val="nil"/>
            </w:tcBorders>
          </w:tcPr>
          <w:p>
            <w:pPr>
              <w:pStyle w:val="21"/>
              <w:spacing w:before="11"/>
              <w:rPr>
                <w:rFonts w:ascii="黑体"/>
                <w:sz w:val="20"/>
              </w:rPr>
            </w:pPr>
          </w:p>
          <w:p>
            <w:pPr>
              <w:pStyle w:val="21"/>
              <w:ind w:left="210"/>
              <w:rPr>
                <w:sz w:val="21"/>
              </w:rPr>
            </w:pPr>
            <w:r>
              <w:rPr>
                <w:sz w:val="21"/>
              </w:rPr>
              <w:t>桩</w:t>
            </w:r>
          </w:p>
        </w:tc>
        <w:tc>
          <w:tcPr>
            <w:tcW w:w="511" w:type="dxa"/>
            <w:tcBorders>
              <w:left w:val="nil"/>
            </w:tcBorders>
          </w:tcPr>
          <w:p>
            <w:pPr>
              <w:pStyle w:val="21"/>
              <w:spacing w:before="11"/>
              <w:rPr>
                <w:rFonts w:ascii="黑体"/>
                <w:sz w:val="20"/>
              </w:rPr>
            </w:pPr>
          </w:p>
          <w:p>
            <w:pPr>
              <w:pStyle w:val="21"/>
              <w:ind w:left="112"/>
              <w:rPr>
                <w:sz w:val="21"/>
              </w:rPr>
            </w:pPr>
            <w:r>
              <w:rPr>
                <w:sz w:val="21"/>
              </w:rPr>
              <w:t>号</w:t>
            </w:r>
          </w:p>
        </w:tc>
        <w:tc>
          <w:tcPr>
            <w:tcW w:w="993" w:type="dxa"/>
          </w:tcPr>
          <w:p>
            <w:pPr>
              <w:pStyle w:val="21"/>
              <w:spacing w:before="87"/>
              <w:ind w:left="187"/>
              <w:rPr>
                <w:sz w:val="21"/>
              </w:rPr>
            </w:pPr>
            <w:r>
              <w:rPr>
                <w:sz w:val="21"/>
              </w:rPr>
              <w:t>左或右</w:t>
            </w:r>
          </w:p>
          <w:p>
            <w:pPr>
              <w:pStyle w:val="21"/>
              <w:spacing w:before="91" w:line="252" w:lineRule="exact"/>
              <w:ind w:left="211"/>
              <w:rPr>
                <w:sz w:val="21"/>
              </w:rPr>
            </w:pPr>
            <w:r>
              <w:rPr>
                <w:sz w:val="21"/>
              </w:rPr>
              <w:t>（</w:t>
            </w:r>
            <w:r>
              <w:rPr>
                <w:rFonts w:ascii="Times New Roman" w:eastAsia="Times New Roman"/>
                <w:sz w:val="21"/>
              </w:rPr>
              <w:t>m</w:t>
            </w:r>
            <w:r>
              <w:rPr>
                <w:sz w:val="21"/>
              </w:rPr>
              <w:t>）</w:t>
            </w:r>
          </w:p>
        </w:tc>
        <w:tc>
          <w:tcPr>
            <w:tcW w:w="1385" w:type="dxa"/>
            <w:vMerge w:val="continue"/>
            <w:tcBorders>
              <w:top w:val="nil"/>
            </w:tcBorders>
          </w:tcPr>
          <w:p>
            <w:pPr>
              <w:rPr>
                <w:sz w:val="2"/>
                <w:szCs w:val="2"/>
              </w:rPr>
            </w:pPr>
          </w:p>
        </w:tc>
        <w:tc>
          <w:tcPr>
            <w:tcW w:w="621" w:type="dxa"/>
            <w:vMerge w:val="continue"/>
            <w:tcBorders>
              <w:top w:val="nil"/>
              <w:right w:val="nil"/>
            </w:tcBorders>
          </w:tcPr>
          <w:p>
            <w:pPr>
              <w:rPr>
                <w:sz w:val="2"/>
                <w:szCs w:val="2"/>
              </w:rPr>
            </w:pPr>
          </w:p>
        </w:tc>
        <w:tc>
          <w:tcPr>
            <w:tcW w:w="604" w:type="dxa"/>
            <w:vMerge w:val="continue"/>
            <w:tcBorders>
              <w:top w:val="nil"/>
              <w:left w:val="nil"/>
            </w:tcBorders>
          </w:tcPr>
          <w:p>
            <w:pPr>
              <w:rPr>
                <w:sz w:val="2"/>
                <w:szCs w:val="2"/>
              </w:rPr>
            </w:pPr>
          </w:p>
        </w:tc>
        <w:tc>
          <w:tcPr>
            <w:tcW w:w="2366" w:type="dxa"/>
            <w:tcBorders>
              <w:top w:val="nil"/>
            </w:tcBorders>
          </w:tcPr>
          <w:p>
            <w:pPr>
              <w:pStyle w:val="21"/>
              <w:tabs>
                <w:tab w:val="left" w:pos="1094"/>
                <w:tab w:val="left" w:pos="1200"/>
                <w:tab w:val="left" w:pos="1828"/>
              </w:tabs>
              <w:spacing w:before="9" w:line="360" w:lineRule="exact"/>
              <w:ind w:left="357" w:right="308"/>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z w:val="21"/>
              </w:rPr>
              <w:t>月至</w:t>
            </w:r>
            <w:r>
              <w:rPr>
                <w:sz w:val="21"/>
                <w:u w:val="single"/>
              </w:rPr>
              <w:t xml:space="preserve"> </w:t>
            </w:r>
            <w:r>
              <w:rPr>
                <w:sz w:val="21"/>
                <w:u w:val="single"/>
              </w:rPr>
              <w:tab/>
            </w:r>
            <w:r>
              <w:rPr>
                <w:sz w:val="21"/>
                <w:u w:val="single"/>
              </w:rPr>
              <w:tab/>
            </w:r>
            <w:r>
              <w:rPr>
                <w:spacing w:val="-3"/>
                <w:sz w:val="21"/>
              </w:rPr>
              <w:t>年</w:t>
            </w:r>
            <w:r>
              <w:rPr>
                <w:spacing w:val="-3"/>
                <w:sz w:val="21"/>
                <w:u w:val="single"/>
              </w:rPr>
              <w:t xml:space="preserve"> </w:t>
            </w:r>
            <w:r>
              <w:rPr>
                <w:spacing w:val="-3"/>
                <w:sz w:val="21"/>
                <w:u w:val="single"/>
              </w:rPr>
              <w:tab/>
            </w:r>
            <w:r>
              <w:rPr>
                <w:sz w:val="21"/>
              </w:rPr>
              <w:t>月</w:t>
            </w:r>
          </w:p>
        </w:tc>
        <w:tc>
          <w:tcPr>
            <w:tcW w:w="893" w:type="dxa"/>
            <w:vMerge w:val="continue"/>
            <w:tcBorders>
              <w:top w:val="nil"/>
              <w:right w:val="nil"/>
            </w:tcBorders>
          </w:tcPr>
          <w:p>
            <w:pPr>
              <w:rPr>
                <w:sz w:val="2"/>
                <w:szCs w:val="2"/>
              </w:rPr>
            </w:pPr>
          </w:p>
        </w:tc>
        <w:tc>
          <w:tcPr>
            <w:tcW w:w="883" w:type="dxa"/>
            <w:vMerge w:val="continue"/>
            <w:tcBorders>
              <w:top w:val="nil"/>
              <w:left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tcPr>
          <w:p>
            <w:pPr>
              <w:pStyle w:val="21"/>
              <w:rPr>
                <w:rFonts w:ascii="Times New Roman"/>
              </w:rPr>
            </w:pPr>
          </w:p>
        </w:tc>
        <w:tc>
          <w:tcPr>
            <w:tcW w:w="993" w:type="dxa"/>
          </w:tcPr>
          <w:p>
            <w:pPr>
              <w:pStyle w:val="21"/>
              <w:rPr>
                <w:rFonts w:ascii="Times New Roman"/>
              </w:rPr>
            </w:pPr>
          </w:p>
        </w:tc>
        <w:tc>
          <w:tcPr>
            <w:tcW w:w="1385" w:type="dxa"/>
          </w:tcPr>
          <w:p>
            <w:pPr>
              <w:pStyle w:val="21"/>
              <w:rPr>
                <w:rFonts w:ascii="Times New Roman"/>
              </w:rPr>
            </w:pPr>
          </w:p>
        </w:tc>
        <w:tc>
          <w:tcPr>
            <w:tcW w:w="1225" w:type="dxa"/>
            <w:gridSpan w:val="2"/>
          </w:tcPr>
          <w:p>
            <w:pPr>
              <w:pStyle w:val="21"/>
              <w:rPr>
                <w:rFonts w:ascii="Times New Roman"/>
              </w:rPr>
            </w:pPr>
          </w:p>
        </w:tc>
        <w:tc>
          <w:tcPr>
            <w:tcW w:w="2366" w:type="dxa"/>
          </w:tcPr>
          <w:p>
            <w:pPr>
              <w:pStyle w:val="21"/>
              <w:rPr>
                <w:rFonts w:ascii="Times New Roman"/>
              </w:rPr>
            </w:pPr>
          </w:p>
        </w:tc>
        <w:tc>
          <w:tcPr>
            <w:tcW w:w="1776" w:type="dxa"/>
            <w:gridSpan w:val="2"/>
          </w:tcPr>
          <w:p>
            <w:pPr>
              <w:pStyle w:val="21"/>
              <w:rPr>
                <w:rFonts w:ascii="Times New Roman"/>
              </w:rPr>
            </w:pPr>
          </w:p>
        </w:tc>
      </w:tr>
    </w:tbl>
    <w:p>
      <w:pPr>
        <w:rPr>
          <w:rFonts w:ascii="Times New Roman"/>
        </w:rPr>
        <w:sectPr>
          <w:pgSz w:w="11910" w:h="16850"/>
          <w:pgMar w:top="1540" w:right="1140" w:bottom="1060" w:left="1380" w:header="876" w:footer="860" w:gutter="0"/>
          <w:cols w:space="720" w:num="1"/>
        </w:sectPr>
      </w:pPr>
    </w:p>
    <w:p>
      <w:pPr>
        <w:pStyle w:val="11"/>
        <w:spacing w:before="2"/>
        <w:rPr>
          <w:rFonts w:ascii="黑体"/>
          <w:sz w:val="29"/>
        </w:rPr>
      </w:pPr>
    </w:p>
    <w:p>
      <w:pPr>
        <w:spacing w:before="61"/>
        <w:ind w:right="176"/>
        <w:jc w:val="center"/>
        <w:rPr>
          <w:rFonts w:ascii="黑体" w:eastAsia="黑体"/>
          <w:sz w:val="28"/>
        </w:rPr>
      </w:pPr>
      <w:bookmarkStart w:id="288" w:name="_bookmark307"/>
      <w:bookmarkEnd w:id="288"/>
      <w:r>
        <w:rPr>
          <w:rFonts w:hint="eastAsia" w:ascii="黑体" w:eastAsia="黑体"/>
          <w:sz w:val="28"/>
        </w:rPr>
        <w:t>六、项目管理机构</w:t>
      </w:r>
    </w:p>
    <w:p>
      <w:pPr>
        <w:pStyle w:val="11"/>
        <w:rPr>
          <w:rFonts w:ascii="黑体"/>
          <w:sz w:val="20"/>
        </w:rPr>
      </w:pPr>
    </w:p>
    <w:p>
      <w:pPr>
        <w:pStyle w:val="11"/>
        <w:rPr>
          <w:rFonts w:ascii="黑体"/>
          <w:sz w:val="20"/>
        </w:rPr>
      </w:pPr>
    </w:p>
    <w:p>
      <w:pPr>
        <w:pStyle w:val="11"/>
        <w:spacing w:before="1"/>
        <w:rPr>
          <w:rFonts w:ascii="黑体"/>
          <w:sz w:val="18"/>
        </w:rPr>
      </w:pPr>
    </w:p>
    <w:tbl>
      <w:tblPr>
        <w:tblStyle w:val="19"/>
        <w:tblW w:w="8726" w:type="dxa"/>
        <w:tblInd w:w="2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9" w:hRule="atLeast"/>
        </w:trPr>
        <w:tc>
          <w:tcPr>
            <w:tcW w:w="8726" w:type="dxa"/>
          </w:tcPr>
          <w:p>
            <w:pPr>
              <w:pStyle w:val="21"/>
              <w:rPr>
                <w:rFonts w:ascii="黑体"/>
                <w:sz w:val="20"/>
              </w:rPr>
            </w:pPr>
          </w:p>
          <w:p>
            <w:pPr>
              <w:pStyle w:val="21"/>
              <w:rPr>
                <w:rFonts w:ascii="黑体"/>
                <w:sz w:val="20"/>
              </w:rPr>
            </w:pPr>
          </w:p>
          <w:p>
            <w:pPr>
              <w:pStyle w:val="21"/>
              <w:rPr>
                <w:rFonts w:ascii="黑体"/>
                <w:sz w:val="20"/>
              </w:rPr>
            </w:pPr>
          </w:p>
          <w:p>
            <w:pPr>
              <w:pStyle w:val="21"/>
              <w:ind w:left="378"/>
              <w:rPr>
                <w:sz w:val="21"/>
              </w:rPr>
            </w:pPr>
            <w:r>
              <w:rPr>
                <w:sz w:val="21"/>
              </w:rPr>
              <w:t>拟为承包本标段工程设立的组织机构以框图方式表示。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7" w:hRule="atLeast"/>
        </w:trPr>
        <w:tc>
          <w:tcPr>
            <w:tcW w:w="8726" w:type="dxa"/>
          </w:tcPr>
          <w:p>
            <w:pPr>
              <w:pStyle w:val="21"/>
              <w:spacing w:before="7"/>
              <w:rPr>
                <w:rFonts w:ascii="黑体"/>
                <w:sz w:val="19"/>
              </w:rPr>
            </w:pPr>
          </w:p>
          <w:p>
            <w:pPr>
              <w:pStyle w:val="21"/>
              <w:ind w:left="378"/>
              <w:rPr>
                <w:sz w:val="21"/>
              </w:rPr>
            </w:pPr>
            <w:r>
              <w:rPr>
                <w:sz w:val="21"/>
              </w:rPr>
              <w:t>说明</w:t>
            </w:r>
          </w:p>
        </w:tc>
      </w:tr>
    </w:tbl>
    <w:p>
      <w:pPr>
        <w:rPr>
          <w:sz w:val="21"/>
        </w:rPr>
        <w:sectPr>
          <w:pgSz w:w="11910" w:h="16850"/>
          <w:pgMar w:top="1540" w:right="1140" w:bottom="1080" w:left="1380" w:header="883" w:footer="884" w:gutter="0"/>
          <w:cols w:space="720" w:num="1"/>
        </w:sectPr>
      </w:pPr>
    </w:p>
    <w:p>
      <w:pPr>
        <w:pStyle w:val="11"/>
        <w:rPr>
          <w:rFonts w:ascii="黑体"/>
          <w:sz w:val="20"/>
        </w:rPr>
      </w:pPr>
    </w:p>
    <w:p>
      <w:pPr>
        <w:spacing w:before="238"/>
        <w:ind w:right="178"/>
        <w:jc w:val="center"/>
        <w:rPr>
          <w:rFonts w:ascii="黑体" w:eastAsia="黑体"/>
          <w:sz w:val="28"/>
        </w:rPr>
      </w:pPr>
      <w:bookmarkStart w:id="289" w:name="_bookmark308"/>
      <w:bookmarkEnd w:id="289"/>
      <w:r>
        <w:rPr>
          <w:rFonts w:hint="eastAsia" w:ascii="黑体" w:eastAsia="黑体"/>
          <w:sz w:val="28"/>
        </w:rPr>
        <w:t>七、拟分包项目情况表</w:t>
      </w:r>
    </w:p>
    <w:p>
      <w:pPr>
        <w:pStyle w:val="11"/>
        <w:rPr>
          <w:rFonts w:ascii="黑体"/>
          <w:sz w:val="20"/>
        </w:rPr>
      </w:pPr>
    </w:p>
    <w:p>
      <w:pPr>
        <w:pStyle w:val="11"/>
        <w:spacing w:before="9"/>
        <w:rPr>
          <w:rFonts w:ascii="黑体"/>
          <w:sz w:val="14"/>
        </w:rPr>
      </w:pPr>
    </w:p>
    <w:tbl>
      <w:tblPr>
        <w:tblStyle w:val="19"/>
        <w:tblW w:w="8894"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2456"/>
        <w:gridCol w:w="1865"/>
        <w:gridCol w:w="2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90" w:type="dxa"/>
          </w:tcPr>
          <w:p>
            <w:pPr>
              <w:pStyle w:val="21"/>
              <w:spacing w:before="142"/>
              <w:ind w:left="153"/>
              <w:rPr>
                <w:sz w:val="21"/>
              </w:rPr>
            </w:pPr>
            <w:r>
              <w:rPr>
                <w:sz w:val="21"/>
              </w:rPr>
              <w:t>拟分包的工程项目</w:t>
            </w:r>
          </w:p>
        </w:tc>
        <w:tc>
          <w:tcPr>
            <w:tcW w:w="2456" w:type="dxa"/>
          </w:tcPr>
          <w:p>
            <w:pPr>
              <w:pStyle w:val="21"/>
              <w:spacing w:before="142"/>
              <w:ind w:left="597"/>
              <w:rPr>
                <w:sz w:val="21"/>
              </w:rPr>
            </w:pPr>
            <w:r>
              <w:rPr>
                <w:sz w:val="21"/>
              </w:rPr>
              <w:t>主要工程内容</w:t>
            </w:r>
          </w:p>
        </w:tc>
        <w:tc>
          <w:tcPr>
            <w:tcW w:w="1865" w:type="dxa"/>
          </w:tcPr>
          <w:p>
            <w:pPr>
              <w:pStyle w:val="21"/>
              <w:spacing w:before="142"/>
              <w:ind w:left="107"/>
              <w:rPr>
                <w:sz w:val="21"/>
              </w:rPr>
            </w:pPr>
            <w:r>
              <w:rPr>
                <w:sz w:val="21"/>
              </w:rPr>
              <w:t>预计造价（万元）</w:t>
            </w:r>
          </w:p>
        </w:tc>
        <w:tc>
          <w:tcPr>
            <w:tcW w:w="2583" w:type="dxa"/>
          </w:tcPr>
          <w:p>
            <w:pPr>
              <w:pStyle w:val="21"/>
              <w:spacing w:before="142"/>
              <w:ind w:left="1008" w:right="999"/>
              <w:jc w:val="center"/>
              <w:rPr>
                <w:sz w:val="21"/>
              </w:rPr>
            </w:pPr>
            <w:r>
              <w:rPr>
                <w:sz w:val="21"/>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restart"/>
          </w:tcPr>
          <w:p>
            <w:pPr>
              <w:pStyle w:val="21"/>
              <w:rPr>
                <w:rFonts w:ascii="黑体"/>
              </w:rPr>
            </w:pPr>
          </w:p>
          <w:p>
            <w:pPr>
              <w:pStyle w:val="21"/>
              <w:rPr>
                <w:rFonts w:ascii="黑体"/>
              </w:rPr>
            </w:pPr>
          </w:p>
          <w:p>
            <w:pPr>
              <w:pStyle w:val="21"/>
              <w:rPr>
                <w:rFonts w:ascii="黑体"/>
              </w:rPr>
            </w:pPr>
          </w:p>
          <w:p>
            <w:pPr>
              <w:pStyle w:val="21"/>
              <w:rPr>
                <w:rFonts w:ascii="黑体"/>
              </w:rPr>
            </w:pPr>
          </w:p>
          <w:p>
            <w:pPr>
              <w:pStyle w:val="21"/>
              <w:rPr>
                <w:rFonts w:ascii="黑体"/>
              </w:rPr>
            </w:pPr>
          </w:p>
          <w:p>
            <w:pPr>
              <w:pStyle w:val="21"/>
              <w:rPr>
                <w:rFonts w:ascii="黑体"/>
              </w:rPr>
            </w:pPr>
          </w:p>
          <w:p>
            <w:pPr>
              <w:pStyle w:val="21"/>
              <w:rPr>
                <w:rFonts w:ascii="黑体"/>
              </w:rPr>
            </w:pPr>
          </w:p>
          <w:p>
            <w:pPr>
              <w:pStyle w:val="21"/>
              <w:rPr>
                <w:rFonts w:ascii="黑体"/>
              </w:rPr>
            </w:pPr>
          </w:p>
          <w:p>
            <w:pPr>
              <w:pStyle w:val="21"/>
              <w:rPr>
                <w:rFonts w:ascii="黑体"/>
              </w:rPr>
            </w:pPr>
          </w:p>
          <w:p>
            <w:pPr>
              <w:pStyle w:val="21"/>
              <w:rPr>
                <w:rFonts w:ascii="黑体"/>
              </w:rPr>
            </w:pPr>
          </w:p>
          <w:p>
            <w:pPr>
              <w:pStyle w:val="21"/>
              <w:rPr>
                <w:rFonts w:ascii="黑体"/>
              </w:rPr>
            </w:pPr>
          </w:p>
          <w:p>
            <w:pPr>
              <w:pStyle w:val="21"/>
              <w:rPr>
                <w:rFonts w:ascii="黑体"/>
              </w:rPr>
            </w:pPr>
          </w:p>
          <w:p>
            <w:pPr>
              <w:pStyle w:val="21"/>
              <w:rPr>
                <w:rFonts w:ascii="黑体"/>
              </w:rPr>
            </w:pPr>
          </w:p>
          <w:p>
            <w:pPr>
              <w:pStyle w:val="21"/>
              <w:rPr>
                <w:rFonts w:ascii="黑体"/>
              </w:rPr>
            </w:pPr>
          </w:p>
          <w:p>
            <w:pPr>
              <w:pStyle w:val="21"/>
              <w:rPr>
                <w:rFonts w:ascii="黑体"/>
              </w:rPr>
            </w:pPr>
          </w:p>
          <w:p>
            <w:pPr>
              <w:pStyle w:val="21"/>
              <w:spacing w:before="185" w:line="393" w:lineRule="auto"/>
              <w:ind w:left="107" w:right="94"/>
              <w:rPr>
                <w:rFonts w:ascii="Times New Roman" w:hAnsi="Times New Roman" w:eastAsia="Times New Roman"/>
                <w:sz w:val="21"/>
              </w:rPr>
            </w:pPr>
            <w:r>
              <w:rPr>
                <w:sz w:val="21"/>
              </w:rPr>
              <w:t>注：若无分包计划，则投标人应在本表填写</w:t>
            </w:r>
            <w:r>
              <w:rPr>
                <w:rFonts w:ascii="Times New Roman" w:hAnsi="Times New Roman" w:eastAsia="Times New Roman"/>
                <w:sz w:val="21"/>
              </w:rPr>
              <w:t>“</w:t>
            </w:r>
            <w:r>
              <w:rPr>
                <w:sz w:val="21"/>
              </w:rPr>
              <w:t>无</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tcPr>
          <w:p>
            <w:pPr>
              <w:pStyle w:val="21"/>
              <w:rPr>
                <w:rFonts w:ascii="Times New Roman"/>
              </w:rPr>
            </w:pPr>
          </w:p>
        </w:tc>
        <w:tc>
          <w:tcPr>
            <w:tcW w:w="2456" w:type="dxa"/>
          </w:tcPr>
          <w:p>
            <w:pPr>
              <w:pStyle w:val="21"/>
              <w:rPr>
                <w:rFonts w:ascii="Times New Roman"/>
              </w:rPr>
            </w:pPr>
          </w:p>
        </w:tc>
        <w:tc>
          <w:tcPr>
            <w:tcW w:w="1865" w:type="dxa"/>
          </w:tcPr>
          <w:p>
            <w:pPr>
              <w:pStyle w:val="21"/>
              <w:rPr>
                <w:rFonts w:ascii="Times New Roman"/>
              </w:rPr>
            </w:pPr>
          </w:p>
        </w:tc>
        <w:tc>
          <w:tcPr>
            <w:tcW w:w="258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446" w:type="dxa"/>
            <w:gridSpan w:val="2"/>
          </w:tcPr>
          <w:p>
            <w:pPr>
              <w:pStyle w:val="21"/>
              <w:spacing w:before="147"/>
              <w:ind w:left="856"/>
              <w:rPr>
                <w:sz w:val="21"/>
              </w:rPr>
            </w:pPr>
            <w:r>
              <w:rPr>
                <w:sz w:val="21"/>
              </w:rPr>
              <w:t>拟分包工程造价合计（万元）</w:t>
            </w:r>
          </w:p>
        </w:tc>
        <w:tc>
          <w:tcPr>
            <w:tcW w:w="1865" w:type="dxa"/>
          </w:tcPr>
          <w:p>
            <w:pPr>
              <w:pStyle w:val="21"/>
              <w:rPr>
                <w:rFonts w:ascii="Times New Roman"/>
              </w:rPr>
            </w:pPr>
          </w:p>
        </w:tc>
        <w:tc>
          <w:tcPr>
            <w:tcW w:w="2583" w:type="dxa"/>
            <w:vMerge w:val="continue"/>
            <w:tcBorders>
              <w:top w:val="nil"/>
            </w:tcBorders>
          </w:tcPr>
          <w:p>
            <w:pPr>
              <w:rPr>
                <w:sz w:val="2"/>
                <w:szCs w:val="2"/>
              </w:rPr>
            </w:pPr>
          </w:p>
        </w:tc>
      </w:tr>
    </w:tbl>
    <w:p>
      <w:pPr>
        <w:rPr>
          <w:sz w:val="2"/>
          <w:szCs w:val="2"/>
        </w:rPr>
        <w:sectPr>
          <w:pgSz w:w="11910" w:h="16850"/>
          <w:pgMar w:top="1540" w:right="1140" w:bottom="1060" w:left="1380" w:header="876" w:footer="860" w:gutter="0"/>
          <w:cols w:space="720" w:num="1"/>
        </w:sectPr>
      </w:pPr>
    </w:p>
    <w:p>
      <w:pPr>
        <w:spacing w:before="56"/>
        <w:ind w:right="176"/>
        <w:jc w:val="center"/>
        <w:rPr>
          <w:rFonts w:ascii="黑体" w:eastAsia="黑体"/>
          <w:sz w:val="28"/>
        </w:rPr>
      </w:pPr>
      <w:bookmarkStart w:id="290" w:name="_bookmark310"/>
      <w:bookmarkEnd w:id="290"/>
      <w:bookmarkStart w:id="291" w:name="_bookmark309"/>
      <w:bookmarkEnd w:id="291"/>
      <w:r>
        <w:rPr>
          <w:rFonts w:hint="eastAsia" w:ascii="黑体" w:eastAsia="黑体"/>
          <w:sz w:val="28"/>
        </w:rPr>
        <w:t>八、资格审查资料</w:t>
      </w:r>
    </w:p>
    <w:p>
      <w:pPr>
        <w:pStyle w:val="11"/>
        <w:spacing w:before="3"/>
        <w:rPr>
          <w:rFonts w:ascii="黑体"/>
          <w:sz w:val="35"/>
        </w:rPr>
      </w:pPr>
    </w:p>
    <w:p>
      <w:pPr>
        <w:pStyle w:val="11"/>
        <w:spacing w:after="5"/>
        <w:ind w:right="180"/>
        <w:jc w:val="center"/>
        <w:rPr>
          <w:rFonts w:ascii="黑体" w:eastAsia="黑体"/>
        </w:rPr>
      </w:pPr>
      <w:bookmarkStart w:id="292" w:name="_bookmark311"/>
      <w:bookmarkEnd w:id="292"/>
      <w:r>
        <w:rPr>
          <w:rFonts w:hint="eastAsia" w:ascii="黑体" w:eastAsia="黑体"/>
        </w:rPr>
        <w:t>（一）投标人基本情况表</w:t>
      </w:r>
    </w:p>
    <w:tbl>
      <w:tblPr>
        <w:tblStyle w:val="19"/>
        <w:tblW w:w="8929"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901"/>
        <w:gridCol w:w="1080"/>
        <w:gridCol w:w="528"/>
        <w:gridCol w:w="732"/>
        <w:gridCol w:w="1077"/>
        <w:gridCol w:w="182"/>
        <w:gridCol w:w="900"/>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pPr>
              <w:pStyle w:val="21"/>
              <w:spacing w:before="142"/>
              <w:ind w:left="426"/>
              <w:rPr>
                <w:sz w:val="21"/>
              </w:rPr>
            </w:pPr>
            <w:r>
              <w:rPr>
                <w:sz w:val="21"/>
              </w:rPr>
              <w:t>投标人名称</w:t>
            </w:r>
          </w:p>
        </w:tc>
        <w:tc>
          <w:tcPr>
            <w:tcW w:w="7021" w:type="dxa"/>
            <w:gridSpan w:val="8"/>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21"/>
              <w:spacing w:before="142"/>
              <w:ind w:left="532"/>
              <w:rPr>
                <w:sz w:val="21"/>
              </w:rPr>
            </w:pPr>
            <w:r>
              <w:rPr>
                <w:sz w:val="21"/>
              </w:rPr>
              <w:t>注册地址</w:t>
            </w:r>
          </w:p>
        </w:tc>
        <w:tc>
          <w:tcPr>
            <w:tcW w:w="3241" w:type="dxa"/>
            <w:gridSpan w:val="4"/>
          </w:tcPr>
          <w:p>
            <w:pPr>
              <w:pStyle w:val="21"/>
              <w:rPr>
                <w:rFonts w:ascii="Times New Roman"/>
                <w:sz w:val="20"/>
              </w:rPr>
            </w:pPr>
          </w:p>
        </w:tc>
        <w:tc>
          <w:tcPr>
            <w:tcW w:w="1077" w:type="dxa"/>
          </w:tcPr>
          <w:p>
            <w:pPr>
              <w:pStyle w:val="21"/>
              <w:spacing w:before="142"/>
              <w:ind w:left="98" w:right="88"/>
              <w:jc w:val="center"/>
              <w:rPr>
                <w:sz w:val="21"/>
              </w:rPr>
            </w:pPr>
            <w:r>
              <w:rPr>
                <w:sz w:val="21"/>
              </w:rPr>
              <w:t>邮政编码</w:t>
            </w:r>
          </w:p>
        </w:tc>
        <w:tc>
          <w:tcPr>
            <w:tcW w:w="2703"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vMerge w:val="restart"/>
          </w:tcPr>
          <w:p>
            <w:pPr>
              <w:pStyle w:val="21"/>
              <w:spacing w:before="9"/>
              <w:rPr>
                <w:rFonts w:ascii="黑体"/>
                <w:sz w:val="28"/>
              </w:rPr>
            </w:pPr>
          </w:p>
          <w:p>
            <w:pPr>
              <w:pStyle w:val="21"/>
              <w:ind w:left="532"/>
              <w:rPr>
                <w:sz w:val="21"/>
              </w:rPr>
            </w:pPr>
            <w:r>
              <w:rPr>
                <w:sz w:val="21"/>
              </w:rPr>
              <w:t>联系方式</w:t>
            </w:r>
          </w:p>
        </w:tc>
        <w:tc>
          <w:tcPr>
            <w:tcW w:w="901" w:type="dxa"/>
          </w:tcPr>
          <w:p>
            <w:pPr>
              <w:pStyle w:val="21"/>
              <w:spacing w:before="142"/>
              <w:ind w:left="10"/>
              <w:jc w:val="center"/>
              <w:rPr>
                <w:sz w:val="21"/>
              </w:rPr>
            </w:pPr>
            <w:r>
              <w:rPr>
                <w:sz w:val="21"/>
              </w:rPr>
              <w:t>联系人</w:t>
            </w:r>
          </w:p>
        </w:tc>
        <w:tc>
          <w:tcPr>
            <w:tcW w:w="2340" w:type="dxa"/>
            <w:gridSpan w:val="3"/>
          </w:tcPr>
          <w:p>
            <w:pPr>
              <w:pStyle w:val="21"/>
              <w:rPr>
                <w:rFonts w:ascii="Times New Roman"/>
                <w:sz w:val="20"/>
              </w:rPr>
            </w:pPr>
          </w:p>
        </w:tc>
        <w:tc>
          <w:tcPr>
            <w:tcW w:w="1077" w:type="dxa"/>
          </w:tcPr>
          <w:p>
            <w:pPr>
              <w:pStyle w:val="21"/>
              <w:spacing w:before="142"/>
              <w:ind w:left="98" w:right="86"/>
              <w:jc w:val="center"/>
              <w:rPr>
                <w:sz w:val="21"/>
              </w:rPr>
            </w:pPr>
            <w:r>
              <w:rPr>
                <w:sz w:val="21"/>
              </w:rPr>
              <w:t>电 话</w:t>
            </w:r>
          </w:p>
        </w:tc>
        <w:tc>
          <w:tcPr>
            <w:tcW w:w="2703"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vMerge w:val="continue"/>
            <w:tcBorders>
              <w:top w:val="nil"/>
            </w:tcBorders>
          </w:tcPr>
          <w:p>
            <w:pPr>
              <w:rPr>
                <w:sz w:val="2"/>
                <w:szCs w:val="2"/>
              </w:rPr>
            </w:pPr>
          </w:p>
        </w:tc>
        <w:tc>
          <w:tcPr>
            <w:tcW w:w="901" w:type="dxa"/>
          </w:tcPr>
          <w:p>
            <w:pPr>
              <w:pStyle w:val="21"/>
              <w:tabs>
                <w:tab w:val="left" w:pos="434"/>
              </w:tabs>
              <w:spacing w:before="142"/>
              <w:ind w:left="11"/>
              <w:jc w:val="center"/>
              <w:rPr>
                <w:sz w:val="21"/>
              </w:rPr>
            </w:pPr>
            <w:r>
              <w:rPr>
                <w:sz w:val="21"/>
              </w:rPr>
              <w:t>传</w:t>
            </w:r>
            <w:r>
              <w:rPr>
                <w:sz w:val="21"/>
              </w:rPr>
              <w:tab/>
            </w:r>
            <w:r>
              <w:rPr>
                <w:sz w:val="21"/>
              </w:rPr>
              <w:t>真</w:t>
            </w:r>
          </w:p>
        </w:tc>
        <w:tc>
          <w:tcPr>
            <w:tcW w:w="2340" w:type="dxa"/>
            <w:gridSpan w:val="3"/>
          </w:tcPr>
          <w:p>
            <w:pPr>
              <w:pStyle w:val="21"/>
              <w:rPr>
                <w:rFonts w:ascii="Times New Roman"/>
                <w:sz w:val="20"/>
              </w:rPr>
            </w:pPr>
          </w:p>
        </w:tc>
        <w:tc>
          <w:tcPr>
            <w:tcW w:w="1077" w:type="dxa"/>
          </w:tcPr>
          <w:p>
            <w:pPr>
              <w:pStyle w:val="21"/>
              <w:spacing w:before="142"/>
              <w:ind w:left="98" w:right="88"/>
              <w:jc w:val="center"/>
              <w:rPr>
                <w:sz w:val="21"/>
              </w:rPr>
            </w:pPr>
            <w:r>
              <w:rPr>
                <w:sz w:val="21"/>
              </w:rPr>
              <w:t>电子邮件</w:t>
            </w:r>
          </w:p>
        </w:tc>
        <w:tc>
          <w:tcPr>
            <w:tcW w:w="2703"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08" w:type="dxa"/>
          </w:tcPr>
          <w:p>
            <w:pPr>
              <w:pStyle w:val="21"/>
              <w:spacing w:before="143"/>
              <w:ind w:left="426"/>
              <w:rPr>
                <w:sz w:val="21"/>
              </w:rPr>
            </w:pPr>
            <w:r>
              <w:rPr>
                <w:sz w:val="21"/>
              </w:rPr>
              <w:t>法定代表人</w:t>
            </w:r>
          </w:p>
        </w:tc>
        <w:tc>
          <w:tcPr>
            <w:tcW w:w="901" w:type="dxa"/>
          </w:tcPr>
          <w:p>
            <w:pPr>
              <w:pStyle w:val="21"/>
              <w:spacing w:before="143"/>
              <w:ind w:left="10"/>
              <w:jc w:val="center"/>
              <w:rPr>
                <w:sz w:val="21"/>
              </w:rPr>
            </w:pPr>
            <w:r>
              <w:rPr>
                <w:sz w:val="21"/>
              </w:rPr>
              <w:t>姓名</w:t>
            </w:r>
          </w:p>
        </w:tc>
        <w:tc>
          <w:tcPr>
            <w:tcW w:w="1080" w:type="dxa"/>
          </w:tcPr>
          <w:p>
            <w:pPr>
              <w:pStyle w:val="21"/>
              <w:rPr>
                <w:rFonts w:ascii="Times New Roman"/>
                <w:sz w:val="20"/>
              </w:rPr>
            </w:pPr>
          </w:p>
        </w:tc>
        <w:tc>
          <w:tcPr>
            <w:tcW w:w="1260" w:type="dxa"/>
            <w:gridSpan w:val="2"/>
          </w:tcPr>
          <w:p>
            <w:pPr>
              <w:pStyle w:val="21"/>
              <w:spacing w:before="143"/>
              <w:ind w:left="208"/>
              <w:rPr>
                <w:sz w:val="21"/>
              </w:rPr>
            </w:pPr>
            <w:r>
              <w:rPr>
                <w:sz w:val="21"/>
              </w:rPr>
              <w:t>技术职称</w:t>
            </w:r>
          </w:p>
        </w:tc>
        <w:tc>
          <w:tcPr>
            <w:tcW w:w="1077" w:type="dxa"/>
          </w:tcPr>
          <w:p>
            <w:pPr>
              <w:pStyle w:val="21"/>
              <w:rPr>
                <w:rFonts w:ascii="Times New Roman"/>
                <w:sz w:val="20"/>
              </w:rPr>
            </w:pPr>
          </w:p>
        </w:tc>
        <w:tc>
          <w:tcPr>
            <w:tcW w:w="1082" w:type="dxa"/>
            <w:gridSpan w:val="2"/>
          </w:tcPr>
          <w:p>
            <w:pPr>
              <w:pStyle w:val="21"/>
              <w:spacing w:before="143"/>
              <w:ind w:left="331"/>
              <w:rPr>
                <w:sz w:val="21"/>
              </w:rPr>
            </w:pPr>
            <w:r>
              <w:rPr>
                <w:sz w:val="21"/>
              </w:rPr>
              <w:t>电话</w:t>
            </w:r>
          </w:p>
        </w:tc>
        <w:tc>
          <w:tcPr>
            <w:tcW w:w="16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21"/>
              <w:spacing w:before="142"/>
              <w:ind w:left="426"/>
              <w:rPr>
                <w:sz w:val="21"/>
              </w:rPr>
            </w:pPr>
            <w:r>
              <w:rPr>
                <w:sz w:val="21"/>
              </w:rPr>
              <w:t>技术负责人</w:t>
            </w:r>
          </w:p>
        </w:tc>
        <w:tc>
          <w:tcPr>
            <w:tcW w:w="901" w:type="dxa"/>
          </w:tcPr>
          <w:p>
            <w:pPr>
              <w:pStyle w:val="21"/>
              <w:spacing w:before="142"/>
              <w:ind w:left="10"/>
              <w:jc w:val="center"/>
              <w:rPr>
                <w:sz w:val="21"/>
              </w:rPr>
            </w:pPr>
            <w:r>
              <w:rPr>
                <w:sz w:val="21"/>
              </w:rPr>
              <w:t>姓名</w:t>
            </w:r>
          </w:p>
        </w:tc>
        <w:tc>
          <w:tcPr>
            <w:tcW w:w="1080" w:type="dxa"/>
          </w:tcPr>
          <w:p>
            <w:pPr>
              <w:pStyle w:val="21"/>
              <w:rPr>
                <w:rFonts w:ascii="Times New Roman"/>
                <w:sz w:val="20"/>
              </w:rPr>
            </w:pPr>
          </w:p>
        </w:tc>
        <w:tc>
          <w:tcPr>
            <w:tcW w:w="1260" w:type="dxa"/>
            <w:gridSpan w:val="2"/>
          </w:tcPr>
          <w:p>
            <w:pPr>
              <w:pStyle w:val="21"/>
              <w:spacing w:before="142"/>
              <w:ind w:left="208"/>
              <w:rPr>
                <w:sz w:val="21"/>
              </w:rPr>
            </w:pPr>
            <w:r>
              <w:rPr>
                <w:sz w:val="21"/>
              </w:rPr>
              <w:t>技术职称</w:t>
            </w:r>
          </w:p>
        </w:tc>
        <w:tc>
          <w:tcPr>
            <w:tcW w:w="1077" w:type="dxa"/>
          </w:tcPr>
          <w:p>
            <w:pPr>
              <w:pStyle w:val="21"/>
              <w:rPr>
                <w:rFonts w:ascii="Times New Roman"/>
                <w:sz w:val="20"/>
              </w:rPr>
            </w:pPr>
          </w:p>
        </w:tc>
        <w:tc>
          <w:tcPr>
            <w:tcW w:w="1082" w:type="dxa"/>
            <w:gridSpan w:val="2"/>
          </w:tcPr>
          <w:p>
            <w:pPr>
              <w:pStyle w:val="21"/>
              <w:spacing w:before="142"/>
              <w:ind w:left="331"/>
              <w:rPr>
                <w:sz w:val="21"/>
              </w:rPr>
            </w:pPr>
            <w:r>
              <w:rPr>
                <w:sz w:val="21"/>
              </w:rPr>
              <w:t>电话</w:t>
            </w:r>
          </w:p>
        </w:tc>
        <w:tc>
          <w:tcPr>
            <w:tcW w:w="16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pPr>
              <w:pStyle w:val="21"/>
              <w:spacing w:before="142"/>
              <w:ind w:left="426"/>
              <w:rPr>
                <w:sz w:val="21"/>
              </w:rPr>
            </w:pPr>
            <w:r>
              <w:rPr>
                <w:sz w:val="21"/>
              </w:rPr>
              <w:t>营业执照号</w:t>
            </w:r>
          </w:p>
        </w:tc>
        <w:tc>
          <w:tcPr>
            <w:tcW w:w="1981" w:type="dxa"/>
            <w:gridSpan w:val="2"/>
          </w:tcPr>
          <w:p>
            <w:pPr>
              <w:pStyle w:val="21"/>
              <w:rPr>
                <w:rFonts w:ascii="Times New Roman"/>
                <w:sz w:val="20"/>
              </w:rPr>
            </w:pPr>
          </w:p>
        </w:tc>
        <w:tc>
          <w:tcPr>
            <w:tcW w:w="5040" w:type="dxa"/>
            <w:gridSpan w:val="6"/>
          </w:tcPr>
          <w:p>
            <w:pPr>
              <w:pStyle w:val="21"/>
              <w:spacing w:before="142"/>
              <w:ind w:left="1922" w:right="1807"/>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21"/>
              <w:spacing w:before="142"/>
              <w:ind w:left="323"/>
              <w:rPr>
                <w:sz w:val="21"/>
              </w:rPr>
            </w:pPr>
            <w:r>
              <w:rPr>
                <w:sz w:val="21"/>
              </w:rPr>
              <w:t>企业资质等级</w:t>
            </w:r>
          </w:p>
        </w:tc>
        <w:tc>
          <w:tcPr>
            <w:tcW w:w="1981" w:type="dxa"/>
            <w:gridSpan w:val="2"/>
          </w:tcPr>
          <w:p>
            <w:pPr>
              <w:pStyle w:val="21"/>
              <w:rPr>
                <w:rFonts w:ascii="Times New Roman"/>
                <w:sz w:val="20"/>
              </w:rPr>
            </w:pPr>
          </w:p>
        </w:tc>
        <w:tc>
          <w:tcPr>
            <w:tcW w:w="528" w:type="dxa"/>
            <w:vMerge w:val="restart"/>
          </w:tcPr>
          <w:p>
            <w:pPr>
              <w:pStyle w:val="21"/>
              <w:rPr>
                <w:rFonts w:ascii="黑体"/>
                <w:sz w:val="20"/>
              </w:rPr>
            </w:pPr>
          </w:p>
          <w:p>
            <w:pPr>
              <w:pStyle w:val="21"/>
              <w:rPr>
                <w:rFonts w:ascii="黑体"/>
                <w:sz w:val="20"/>
              </w:rPr>
            </w:pPr>
          </w:p>
          <w:p>
            <w:pPr>
              <w:pStyle w:val="21"/>
              <w:spacing w:before="4"/>
              <w:rPr>
                <w:rFonts w:ascii="黑体"/>
                <w:sz w:val="24"/>
              </w:rPr>
            </w:pPr>
          </w:p>
          <w:p>
            <w:pPr>
              <w:pStyle w:val="21"/>
              <w:spacing w:line="391" w:lineRule="auto"/>
              <w:ind w:left="157" w:right="147"/>
              <w:rPr>
                <w:sz w:val="21"/>
              </w:rPr>
            </w:pPr>
            <w:r>
              <w:rPr>
                <w:sz w:val="21"/>
              </w:rPr>
              <w:t>其中</w:t>
            </w:r>
          </w:p>
        </w:tc>
        <w:tc>
          <w:tcPr>
            <w:tcW w:w="1991" w:type="dxa"/>
            <w:gridSpan w:val="3"/>
          </w:tcPr>
          <w:p>
            <w:pPr>
              <w:pStyle w:val="21"/>
              <w:spacing w:before="142"/>
              <w:ind w:left="575"/>
              <w:rPr>
                <w:sz w:val="21"/>
              </w:rPr>
            </w:pPr>
            <w:r>
              <w:rPr>
                <w:sz w:val="21"/>
              </w:rPr>
              <w:t>项目经理</w:t>
            </w:r>
          </w:p>
        </w:tc>
        <w:tc>
          <w:tcPr>
            <w:tcW w:w="2521"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pPr>
              <w:pStyle w:val="21"/>
              <w:spacing w:before="142"/>
              <w:ind w:left="532"/>
              <w:rPr>
                <w:sz w:val="21"/>
              </w:rPr>
            </w:pPr>
            <w:r>
              <w:rPr>
                <w:sz w:val="21"/>
              </w:rPr>
              <w:t>注册资本</w:t>
            </w:r>
          </w:p>
        </w:tc>
        <w:tc>
          <w:tcPr>
            <w:tcW w:w="1981" w:type="dxa"/>
            <w:gridSpan w:val="2"/>
          </w:tcPr>
          <w:p>
            <w:pPr>
              <w:pStyle w:val="21"/>
              <w:rPr>
                <w:rFonts w:ascii="Times New Roman"/>
                <w:sz w:val="20"/>
              </w:rPr>
            </w:pPr>
          </w:p>
        </w:tc>
        <w:tc>
          <w:tcPr>
            <w:tcW w:w="528" w:type="dxa"/>
            <w:vMerge w:val="continue"/>
            <w:tcBorders>
              <w:top w:val="nil"/>
            </w:tcBorders>
          </w:tcPr>
          <w:p>
            <w:pPr>
              <w:rPr>
                <w:sz w:val="2"/>
                <w:szCs w:val="2"/>
              </w:rPr>
            </w:pPr>
          </w:p>
        </w:tc>
        <w:tc>
          <w:tcPr>
            <w:tcW w:w="1991" w:type="dxa"/>
            <w:gridSpan w:val="3"/>
          </w:tcPr>
          <w:p>
            <w:pPr>
              <w:pStyle w:val="21"/>
              <w:spacing w:before="142"/>
              <w:ind w:left="364"/>
              <w:rPr>
                <w:sz w:val="21"/>
              </w:rPr>
            </w:pPr>
            <w:r>
              <w:rPr>
                <w:sz w:val="21"/>
              </w:rPr>
              <w:t>高级职称人员</w:t>
            </w:r>
          </w:p>
        </w:tc>
        <w:tc>
          <w:tcPr>
            <w:tcW w:w="2521"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21"/>
              <w:spacing w:before="142"/>
              <w:ind w:left="532"/>
              <w:rPr>
                <w:sz w:val="21"/>
              </w:rPr>
            </w:pPr>
            <w:r>
              <w:rPr>
                <w:sz w:val="21"/>
              </w:rPr>
              <w:t>成立日期</w:t>
            </w:r>
          </w:p>
        </w:tc>
        <w:tc>
          <w:tcPr>
            <w:tcW w:w="1981" w:type="dxa"/>
            <w:gridSpan w:val="2"/>
          </w:tcPr>
          <w:p>
            <w:pPr>
              <w:pStyle w:val="21"/>
              <w:rPr>
                <w:rFonts w:ascii="Times New Roman"/>
                <w:sz w:val="20"/>
              </w:rPr>
            </w:pPr>
          </w:p>
        </w:tc>
        <w:tc>
          <w:tcPr>
            <w:tcW w:w="528" w:type="dxa"/>
            <w:vMerge w:val="continue"/>
            <w:tcBorders>
              <w:top w:val="nil"/>
            </w:tcBorders>
          </w:tcPr>
          <w:p>
            <w:pPr>
              <w:rPr>
                <w:sz w:val="2"/>
                <w:szCs w:val="2"/>
              </w:rPr>
            </w:pPr>
          </w:p>
        </w:tc>
        <w:tc>
          <w:tcPr>
            <w:tcW w:w="1991" w:type="dxa"/>
            <w:gridSpan w:val="3"/>
          </w:tcPr>
          <w:p>
            <w:pPr>
              <w:pStyle w:val="21"/>
              <w:spacing w:before="142"/>
              <w:ind w:left="364"/>
              <w:rPr>
                <w:sz w:val="21"/>
              </w:rPr>
            </w:pPr>
            <w:r>
              <w:rPr>
                <w:sz w:val="21"/>
              </w:rPr>
              <w:t>中级职称人员</w:t>
            </w:r>
          </w:p>
        </w:tc>
        <w:tc>
          <w:tcPr>
            <w:tcW w:w="2521"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pPr>
              <w:pStyle w:val="21"/>
              <w:spacing w:before="142"/>
              <w:ind w:right="100"/>
              <w:jc w:val="right"/>
              <w:rPr>
                <w:sz w:val="21"/>
              </w:rPr>
            </w:pPr>
            <w:r>
              <w:rPr>
                <w:sz w:val="21"/>
              </w:rPr>
              <w:t>基本账户开户银行</w:t>
            </w:r>
          </w:p>
        </w:tc>
        <w:tc>
          <w:tcPr>
            <w:tcW w:w="1981" w:type="dxa"/>
            <w:gridSpan w:val="2"/>
          </w:tcPr>
          <w:p>
            <w:pPr>
              <w:pStyle w:val="21"/>
              <w:rPr>
                <w:rFonts w:ascii="Times New Roman"/>
                <w:sz w:val="20"/>
              </w:rPr>
            </w:pPr>
          </w:p>
        </w:tc>
        <w:tc>
          <w:tcPr>
            <w:tcW w:w="528" w:type="dxa"/>
            <w:vMerge w:val="continue"/>
            <w:tcBorders>
              <w:top w:val="nil"/>
            </w:tcBorders>
          </w:tcPr>
          <w:p>
            <w:pPr>
              <w:rPr>
                <w:sz w:val="2"/>
                <w:szCs w:val="2"/>
              </w:rPr>
            </w:pPr>
          </w:p>
        </w:tc>
        <w:tc>
          <w:tcPr>
            <w:tcW w:w="1991" w:type="dxa"/>
            <w:gridSpan w:val="3"/>
          </w:tcPr>
          <w:p>
            <w:pPr>
              <w:pStyle w:val="21"/>
              <w:spacing w:before="142"/>
              <w:ind w:left="364"/>
              <w:rPr>
                <w:sz w:val="21"/>
              </w:rPr>
            </w:pPr>
            <w:r>
              <w:rPr>
                <w:sz w:val="21"/>
              </w:rPr>
              <w:t>初级职称人员</w:t>
            </w:r>
          </w:p>
        </w:tc>
        <w:tc>
          <w:tcPr>
            <w:tcW w:w="2521"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21"/>
              <w:spacing w:before="143"/>
              <w:ind w:right="103"/>
              <w:jc w:val="right"/>
              <w:rPr>
                <w:sz w:val="21"/>
              </w:rPr>
            </w:pPr>
            <w:r>
              <w:rPr>
                <w:sz w:val="21"/>
              </w:rPr>
              <w:t>基本账户银行账号</w:t>
            </w:r>
          </w:p>
        </w:tc>
        <w:tc>
          <w:tcPr>
            <w:tcW w:w="1981" w:type="dxa"/>
            <w:gridSpan w:val="2"/>
          </w:tcPr>
          <w:p>
            <w:pPr>
              <w:pStyle w:val="21"/>
              <w:rPr>
                <w:rFonts w:ascii="Times New Roman"/>
                <w:sz w:val="20"/>
              </w:rPr>
            </w:pPr>
          </w:p>
        </w:tc>
        <w:tc>
          <w:tcPr>
            <w:tcW w:w="528" w:type="dxa"/>
            <w:vMerge w:val="continue"/>
            <w:tcBorders>
              <w:top w:val="nil"/>
            </w:tcBorders>
          </w:tcPr>
          <w:p>
            <w:pPr>
              <w:rPr>
                <w:sz w:val="2"/>
                <w:szCs w:val="2"/>
              </w:rPr>
            </w:pPr>
          </w:p>
        </w:tc>
        <w:tc>
          <w:tcPr>
            <w:tcW w:w="1991" w:type="dxa"/>
            <w:gridSpan w:val="3"/>
          </w:tcPr>
          <w:p>
            <w:pPr>
              <w:pStyle w:val="21"/>
              <w:spacing w:before="153"/>
              <w:ind w:left="773" w:right="768"/>
              <w:jc w:val="center"/>
              <w:rPr>
                <w:sz w:val="20"/>
              </w:rPr>
            </w:pPr>
            <w:r>
              <w:rPr>
                <w:sz w:val="20"/>
              </w:rPr>
              <w:t>技工</w:t>
            </w:r>
          </w:p>
        </w:tc>
        <w:tc>
          <w:tcPr>
            <w:tcW w:w="2521"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1908" w:type="dxa"/>
          </w:tcPr>
          <w:p>
            <w:pPr>
              <w:pStyle w:val="21"/>
              <w:rPr>
                <w:rFonts w:ascii="黑体"/>
                <w:sz w:val="20"/>
              </w:rPr>
            </w:pPr>
          </w:p>
          <w:p>
            <w:pPr>
              <w:pStyle w:val="21"/>
              <w:rPr>
                <w:rFonts w:ascii="黑体"/>
                <w:sz w:val="20"/>
              </w:rPr>
            </w:pPr>
          </w:p>
          <w:p>
            <w:pPr>
              <w:pStyle w:val="21"/>
              <w:spacing w:before="8"/>
              <w:rPr>
                <w:rFonts w:ascii="黑体"/>
              </w:rPr>
            </w:pPr>
          </w:p>
          <w:p>
            <w:pPr>
              <w:pStyle w:val="21"/>
              <w:ind w:left="638"/>
              <w:rPr>
                <w:sz w:val="21"/>
              </w:rPr>
            </w:pPr>
            <w:r>
              <w:rPr>
                <w:sz w:val="21"/>
              </w:rPr>
              <w:t>经营范围</w:t>
            </w:r>
          </w:p>
        </w:tc>
        <w:tc>
          <w:tcPr>
            <w:tcW w:w="7021" w:type="dxa"/>
            <w:gridSpan w:val="8"/>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1908" w:type="dxa"/>
          </w:tcPr>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spacing w:before="4"/>
              <w:rPr>
                <w:rFonts w:ascii="黑体"/>
                <w:sz w:val="23"/>
              </w:rPr>
            </w:pPr>
          </w:p>
          <w:p>
            <w:pPr>
              <w:pStyle w:val="21"/>
              <w:spacing w:line="391" w:lineRule="auto"/>
              <w:ind w:left="846" w:right="100" w:hanging="735"/>
              <w:rPr>
                <w:sz w:val="21"/>
              </w:rPr>
            </w:pPr>
            <w:r>
              <w:rPr>
                <w:sz w:val="21"/>
              </w:rPr>
              <w:t>投标人关联企业情况</w:t>
            </w:r>
          </w:p>
        </w:tc>
        <w:tc>
          <w:tcPr>
            <w:tcW w:w="7021" w:type="dxa"/>
            <w:gridSpan w:val="8"/>
          </w:tcPr>
          <w:p>
            <w:pPr>
              <w:pStyle w:val="21"/>
              <w:spacing w:before="128"/>
              <w:ind w:left="107"/>
              <w:rPr>
                <w:sz w:val="21"/>
              </w:rPr>
            </w:pPr>
            <w:r>
              <w:rPr>
                <w:sz w:val="21"/>
              </w:rPr>
              <w:t>投标人应提供关联企业情况，包括：</w:t>
            </w:r>
          </w:p>
          <w:p>
            <w:pPr>
              <w:pStyle w:val="21"/>
              <w:spacing w:before="132" w:line="357" w:lineRule="auto"/>
              <w:ind w:left="107" w:right="90" w:hanging="106"/>
              <w:jc w:val="both"/>
              <w:rPr>
                <w:sz w:val="21"/>
              </w:rPr>
            </w:pPr>
            <w:r>
              <w:rPr>
                <w:sz w:val="21"/>
              </w:rPr>
              <w:t>（</w:t>
            </w:r>
            <w:r>
              <w:rPr>
                <w:rFonts w:ascii="Times New Roman" w:eastAsia="Times New Roman"/>
                <w:sz w:val="21"/>
              </w:rPr>
              <w:t>1</w:t>
            </w:r>
            <w:r>
              <w:rPr>
                <w:sz w:val="21"/>
              </w:rPr>
              <w:t>）投标人的所有股东名称及相应股权（出资额）比例；如投标人为上市公司，投标人应提供股权占公司股份总数</w:t>
            </w:r>
            <w:r>
              <w:rPr>
                <w:sz w:val="21"/>
                <w:u w:val="single"/>
              </w:rPr>
              <w:t xml:space="preserve">  </w:t>
            </w:r>
            <w:r>
              <w:rPr>
                <w:rFonts w:ascii="Times New Roman" w:eastAsia="Times New Roman"/>
                <w:sz w:val="21"/>
              </w:rPr>
              <w:t>%</w:t>
            </w:r>
            <w:r>
              <w:rPr>
                <w:sz w:val="21"/>
              </w:rPr>
              <w:t>以上的所有股东名称及相应股权比例；</w:t>
            </w:r>
          </w:p>
          <w:p>
            <w:pPr>
              <w:pStyle w:val="21"/>
              <w:spacing w:line="357" w:lineRule="auto"/>
              <w:ind w:left="107" w:right="94" w:hanging="106"/>
              <w:jc w:val="both"/>
              <w:rPr>
                <w:sz w:val="21"/>
              </w:rPr>
            </w:pPr>
            <w:r>
              <w:rPr>
                <w:sz w:val="21"/>
              </w:rPr>
              <w:t>（</w:t>
            </w:r>
            <w:r>
              <w:rPr>
                <w:rFonts w:ascii="Times New Roman" w:eastAsia="Times New Roman"/>
                <w:sz w:val="21"/>
              </w:rPr>
              <w:t>2</w:t>
            </w:r>
            <w:r>
              <w:rPr>
                <w:sz w:val="21"/>
              </w:rPr>
              <w:t>）投标人投资（控股）或管理的下属企业名称、持有股权（出资额）比例；</w:t>
            </w:r>
          </w:p>
          <w:p>
            <w:pPr>
              <w:pStyle w:val="21"/>
              <w:spacing w:line="266" w:lineRule="exact"/>
              <w:ind w:left="2"/>
              <w:rPr>
                <w:sz w:val="21"/>
              </w:rPr>
            </w:pPr>
            <w:r>
              <w:rPr>
                <w:sz w:val="21"/>
              </w:rPr>
              <w:t>（</w:t>
            </w:r>
            <w:r>
              <w:rPr>
                <w:rFonts w:ascii="Times New Roman" w:eastAsia="Times New Roman"/>
                <w:sz w:val="21"/>
              </w:rPr>
              <w:t>3</w:t>
            </w:r>
            <w:r>
              <w:rPr>
                <w:sz w:val="21"/>
              </w:rPr>
              <w:t>）与投标人单位负责人（即法定代表人）为同一人的其他单位名称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21"/>
              <w:spacing w:before="142"/>
              <w:ind w:left="724" w:right="713"/>
              <w:jc w:val="center"/>
              <w:rPr>
                <w:sz w:val="21"/>
              </w:rPr>
            </w:pPr>
            <w:r>
              <w:rPr>
                <w:sz w:val="21"/>
              </w:rPr>
              <w:t>备注</w:t>
            </w:r>
          </w:p>
        </w:tc>
        <w:tc>
          <w:tcPr>
            <w:tcW w:w="7021" w:type="dxa"/>
            <w:gridSpan w:val="8"/>
          </w:tcPr>
          <w:p>
            <w:pPr>
              <w:pStyle w:val="21"/>
              <w:rPr>
                <w:rFonts w:ascii="Times New Roman"/>
                <w:sz w:val="20"/>
              </w:rPr>
            </w:pPr>
          </w:p>
        </w:tc>
      </w:tr>
    </w:tbl>
    <w:p>
      <w:pPr>
        <w:spacing w:before="126"/>
        <w:ind w:right="81"/>
        <w:jc w:val="center"/>
        <w:rPr>
          <w:sz w:val="21"/>
        </w:rPr>
      </w:pPr>
      <w:r>
        <w:rPr>
          <w:sz w:val="21"/>
        </w:rPr>
        <w:t>注：</w:t>
      </w:r>
      <w:r>
        <w:rPr>
          <w:rFonts w:ascii="Times New Roman" w:hAnsi="Times New Roman" w:eastAsia="Times New Roman"/>
          <w:sz w:val="21"/>
        </w:rPr>
        <w:t>1.</w:t>
      </w:r>
      <w:r>
        <w:rPr>
          <w:sz w:val="21"/>
        </w:rPr>
        <w:t>投标人应根据招标文件第二章“投标人须知”第</w:t>
      </w:r>
      <w:r>
        <w:rPr>
          <w:rFonts w:ascii="Times New Roman" w:hAnsi="Times New Roman" w:eastAsia="Times New Roman"/>
          <w:sz w:val="21"/>
        </w:rPr>
        <w:t>3.5.1</w:t>
      </w:r>
      <w:r>
        <w:rPr>
          <w:sz w:val="21"/>
        </w:rPr>
        <w:t>项的要求在本表后附相关证明材料。</w:t>
      </w:r>
    </w:p>
    <w:p>
      <w:pPr>
        <w:spacing w:before="134"/>
        <w:ind w:left="684"/>
        <w:rPr>
          <w:sz w:val="21"/>
        </w:rPr>
      </w:pPr>
      <w:r>
        <w:rPr>
          <w:rFonts w:ascii="Times New Roman" w:eastAsia="Times New Roman"/>
          <w:sz w:val="21"/>
        </w:rPr>
        <w:t>2.</w:t>
      </w:r>
      <w:r>
        <w:rPr>
          <w:sz w:val="21"/>
        </w:rPr>
        <w:t>以联合体形式参与投标的，联合体各成员应分别填写。</w:t>
      </w:r>
    </w:p>
    <w:p>
      <w:pPr>
        <w:rPr>
          <w:sz w:val="21"/>
        </w:rPr>
        <w:sectPr>
          <w:pgSz w:w="11910" w:h="16850"/>
          <w:pgMar w:top="1540" w:right="1140" w:bottom="1060" w:left="1380" w:header="876" w:footer="860" w:gutter="0"/>
          <w:cols w:space="720" w:num="1"/>
        </w:sectPr>
      </w:pPr>
    </w:p>
    <w:p>
      <w:pPr>
        <w:pStyle w:val="11"/>
        <w:spacing w:before="108"/>
        <w:ind w:left="2921"/>
        <w:rPr>
          <w:rFonts w:ascii="黑体" w:eastAsia="黑体"/>
        </w:rPr>
      </w:pPr>
      <w:bookmarkStart w:id="293" w:name="_bookmark312"/>
      <w:bookmarkEnd w:id="293"/>
      <w:r>
        <w:rPr>
          <w:rFonts w:hint="eastAsia" w:ascii="黑体" w:eastAsia="黑体"/>
        </w:rPr>
        <w:t>（二）投标人企业组织机构框图</w:t>
      </w:r>
    </w:p>
    <w:p>
      <w:pPr>
        <w:pStyle w:val="11"/>
        <w:rPr>
          <w:rFonts w:ascii="黑体"/>
          <w:sz w:val="20"/>
        </w:rPr>
      </w:pPr>
    </w:p>
    <w:p>
      <w:pPr>
        <w:pStyle w:val="11"/>
        <w:rPr>
          <w:rFonts w:ascii="黑体"/>
          <w:sz w:val="20"/>
        </w:rPr>
      </w:pPr>
    </w:p>
    <w:p>
      <w:pPr>
        <w:pStyle w:val="11"/>
        <w:spacing w:before="6"/>
        <w:rPr>
          <w:rFonts w:ascii="黑体"/>
          <w:sz w:val="22"/>
        </w:rPr>
      </w:pPr>
    </w:p>
    <w:tbl>
      <w:tblPr>
        <w:tblStyle w:val="19"/>
        <w:tblW w:w="8894" w:type="dxa"/>
        <w:tblInd w:w="1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6" w:hRule="atLeast"/>
        </w:trPr>
        <w:tc>
          <w:tcPr>
            <w:tcW w:w="8894" w:type="dxa"/>
          </w:tcPr>
          <w:p>
            <w:pPr>
              <w:pStyle w:val="21"/>
              <w:rPr>
                <w:rFonts w:ascii="黑体"/>
                <w:sz w:val="20"/>
              </w:rPr>
            </w:pPr>
          </w:p>
          <w:p>
            <w:pPr>
              <w:pStyle w:val="21"/>
              <w:rPr>
                <w:rFonts w:ascii="黑体"/>
                <w:sz w:val="20"/>
              </w:rPr>
            </w:pPr>
          </w:p>
          <w:p>
            <w:pPr>
              <w:pStyle w:val="21"/>
              <w:spacing w:before="136"/>
              <w:ind w:left="378"/>
              <w:rPr>
                <w:sz w:val="21"/>
              </w:rPr>
            </w:pPr>
            <w:r>
              <w:rPr>
                <w:sz w:val="21"/>
              </w:rP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3" w:hRule="atLeast"/>
        </w:trPr>
        <w:tc>
          <w:tcPr>
            <w:tcW w:w="8894" w:type="dxa"/>
          </w:tcPr>
          <w:p>
            <w:pPr>
              <w:pStyle w:val="21"/>
              <w:spacing w:before="128"/>
              <w:ind w:left="378"/>
              <w:rPr>
                <w:sz w:val="21"/>
              </w:rPr>
            </w:pPr>
            <w:r>
              <w:rPr>
                <w:sz w:val="21"/>
              </w:rPr>
              <w:t>说明</w:t>
            </w:r>
          </w:p>
        </w:tc>
      </w:tr>
    </w:tbl>
    <w:p>
      <w:pPr>
        <w:rPr>
          <w:sz w:val="21"/>
        </w:rPr>
        <w:sectPr>
          <w:pgSz w:w="11910" w:h="16850"/>
          <w:pgMar w:top="1540" w:right="1140" w:bottom="1080" w:left="1380" w:header="883" w:footer="884" w:gutter="0"/>
          <w:cols w:space="720" w:num="1"/>
        </w:sectPr>
      </w:pPr>
    </w:p>
    <w:p>
      <w:pPr>
        <w:pStyle w:val="11"/>
        <w:spacing w:before="108" w:line="624" w:lineRule="auto"/>
        <w:ind w:left="4092" w:right="3702" w:hanging="572"/>
        <w:rPr>
          <w:rFonts w:ascii="黑体" w:eastAsia="黑体"/>
        </w:rPr>
      </w:pPr>
      <w:r>
        <mc:AlternateContent>
          <mc:Choice Requires="wps">
            <w:drawing>
              <wp:anchor distT="0" distB="0" distL="114300" distR="114300" simplePos="0" relativeHeight="251674624" behindDoc="0" locked="0" layoutInCell="1" allowOverlap="1">
                <wp:simplePos x="0" y="0"/>
                <wp:positionH relativeFrom="page">
                  <wp:posOffset>972820</wp:posOffset>
                </wp:positionH>
                <wp:positionV relativeFrom="paragraph">
                  <wp:posOffset>976630</wp:posOffset>
                </wp:positionV>
                <wp:extent cx="5682615" cy="6583680"/>
                <wp:effectExtent l="0" t="0" r="0" b="0"/>
                <wp:wrapNone/>
                <wp:docPr id="44" name="文本框 8"/>
                <wp:cNvGraphicFramePr/>
                <a:graphic xmlns:a="http://schemas.openxmlformats.org/drawingml/2006/main">
                  <a:graphicData uri="http://schemas.microsoft.com/office/word/2010/wordprocessingShape">
                    <wps:wsp>
                      <wps:cNvSpPr txBox="true"/>
                      <wps:spPr>
                        <a:xfrm>
                          <a:off x="0" y="0"/>
                          <a:ext cx="5682615" cy="6583680"/>
                        </a:xfrm>
                        <a:prstGeom prst="rect">
                          <a:avLst/>
                        </a:prstGeom>
                        <a:noFill/>
                        <a:ln>
                          <a:noFill/>
                        </a:ln>
                      </wps:spPr>
                      <wps:txbx>
                        <w:txbxContent>
                          <w:tbl>
                            <w:tblPr>
                              <w:tblStyle w:val="19"/>
                              <w:tblW w:w="89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6"/>
                              <w:gridCol w:w="900"/>
                              <w:gridCol w:w="1320"/>
                              <w:gridCol w:w="1321"/>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9"/>
                                    <w:ind w:right="1426"/>
                                    <w:jc w:val="right"/>
                                    <w:rPr>
                                      <w:sz w:val="21"/>
                                    </w:rPr>
                                  </w:pPr>
                                  <w:r>
                                    <w:rPr>
                                      <w:sz w:val="21"/>
                                    </w:rPr>
                                    <w:t>项目或指标</w:t>
                                  </w:r>
                                </w:p>
                              </w:tc>
                              <w:tc>
                                <w:tcPr>
                                  <w:tcW w:w="900" w:type="dxa"/>
                                </w:tcPr>
                                <w:p>
                                  <w:pPr>
                                    <w:pStyle w:val="21"/>
                                    <w:spacing w:before="169"/>
                                    <w:ind w:left="167" w:right="136"/>
                                    <w:jc w:val="center"/>
                                    <w:rPr>
                                      <w:sz w:val="21"/>
                                    </w:rPr>
                                  </w:pPr>
                                  <w:r>
                                    <w:rPr>
                                      <w:sz w:val="21"/>
                                    </w:rPr>
                                    <w:t>单位</w:t>
                                  </w:r>
                                </w:p>
                              </w:tc>
                              <w:tc>
                                <w:tcPr>
                                  <w:tcW w:w="1320" w:type="dxa"/>
                                </w:tcPr>
                                <w:p>
                                  <w:pPr>
                                    <w:pStyle w:val="21"/>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c>
                                <w:tcPr>
                                  <w:tcW w:w="1321" w:type="dxa"/>
                                </w:tcPr>
                                <w:p>
                                  <w:pPr>
                                    <w:pStyle w:val="21"/>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c>
                                <w:tcPr>
                                  <w:tcW w:w="1320" w:type="dxa"/>
                                </w:tcPr>
                                <w:p>
                                  <w:pPr>
                                    <w:pStyle w:val="21"/>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Pr>
                                <w:p>
                                  <w:pPr>
                                    <w:pStyle w:val="21"/>
                                    <w:spacing w:before="166"/>
                                    <w:ind w:left="155"/>
                                    <w:rPr>
                                      <w:sz w:val="21"/>
                                    </w:rPr>
                                  </w:pPr>
                                  <w:r>
                                    <w:rPr>
                                      <w:sz w:val="21"/>
                                    </w:rPr>
                                    <w:t>一、 注册资本</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4066" w:type="dxa"/>
                                </w:tcPr>
                                <w:p>
                                  <w:pPr>
                                    <w:pStyle w:val="21"/>
                                    <w:spacing w:before="166"/>
                                    <w:ind w:left="155"/>
                                    <w:rPr>
                                      <w:sz w:val="21"/>
                                    </w:rPr>
                                  </w:pPr>
                                  <w:r>
                                    <w:rPr>
                                      <w:sz w:val="21"/>
                                    </w:rPr>
                                    <w:t>二、 净资产</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Pr>
                                <w:p>
                                  <w:pPr>
                                    <w:pStyle w:val="21"/>
                                    <w:spacing w:before="166"/>
                                    <w:ind w:left="155"/>
                                    <w:rPr>
                                      <w:sz w:val="21"/>
                                    </w:rPr>
                                  </w:pPr>
                                  <w:r>
                                    <w:rPr>
                                      <w:sz w:val="21"/>
                                    </w:rPr>
                                    <w:t>三、 总资产</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pPr>
                                    <w:pStyle w:val="21"/>
                                    <w:spacing w:before="166"/>
                                    <w:ind w:left="155"/>
                                    <w:rPr>
                                      <w:sz w:val="21"/>
                                    </w:rPr>
                                  </w:pPr>
                                  <w:r>
                                    <w:rPr>
                                      <w:sz w:val="21"/>
                                    </w:rPr>
                                    <w:t>四、 固定资产</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9"/>
                                    <w:ind w:left="155"/>
                                    <w:rPr>
                                      <w:sz w:val="21"/>
                                    </w:rPr>
                                  </w:pPr>
                                  <w:r>
                                    <w:rPr>
                                      <w:sz w:val="21"/>
                                    </w:rPr>
                                    <w:t>五、 流动资产</w:t>
                                  </w:r>
                                </w:p>
                              </w:tc>
                              <w:tc>
                                <w:tcPr>
                                  <w:tcW w:w="900" w:type="dxa"/>
                                </w:tcPr>
                                <w:p>
                                  <w:pPr>
                                    <w:pStyle w:val="21"/>
                                    <w:spacing w:before="169"/>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Pr>
                                <w:p>
                                  <w:pPr>
                                    <w:pStyle w:val="21"/>
                                    <w:spacing w:before="166"/>
                                    <w:ind w:left="155"/>
                                    <w:rPr>
                                      <w:sz w:val="21"/>
                                    </w:rPr>
                                  </w:pPr>
                                  <w:r>
                                    <w:rPr>
                                      <w:sz w:val="21"/>
                                    </w:rPr>
                                    <w:t>六、 流动负债</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pPr>
                                    <w:pStyle w:val="21"/>
                                    <w:spacing w:before="166"/>
                                    <w:ind w:left="155"/>
                                    <w:rPr>
                                      <w:sz w:val="21"/>
                                    </w:rPr>
                                  </w:pPr>
                                  <w:r>
                                    <w:rPr>
                                      <w:sz w:val="21"/>
                                    </w:rPr>
                                    <w:t>七、 负债合计</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7"/>
                                    <w:ind w:left="155"/>
                                    <w:rPr>
                                      <w:sz w:val="21"/>
                                    </w:rPr>
                                  </w:pPr>
                                  <w:r>
                                    <w:rPr>
                                      <w:sz w:val="21"/>
                                    </w:rPr>
                                    <w:t>八、 营业收入</w:t>
                                  </w:r>
                                </w:p>
                              </w:tc>
                              <w:tc>
                                <w:tcPr>
                                  <w:tcW w:w="900" w:type="dxa"/>
                                </w:tcPr>
                                <w:p>
                                  <w:pPr>
                                    <w:pStyle w:val="21"/>
                                    <w:spacing w:before="167"/>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pPr>
                                    <w:pStyle w:val="21"/>
                                    <w:spacing w:before="166"/>
                                    <w:ind w:left="155"/>
                                    <w:rPr>
                                      <w:sz w:val="21"/>
                                    </w:rPr>
                                  </w:pPr>
                                  <w:r>
                                    <w:rPr>
                                      <w:sz w:val="21"/>
                                    </w:rPr>
                                    <w:t>九、 净利润</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9"/>
                                    <w:ind w:left="155"/>
                                    <w:rPr>
                                      <w:sz w:val="21"/>
                                    </w:rPr>
                                  </w:pPr>
                                  <w:r>
                                    <w:rPr>
                                      <w:sz w:val="21"/>
                                    </w:rPr>
                                    <w:t>十、 现金流量净额</w:t>
                                  </w:r>
                                </w:p>
                              </w:tc>
                              <w:tc>
                                <w:tcPr>
                                  <w:tcW w:w="900" w:type="dxa"/>
                                </w:tcPr>
                                <w:p>
                                  <w:pPr>
                                    <w:pStyle w:val="21"/>
                                    <w:spacing w:before="169"/>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pPr>
                                    <w:pStyle w:val="21"/>
                                    <w:spacing w:before="166"/>
                                    <w:ind w:left="155"/>
                                    <w:rPr>
                                      <w:sz w:val="21"/>
                                    </w:rPr>
                                  </w:pPr>
                                  <w:r>
                                    <w:rPr>
                                      <w:sz w:val="21"/>
                                    </w:rPr>
                                    <w:t>十一、 主要财务指标</w:t>
                                  </w:r>
                                </w:p>
                              </w:tc>
                              <w:tc>
                                <w:tcPr>
                                  <w:tcW w:w="900" w:type="dxa"/>
                                </w:tcPr>
                                <w:p>
                                  <w:pPr>
                                    <w:pStyle w:val="21"/>
                                    <w:rPr>
                                      <w:rFonts w:ascii="Times New Roman"/>
                                      <w:sz w:val="20"/>
                                    </w:rPr>
                                  </w:pP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9"/>
                                    <w:ind w:left="952"/>
                                    <w:rPr>
                                      <w:sz w:val="21"/>
                                    </w:rPr>
                                  </w:pPr>
                                  <w:r>
                                    <w:rPr>
                                      <w:rFonts w:ascii="Times New Roman" w:eastAsia="Times New Roman"/>
                                      <w:sz w:val="21"/>
                                    </w:rPr>
                                    <w:t xml:space="preserve">1. </w:t>
                                  </w:r>
                                  <w:r>
                                    <w:rPr>
                                      <w:sz w:val="21"/>
                                    </w:rPr>
                                    <w:t>净资产收益率</w:t>
                                  </w:r>
                                </w:p>
                              </w:tc>
                              <w:tc>
                                <w:tcPr>
                                  <w:tcW w:w="900" w:type="dxa"/>
                                </w:tcPr>
                                <w:p>
                                  <w:pPr>
                                    <w:pStyle w:val="21"/>
                                    <w:spacing w:before="180"/>
                                    <w:ind w:left="29"/>
                                    <w:jc w:val="center"/>
                                    <w:rPr>
                                      <w:rFonts w:ascii="Times New Roman"/>
                                      <w:sz w:val="21"/>
                                    </w:rPr>
                                  </w:pPr>
                                  <w:r>
                                    <w:rPr>
                                      <w:rFonts w:ascii="Times New Roman"/>
                                      <w:sz w:val="21"/>
                                    </w:rPr>
                                    <w:t>%</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7"/>
                                    <w:ind w:left="952"/>
                                    <w:rPr>
                                      <w:sz w:val="21"/>
                                    </w:rPr>
                                  </w:pPr>
                                  <w:r>
                                    <w:rPr>
                                      <w:rFonts w:ascii="Times New Roman" w:eastAsia="Times New Roman"/>
                                      <w:sz w:val="21"/>
                                    </w:rPr>
                                    <w:t xml:space="preserve">2. </w:t>
                                  </w:r>
                                  <w:r>
                                    <w:rPr>
                                      <w:sz w:val="21"/>
                                    </w:rPr>
                                    <w:t>总资产报酬率</w:t>
                                  </w:r>
                                </w:p>
                              </w:tc>
                              <w:tc>
                                <w:tcPr>
                                  <w:tcW w:w="900" w:type="dxa"/>
                                </w:tcPr>
                                <w:p>
                                  <w:pPr>
                                    <w:pStyle w:val="21"/>
                                    <w:spacing w:before="178"/>
                                    <w:ind w:left="29"/>
                                    <w:jc w:val="center"/>
                                    <w:rPr>
                                      <w:rFonts w:ascii="Times New Roman"/>
                                      <w:sz w:val="21"/>
                                    </w:rPr>
                                  </w:pPr>
                                  <w:r>
                                    <w:rPr>
                                      <w:rFonts w:ascii="Times New Roman"/>
                                      <w:sz w:val="21"/>
                                    </w:rPr>
                                    <w:t>%</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pPr>
                                    <w:pStyle w:val="21"/>
                                    <w:spacing w:before="166"/>
                                    <w:ind w:right="1361"/>
                                    <w:jc w:val="right"/>
                                    <w:rPr>
                                      <w:sz w:val="21"/>
                                    </w:rPr>
                                  </w:pPr>
                                  <w:r>
                                    <w:rPr>
                                      <w:rFonts w:ascii="Times New Roman" w:eastAsia="Times New Roman"/>
                                      <w:sz w:val="21"/>
                                    </w:rPr>
                                    <w:t xml:space="preserve">3. </w:t>
                                  </w:r>
                                  <w:r>
                                    <w:rPr>
                                      <w:sz w:val="21"/>
                                    </w:rPr>
                                    <w:t>主营业务利润率</w:t>
                                  </w:r>
                                </w:p>
                              </w:tc>
                              <w:tc>
                                <w:tcPr>
                                  <w:tcW w:w="900" w:type="dxa"/>
                                </w:tcPr>
                                <w:p>
                                  <w:pPr>
                                    <w:pStyle w:val="21"/>
                                    <w:spacing w:before="178"/>
                                    <w:ind w:left="29"/>
                                    <w:jc w:val="center"/>
                                    <w:rPr>
                                      <w:rFonts w:ascii="Times New Roman"/>
                                      <w:sz w:val="21"/>
                                    </w:rPr>
                                  </w:pPr>
                                  <w:r>
                                    <w:rPr>
                                      <w:rFonts w:ascii="Times New Roman"/>
                                      <w:sz w:val="21"/>
                                    </w:rPr>
                                    <w:t>%</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6"/>
                                    <w:ind w:left="952"/>
                                    <w:rPr>
                                      <w:sz w:val="21"/>
                                    </w:rPr>
                                  </w:pPr>
                                  <w:r>
                                    <w:rPr>
                                      <w:rFonts w:ascii="Times New Roman" w:eastAsia="Times New Roman"/>
                                      <w:sz w:val="21"/>
                                    </w:rPr>
                                    <w:t xml:space="preserve">4. </w:t>
                                  </w:r>
                                  <w:r>
                                    <w:rPr>
                                      <w:sz w:val="21"/>
                                    </w:rPr>
                                    <w:t>资产负债率</w:t>
                                  </w:r>
                                </w:p>
                              </w:tc>
                              <w:tc>
                                <w:tcPr>
                                  <w:tcW w:w="900" w:type="dxa"/>
                                </w:tcPr>
                                <w:p>
                                  <w:pPr>
                                    <w:pStyle w:val="21"/>
                                    <w:spacing w:before="178"/>
                                    <w:ind w:left="29"/>
                                    <w:jc w:val="center"/>
                                    <w:rPr>
                                      <w:rFonts w:ascii="Times New Roman"/>
                                      <w:sz w:val="21"/>
                                    </w:rPr>
                                  </w:pPr>
                                  <w:r>
                                    <w:rPr>
                                      <w:rFonts w:ascii="Times New Roman"/>
                                      <w:sz w:val="21"/>
                                    </w:rPr>
                                    <w:t>%</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pPr>
                                    <w:pStyle w:val="21"/>
                                    <w:spacing w:before="166"/>
                                    <w:ind w:left="952"/>
                                    <w:rPr>
                                      <w:sz w:val="21"/>
                                    </w:rPr>
                                  </w:pPr>
                                  <w:r>
                                    <w:rPr>
                                      <w:rFonts w:ascii="Times New Roman" w:eastAsia="Times New Roman"/>
                                      <w:sz w:val="21"/>
                                    </w:rPr>
                                    <w:t xml:space="preserve">5. </w:t>
                                  </w:r>
                                  <w:r>
                                    <w:rPr>
                                      <w:sz w:val="21"/>
                                    </w:rPr>
                                    <w:t>流动比率</w:t>
                                  </w:r>
                                </w:p>
                              </w:tc>
                              <w:tc>
                                <w:tcPr>
                                  <w:tcW w:w="900" w:type="dxa"/>
                                </w:tcPr>
                                <w:p>
                                  <w:pPr>
                                    <w:pStyle w:val="21"/>
                                    <w:spacing w:before="178"/>
                                    <w:ind w:left="29"/>
                                    <w:jc w:val="center"/>
                                    <w:rPr>
                                      <w:rFonts w:ascii="Times New Roman"/>
                                      <w:sz w:val="21"/>
                                    </w:rPr>
                                  </w:pPr>
                                  <w:r>
                                    <w:rPr>
                                      <w:rFonts w:ascii="Times New Roman"/>
                                      <w:sz w:val="21"/>
                                    </w:rPr>
                                    <w:t>%</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9"/>
                                    <w:ind w:left="952"/>
                                    <w:rPr>
                                      <w:sz w:val="21"/>
                                    </w:rPr>
                                  </w:pPr>
                                  <w:r>
                                    <w:rPr>
                                      <w:rFonts w:ascii="Times New Roman" w:eastAsia="Times New Roman"/>
                                      <w:sz w:val="21"/>
                                    </w:rPr>
                                    <w:t xml:space="preserve">6. </w:t>
                                  </w:r>
                                  <w:r>
                                    <w:rPr>
                                      <w:sz w:val="21"/>
                                    </w:rPr>
                                    <w:t>速动比率</w:t>
                                  </w:r>
                                </w:p>
                              </w:tc>
                              <w:tc>
                                <w:tcPr>
                                  <w:tcW w:w="900" w:type="dxa"/>
                                </w:tcPr>
                                <w:p>
                                  <w:pPr>
                                    <w:pStyle w:val="21"/>
                                    <w:spacing w:before="180"/>
                                    <w:ind w:left="29"/>
                                    <w:jc w:val="center"/>
                                    <w:rPr>
                                      <w:rFonts w:ascii="Times New Roman"/>
                                      <w:sz w:val="21"/>
                                    </w:rPr>
                                  </w:pPr>
                                  <w:r>
                                    <w:rPr>
                                      <w:rFonts w:ascii="Times New Roman"/>
                                      <w:sz w:val="21"/>
                                    </w:rPr>
                                    <w:t>%</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bl>
                          <w:p>
                            <w:pPr>
                              <w:pStyle w:val="11"/>
                            </w:pPr>
                          </w:p>
                        </w:txbxContent>
                      </wps:txbx>
                      <wps:bodyPr lIns="0" tIns="0" rIns="0" bIns="0" upright="true"/>
                    </wps:wsp>
                  </a:graphicData>
                </a:graphic>
              </wp:anchor>
            </w:drawing>
          </mc:Choice>
          <mc:Fallback>
            <w:pict>
              <v:shape id="文本框 8" o:spid="_x0000_s1026" o:spt="202" type="#_x0000_t202" style="position:absolute;left:0pt;margin-left:76.6pt;margin-top:76.9pt;height:518.4pt;width:447.45pt;mso-position-horizontal-relative:page;z-index:251674624;mso-width-relative:page;mso-height-relative:page;" filled="f" stroked="f" coordsize="21600,21600" o:gfxdata="UEsFBgAAAAAAAAAAAAAAAAAAAAAAAFBLAwQKAAAAAACHTuJAAAAAAAAAAAAAAAAABAAAAGRycy9Q&#10;SwMEFAAAAAgAh07iQPxKzobZAAAADQEAAA8AAABkcnMvZG93bnJldi54bWxNj81OwzAQhO9IvIO1&#10;lbhROwWiNo1TIQQnJEQaDhydeJtEjdchdn94e7Zc4Daj/TQ7k2/ObhBHnELvSUMyVyCQGm97ajV8&#10;VC+3SxAhGrJm8IQavjHApri+yk1m/YlKPG5jKziEQmY0dDGOmZSh6dCZMPcjEt92fnImsp1aaSdz&#10;4nA3yIVSqXSmJ/7QmRGfOmz224PT8PhJ5XP/9Va/l7uyr6qVotd0r/XNLFFrEBHP8Q+GS32uDgV3&#10;qv2BbBAD+4e7BaO/gjdcCHW/TEDUrJKVSkEWufy/ovgBUEsDBBQAAAAIAIdO4kAx1/QQpAEAACwD&#10;AAAOAAAAZHJzL2Uyb0RvYy54bWytUktu2zAQ3RfoHQjua9puLAiC5QBFkCBAkRZIewCaIi0C/GFI&#10;W/IFmht01U33PZfP0SFjOf3sim5Gw5nR43tvuL4erSEHCVF719LFbE6JdMJ32u1a+vnT7Zuakpi4&#10;67jxTrb0KCO93rx+tR5CI5e+96aTQBDExWYILe1TCg1jUfTS8jjzQTpsKg+WJzzCjnXAB0S3hi3n&#10;84oNHroAXsgYsXrz3KSbgq+UFOmDUlEmYlqK3FKJUOI2R7ZZ82YHPPRanGnwf2BhuXZ46QXqhidO&#10;9qD/grJagI9epZnwlnmltJBFA6pZzP9Q89jzIIsWNCeGi03x/8GKh8NHILpr6dUVJY5b3NHp69Pp&#10;24/T9y+kzv4MITY49hhwMI3v/NjSBHs5tSLWs/JRgc1f1ERwBM0+XgyWYyICi6uqXlaLFSUCe9Wq&#10;flvVZQXs5fcAMd1Jb0lOWgq4wWIsP7yPCdng6DSSb3P+VhtTtmjcbwUczBWW6T9zzFkat+NZ09Z3&#10;R5Rk7h36md/GlMCUbKdkH0DveqQzCS+ouJLC5/x88s5/PZe7Xx75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8Ss6G2QAAAA0BAAAPAAAAAAAAAAEAIAAAADgAAABkcnMvZG93bnJldi54bWxQSwEC&#10;FAAUAAAACACHTuJAMdf0EKQBAAAsAwAADgAAAAAAAAABACAAAAA+AQAAZHJzL2Uyb0RvYy54bWxQ&#10;SwUGAAAAAAYABgBZAQAAVAUAAAAA&#10;">
                <v:fill on="f" focussize="0,0"/>
                <v:stroke on="f"/>
                <v:imagedata o:title=""/>
                <o:lock v:ext="edit" aspectratio="f"/>
                <v:textbox inset="0mm,0mm,0mm,0mm">
                  <w:txbxContent>
                    <w:tbl>
                      <w:tblPr>
                        <w:tblStyle w:val="19"/>
                        <w:tblW w:w="89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6"/>
                        <w:gridCol w:w="900"/>
                        <w:gridCol w:w="1320"/>
                        <w:gridCol w:w="1321"/>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9"/>
                              <w:ind w:right="1426"/>
                              <w:jc w:val="right"/>
                              <w:rPr>
                                <w:sz w:val="21"/>
                              </w:rPr>
                            </w:pPr>
                            <w:r>
                              <w:rPr>
                                <w:sz w:val="21"/>
                              </w:rPr>
                              <w:t>项目或指标</w:t>
                            </w:r>
                          </w:p>
                        </w:tc>
                        <w:tc>
                          <w:tcPr>
                            <w:tcW w:w="900" w:type="dxa"/>
                          </w:tcPr>
                          <w:p>
                            <w:pPr>
                              <w:pStyle w:val="21"/>
                              <w:spacing w:before="169"/>
                              <w:ind w:left="167" w:right="136"/>
                              <w:jc w:val="center"/>
                              <w:rPr>
                                <w:sz w:val="21"/>
                              </w:rPr>
                            </w:pPr>
                            <w:r>
                              <w:rPr>
                                <w:sz w:val="21"/>
                              </w:rPr>
                              <w:t>单位</w:t>
                            </w:r>
                          </w:p>
                        </w:tc>
                        <w:tc>
                          <w:tcPr>
                            <w:tcW w:w="1320" w:type="dxa"/>
                          </w:tcPr>
                          <w:p>
                            <w:pPr>
                              <w:pStyle w:val="21"/>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c>
                          <w:tcPr>
                            <w:tcW w:w="1321" w:type="dxa"/>
                          </w:tcPr>
                          <w:p>
                            <w:pPr>
                              <w:pStyle w:val="21"/>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c>
                          <w:tcPr>
                            <w:tcW w:w="1320" w:type="dxa"/>
                          </w:tcPr>
                          <w:p>
                            <w:pPr>
                              <w:pStyle w:val="21"/>
                              <w:tabs>
                                <w:tab w:val="left" w:pos="878"/>
                              </w:tabs>
                              <w:spacing w:before="169"/>
                              <w:ind w:left="247"/>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Pr>
                          <w:p>
                            <w:pPr>
                              <w:pStyle w:val="21"/>
                              <w:spacing w:before="166"/>
                              <w:ind w:left="155"/>
                              <w:rPr>
                                <w:sz w:val="21"/>
                              </w:rPr>
                            </w:pPr>
                            <w:r>
                              <w:rPr>
                                <w:sz w:val="21"/>
                              </w:rPr>
                              <w:t>一、 注册资本</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4066" w:type="dxa"/>
                          </w:tcPr>
                          <w:p>
                            <w:pPr>
                              <w:pStyle w:val="21"/>
                              <w:spacing w:before="166"/>
                              <w:ind w:left="155"/>
                              <w:rPr>
                                <w:sz w:val="21"/>
                              </w:rPr>
                            </w:pPr>
                            <w:r>
                              <w:rPr>
                                <w:sz w:val="21"/>
                              </w:rPr>
                              <w:t>二、 净资产</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Pr>
                          <w:p>
                            <w:pPr>
                              <w:pStyle w:val="21"/>
                              <w:spacing w:before="166"/>
                              <w:ind w:left="155"/>
                              <w:rPr>
                                <w:sz w:val="21"/>
                              </w:rPr>
                            </w:pPr>
                            <w:r>
                              <w:rPr>
                                <w:sz w:val="21"/>
                              </w:rPr>
                              <w:t>三、 总资产</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pPr>
                              <w:pStyle w:val="21"/>
                              <w:spacing w:before="166"/>
                              <w:ind w:left="155"/>
                              <w:rPr>
                                <w:sz w:val="21"/>
                              </w:rPr>
                            </w:pPr>
                            <w:r>
                              <w:rPr>
                                <w:sz w:val="21"/>
                              </w:rPr>
                              <w:t>四、 固定资产</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9"/>
                              <w:ind w:left="155"/>
                              <w:rPr>
                                <w:sz w:val="21"/>
                              </w:rPr>
                            </w:pPr>
                            <w:r>
                              <w:rPr>
                                <w:sz w:val="21"/>
                              </w:rPr>
                              <w:t>五、 流动资产</w:t>
                            </w:r>
                          </w:p>
                        </w:tc>
                        <w:tc>
                          <w:tcPr>
                            <w:tcW w:w="900" w:type="dxa"/>
                          </w:tcPr>
                          <w:p>
                            <w:pPr>
                              <w:pStyle w:val="21"/>
                              <w:spacing w:before="169"/>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4066" w:type="dxa"/>
                          </w:tcPr>
                          <w:p>
                            <w:pPr>
                              <w:pStyle w:val="21"/>
                              <w:spacing w:before="166"/>
                              <w:ind w:left="155"/>
                              <w:rPr>
                                <w:sz w:val="21"/>
                              </w:rPr>
                            </w:pPr>
                            <w:r>
                              <w:rPr>
                                <w:sz w:val="21"/>
                              </w:rPr>
                              <w:t>六、 流动负债</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pPr>
                              <w:pStyle w:val="21"/>
                              <w:spacing w:before="166"/>
                              <w:ind w:left="155"/>
                              <w:rPr>
                                <w:sz w:val="21"/>
                              </w:rPr>
                            </w:pPr>
                            <w:r>
                              <w:rPr>
                                <w:sz w:val="21"/>
                              </w:rPr>
                              <w:t>七、 负债合计</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7"/>
                              <w:ind w:left="155"/>
                              <w:rPr>
                                <w:sz w:val="21"/>
                              </w:rPr>
                            </w:pPr>
                            <w:r>
                              <w:rPr>
                                <w:sz w:val="21"/>
                              </w:rPr>
                              <w:t>八、 营业收入</w:t>
                            </w:r>
                          </w:p>
                        </w:tc>
                        <w:tc>
                          <w:tcPr>
                            <w:tcW w:w="900" w:type="dxa"/>
                          </w:tcPr>
                          <w:p>
                            <w:pPr>
                              <w:pStyle w:val="21"/>
                              <w:spacing w:before="167"/>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pPr>
                              <w:pStyle w:val="21"/>
                              <w:spacing w:before="166"/>
                              <w:ind w:left="155"/>
                              <w:rPr>
                                <w:sz w:val="21"/>
                              </w:rPr>
                            </w:pPr>
                            <w:r>
                              <w:rPr>
                                <w:sz w:val="21"/>
                              </w:rPr>
                              <w:t>九、 净利润</w:t>
                            </w:r>
                          </w:p>
                        </w:tc>
                        <w:tc>
                          <w:tcPr>
                            <w:tcW w:w="900" w:type="dxa"/>
                          </w:tcPr>
                          <w:p>
                            <w:pPr>
                              <w:pStyle w:val="21"/>
                              <w:spacing w:before="166"/>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9"/>
                              <w:ind w:left="155"/>
                              <w:rPr>
                                <w:sz w:val="21"/>
                              </w:rPr>
                            </w:pPr>
                            <w:r>
                              <w:rPr>
                                <w:sz w:val="21"/>
                              </w:rPr>
                              <w:t>十、 现金流量净额</w:t>
                            </w:r>
                          </w:p>
                        </w:tc>
                        <w:tc>
                          <w:tcPr>
                            <w:tcW w:w="900" w:type="dxa"/>
                          </w:tcPr>
                          <w:p>
                            <w:pPr>
                              <w:pStyle w:val="21"/>
                              <w:spacing w:before="169"/>
                              <w:ind w:left="167" w:right="136"/>
                              <w:jc w:val="center"/>
                              <w:rPr>
                                <w:sz w:val="21"/>
                              </w:rPr>
                            </w:pPr>
                            <w:r>
                              <w:rPr>
                                <w:sz w:val="21"/>
                              </w:rPr>
                              <w:t>万元</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pPr>
                              <w:pStyle w:val="21"/>
                              <w:spacing w:before="166"/>
                              <w:ind w:left="155"/>
                              <w:rPr>
                                <w:sz w:val="21"/>
                              </w:rPr>
                            </w:pPr>
                            <w:r>
                              <w:rPr>
                                <w:sz w:val="21"/>
                              </w:rPr>
                              <w:t>十一、 主要财务指标</w:t>
                            </w:r>
                          </w:p>
                        </w:tc>
                        <w:tc>
                          <w:tcPr>
                            <w:tcW w:w="900" w:type="dxa"/>
                          </w:tcPr>
                          <w:p>
                            <w:pPr>
                              <w:pStyle w:val="21"/>
                              <w:rPr>
                                <w:rFonts w:ascii="Times New Roman"/>
                                <w:sz w:val="20"/>
                              </w:rPr>
                            </w:pP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9"/>
                              <w:ind w:left="952"/>
                              <w:rPr>
                                <w:sz w:val="21"/>
                              </w:rPr>
                            </w:pPr>
                            <w:r>
                              <w:rPr>
                                <w:rFonts w:ascii="Times New Roman" w:eastAsia="Times New Roman"/>
                                <w:sz w:val="21"/>
                              </w:rPr>
                              <w:t xml:space="preserve">1. </w:t>
                            </w:r>
                            <w:r>
                              <w:rPr>
                                <w:sz w:val="21"/>
                              </w:rPr>
                              <w:t>净资产收益率</w:t>
                            </w:r>
                          </w:p>
                        </w:tc>
                        <w:tc>
                          <w:tcPr>
                            <w:tcW w:w="900" w:type="dxa"/>
                          </w:tcPr>
                          <w:p>
                            <w:pPr>
                              <w:pStyle w:val="21"/>
                              <w:spacing w:before="180"/>
                              <w:ind w:left="29"/>
                              <w:jc w:val="center"/>
                              <w:rPr>
                                <w:rFonts w:ascii="Times New Roman"/>
                                <w:sz w:val="21"/>
                              </w:rPr>
                            </w:pPr>
                            <w:r>
                              <w:rPr>
                                <w:rFonts w:ascii="Times New Roman"/>
                                <w:sz w:val="21"/>
                              </w:rPr>
                              <w:t>%</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7"/>
                              <w:ind w:left="952"/>
                              <w:rPr>
                                <w:sz w:val="21"/>
                              </w:rPr>
                            </w:pPr>
                            <w:r>
                              <w:rPr>
                                <w:rFonts w:ascii="Times New Roman" w:eastAsia="Times New Roman"/>
                                <w:sz w:val="21"/>
                              </w:rPr>
                              <w:t xml:space="preserve">2. </w:t>
                            </w:r>
                            <w:r>
                              <w:rPr>
                                <w:sz w:val="21"/>
                              </w:rPr>
                              <w:t>总资产报酬率</w:t>
                            </w:r>
                          </w:p>
                        </w:tc>
                        <w:tc>
                          <w:tcPr>
                            <w:tcW w:w="900" w:type="dxa"/>
                          </w:tcPr>
                          <w:p>
                            <w:pPr>
                              <w:pStyle w:val="21"/>
                              <w:spacing w:before="178"/>
                              <w:ind w:left="29"/>
                              <w:jc w:val="center"/>
                              <w:rPr>
                                <w:rFonts w:ascii="Times New Roman"/>
                                <w:sz w:val="21"/>
                              </w:rPr>
                            </w:pPr>
                            <w:r>
                              <w:rPr>
                                <w:rFonts w:ascii="Times New Roman"/>
                                <w:sz w:val="21"/>
                              </w:rPr>
                              <w:t>%</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pPr>
                              <w:pStyle w:val="21"/>
                              <w:spacing w:before="166"/>
                              <w:ind w:right="1361"/>
                              <w:jc w:val="right"/>
                              <w:rPr>
                                <w:sz w:val="21"/>
                              </w:rPr>
                            </w:pPr>
                            <w:r>
                              <w:rPr>
                                <w:rFonts w:ascii="Times New Roman" w:eastAsia="Times New Roman"/>
                                <w:sz w:val="21"/>
                              </w:rPr>
                              <w:t xml:space="preserve">3. </w:t>
                            </w:r>
                            <w:r>
                              <w:rPr>
                                <w:sz w:val="21"/>
                              </w:rPr>
                              <w:t>主营业务利润率</w:t>
                            </w:r>
                          </w:p>
                        </w:tc>
                        <w:tc>
                          <w:tcPr>
                            <w:tcW w:w="900" w:type="dxa"/>
                          </w:tcPr>
                          <w:p>
                            <w:pPr>
                              <w:pStyle w:val="21"/>
                              <w:spacing w:before="178"/>
                              <w:ind w:left="29"/>
                              <w:jc w:val="center"/>
                              <w:rPr>
                                <w:rFonts w:ascii="Times New Roman"/>
                                <w:sz w:val="21"/>
                              </w:rPr>
                            </w:pPr>
                            <w:r>
                              <w:rPr>
                                <w:rFonts w:ascii="Times New Roman"/>
                                <w:sz w:val="21"/>
                              </w:rPr>
                              <w:t>%</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6"/>
                              <w:ind w:left="952"/>
                              <w:rPr>
                                <w:sz w:val="21"/>
                              </w:rPr>
                            </w:pPr>
                            <w:r>
                              <w:rPr>
                                <w:rFonts w:ascii="Times New Roman" w:eastAsia="Times New Roman"/>
                                <w:sz w:val="21"/>
                              </w:rPr>
                              <w:t xml:space="preserve">4. </w:t>
                            </w:r>
                            <w:r>
                              <w:rPr>
                                <w:sz w:val="21"/>
                              </w:rPr>
                              <w:t>资产负债率</w:t>
                            </w:r>
                          </w:p>
                        </w:tc>
                        <w:tc>
                          <w:tcPr>
                            <w:tcW w:w="900" w:type="dxa"/>
                          </w:tcPr>
                          <w:p>
                            <w:pPr>
                              <w:pStyle w:val="21"/>
                              <w:spacing w:before="178"/>
                              <w:ind w:left="29"/>
                              <w:jc w:val="center"/>
                              <w:rPr>
                                <w:rFonts w:ascii="Times New Roman"/>
                                <w:sz w:val="21"/>
                              </w:rPr>
                            </w:pPr>
                            <w:r>
                              <w:rPr>
                                <w:rFonts w:ascii="Times New Roman"/>
                                <w:sz w:val="21"/>
                              </w:rPr>
                              <w:t>%</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4066" w:type="dxa"/>
                          </w:tcPr>
                          <w:p>
                            <w:pPr>
                              <w:pStyle w:val="21"/>
                              <w:spacing w:before="166"/>
                              <w:ind w:left="952"/>
                              <w:rPr>
                                <w:sz w:val="21"/>
                              </w:rPr>
                            </w:pPr>
                            <w:r>
                              <w:rPr>
                                <w:rFonts w:ascii="Times New Roman" w:eastAsia="Times New Roman"/>
                                <w:sz w:val="21"/>
                              </w:rPr>
                              <w:t xml:space="preserve">5. </w:t>
                            </w:r>
                            <w:r>
                              <w:rPr>
                                <w:sz w:val="21"/>
                              </w:rPr>
                              <w:t>流动比率</w:t>
                            </w:r>
                          </w:p>
                        </w:tc>
                        <w:tc>
                          <w:tcPr>
                            <w:tcW w:w="900" w:type="dxa"/>
                          </w:tcPr>
                          <w:p>
                            <w:pPr>
                              <w:pStyle w:val="21"/>
                              <w:spacing w:before="178"/>
                              <w:ind w:left="29"/>
                              <w:jc w:val="center"/>
                              <w:rPr>
                                <w:rFonts w:ascii="Times New Roman"/>
                                <w:sz w:val="21"/>
                              </w:rPr>
                            </w:pPr>
                            <w:r>
                              <w:rPr>
                                <w:rFonts w:ascii="Times New Roman"/>
                                <w:sz w:val="21"/>
                              </w:rPr>
                              <w:t>%</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4066" w:type="dxa"/>
                          </w:tcPr>
                          <w:p>
                            <w:pPr>
                              <w:pStyle w:val="21"/>
                              <w:spacing w:before="169"/>
                              <w:ind w:left="952"/>
                              <w:rPr>
                                <w:sz w:val="21"/>
                              </w:rPr>
                            </w:pPr>
                            <w:r>
                              <w:rPr>
                                <w:rFonts w:ascii="Times New Roman" w:eastAsia="Times New Roman"/>
                                <w:sz w:val="21"/>
                              </w:rPr>
                              <w:t xml:space="preserve">6. </w:t>
                            </w:r>
                            <w:r>
                              <w:rPr>
                                <w:sz w:val="21"/>
                              </w:rPr>
                              <w:t>速动比率</w:t>
                            </w:r>
                          </w:p>
                        </w:tc>
                        <w:tc>
                          <w:tcPr>
                            <w:tcW w:w="900" w:type="dxa"/>
                          </w:tcPr>
                          <w:p>
                            <w:pPr>
                              <w:pStyle w:val="21"/>
                              <w:spacing w:before="180"/>
                              <w:ind w:left="29"/>
                              <w:jc w:val="center"/>
                              <w:rPr>
                                <w:rFonts w:ascii="Times New Roman"/>
                                <w:sz w:val="21"/>
                              </w:rPr>
                            </w:pPr>
                            <w:r>
                              <w:rPr>
                                <w:rFonts w:ascii="Times New Roman"/>
                                <w:sz w:val="21"/>
                              </w:rPr>
                              <w:t>%</w:t>
                            </w:r>
                          </w:p>
                        </w:tc>
                        <w:tc>
                          <w:tcPr>
                            <w:tcW w:w="1320" w:type="dxa"/>
                          </w:tcPr>
                          <w:p>
                            <w:pPr>
                              <w:pStyle w:val="21"/>
                              <w:rPr>
                                <w:rFonts w:ascii="Times New Roman"/>
                                <w:sz w:val="20"/>
                              </w:rPr>
                            </w:pPr>
                          </w:p>
                        </w:tc>
                        <w:tc>
                          <w:tcPr>
                            <w:tcW w:w="1321" w:type="dxa"/>
                          </w:tcPr>
                          <w:p>
                            <w:pPr>
                              <w:pStyle w:val="21"/>
                              <w:rPr>
                                <w:rFonts w:ascii="Times New Roman"/>
                                <w:sz w:val="20"/>
                              </w:rPr>
                            </w:pPr>
                          </w:p>
                        </w:tc>
                        <w:tc>
                          <w:tcPr>
                            <w:tcW w:w="1320" w:type="dxa"/>
                          </w:tcPr>
                          <w:p>
                            <w:pPr>
                              <w:pStyle w:val="21"/>
                              <w:rPr>
                                <w:rFonts w:ascii="Times New Roman"/>
                                <w:sz w:val="20"/>
                              </w:rPr>
                            </w:pPr>
                          </w:p>
                        </w:tc>
                      </w:tr>
                    </w:tbl>
                    <w:p>
                      <w:pPr>
                        <w:pStyle w:val="11"/>
                      </w:pPr>
                    </w:p>
                  </w:txbxContent>
                </v:textbox>
              </v:shape>
            </w:pict>
          </mc:Fallback>
        </mc:AlternateContent>
      </w:r>
      <w:bookmarkStart w:id="294" w:name="_bookmark313"/>
      <w:bookmarkEnd w:id="294"/>
      <w:r>
        <w:rPr>
          <w:rFonts w:hint="eastAsia" w:ascii="黑体" w:eastAsia="黑体"/>
        </w:rPr>
        <w:t>（三）近年财务状况财务状况表</w:t>
      </w: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pStyle w:val="11"/>
        <w:rPr>
          <w:rFonts w:ascii="黑体"/>
        </w:rPr>
      </w:pPr>
    </w:p>
    <w:p>
      <w:pPr>
        <w:spacing w:before="179"/>
        <w:ind w:left="264"/>
        <w:rPr>
          <w:sz w:val="21"/>
        </w:rPr>
      </w:pPr>
      <w:r>
        <w:rPr>
          <w:sz w:val="21"/>
        </w:rPr>
        <w:t>注：</w:t>
      </w:r>
      <w:r>
        <w:rPr>
          <w:rFonts w:ascii="Times New Roman" w:hAnsi="Times New Roman" w:eastAsia="Times New Roman"/>
          <w:sz w:val="21"/>
        </w:rPr>
        <w:t>1.</w:t>
      </w:r>
      <w:r>
        <w:rPr>
          <w:sz w:val="21"/>
        </w:rPr>
        <w:t xml:space="preserve">投标人应根据招标文件第二章“投标人须知”第 </w:t>
      </w:r>
      <w:r>
        <w:rPr>
          <w:rFonts w:ascii="Times New Roman" w:hAnsi="Times New Roman" w:eastAsia="Times New Roman"/>
          <w:sz w:val="21"/>
        </w:rPr>
        <w:t xml:space="preserve">3.5.2 </w:t>
      </w:r>
      <w:r>
        <w:rPr>
          <w:sz w:val="21"/>
        </w:rPr>
        <w:t>项的要求在本表后附相关证明材料。</w:t>
      </w:r>
    </w:p>
    <w:p>
      <w:pPr>
        <w:spacing w:before="132"/>
        <w:ind w:left="684"/>
        <w:rPr>
          <w:sz w:val="21"/>
        </w:rPr>
      </w:pPr>
      <w:r>
        <w:rPr>
          <w:rFonts w:ascii="Times New Roman" w:eastAsia="Times New Roman"/>
          <w:sz w:val="21"/>
        </w:rPr>
        <w:t>2.</w:t>
      </w:r>
      <w:r>
        <w:rPr>
          <w:sz w:val="21"/>
        </w:rPr>
        <w:t>本表所列数据必须与本表各附件中的数据相一致。</w:t>
      </w:r>
    </w:p>
    <w:p>
      <w:pPr>
        <w:spacing w:before="132"/>
        <w:ind w:left="684"/>
        <w:rPr>
          <w:sz w:val="21"/>
        </w:rPr>
      </w:pPr>
      <w:r>
        <w:rPr>
          <w:rFonts w:ascii="Times New Roman" w:eastAsia="Times New Roman"/>
          <w:sz w:val="21"/>
        </w:rPr>
        <w:t>3.</w:t>
      </w:r>
      <w:r>
        <w:rPr>
          <w:sz w:val="21"/>
        </w:rPr>
        <w:t>以联合体形式参与投标的，联合体各成员应分别填写。</w:t>
      </w:r>
    </w:p>
    <w:p>
      <w:pPr>
        <w:rPr>
          <w:sz w:val="21"/>
        </w:rPr>
        <w:sectPr>
          <w:footerReference r:id="rId102" w:type="default"/>
          <w:footerReference r:id="rId103" w:type="even"/>
          <w:pgSz w:w="11910" w:h="16850"/>
          <w:pgMar w:top="1540" w:right="1140" w:bottom="1060" w:left="1380" w:header="876" w:footer="860" w:gutter="0"/>
          <w:cols w:space="720" w:num="1"/>
        </w:sectPr>
      </w:pPr>
    </w:p>
    <w:p>
      <w:pPr>
        <w:pStyle w:val="11"/>
        <w:spacing w:before="88"/>
        <w:jc w:val="center"/>
        <w:rPr>
          <w:rFonts w:ascii="黑体" w:hAnsi="黑体" w:eastAsia="黑体"/>
          <w:sz w:val="12"/>
        </w:rPr>
      </w:pPr>
      <w:r>
        <w:rPr>
          <w:rFonts w:hint="eastAsia" w:ascii="黑体" w:hAnsi="黑体" w:eastAsia="黑体"/>
        </w:rPr>
        <w:t>银行信贷证明</w:t>
      </w:r>
      <w:r>
        <w:rPr>
          <w:rFonts w:hint="eastAsia" w:ascii="黑体" w:hAnsi="黑体" w:eastAsia="黑体"/>
          <w:position w:val="11"/>
          <w:sz w:val="12"/>
        </w:rPr>
        <w:t>①</w:t>
      </w:r>
    </w:p>
    <w:p>
      <w:pPr>
        <w:pStyle w:val="11"/>
        <w:rPr>
          <w:rFonts w:ascii="黑体"/>
          <w:sz w:val="20"/>
        </w:rPr>
      </w:pPr>
    </w:p>
    <w:p>
      <w:pPr>
        <w:pStyle w:val="11"/>
        <w:spacing w:before="10"/>
        <w:rPr>
          <w:rFonts w:ascii="黑体"/>
          <w:sz w:val="18"/>
        </w:rPr>
      </w:pPr>
    </w:p>
    <w:p>
      <w:pPr>
        <w:pStyle w:val="11"/>
        <w:tabs>
          <w:tab w:val="left" w:pos="984"/>
          <w:tab w:val="left" w:pos="5359"/>
        </w:tabs>
        <w:spacing w:before="74" w:line="405" w:lineRule="auto"/>
        <w:ind w:left="264" w:right="4026"/>
        <w:rPr>
          <w:rFonts w:ascii="Times New Roman" w:eastAsia="Times New Roman"/>
        </w:rPr>
      </w:pPr>
      <w:r>
        <w:rPr>
          <w:spacing w:val="-1"/>
        </w:rPr>
        <w:t>银</w:t>
      </w:r>
      <w:r>
        <w:t>行名称：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地</w:t>
      </w:r>
      <w:r>
        <w:tab/>
      </w:r>
      <w:r>
        <w:t>址：</w:t>
      </w:r>
      <w:r>
        <w:rPr>
          <w:rFonts w:ascii="Times New Roman" w:eastAsia="Times New Roman"/>
          <w:u w:val="single"/>
        </w:rPr>
        <w:t xml:space="preserve"> </w:t>
      </w:r>
      <w:r>
        <w:rPr>
          <w:rFonts w:ascii="Times New Roman" w:eastAsia="Times New Roman"/>
          <w:u w:val="single"/>
        </w:rPr>
        <w:tab/>
      </w:r>
    </w:p>
    <w:p>
      <w:pPr>
        <w:pStyle w:val="11"/>
        <w:tabs>
          <w:tab w:val="left" w:pos="2334"/>
        </w:tabs>
        <w:ind w:right="508"/>
        <w:jc w:val="right"/>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r>
    </w:p>
    <w:p>
      <w:pPr>
        <w:pStyle w:val="11"/>
        <w:rPr>
          <w:rFonts w:ascii="Times New Roman"/>
          <w:sz w:val="20"/>
        </w:rPr>
      </w:pPr>
    </w:p>
    <w:p>
      <w:pPr>
        <w:pStyle w:val="11"/>
        <w:rPr>
          <w:rFonts w:ascii="Times New Roman"/>
          <w:sz w:val="20"/>
        </w:rPr>
      </w:pPr>
    </w:p>
    <w:p>
      <w:pPr>
        <w:pStyle w:val="11"/>
        <w:spacing w:before="11"/>
        <w:rPr>
          <w:rFonts w:ascii="Times New Roman"/>
          <w:sz w:val="17"/>
        </w:rPr>
      </w:pPr>
    </w:p>
    <w:p>
      <w:pPr>
        <w:pStyle w:val="11"/>
        <w:tabs>
          <w:tab w:val="left" w:pos="1224"/>
        </w:tabs>
        <w:spacing w:before="66"/>
        <w:ind w:left="264"/>
      </w:pPr>
      <w:r>
        <mc:AlternateContent>
          <mc:Choice Requires="wps">
            <w:drawing>
              <wp:anchor distT="0" distB="0" distL="114300" distR="114300" simplePos="0" relativeHeight="251676672" behindDoc="0" locked="0" layoutInCell="1" allowOverlap="1">
                <wp:simplePos x="0" y="0"/>
                <wp:positionH relativeFrom="page">
                  <wp:posOffset>1348740</wp:posOffset>
                </wp:positionH>
                <wp:positionV relativeFrom="paragraph">
                  <wp:posOffset>217805</wp:posOffset>
                </wp:positionV>
                <wp:extent cx="1677035" cy="0"/>
                <wp:effectExtent l="0" t="0" r="0" b="0"/>
                <wp:wrapNone/>
                <wp:docPr id="46" name="直线 7"/>
                <wp:cNvGraphicFramePr/>
                <a:graphic xmlns:a="http://schemas.openxmlformats.org/drawingml/2006/main">
                  <a:graphicData uri="http://schemas.microsoft.com/office/word/2010/wordprocessingShape">
                    <wps:wsp>
                      <wps:cNvSpPr/>
                      <wps:spPr>
                        <a:xfrm>
                          <a:off x="0" y="0"/>
                          <a:ext cx="1677035" cy="0"/>
                        </a:xfrm>
                        <a:prstGeom prst="line">
                          <a:avLst/>
                        </a:prstGeom>
                        <a:ln w="762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106.2pt;margin-top:17.15pt;height:0pt;width:132.05pt;mso-position-horizontal-relative:page;z-index:251676672;mso-width-relative:page;mso-height-relative:page;" filled="f" stroked="t" coordsize="21600,21600" o:gfxdata="UEsFBgAAAAAAAAAAAAAAAAAAAAAAAFBLAwQKAAAAAACHTuJAAAAAAAAAAAAAAAAABAAAAGRycy9Q&#10;SwMEFAAAAAgAh07iQLdWzRrYAAAACQEAAA8AAABkcnMvZG93bnJldi54bWxNj8FuwjAMhu+T9g6R&#10;J+020pauoNIUaWM7bmgwcQ6NaSoap2pCy/b0y8QBjrY//f7+Ynk2LRuwd40lAfEkAoZUWdVQLeB7&#10;+/40B+a8JCVbSyjgBx0sy/u7QubKjvSFw8bXLISQy6UA7X2Xc+4qjUa6ie2Qwu1geyN9GPuaq16O&#10;Idy0PImijBvZUPigZYevGqvj5mQE/GajXvG3z9la7/jLfP2xHRJcCfH4EEcLYB7P/grDv35QhzI4&#10;7e2JlGOtgCRO0oAKmKZTYAFIZ9kzsP1lwcuC3zYo/wBQSwMEFAAAAAgAh07iQIm9xhnQAQAAkQMA&#10;AA4AAABkcnMvZTJvRG9jLnhtbK1TS44TMRDdI3EHy3vSSYAEtdKZBWHYIBhphgNU/Om25J9cTjo5&#10;C9dgxYbjzDUoO5kMMJsRIgun7Co/v/eqenV1cJbtVUITfMdnkylnyosgje87/vXu+tU7zjCDl2CD&#10;Vx0/KuRX65cvVmNs1TwMwUqVGIF4bMfY8SHn2DYNikE5wEmIylNSh+Qg0zb1jUwwErqzzXw6XTRj&#10;SDKmIBQinW5OSb6u+Forkb9ojSoz23Hiluua6rota7NeQdsniIMRZxrwDywcGE+PXqA2kIHtknkC&#10;5YxIAYPOExFcE7Q2QlUNpGY2/UvN7QBRVS1kDsaLTfj/YMXn/U1iRnb8zYIzD456dP/t+/2Pn2xZ&#10;zBkjtlRzG2/SeYcUFqUHnVz5Jw3sUA09XgxVh8wEHc4Wy+X09VvOxEOuebwYE+aPKjhWgo5b44tW&#10;aGH/CTM9RqUPJeXYejZ2fLmYUxsF0KhoC5lCF4k8+r7exWCNvDbWlhuY+u17m9geSvPrr0gi3D/K&#10;yiMbwOFUV1OnsRgUyA9esnyM5Iqn+eWFglOSM6to3EtEgNBmMPY5lfS09cSguHrysUTbII/UhF1M&#10;ph/IiZx2qhItSep7pXye0TJYv+8r2OOXt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t1bNGtgA&#10;AAAJAQAADwAAAAAAAAABACAAAAA4AAAAZHJzL2Rvd25yZXYueG1sUEsBAhQAFAAAAAgAh07iQIm9&#10;xhnQAQAAkQMAAA4AAAAAAAAAAQAgAAAAPQEAAGRycy9lMm9Eb2MueG1sUEsFBgAAAAAGAAYAWQEA&#10;AH8FAAAAAA==&#10;">
                <v:fill on="f" focussize="0,0"/>
                <v:stroke weight="0.6pt" color="#000000" joinstyle="round"/>
                <v:imagedata o:title=""/>
                <o:lock v:ext="edit" aspectratio="f"/>
              </v:line>
            </w:pict>
          </mc:Fallback>
        </mc:AlternateContent>
      </w:r>
      <w:r>
        <w:t>致：</w:t>
      </w:r>
      <w:r>
        <w:tab/>
      </w:r>
      <w:r>
        <w:t>（招标人全称）</w:t>
      </w:r>
    </w:p>
    <w:p>
      <w:pPr>
        <w:pStyle w:val="11"/>
        <w:rPr>
          <w:sz w:val="20"/>
        </w:rPr>
      </w:pPr>
    </w:p>
    <w:p>
      <w:pPr>
        <w:pStyle w:val="11"/>
        <w:spacing w:before="2"/>
        <w:rPr>
          <w:sz w:val="22"/>
        </w:rPr>
      </w:pPr>
    </w:p>
    <w:p>
      <w:pPr>
        <w:pStyle w:val="11"/>
        <w:tabs>
          <w:tab w:val="left" w:pos="2304"/>
          <w:tab w:val="left" w:pos="2904"/>
          <w:tab w:val="left" w:pos="3504"/>
          <w:tab w:val="left" w:pos="3670"/>
          <w:tab w:val="left" w:pos="6006"/>
          <w:tab w:val="left" w:pos="6145"/>
          <w:tab w:val="left" w:pos="8461"/>
        </w:tabs>
        <w:spacing w:before="74" w:line="312" w:lineRule="auto"/>
        <w:ind w:left="264" w:right="359" w:firstLine="525"/>
      </w:pPr>
      <w:r>
        <mc:AlternateContent>
          <mc:Choice Requires="wps">
            <w:drawing>
              <wp:anchor distT="0" distB="0" distL="114300" distR="114300" simplePos="0" relativeHeight="251698176" behindDoc="1" locked="0" layoutInCell="1" allowOverlap="1">
                <wp:simplePos x="0" y="0"/>
                <wp:positionH relativeFrom="page">
                  <wp:posOffset>3054985</wp:posOffset>
                </wp:positionH>
                <wp:positionV relativeFrom="paragraph">
                  <wp:posOffset>219710</wp:posOffset>
                </wp:positionV>
                <wp:extent cx="152400" cy="0"/>
                <wp:effectExtent l="0" t="0" r="0" b="0"/>
                <wp:wrapNone/>
                <wp:docPr id="82" name="直线 6"/>
                <wp:cNvGraphicFramePr/>
                <a:graphic xmlns:a="http://schemas.openxmlformats.org/drawingml/2006/main">
                  <a:graphicData uri="http://schemas.microsoft.com/office/word/2010/wordprocessingShape">
                    <wps:wsp>
                      <wps:cNvSpPr/>
                      <wps:spPr>
                        <a:xfrm>
                          <a:off x="0" y="0"/>
                          <a:ext cx="152400" cy="0"/>
                        </a:xfrm>
                        <a:prstGeom prst="line">
                          <a:avLst/>
                        </a:prstGeom>
                        <a:ln w="7620"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240.55pt;margin-top:17.3pt;height:0pt;width:12pt;mso-position-horizontal-relative:page;z-index:-251618304;mso-width-relative:page;mso-height-relative:page;" filled="f" stroked="t" coordsize="21600,21600" o:gfxdata="UEsFBgAAAAAAAAAAAAAAAAAAAAAAAFBLAwQKAAAAAACHTuJAAAAAAAAAAAAAAAAABAAAAGRycy9Q&#10;SwMEFAAAAAgAh07iQDEAvQLWAAAACQEAAA8AAABkcnMvZG93bnJldi54bWxNj8FOwzAMhu9IvENk&#10;JG4s6dhK1TWdBIMjTGyIc9Z6TUXjVE3WDp4eIw5w9O9Pvz8X67PrxIhDaD1pSGYKBFLl65YaDW/7&#10;p5sMRIiGatN5Qg2fGGBdXl4UJq/9RK847mIjuIRCbjTYGPtcylBZdCbMfI/Eu6MfnIk8Do2sBzNx&#10;uevkXKlUOtMSX7CmxweL1cfu5DR8pZPdyMeXu619l/fZ9nk/znGj9fVVolYgIp7jHww/+qwOJTsd&#10;/InqIDoNiyxJGNVwu0hBMLBUSw4Ov4EsC/n/g/IbUEsDBBQAAAAIAIdO4kBFgSwFzQEAAJADAAAO&#10;AAAAZHJzL2Uyb0RvYy54bWytU0uOEzEQ3SNxB8t70kkLwqiVziwIwwbBSAMHqPjTbck/uZx0chau&#10;wYoNx5lrUHYyGWA2I0QWTtlVfvXec/Xq+uAs26uEJvieL2ZzzpQXQRo/9Pzrl5tXV5xhBi/BBq96&#10;flTIr9cvX6ym2Kk2jMFKlRiBeOym2PMx59g1DYpROcBZiMpTUofkINM2DY1MMBG6s007ny+bKSQZ&#10;UxAKkU43pyRfV3ytlciftUaVme05cct1TXXdlrVZr6AbEsTRiDMN+AcWDoynpheoDWRgu2SeQDkj&#10;UsCg80wE1wStjVBVA6lZzP9SczdCVFULmYPxYhP+P1jxaX+bmJE9v2o58+Doje6/fb//8ZMtizlT&#10;xI5q7uJtOu+QwqL0oJMr/6SBHaqhx4uh6pCZoMPFm/b1nGwXD6nm8V5MmD+o4FgJem6NL1Khg/1H&#10;zNSLSh9KyrH1bOr522Vb4IAmRVvIFLpI3NEP9S4Ga+SNsbbcwDRs39nE9lDevv6KIsL9o6w02QCO&#10;p7qaOk3FqEC+95LlYyRTPI0vLxSckpxZRdNeIgKELoOxz6mk1tYTg2LqycYSbYM80hvsYjLDSE7k&#10;tFOVaEnSs1fK5xEtc/X7voI9fkj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EAvQLWAAAACQEA&#10;AA8AAAAAAAAAAQAgAAAAOAAAAGRycy9kb3ducmV2LnhtbFBLAQIUABQAAAAIAIdO4kBFgSwFzQEA&#10;AJADAAAOAAAAAAAAAAEAIAAAADsBAABkcnMvZTJvRG9jLnhtbFBLBQYAAAAABgAGAFkBAAB6BQAA&#10;AAA=&#10;">
                <v:fill on="f" focussize="0,0"/>
                <v:stroke weight="0.6pt" color="#000000" joinstyle="round"/>
                <v:imagedata o:title=""/>
                <o:lock v:ext="edit" aspectratio="f"/>
              </v:line>
            </w:pict>
          </mc:Fallback>
        </mc:AlternateContent>
      </w:r>
      <w:r>
        <w:t>兹开具最高限额为人民币</w:t>
      </w:r>
      <w:r>
        <w:tab/>
      </w:r>
      <w:r>
        <w:tab/>
      </w:r>
      <w:r>
        <w:t>万元的银行信贷</w:t>
      </w:r>
      <w:r>
        <w:rPr>
          <w:spacing w:val="-92"/>
        </w:rPr>
        <w:t>，</w:t>
      </w:r>
      <w:r>
        <w:t>供</w:t>
      </w:r>
      <w:r>
        <w:rPr>
          <w:u w:val="single"/>
        </w:rPr>
        <w:t xml:space="preserve"> </w:t>
      </w:r>
      <w:r>
        <w:rPr>
          <w:u w:val="single"/>
        </w:rPr>
        <w:tab/>
      </w:r>
      <w:r>
        <w:rPr>
          <w:u w:val="single"/>
        </w:rPr>
        <w:t>（</w:t>
      </w:r>
      <w:r>
        <w:t>投标人注册地点）</w:t>
      </w:r>
      <w:r>
        <w:tab/>
      </w:r>
      <w:r>
        <w:rPr>
          <w:u w:val="single"/>
        </w:rPr>
        <w:t>（</w:t>
      </w:r>
      <w:r>
        <w:t>投标人名称）于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日之前，在</w:t>
      </w:r>
      <w:r>
        <w:rPr>
          <w:u w:val="single"/>
        </w:rPr>
        <w:t xml:space="preserve"> </w:t>
      </w:r>
      <w:r>
        <w:rPr>
          <w:u w:val="single"/>
        </w:rPr>
        <w:tab/>
      </w:r>
      <w:r>
        <w:rPr>
          <w:u w:val="single"/>
        </w:rPr>
        <w:tab/>
      </w:r>
      <w:r>
        <w:t>（项目名称）需要时使用。我行保证由</w:t>
      </w:r>
      <w:r>
        <w:rPr>
          <w:u w:val="single"/>
        </w:rPr>
        <w:t xml:space="preserve"> </w:t>
      </w:r>
      <w:r>
        <w:rPr>
          <w:u w:val="single"/>
        </w:rPr>
        <w:tab/>
      </w:r>
      <w:r>
        <w:rPr>
          <w:u w:val="single"/>
        </w:rPr>
        <w:tab/>
      </w:r>
      <w:r>
        <w:t>（投标人名称）提供的财务报表中所开列的作为流动资产的各项中无一项包含在上述提到的银行信贷中。</w:t>
      </w:r>
    </w:p>
    <w:p>
      <w:pPr>
        <w:pStyle w:val="11"/>
        <w:spacing w:before="119"/>
        <w:ind w:left="790"/>
      </w:pPr>
      <w:r>
        <w:t>此项目若未中标，该信贷证明自动失效，无须退回我行。</w:t>
      </w:r>
    </w:p>
    <w:p>
      <w:pPr>
        <w:pStyle w:val="11"/>
      </w:pPr>
    </w:p>
    <w:p>
      <w:pPr>
        <w:pStyle w:val="11"/>
      </w:pPr>
    </w:p>
    <w:p>
      <w:pPr>
        <w:pStyle w:val="11"/>
        <w:tabs>
          <w:tab w:val="left" w:pos="3624"/>
          <w:tab w:val="left" w:pos="4344"/>
          <w:tab w:val="left" w:pos="5065"/>
          <w:tab w:val="left" w:pos="6625"/>
          <w:tab w:val="left" w:pos="8000"/>
          <w:tab w:val="left" w:pos="8065"/>
          <w:tab w:val="left" w:pos="8240"/>
        </w:tabs>
        <w:spacing w:line="312" w:lineRule="auto"/>
        <w:ind w:left="2905" w:right="1143"/>
        <w:rPr>
          <w:rFonts w:ascii="Times New Roman" w:eastAsia="Times New Roman"/>
        </w:rPr>
      </w:pPr>
      <w:r>
        <w:t>银</w:t>
      </w:r>
      <w:r>
        <w:tab/>
      </w:r>
      <w:r>
        <w:tab/>
      </w:r>
      <w:r>
        <w:t>行（盖单位章</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t>银行主要负责人（签字</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银行主要负责人姓名、职务：</w:t>
      </w:r>
      <w:r>
        <w:rPr>
          <w:u w:val="single"/>
        </w:rPr>
        <w:t xml:space="preserve"> </w:t>
      </w:r>
      <w:r>
        <w:rPr>
          <w:u w:val="single"/>
        </w:rPr>
        <w:tab/>
      </w:r>
      <w:r>
        <w:rPr>
          <w:u w:val="single"/>
        </w:rPr>
        <w:t>（打印）</w:t>
      </w:r>
      <w:r>
        <w:rPr>
          <w:u w:val="single"/>
        </w:rPr>
        <w:tab/>
      </w:r>
      <w:r>
        <w:rPr>
          <w:u w:val="single"/>
        </w:rPr>
        <w:tab/>
      </w:r>
      <w:r>
        <w:rPr>
          <w:u w:val="single"/>
        </w:rPr>
        <w:t xml:space="preserve"> </w:t>
      </w:r>
      <w:r>
        <w:t>银</w:t>
      </w:r>
      <w:r>
        <w:tab/>
      </w:r>
      <w:r>
        <w:t>行</w:t>
      </w:r>
      <w:r>
        <w:tab/>
      </w:r>
      <w:r>
        <w:t>电</w:t>
      </w:r>
      <w:r>
        <w:tab/>
      </w:r>
      <w:r>
        <w:t>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 xml:space="preserve"> 银</w:t>
      </w:r>
      <w:r>
        <w:tab/>
      </w:r>
      <w:r>
        <w:t>行</w:t>
      </w:r>
      <w:r>
        <w:tab/>
      </w:r>
      <w:r>
        <w:t>传</w:t>
      </w:r>
      <w:r>
        <w:tab/>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1"/>
        <w:rPr>
          <w:rFonts w:ascii="Times New Roman"/>
          <w:sz w:val="20"/>
        </w:rPr>
      </w:pPr>
    </w:p>
    <w:p>
      <w:pPr>
        <w:pStyle w:val="11"/>
        <w:spacing w:before="6"/>
        <w:rPr>
          <w:rFonts w:ascii="Times New Roman"/>
          <w:sz w:val="25"/>
        </w:rPr>
      </w:pPr>
    </w:p>
    <w:p>
      <w:pPr>
        <w:spacing w:before="79" w:line="285" w:lineRule="auto"/>
        <w:ind w:left="1349" w:right="440" w:hanging="632"/>
        <w:jc w:val="both"/>
        <w:rPr>
          <w:sz w:val="21"/>
        </w:rPr>
      </w:pPr>
      <w:r>
        <w:rPr>
          <w:sz w:val="21"/>
        </w:rPr>
        <w:t>注：</w:t>
      </w:r>
      <w:r>
        <w:rPr>
          <w:rFonts w:ascii="Times New Roman" w:eastAsia="Times New Roman"/>
          <w:sz w:val="21"/>
        </w:rPr>
        <w:t xml:space="preserve">1. </w:t>
      </w:r>
      <w:r>
        <w:rPr>
          <w:sz w:val="21"/>
        </w:rPr>
        <w:t>允许投标人实际开具的银行信贷证明的格式与《公路工程标准施工招标文件》提供的格式有所不同，但不得更改《公路工程标准施工招标文件》提供的银行信贷证明格式中的实质性内容。</w:t>
      </w:r>
    </w:p>
    <w:p>
      <w:pPr>
        <w:spacing w:line="285" w:lineRule="auto"/>
        <w:ind w:left="1418" w:right="444" w:hanging="315"/>
        <w:rPr>
          <w:sz w:val="21"/>
        </w:rPr>
      </w:pPr>
      <w:r>
        <w:rPr>
          <w:rFonts w:ascii="Times New Roman" w:eastAsia="Times New Roman"/>
          <w:sz w:val="21"/>
        </w:rPr>
        <w:t xml:space="preserve">2. </w:t>
      </w:r>
      <w:r>
        <w:rPr>
          <w:sz w:val="21"/>
        </w:rPr>
        <w:t>银行主要负责人应亲笔签名，不得使用印章、签名章或其他电子制版签名代替，否则，视为无效。</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8"/>
        <w:rPr>
          <w:sz w:val="13"/>
        </w:rPr>
      </w:pPr>
      <w:r>
        <mc:AlternateContent>
          <mc:Choice Requires="wps">
            <w:drawing>
              <wp:anchor distT="0" distB="0" distL="114300" distR="114300" simplePos="0" relativeHeight="251675648" behindDoc="0" locked="0" layoutInCell="1" allowOverlap="1">
                <wp:simplePos x="0" y="0"/>
                <wp:positionH relativeFrom="page">
                  <wp:posOffset>1043940</wp:posOffset>
                </wp:positionH>
                <wp:positionV relativeFrom="paragraph">
                  <wp:posOffset>139065</wp:posOffset>
                </wp:positionV>
                <wp:extent cx="1829435" cy="0"/>
                <wp:effectExtent l="0" t="0" r="0" b="0"/>
                <wp:wrapTopAndBottom/>
                <wp:docPr id="45" name="直线 5"/>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82.2pt;margin-top:10.95pt;height:0pt;width:144.05pt;mso-position-horizontal-relative:page;mso-wrap-distance-bottom:0pt;mso-wrap-distance-top:0pt;z-index:251675648;mso-width-relative:page;mso-height-relative:page;" filled="f" stroked="t" coordsize="21600,21600" o:gfxdata="UEsFBgAAAAAAAAAAAAAAAAAAAAAAAFBLAwQKAAAAAACHTuJAAAAAAAAAAAAAAAAABAAAAGRycy9Q&#10;SwMEFAAAAAgAh07iQD2I3h3YAAAACQEAAA8AAABkcnMvZG93bnJldi54bWxNj8FOwzAMhu9IvENk&#10;JG4sbdWNrmu6AwikHRBimzhnjdeWNk7VZOv29hhxgONvf/r9uVhfbC/OOPrWkYJ4FoFAqpxpqVaw&#10;3708ZCB80GR07wgVXNHDury9KXRu3EQfeN6GWnAJ+VwraEIYcil91aDVfuYGJN4d3Wh14DjW0ox6&#10;4nLbyySKFtLqlvhCowd8arDqtier4C2Tz+69+6yuX9PuNcs23fJxs1fq/i6OViACXsIfDD/6rA4l&#10;Ox3ciYwXPedFmjKqIImXIBhI58kcxOF3IMtC/v+g/AZQSwMEFAAAAAgAh07iQAGilsTQAQAAkQMA&#10;AA4AAABkcnMvZTJvRG9jLnhtbK1TzW4TMRC+I/EOlu9kk9BG7SqbHgjlgqBS4QEm/tm15D95nGzy&#10;LLwGJy48Tl+DsZOmLVwQIgdn7Bl/832fZ5c3e2fZTiU0wXd8NplyprwI0vi+41+/3L654gwzeAk2&#10;eNXxg0J+s3r9ajnGVs3DEKxUiRGIx3aMHR9yjm3ToBiUA5yEqDwldUgOMm1T38gEI6E728yn00Uz&#10;hiRjCkIh0un6mOSriq+1Evmz1qgysx0nbrmuqa6bsjarJbR9gjgYcaIB/8DCgfHU9Ay1hgxsm8wf&#10;UM6IFDDoPBHBNUFrI1TVQGpm09/U3A8QVdVC5mA824T/D1Z82t0lZmTHLy458+DojR6+fX/48ZNd&#10;FnPGiC3V3Me7dNohhUXpXidX/kkD21dDD2dD1T4zQYezq/n1xVsCFo+55uliTJg/qOBYCTpujS9a&#10;oYXdR8zUjEofS8qx9Wzs+GJ6vSA4oFHRFjKFLhJ59H29i8EaeWusLTcw9Zt3NrEdlMevvyKJcF+U&#10;lSZrwOFYV1PHsRgUyPdesnyI5Iqn+eWFglOSM6to3EtEgNBmMPZvKqm19cSguHr0sUSbIA/0CNuY&#10;TD+QEzltVSVakvTulfJpRstgPd9XsKcvaf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YjeHdgA&#10;AAAJAQAADwAAAAAAAAABACAAAAA4AAAAZHJzL2Rvd25yZXYueG1sUEsBAhQAFAAAAAgAh07iQAGi&#10;lsTQAQAAkQMAAA4AAAAAAAAAAQAgAAAAPQEAAGRycy9lMm9Eb2MueG1sUEsFBgAAAAAGAAYAWQEA&#10;AH8FAAAAAA==&#10;">
                <v:fill on="f" focussize="0,0"/>
                <v:stroke weight="0.48pt" color="#000000" joinstyle="round"/>
                <v:imagedata o:title=""/>
                <o:lock v:ext="edit" aspectratio="f"/>
                <w10:wrap type="topAndBottom"/>
              </v:line>
            </w:pict>
          </mc:Fallback>
        </mc:AlternateContent>
      </w:r>
    </w:p>
    <w:p>
      <w:pPr>
        <w:spacing w:before="129" w:line="312" w:lineRule="auto"/>
        <w:ind w:left="444" w:right="476" w:hanging="180"/>
        <w:jc w:val="both"/>
        <w:rPr>
          <w:sz w:val="18"/>
        </w:rPr>
      </w:pPr>
      <w:r>
        <w:rPr>
          <w:position w:val="9"/>
          <w:sz w:val="9"/>
        </w:rPr>
        <w:t xml:space="preserve">① </w:t>
      </w:r>
      <w:r>
        <w:rPr>
          <w:sz w:val="18"/>
        </w:rPr>
        <w:t xml:space="preserve">招标人要求投标人提供银行信贷证明是为了避免投标人中标后因流动资金不足而影响工程施工，招标人可根据招标项目具体特点和实际情况选择是否要求投标人提供银行信贷证明。如采用银行信贷证明，招标人应在此规定开具信贷证明的银行级别。 </w:t>
      </w:r>
    </w:p>
    <w:p>
      <w:pPr>
        <w:spacing w:line="312" w:lineRule="auto"/>
        <w:jc w:val="both"/>
        <w:rPr>
          <w:sz w:val="18"/>
        </w:rPr>
        <w:sectPr>
          <w:pgSz w:w="11910" w:h="16850"/>
          <w:pgMar w:top="1540" w:right="1140" w:bottom="1080" w:left="1380" w:header="883" w:footer="884" w:gutter="0"/>
          <w:cols w:space="720" w:num="1"/>
        </w:sectPr>
      </w:pPr>
    </w:p>
    <w:p>
      <w:pPr>
        <w:pStyle w:val="11"/>
        <w:spacing w:before="108"/>
        <w:ind w:left="2801"/>
        <w:rPr>
          <w:rFonts w:ascii="黑体" w:eastAsia="黑体"/>
        </w:rPr>
      </w:pPr>
      <w:bookmarkStart w:id="295" w:name="_bookmark314"/>
      <w:bookmarkEnd w:id="295"/>
      <w:r>
        <w:rPr>
          <w:rFonts w:hint="eastAsia" w:ascii="黑体" w:eastAsia="黑体"/>
        </w:rPr>
        <w:t>（四）近年完成的类似项目情况表</w:t>
      </w:r>
    </w:p>
    <w:p>
      <w:pPr>
        <w:pStyle w:val="11"/>
        <w:rPr>
          <w:rFonts w:ascii="黑体"/>
          <w:sz w:val="20"/>
        </w:rPr>
      </w:pPr>
    </w:p>
    <w:p>
      <w:pPr>
        <w:pStyle w:val="11"/>
        <w:spacing w:before="5"/>
        <w:rPr>
          <w:rFonts w:ascii="黑体"/>
          <w:sz w:val="14"/>
        </w:rPr>
      </w:pPr>
    </w:p>
    <w:tbl>
      <w:tblPr>
        <w:tblStyle w:val="19"/>
        <w:tblW w:w="8894"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367" w:type="dxa"/>
          </w:tcPr>
          <w:p>
            <w:pPr>
              <w:pStyle w:val="21"/>
              <w:spacing w:before="1"/>
              <w:rPr>
                <w:rFonts w:ascii="黑体"/>
                <w:sz w:val="20"/>
              </w:rPr>
            </w:pPr>
          </w:p>
          <w:p>
            <w:pPr>
              <w:pStyle w:val="21"/>
              <w:tabs>
                <w:tab w:val="left" w:pos="642"/>
              </w:tabs>
              <w:ind w:left="11"/>
              <w:jc w:val="center"/>
              <w:rPr>
                <w:sz w:val="21"/>
              </w:rPr>
            </w:pPr>
            <w:r>
              <w:rPr>
                <w:sz w:val="21"/>
              </w:rPr>
              <w:t>序</w:t>
            </w:r>
            <w:r>
              <w:rPr>
                <w:sz w:val="21"/>
              </w:rPr>
              <w:tab/>
            </w:r>
            <w:r>
              <w:rPr>
                <w:sz w:val="21"/>
              </w:rPr>
              <w:t>号</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67" w:type="dxa"/>
          </w:tcPr>
          <w:p>
            <w:pPr>
              <w:pStyle w:val="21"/>
              <w:spacing w:before="11"/>
              <w:rPr>
                <w:rFonts w:ascii="黑体"/>
                <w:sz w:val="20"/>
              </w:rPr>
            </w:pPr>
          </w:p>
          <w:p>
            <w:pPr>
              <w:pStyle w:val="21"/>
              <w:ind w:left="4"/>
              <w:jc w:val="center"/>
              <w:rPr>
                <w:sz w:val="20"/>
              </w:rPr>
            </w:pPr>
            <w:r>
              <w:rPr>
                <w:sz w:val="20"/>
              </w:rPr>
              <w:t>项目名称</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367" w:type="dxa"/>
          </w:tcPr>
          <w:p>
            <w:pPr>
              <w:pStyle w:val="21"/>
              <w:spacing w:before="5"/>
              <w:rPr>
                <w:rFonts w:ascii="黑体"/>
                <w:sz w:val="18"/>
              </w:rPr>
            </w:pPr>
          </w:p>
          <w:p>
            <w:pPr>
              <w:pStyle w:val="21"/>
              <w:spacing w:before="1"/>
              <w:ind w:left="3"/>
              <w:jc w:val="center"/>
              <w:rPr>
                <w:sz w:val="20"/>
              </w:rPr>
            </w:pPr>
            <w:r>
              <w:rPr>
                <w:sz w:val="20"/>
              </w:rPr>
              <w:t>项目所在地</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367" w:type="dxa"/>
          </w:tcPr>
          <w:p>
            <w:pPr>
              <w:pStyle w:val="21"/>
              <w:spacing w:before="8"/>
              <w:rPr>
                <w:rFonts w:ascii="黑体"/>
                <w:sz w:val="18"/>
              </w:rPr>
            </w:pPr>
          </w:p>
          <w:p>
            <w:pPr>
              <w:pStyle w:val="21"/>
              <w:spacing w:before="1"/>
              <w:ind w:left="3"/>
              <w:jc w:val="center"/>
              <w:rPr>
                <w:sz w:val="20"/>
              </w:rPr>
            </w:pPr>
            <w:r>
              <w:rPr>
                <w:sz w:val="20"/>
              </w:rPr>
              <w:t>发包人名称</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367" w:type="dxa"/>
          </w:tcPr>
          <w:p>
            <w:pPr>
              <w:pStyle w:val="21"/>
              <w:spacing w:before="5"/>
              <w:rPr>
                <w:rFonts w:ascii="黑体"/>
                <w:sz w:val="18"/>
              </w:rPr>
            </w:pPr>
          </w:p>
          <w:p>
            <w:pPr>
              <w:pStyle w:val="21"/>
              <w:spacing w:before="1"/>
              <w:ind w:left="3"/>
              <w:jc w:val="center"/>
              <w:rPr>
                <w:sz w:val="20"/>
              </w:rPr>
            </w:pPr>
            <w:r>
              <w:rPr>
                <w:sz w:val="20"/>
              </w:rPr>
              <w:t>发包人地址</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367" w:type="dxa"/>
          </w:tcPr>
          <w:p>
            <w:pPr>
              <w:pStyle w:val="21"/>
              <w:spacing w:before="10"/>
              <w:rPr>
                <w:rFonts w:ascii="黑体"/>
                <w:sz w:val="18"/>
              </w:rPr>
            </w:pPr>
          </w:p>
          <w:p>
            <w:pPr>
              <w:pStyle w:val="21"/>
              <w:ind w:left="3"/>
              <w:jc w:val="center"/>
              <w:rPr>
                <w:sz w:val="20"/>
              </w:rPr>
            </w:pPr>
            <w:r>
              <w:rPr>
                <w:sz w:val="20"/>
              </w:rPr>
              <w:t>发包人电话</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367" w:type="dxa"/>
          </w:tcPr>
          <w:p>
            <w:pPr>
              <w:pStyle w:val="21"/>
              <w:spacing w:before="8"/>
              <w:rPr>
                <w:rFonts w:ascii="黑体"/>
                <w:sz w:val="18"/>
              </w:rPr>
            </w:pPr>
          </w:p>
          <w:p>
            <w:pPr>
              <w:pStyle w:val="21"/>
              <w:ind w:left="4"/>
              <w:jc w:val="center"/>
              <w:rPr>
                <w:sz w:val="20"/>
              </w:rPr>
            </w:pPr>
            <w:r>
              <w:rPr>
                <w:sz w:val="20"/>
              </w:rPr>
              <w:t>合同价格</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367" w:type="dxa"/>
          </w:tcPr>
          <w:p>
            <w:pPr>
              <w:pStyle w:val="21"/>
              <w:spacing w:before="5"/>
              <w:rPr>
                <w:rFonts w:ascii="黑体"/>
                <w:sz w:val="18"/>
              </w:rPr>
            </w:pPr>
          </w:p>
          <w:p>
            <w:pPr>
              <w:pStyle w:val="21"/>
              <w:spacing w:before="1"/>
              <w:ind w:left="4"/>
              <w:jc w:val="center"/>
              <w:rPr>
                <w:sz w:val="20"/>
              </w:rPr>
            </w:pPr>
            <w:r>
              <w:rPr>
                <w:sz w:val="20"/>
              </w:rPr>
              <w:t>开工日期</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367" w:type="dxa"/>
          </w:tcPr>
          <w:p>
            <w:pPr>
              <w:pStyle w:val="21"/>
              <w:spacing w:before="3"/>
              <w:rPr>
                <w:rFonts w:ascii="黑体"/>
                <w:sz w:val="19"/>
              </w:rPr>
            </w:pPr>
          </w:p>
          <w:p>
            <w:pPr>
              <w:pStyle w:val="21"/>
              <w:ind w:left="4"/>
              <w:jc w:val="center"/>
              <w:rPr>
                <w:sz w:val="20"/>
              </w:rPr>
            </w:pPr>
            <w:r>
              <w:rPr>
                <w:sz w:val="20"/>
              </w:rPr>
              <w:t>交工日期</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367" w:type="dxa"/>
          </w:tcPr>
          <w:p>
            <w:pPr>
              <w:pStyle w:val="21"/>
              <w:spacing w:before="5"/>
              <w:rPr>
                <w:rFonts w:ascii="黑体"/>
                <w:sz w:val="18"/>
              </w:rPr>
            </w:pPr>
          </w:p>
          <w:p>
            <w:pPr>
              <w:pStyle w:val="21"/>
              <w:spacing w:before="1"/>
              <w:ind w:left="3"/>
              <w:jc w:val="center"/>
              <w:rPr>
                <w:sz w:val="20"/>
              </w:rPr>
            </w:pPr>
            <w:r>
              <w:rPr>
                <w:sz w:val="20"/>
              </w:rPr>
              <w:t>承担的工作</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367" w:type="dxa"/>
          </w:tcPr>
          <w:p>
            <w:pPr>
              <w:pStyle w:val="21"/>
              <w:spacing w:before="8"/>
              <w:rPr>
                <w:rFonts w:ascii="黑体"/>
                <w:sz w:val="18"/>
              </w:rPr>
            </w:pPr>
          </w:p>
          <w:p>
            <w:pPr>
              <w:pStyle w:val="21"/>
              <w:ind w:left="4"/>
              <w:jc w:val="center"/>
              <w:rPr>
                <w:sz w:val="20"/>
              </w:rPr>
            </w:pPr>
            <w:r>
              <w:rPr>
                <w:sz w:val="20"/>
              </w:rPr>
              <w:t>工程质量</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367" w:type="dxa"/>
          </w:tcPr>
          <w:p>
            <w:pPr>
              <w:pStyle w:val="21"/>
              <w:spacing w:before="5"/>
              <w:rPr>
                <w:rFonts w:ascii="黑体"/>
                <w:sz w:val="18"/>
              </w:rPr>
            </w:pPr>
          </w:p>
          <w:p>
            <w:pPr>
              <w:pStyle w:val="21"/>
              <w:spacing w:before="1"/>
              <w:ind w:left="4"/>
              <w:jc w:val="center"/>
              <w:rPr>
                <w:sz w:val="20"/>
              </w:rPr>
            </w:pPr>
            <w:r>
              <w:rPr>
                <w:sz w:val="20"/>
              </w:rPr>
              <w:t>项目经理</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367" w:type="dxa"/>
          </w:tcPr>
          <w:p>
            <w:pPr>
              <w:pStyle w:val="21"/>
              <w:spacing w:before="10"/>
              <w:rPr>
                <w:rFonts w:ascii="黑体"/>
                <w:sz w:val="18"/>
              </w:rPr>
            </w:pPr>
          </w:p>
          <w:p>
            <w:pPr>
              <w:pStyle w:val="21"/>
              <w:ind w:left="4"/>
              <w:jc w:val="center"/>
              <w:rPr>
                <w:sz w:val="20"/>
              </w:rPr>
            </w:pPr>
            <w:r>
              <w:rPr>
                <w:sz w:val="20"/>
              </w:rPr>
              <w:t>项目总工</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67" w:type="dxa"/>
          </w:tcPr>
          <w:p>
            <w:pPr>
              <w:pStyle w:val="21"/>
              <w:spacing w:before="8"/>
              <w:rPr>
                <w:rFonts w:ascii="黑体"/>
                <w:sz w:val="18"/>
              </w:rPr>
            </w:pPr>
          </w:p>
          <w:p>
            <w:pPr>
              <w:pStyle w:val="21"/>
              <w:spacing w:before="1"/>
              <w:ind w:left="6"/>
              <w:jc w:val="center"/>
              <w:rPr>
                <w:sz w:val="20"/>
              </w:rPr>
            </w:pPr>
            <w:r>
              <w:rPr>
                <w:sz w:val="20"/>
              </w:rPr>
              <w:t>总监理工程师及电话</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367" w:type="dxa"/>
          </w:tcPr>
          <w:p>
            <w:pPr>
              <w:pStyle w:val="21"/>
              <w:rPr>
                <w:rFonts w:ascii="黑体"/>
                <w:sz w:val="20"/>
              </w:rPr>
            </w:pPr>
          </w:p>
          <w:p>
            <w:pPr>
              <w:pStyle w:val="21"/>
              <w:spacing w:before="2"/>
              <w:rPr>
                <w:rFonts w:ascii="黑体"/>
                <w:sz w:val="26"/>
              </w:rPr>
            </w:pPr>
          </w:p>
          <w:p>
            <w:pPr>
              <w:pStyle w:val="21"/>
              <w:ind w:left="4"/>
              <w:jc w:val="center"/>
              <w:rPr>
                <w:sz w:val="20"/>
              </w:rPr>
            </w:pPr>
            <w:r>
              <w:rPr>
                <w:sz w:val="20"/>
              </w:rPr>
              <w:t>项目描述</w:t>
            </w:r>
          </w:p>
        </w:tc>
        <w:tc>
          <w:tcPr>
            <w:tcW w:w="6527"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367" w:type="dxa"/>
          </w:tcPr>
          <w:p>
            <w:pPr>
              <w:pStyle w:val="21"/>
              <w:spacing w:before="3"/>
              <w:rPr>
                <w:rFonts w:ascii="黑体"/>
                <w:sz w:val="18"/>
              </w:rPr>
            </w:pPr>
          </w:p>
          <w:p>
            <w:pPr>
              <w:pStyle w:val="21"/>
              <w:ind w:left="4"/>
              <w:jc w:val="center"/>
              <w:rPr>
                <w:sz w:val="20"/>
              </w:rPr>
            </w:pPr>
            <w:r>
              <w:rPr>
                <w:sz w:val="20"/>
              </w:rPr>
              <w:t>备注</w:t>
            </w:r>
          </w:p>
        </w:tc>
        <w:tc>
          <w:tcPr>
            <w:tcW w:w="6527" w:type="dxa"/>
          </w:tcPr>
          <w:p>
            <w:pPr>
              <w:pStyle w:val="21"/>
              <w:rPr>
                <w:rFonts w:ascii="Times New Roman"/>
                <w:sz w:val="20"/>
              </w:rPr>
            </w:pPr>
          </w:p>
        </w:tc>
      </w:tr>
    </w:tbl>
    <w:p>
      <w:pPr>
        <w:spacing w:before="128"/>
        <w:ind w:left="264"/>
        <w:rPr>
          <w:sz w:val="21"/>
        </w:rPr>
      </w:pPr>
      <w:r>
        <w:rPr>
          <w:sz w:val="21"/>
        </w:rPr>
        <w:t>注：</w:t>
      </w:r>
      <w:r>
        <w:rPr>
          <w:rFonts w:ascii="Times New Roman" w:eastAsia="Times New Roman"/>
          <w:sz w:val="21"/>
        </w:rPr>
        <w:t>1.</w:t>
      </w:r>
      <w:r>
        <w:rPr>
          <w:sz w:val="21"/>
        </w:rPr>
        <w:t>每张表格只填写一个项目，并标明序号。</w:t>
      </w:r>
    </w:p>
    <w:p>
      <w:pPr>
        <w:spacing w:before="130"/>
        <w:ind w:left="684"/>
        <w:rPr>
          <w:sz w:val="21"/>
        </w:rPr>
      </w:pPr>
      <w:r>
        <w:rPr>
          <w:rFonts w:ascii="Times New Roman" w:hAnsi="Times New Roman" w:eastAsia="Times New Roman"/>
          <w:sz w:val="21"/>
        </w:rPr>
        <w:t>2.</w:t>
      </w:r>
      <w:r>
        <w:rPr>
          <w:sz w:val="21"/>
        </w:rPr>
        <w:t xml:space="preserve">投标人应根据招标文件第二章“投标人须知”第 </w:t>
      </w:r>
      <w:r>
        <w:rPr>
          <w:rFonts w:ascii="Times New Roman" w:hAnsi="Times New Roman" w:eastAsia="Times New Roman"/>
          <w:sz w:val="21"/>
        </w:rPr>
        <w:t xml:space="preserve">3.5.3 </w:t>
      </w:r>
      <w:r>
        <w:rPr>
          <w:sz w:val="21"/>
        </w:rPr>
        <w:t>项的要求在本表后附相关证明材料。</w:t>
      </w:r>
    </w:p>
    <w:p>
      <w:pPr>
        <w:spacing w:before="132" w:line="357" w:lineRule="auto"/>
        <w:ind w:left="852" w:right="440" w:hanging="168"/>
        <w:rPr>
          <w:sz w:val="21"/>
        </w:rPr>
      </w:pPr>
      <w:r>
        <w:rPr>
          <w:rFonts w:ascii="Times New Roman" w:eastAsia="Times New Roman"/>
          <w:sz w:val="21"/>
        </w:rPr>
        <w:t>3.</w:t>
      </w:r>
      <w:r>
        <w:rPr>
          <w:spacing w:val="-10"/>
          <w:sz w:val="21"/>
        </w:rPr>
        <w:t>如近年来，投标人法人机构发生合法变更或重组或法人名称变更时，应提供相关部门的合</w:t>
      </w:r>
      <w:r>
        <w:rPr>
          <w:spacing w:val="-5"/>
          <w:sz w:val="21"/>
        </w:rPr>
        <w:t>法批件或其他相关证明材料来证明其所附业绩的继承性。</w:t>
      </w:r>
    </w:p>
    <w:p>
      <w:pPr>
        <w:spacing w:line="266" w:lineRule="exact"/>
        <w:ind w:left="684"/>
        <w:rPr>
          <w:sz w:val="21"/>
        </w:rPr>
      </w:pPr>
      <w:r>
        <w:rPr>
          <w:rFonts w:ascii="Times New Roman" w:eastAsia="Times New Roman"/>
          <w:sz w:val="21"/>
        </w:rPr>
        <w:t>4.</w:t>
      </w:r>
      <w:r>
        <w:rPr>
          <w:sz w:val="21"/>
        </w:rPr>
        <w:t>以联合体形式参与投标的，联合体各成员应分别填写。</w:t>
      </w:r>
    </w:p>
    <w:p>
      <w:pPr>
        <w:spacing w:line="266" w:lineRule="exact"/>
        <w:rPr>
          <w:sz w:val="21"/>
        </w:rPr>
        <w:sectPr>
          <w:footerReference r:id="rId104" w:type="default"/>
          <w:footerReference r:id="rId105" w:type="even"/>
          <w:pgSz w:w="11910" w:h="16850"/>
          <w:pgMar w:top="1540" w:right="1140" w:bottom="1060" w:left="1380" w:header="876" w:footer="860" w:gutter="0"/>
          <w:pgNumType w:start="232"/>
          <w:cols w:space="720" w:num="1"/>
        </w:sectPr>
      </w:pPr>
    </w:p>
    <w:p>
      <w:pPr>
        <w:pStyle w:val="11"/>
        <w:spacing w:before="12"/>
      </w:pPr>
    </w:p>
    <w:p>
      <w:pPr>
        <w:pStyle w:val="11"/>
        <w:spacing w:before="66"/>
        <w:ind w:right="180"/>
        <w:jc w:val="center"/>
        <w:rPr>
          <w:rFonts w:ascii="黑体" w:eastAsia="黑体"/>
        </w:rPr>
      </w:pPr>
      <w:bookmarkStart w:id="296" w:name="_bookmark315"/>
      <w:bookmarkEnd w:id="296"/>
      <w:r>
        <w:rPr>
          <w:rFonts w:hint="eastAsia" w:ascii="黑体" w:eastAsia="黑体"/>
        </w:rPr>
        <w:t>（五）投标人的信誉情况表</w:t>
      </w:r>
    </w:p>
    <w:p>
      <w:pPr>
        <w:pStyle w:val="11"/>
        <w:rPr>
          <w:rFonts w:ascii="黑体"/>
          <w:sz w:val="20"/>
        </w:rPr>
      </w:pPr>
    </w:p>
    <w:p>
      <w:pPr>
        <w:pStyle w:val="11"/>
        <w:spacing w:before="6"/>
        <w:rPr>
          <w:rFonts w:ascii="黑体"/>
          <w:sz w:val="11"/>
        </w:rPr>
      </w:pPr>
    </w:p>
    <w:tbl>
      <w:tblPr>
        <w:tblStyle w:val="19"/>
        <w:tblW w:w="8525"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4261" w:type="dxa"/>
          </w:tcPr>
          <w:p>
            <w:pPr>
              <w:pStyle w:val="21"/>
              <w:rPr>
                <w:rFonts w:ascii="黑体"/>
                <w:sz w:val="20"/>
              </w:rPr>
            </w:pPr>
          </w:p>
          <w:p>
            <w:pPr>
              <w:pStyle w:val="21"/>
              <w:spacing w:before="8"/>
              <w:rPr>
                <w:rFonts w:ascii="黑体"/>
                <w:sz w:val="15"/>
              </w:rPr>
            </w:pPr>
          </w:p>
          <w:p>
            <w:pPr>
              <w:pStyle w:val="21"/>
              <w:ind w:left="1848" w:right="1838"/>
              <w:jc w:val="center"/>
              <w:rPr>
                <w:sz w:val="21"/>
              </w:rPr>
            </w:pPr>
            <w:r>
              <w:rPr>
                <w:sz w:val="21"/>
              </w:rPr>
              <w:t>项 目</w:t>
            </w:r>
          </w:p>
        </w:tc>
        <w:tc>
          <w:tcPr>
            <w:tcW w:w="4264" w:type="dxa"/>
          </w:tcPr>
          <w:p>
            <w:pPr>
              <w:pStyle w:val="21"/>
              <w:rPr>
                <w:rFonts w:ascii="黑体"/>
                <w:sz w:val="20"/>
              </w:rPr>
            </w:pPr>
          </w:p>
          <w:p>
            <w:pPr>
              <w:pStyle w:val="21"/>
              <w:spacing w:before="8"/>
              <w:rPr>
                <w:rFonts w:ascii="黑体"/>
                <w:sz w:val="15"/>
              </w:rPr>
            </w:pPr>
          </w:p>
          <w:p>
            <w:pPr>
              <w:pStyle w:val="21"/>
              <w:ind w:left="1394"/>
              <w:rPr>
                <w:sz w:val="21"/>
              </w:rPr>
            </w:pPr>
            <w:r>
              <w:rPr>
                <w:sz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21"/>
              <w:rPr>
                <w:rFonts w:ascii="Times New Roman"/>
                <w:sz w:val="20"/>
              </w:rPr>
            </w:pPr>
          </w:p>
        </w:tc>
        <w:tc>
          <w:tcPr>
            <w:tcW w:w="4264"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21"/>
              <w:rPr>
                <w:rFonts w:ascii="Times New Roman"/>
                <w:sz w:val="20"/>
              </w:rPr>
            </w:pPr>
          </w:p>
        </w:tc>
        <w:tc>
          <w:tcPr>
            <w:tcW w:w="4264"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21"/>
              <w:rPr>
                <w:rFonts w:ascii="Times New Roman"/>
                <w:sz w:val="20"/>
              </w:rPr>
            </w:pPr>
          </w:p>
        </w:tc>
        <w:tc>
          <w:tcPr>
            <w:tcW w:w="4264"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21"/>
              <w:rPr>
                <w:rFonts w:ascii="Times New Roman"/>
                <w:sz w:val="20"/>
              </w:rPr>
            </w:pPr>
          </w:p>
        </w:tc>
        <w:tc>
          <w:tcPr>
            <w:tcW w:w="4264"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21"/>
              <w:rPr>
                <w:rFonts w:ascii="Times New Roman"/>
                <w:sz w:val="20"/>
              </w:rPr>
            </w:pPr>
          </w:p>
        </w:tc>
        <w:tc>
          <w:tcPr>
            <w:tcW w:w="4264"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21"/>
              <w:rPr>
                <w:rFonts w:ascii="Times New Roman"/>
                <w:sz w:val="20"/>
              </w:rPr>
            </w:pPr>
          </w:p>
        </w:tc>
        <w:tc>
          <w:tcPr>
            <w:tcW w:w="4264"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21"/>
              <w:rPr>
                <w:rFonts w:ascii="Times New Roman"/>
                <w:sz w:val="20"/>
              </w:rPr>
            </w:pPr>
          </w:p>
        </w:tc>
        <w:tc>
          <w:tcPr>
            <w:tcW w:w="4264"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21"/>
              <w:rPr>
                <w:rFonts w:ascii="Times New Roman"/>
                <w:sz w:val="20"/>
              </w:rPr>
            </w:pPr>
          </w:p>
        </w:tc>
        <w:tc>
          <w:tcPr>
            <w:tcW w:w="4264" w:type="dxa"/>
          </w:tcPr>
          <w:p>
            <w:pPr>
              <w:pStyle w:val="21"/>
              <w:rPr>
                <w:rFonts w:ascii="Times New Roman"/>
                <w:sz w:val="20"/>
              </w:rPr>
            </w:pPr>
          </w:p>
        </w:tc>
      </w:tr>
    </w:tbl>
    <w:p>
      <w:pPr>
        <w:spacing w:before="128" w:line="357" w:lineRule="auto"/>
        <w:ind w:left="684" w:right="380" w:hanging="420"/>
        <w:rPr>
          <w:sz w:val="21"/>
        </w:rPr>
      </w:pPr>
      <w:r>
        <w:rPr>
          <w:sz w:val="21"/>
        </w:rPr>
        <w:t>注：</w:t>
      </w:r>
      <w:r>
        <w:rPr>
          <w:rFonts w:ascii="Times New Roman" w:hAnsi="Times New Roman" w:eastAsia="Times New Roman"/>
          <w:sz w:val="21"/>
        </w:rPr>
        <w:t>1.</w:t>
      </w:r>
      <w:r>
        <w:rPr>
          <w:sz w:val="21"/>
        </w:rPr>
        <w:t>投标人应按照招标文件第二章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前附表附录 </w:t>
      </w:r>
      <w:r>
        <w:rPr>
          <w:rFonts w:ascii="Times New Roman" w:hAnsi="Times New Roman" w:eastAsia="Times New Roman"/>
          <w:sz w:val="21"/>
        </w:rPr>
        <w:t xml:space="preserve">4 </w:t>
      </w:r>
      <w:r>
        <w:rPr>
          <w:sz w:val="21"/>
        </w:rPr>
        <w:t>和</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正文第 </w:t>
      </w:r>
      <w:r>
        <w:rPr>
          <w:rFonts w:ascii="Times New Roman" w:hAnsi="Times New Roman" w:eastAsia="Times New Roman"/>
          <w:sz w:val="21"/>
        </w:rPr>
        <w:t xml:space="preserve">1.4.4 </w:t>
      </w:r>
      <w:r>
        <w:rPr>
          <w:sz w:val="21"/>
        </w:rPr>
        <w:t>项规定，逐条说明其信誉情况。</w:t>
      </w:r>
    </w:p>
    <w:p>
      <w:pPr>
        <w:spacing w:line="267" w:lineRule="exact"/>
        <w:ind w:left="684"/>
        <w:rPr>
          <w:sz w:val="21"/>
        </w:rPr>
      </w:pPr>
      <w:r>
        <w:rPr>
          <w:rFonts w:ascii="Times New Roman" w:hAnsi="Times New Roman" w:eastAsia="Times New Roman"/>
          <w:sz w:val="21"/>
        </w:rPr>
        <w:t>2.</w:t>
      </w:r>
      <w:r>
        <w:rPr>
          <w:sz w:val="21"/>
        </w:rPr>
        <w:t xml:space="preserve">投标人应根据招标文件第二章“投标人须知”第 </w:t>
      </w:r>
      <w:r>
        <w:rPr>
          <w:rFonts w:ascii="Times New Roman" w:hAnsi="Times New Roman" w:eastAsia="Times New Roman"/>
          <w:sz w:val="21"/>
        </w:rPr>
        <w:t xml:space="preserve">3.5.4 </w:t>
      </w:r>
      <w:r>
        <w:rPr>
          <w:sz w:val="21"/>
        </w:rPr>
        <w:t>项的要求在本表后附相关证明材料。</w:t>
      </w:r>
    </w:p>
    <w:p>
      <w:pPr>
        <w:spacing w:before="132"/>
        <w:ind w:left="684"/>
        <w:rPr>
          <w:sz w:val="21"/>
        </w:rPr>
      </w:pPr>
      <w:r>
        <w:rPr>
          <w:rFonts w:ascii="Times New Roman" w:eastAsia="Times New Roman"/>
          <w:sz w:val="21"/>
        </w:rPr>
        <w:t>3.</w:t>
      </w:r>
      <w:r>
        <w:rPr>
          <w:sz w:val="21"/>
        </w:rPr>
        <w:t>以联合体形式参与投标的，联合体各成员应分别填写。</w:t>
      </w:r>
    </w:p>
    <w:p>
      <w:pPr>
        <w:rPr>
          <w:sz w:val="21"/>
        </w:rPr>
        <w:sectPr>
          <w:pgSz w:w="11910" w:h="16850"/>
          <w:pgMar w:top="1540" w:right="1140" w:bottom="1080" w:left="1380" w:header="883" w:footer="884" w:gutter="0"/>
          <w:cols w:space="720" w:num="1"/>
        </w:sectPr>
      </w:pPr>
    </w:p>
    <w:p>
      <w:pPr>
        <w:pStyle w:val="11"/>
        <w:spacing w:before="108"/>
        <w:ind w:left="2321"/>
        <w:rPr>
          <w:rFonts w:ascii="黑体" w:eastAsia="黑体"/>
        </w:rPr>
      </w:pPr>
      <w:bookmarkStart w:id="297" w:name="_bookmark316"/>
      <w:bookmarkEnd w:id="297"/>
      <w:r>
        <w:rPr>
          <w:rFonts w:hint="eastAsia" w:ascii="黑体" w:eastAsia="黑体"/>
        </w:rPr>
        <w:t>（六）拟委任的项目经理和项目总工资历表</w:t>
      </w:r>
    </w:p>
    <w:p>
      <w:pPr>
        <w:pStyle w:val="11"/>
        <w:rPr>
          <w:rFonts w:ascii="黑体"/>
          <w:sz w:val="20"/>
        </w:rPr>
      </w:pPr>
    </w:p>
    <w:p>
      <w:pPr>
        <w:pStyle w:val="11"/>
        <w:spacing w:before="5"/>
        <w:rPr>
          <w:rFonts w:ascii="黑体"/>
          <w:sz w:val="11"/>
        </w:rPr>
      </w:pPr>
    </w:p>
    <w:tbl>
      <w:tblPr>
        <w:tblStyle w:val="19"/>
        <w:tblW w:w="8737"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tcPr>
          <w:p>
            <w:pPr>
              <w:pStyle w:val="21"/>
              <w:spacing w:before="6"/>
              <w:rPr>
                <w:rFonts w:ascii="黑体"/>
                <w:sz w:val="14"/>
              </w:rPr>
            </w:pPr>
          </w:p>
          <w:p>
            <w:pPr>
              <w:pStyle w:val="21"/>
              <w:tabs>
                <w:tab w:val="left" w:pos="631"/>
              </w:tabs>
              <w:ind w:right="13"/>
              <w:jc w:val="center"/>
              <w:rPr>
                <w:sz w:val="21"/>
              </w:rPr>
            </w:pPr>
            <w:r>
              <w:rPr>
                <w:sz w:val="21"/>
              </w:rPr>
              <w:t>姓</w:t>
            </w:r>
            <w:r>
              <w:rPr>
                <w:sz w:val="21"/>
              </w:rPr>
              <w:tab/>
            </w:r>
            <w:r>
              <w:rPr>
                <w:sz w:val="21"/>
              </w:rPr>
              <w:t>名</w:t>
            </w:r>
          </w:p>
        </w:tc>
        <w:tc>
          <w:tcPr>
            <w:tcW w:w="1480" w:type="dxa"/>
            <w:gridSpan w:val="2"/>
          </w:tcPr>
          <w:p>
            <w:pPr>
              <w:pStyle w:val="21"/>
              <w:rPr>
                <w:rFonts w:ascii="Times New Roman"/>
                <w:sz w:val="20"/>
              </w:rPr>
            </w:pPr>
          </w:p>
        </w:tc>
        <w:tc>
          <w:tcPr>
            <w:tcW w:w="1061" w:type="dxa"/>
          </w:tcPr>
          <w:p>
            <w:pPr>
              <w:pStyle w:val="21"/>
              <w:spacing w:before="6"/>
              <w:rPr>
                <w:rFonts w:ascii="黑体"/>
                <w:sz w:val="14"/>
              </w:rPr>
            </w:pPr>
          </w:p>
          <w:p>
            <w:pPr>
              <w:pStyle w:val="21"/>
              <w:tabs>
                <w:tab w:val="left" w:pos="643"/>
              </w:tabs>
              <w:ind w:left="12"/>
              <w:jc w:val="center"/>
              <w:rPr>
                <w:sz w:val="21"/>
              </w:rPr>
            </w:pPr>
            <w:r>
              <w:rPr>
                <w:sz w:val="21"/>
              </w:rPr>
              <w:t>年</w:t>
            </w:r>
            <w:r>
              <w:rPr>
                <w:sz w:val="21"/>
              </w:rPr>
              <w:tab/>
            </w:r>
            <w:r>
              <w:rPr>
                <w:sz w:val="21"/>
              </w:rPr>
              <w:t>龄</w:t>
            </w:r>
          </w:p>
        </w:tc>
        <w:tc>
          <w:tcPr>
            <w:tcW w:w="1381" w:type="dxa"/>
          </w:tcPr>
          <w:p>
            <w:pPr>
              <w:pStyle w:val="21"/>
              <w:rPr>
                <w:rFonts w:ascii="Times New Roman"/>
                <w:sz w:val="20"/>
              </w:rPr>
            </w:pPr>
          </w:p>
        </w:tc>
        <w:tc>
          <w:tcPr>
            <w:tcW w:w="1883" w:type="dxa"/>
            <w:gridSpan w:val="2"/>
          </w:tcPr>
          <w:p>
            <w:pPr>
              <w:pStyle w:val="21"/>
              <w:spacing w:before="6"/>
              <w:rPr>
                <w:rFonts w:ascii="黑体"/>
                <w:sz w:val="14"/>
              </w:rPr>
            </w:pPr>
          </w:p>
          <w:p>
            <w:pPr>
              <w:pStyle w:val="21"/>
              <w:tabs>
                <w:tab w:val="left" w:pos="1151"/>
              </w:tabs>
              <w:ind w:left="520"/>
              <w:rPr>
                <w:sz w:val="21"/>
              </w:rPr>
            </w:pPr>
            <w:r>
              <w:rPr>
                <w:sz w:val="21"/>
              </w:rPr>
              <w:t>专</w:t>
            </w:r>
            <w:r>
              <w:rPr>
                <w:sz w:val="21"/>
              </w:rPr>
              <w:tab/>
            </w:r>
            <w:r>
              <w:rPr>
                <w:sz w:val="21"/>
              </w:rPr>
              <w:t>业</w:t>
            </w:r>
          </w:p>
        </w:tc>
        <w:tc>
          <w:tcPr>
            <w:tcW w:w="1671"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61" w:type="dxa"/>
          </w:tcPr>
          <w:p>
            <w:pPr>
              <w:pStyle w:val="21"/>
              <w:rPr>
                <w:rFonts w:ascii="黑体"/>
                <w:sz w:val="20"/>
              </w:rPr>
            </w:pPr>
          </w:p>
          <w:p>
            <w:pPr>
              <w:pStyle w:val="21"/>
              <w:spacing w:before="160"/>
              <w:ind w:right="15"/>
              <w:jc w:val="center"/>
              <w:rPr>
                <w:sz w:val="21"/>
              </w:rPr>
            </w:pPr>
            <w:r>
              <w:rPr>
                <w:sz w:val="21"/>
              </w:rPr>
              <w:t>技术职称</w:t>
            </w:r>
          </w:p>
        </w:tc>
        <w:tc>
          <w:tcPr>
            <w:tcW w:w="1480" w:type="dxa"/>
            <w:gridSpan w:val="2"/>
          </w:tcPr>
          <w:p>
            <w:pPr>
              <w:pStyle w:val="21"/>
              <w:rPr>
                <w:rFonts w:ascii="Times New Roman"/>
                <w:sz w:val="20"/>
              </w:rPr>
            </w:pPr>
          </w:p>
        </w:tc>
        <w:tc>
          <w:tcPr>
            <w:tcW w:w="1061" w:type="dxa"/>
          </w:tcPr>
          <w:p>
            <w:pPr>
              <w:pStyle w:val="21"/>
              <w:rPr>
                <w:rFonts w:ascii="黑体"/>
                <w:sz w:val="20"/>
              </w:rPr>
            </w:pPr>
          </w:p>
          <w:p>
            <w:pPr>
              <w:pStyle w:val="21"/>
              <w:tabs>
                <w:tab w:val="left" w:pos="643"/>
              </w:tabs>
              <w:spacing w:before="160"/>
              <w:ind w:left="12"/>
              <w:jc w:val="center"/>
              <w:rPr>
                <w:sz w:val="21"/>
              </w:rPr>
            </w:pPr>
            <w:r>
              <w:rPr>
                <w:sz w:val="21"/>
              </w:rPr>
              <w:t>学</w:t>
            </w:r>
            <w:r>
              <w:rPr>
                <w:sz w:val="21"/>
              </w:rPr>
              <w:tab/>
            </w:r>
            <w:r>
              <w:rPr>
                <w:sz w:val="21"/>
              </w:rPr>
              <w:t>历</w:t>
            </w:r>
          </w:p>
        </w:tc>
        <w:tc>
          <w:tcPr>
            <w:tcW w:w="1381" w:type="dxa"/>
          </w:tcPr>
          <w:p>
            <w:pPr>
              <w:pStyle w:val="21"/>
              <w:rPr>
                <w:rFonts w:ascii="Times New Roman"/>
                <w:sz w:val="20"/>
              </w:rPr>
            </w:pPr>
          </w:p>
        </w:tc>
        <w:tc>
          <w:tcPr>
            <w:tcW w:w="1883" w:type="dxa"/>
            <w:gridSpan w:val="2"/>
          </w:tcPr>
          <w:p>
            <w:pPr>
              <w:pStyle w:val="21"/>
              <w:spacing w:before="31" w:line="458" w:lineRule="exact"/>
              <w:ind w:left="520" w:right="402" w:hanging="106"/>
              <w:rPr>
                <w:sz w:val="21"/>
              </w:rPr>
            </w:pPr>
            <w:r>
              <w:rPr>
                <w:sz w:val="21"/>
              </w:rPr>
              <w:t>拟在本标段工程任职</w:t>
            </w:r>
          </w:p>
        </w:tc>
        <w:tc>
          <w:tcPr>
            <w:tcW w:w="1671"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spacing w:before="6"/>
              <w:rPr>
                <w:rFonts w:ascii="黑体"/>
                <w:sz w:val="14"/>
              </w:rPr>
            </w:pPr>
          </w:p>
          <w:p>
            <w:pPr>
              <w:pStyle w:val="21"/>
              <w:ind w:right="15"/>
              <w:jc w:val="center"/>
              <w:rPr>
                <w:sz w:val="21"/>
              </w:rPr>
            </w:pPr>
            <w:r>
              <w:rPr>
                <w:sz w:val="21"/>
              </w:rPr>
              <w:t>工作年限</w:t>
            </w:r>
          </w:p>
        </w:tc>
        <w:tc>
          <w:tcPr>
            <w:tcW w:w="3922" w:type="dxa"/>
            <w:gridSpan w:val="4"/>
          </w:tcPr>
          <w:p>
            <w:pPr>
              <w:pStyle w:val="21"/>
              <w:rPr>
                <w:rFonts w:ascii="Times New Roman"/>
                <w:sz w:val="20"/>
              </w:rPr>
            </w:pPr>
          </w:p>
        </w:tc>
        <w:tc>
          <w:tcPr>
            <w:tcW w:w="1883" w:type="dxa"/>
            <w:gridSpan w:val="2"/>
          </w:tcPr>
          <w:p>
            <w:pPr>
              <w:pStyle w:val="21"/>
              <w:spacing w:before="6"/>
              <w:rPr>
                <w:rFonts w:ascii="黑体"/>
                <w:sz w:val="14"/>
              </w:rPr>
            </w:pPr>
          </w:p>
          <w:p>
            <w:pPr>
              <w:pStyle w:val="21"/>
              <w:ind w:left="100"/>
              <w:rPr>
                <w:sz w:val="21"/>
              </w:rPr>
            </w:pPr>
            <w:r>
              <w:rPr>
                <w:sz w:val="21"/>
              </w:rPr>
              <w:t>类似施工经验年限</w:t>
            </w:r>
          </w:p>
        </w:tc>
        <w:tc>
          <w:tcPr>
            <w:tcW w:w="1671"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spacing w:before="7"/>
              <w:rPr>
                <w:rFonts w:ascii="黑体"/>
                <w:sz w:val="14"/>
              </w:rPr>
            </w:pPr>
          </w:p>
          <w:p>
            <w:pPr>
              <w:pStyle w:val="21"/>
              <w:ind w:right="13"/>
              <w:jc w:val="center"/>
              <w:rPr>
                <w:sz w:val="21"/>
              </w:rPr>
            </w:pPr>
            <w:r>
              <w:rPr>
                <w:sz w:val="21"/>
              </w:rPr>
              <w:t>毕业学校</w:t>
            </w:r>
          </w:p>
        </w:tc>
        <w:tc>
          <w:tcPr>
            <w:tcW w:w="7476" w:type="dxa"/>
            <w:gridSpan w:val="8"/>
          </w:tcPr>
          <w:p>
            <w:pPr>
              <w:pStyle w:val="21"/>
              <w:tabs>
                <w:tab w:val="left" w:pos="531"/>
                <w:tab w:val="left" w:pos="1057"/>
                <w:tab w:val="left" w:pos="3892"/>
                <w:tab w:val="left" w:pos="5466"/>
                <w:tab w:val="left" w:pos="7145"/>
              </w:tabs>
              <w:spacing w:before="186"/>
              <w:ind w:left="5"/>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pacing w:val="-3"/>
                <w:sz w:val="21"/>
              </w:rPr>
              <w:t>月</w:t>
            </w:r>
            <w:r>
              <w:rPr>
                <w:sz w:val="21"/>
              </w:rPr>
              <w:t>毕</w:t>
            </w:r>
            <w:r>
              <w:rPr>
                <w:spacing w:val="-3"/>
                <w:sz w:val="21"/>
              </w:rPr>
              <w:t>业</w:t>
            </w:r>
            <w:r>
              <w:rPr>
                <w:sz w:val="21"/>
              </w:rPr>
              <w:t>于</w:t>
            </w:r>
            <w:r>
              <w:rPr>
                <w:sz w:val="21"/>
                <w:u w:val="single"/>
              </w:rPr>
              <w:t xml:space="preserve"> </w:t>
            </w:r>
            <w:r>
              <w:rPr>
                <w:sz w:val="21"/>
                <w:u w:val="single"/>
              </w:rPr>
              <w:tab/>
            </w:r>
            <w:r>
              <w:rPr>
                <w:spacing w:val="-3"/>
                <w:sz w:val="21"/>
              </w:rPr>
              <w:t>学</w:t>
            </w:r>
            <w:r>
              <w:rPr>
                <w:sz w:val="21"/>
              </w:rPr>
              <w:t>校</w:t>
            </w:r>
            <w:r>
              <w:rPr>
                <w:sz w:val="21"/>
                <w:u w:val="single"/>
              </w:rPr>
              <w:t xml:space="preserve"> </w:t>
            </w:r>
            <w:r>
              <w:rPr>
                <w:sz w:val="21"/>
                <w:u w:val="single"/>
              </w:rPr>
              <w:tab/>
            </w:r>
            <w:r>
              <w:rPr>
                <w:spacing w:val="-3"/>
                <w:sz w:val="21"/>
              </w:rPr>
              <w:t>专</w:t>
            </w:r>
            <w:r>
              <w:rPr>
                <w:sz w:val="21"/>
              </w:rPr>
              <w:t>业</w:t>
            </w:r>
            <w:r>
              <w:rPr>
                <w:spacing w:val="-3"/>
                <w:sz w:val="21"/>
              </w:rPr>
              <w:t>，</w:t>
            </w:r>
            <w:r>
              <w:rPr>
                <w:sz w:val="21"/>
              </w:rPr>
              <w:t>学制</w:t>
            </w:r>
            <w:r>
              <w:rPr>
                <w:sz w:val="21"/>
                <w:u w:val="single"/>
              </w:rPr>
              <w:t xml:space="preserve"> </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737" w:type="dxa"/>
            <w:gridSpan w:val="9"/>
          </w:tcPr>
          <w:p>
            <w:pPr>
              <w:pStyle w:val="21"/>
              <w:spacing w:before="6"/>
              <w:rPr>
                <w:rFonts w:ascii="黑体"/>
                <w:sz w:val="14"/>
              </w:rPr>
            </w:pPr>
          </w:p>
          <w:p>
            <w:pPr>
              <w:pStyle w:val="21"/>
              <w:tabs>
                <w:tab w:val="left" w:pos="1167"/>
              </w:tabs>
              <w:ind w:left="10"/>
              <w:jc w:val="center"/>
              <w:rPr>
                <w:sz w:val="21"/>
              </w:rPr>
            </w:pPr>
            <w:r>
              <w:rPr>
                <w:sz w:val="21"/>
              </w:rPr>
              <w:t>经</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261" w:type="dxa"/>
          </w:tcPr>
          <w:p>
            <w:pPr>
              <w:pStyle w:val="21"/>
              <w:rPr>
                <w:rFonts w:ascii="黑体"/>
                <w:sz w:val="20"/>
              </w:rPr>
            </w:pPr>
          </w:p>
          <w:p>
            <w:pPr>
              <w:pStyle w:val="21"/>
              <w:tabs>
                <w:tab w:val="left" w:pos="457"/>
              </w:tabs>
              <w:spacing w:before="131"/>
              <w:ind w:left="34"/>
              <w:jc w:val="center"/>
              <w:rPr>
                <w:sz w:val="21"/>
              </w:rPr>
            </w:pPr>
            <w:r>
              <w:rPr>
                <w:sz w:val="21"/>
              </w:rPr>
              <w:t>时</w:t>
            </w:r>
            <w:r>
              <w:rPr>
                <w:sz w:val="21"/>
              </w:rPr>
              <w:tab/>
            </w:r>
            <w:r>
              <w:rPr>
                <w:sz w:val="21"/>
              </w:rPr>
              <w:t>间</w:t>
            </w:r>
          </w:p>
        </w:tc>
        <w:tc>
          <w:tcPr>
            <w:tcW w:w="4261" w:type="dxa"/>
            <w:gridSpan w:val="5"/>
          </w:tcPr>
          <w:p>
            <w:pPr>
              <w:pStyle w:val="21"/>
              <w:rPr>
                <w:rFonts w:ascii="黑体"/>
                <w:sz w:val="20"/>
              </w:rPr>
            </w:pPr>
          </w:p>
          <w:p>
            <w:pPr>
              <w:pStyle w:val="21"/>
              <w:spacing w:before="131"/>
              <w:ind w:left="877"/>
              <w:rPr>
                <w:sz w:val="21"/>
              </w:rPr>
            </w:pPr>
            <w:r>
              <w:rPr>
                <w:sz w:val="21"/>
              </w:rPr>
              <w:t>参加过的类似工程项目名称</w:t>
            </w:r>
          </w:p>
        </w:tc>
        <w:tc>
          <w:tcPr>
            <w:tcW w:w="1932" w:type="dxa"/>
            <w:gridSpan w:val="2"/>
          </w:tcPr>
          <w:p>
            <w:pPr>
              <w:pStyle w:val="21"/>
              <w:rPr>
                <w:rFonts w:ascii="黑体"/>
                <w:sz w:val="20"/>
              </w:rPr>
            </w:pPr>
          </w:p>
          <w:p>
            <w:pPr>
              <w:pStyle w:val="21"/>
              <w:spacing w:before="131"/>
              <w:ind w:left="541"/>
              <w:rPr>
                <w:sz w:val="21"/>
              </w:rPr>
            </w:pPr>
            <w:r>
              <w:rPr>
                <w:sz w:val="21"/>
              </w:rPr>
              <w:t>担任职务</w:t>
            </w:r>
          </w:p>
        </w:tc>
        <w:tc>
          <w:tcPr>
            <w:tcW w:w="1283" w:type="dxa"/>
          </w:tcPr>
          <w:p>
            <w:pPr>
              <w:pStyle w:val="21"/>
              <w:spacing w:before="57" w:line="400" w:lineRule="atLeast"/>
              <w:ind w:left="320" w:right="107" w:hanging="212"/>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38" w:type="dxa"/>
            <w:gridSpan w:val="2"/>
          </w:tcPr>
          <w:p>
            <w:pPr>
              <w:pStyle w:val="21"/>
              <w:spacing w:before="8"/>
              <w:rPr>
                <w:rFonts w:ascii="黑体"/>
                <w:sz w:val="14"/>
              </w:rPr>
            </w:pPr>
          </w:p>
          <w:p>
            <w:pPr>
              <w:pStyle w:val="21"/>
              <w:spacing w:before="1"/>
              <w:ind w:left="878" w:right="869"/>
              <w:jc w:val="center"/>
              <w:rPr>
                <w:sz w:val="21"/>
              </w:rPr>
            </w:pPr>
            <w:r>
              <w:rPr>
                <w:sz w:val="21"/>
              </w:rPr>
              <w:t>获奖情况</w:t>
            </w:r>
          </w:p>
        </w:tc>
        <w:tc>
          <w:tcPr>
            <w:tcW w:w="6099" w:type="dxa"/>
            <w:gridSpan w:val="7"/>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638" w:type="dxa"/>
            <w:gridSpan w:val="2"/>
          </w:tcPr>
          <w:p>
            <w:pPr>
              <w:pStyle w:val="21"/>
              <w:rPr>
                <w:rFonts w:ascii="黑体"/>
                <w:sz w:val="20"/>
              </w:rPr>
            </w:pPr>
          </w:p>
          <w:p>
            <w:pPr>
              <w:pStyle w:val="21"/>
              <w:spacing w:before="7"/>
              <w:rPr>
                <w:rFonts w:ascii="黑体"/>
                <w:sz w:val="19"/>
              </w:rPr>
            </w:pPr>
          </w:p>
          <w:p>
            <w:pPr>
              <w:pStyle w:val="21"/>
              <w:ind w:left="688"/>
              <w:rPr>
                <w:sz w:val="21"/>
              </w:rPr>
            </w:pPr>
            <w:r>
              <w:rPr>
                <w:sz w:val="21"/>
              </w:rPr>
              <w:t>说明在岗情况</w:t>
            </w:r>
          </w:p>
        </w:tc>
        <w:tc>
          <w:tcPr>
            <w:tcW w:w="6099" w:type="dxa"/>
            <w:gridSpan w:val="7"/>
          </w:tcPr>
          <w:p>
            <w:pPr>
              <w:pStyle w:val="21"/>
              <w:tabs>
                <w:tab w:val="left" w:pos="5780"/>
              </w:tabs>
              <w:spacing w:before="90"/>
              <w:ind w:left="107"/>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 xml:space="preserve"> </w:t>
            </w:r>
            <w:r>
              <w:rPr>
                <w:spacing w:val="-3"/>
                <w:sz w:val="21"/>
                <w:u w:val="single"/>
              </w:rPr>
              <w:tab/>
            </w:r>
            <w:r>
              <w:rPr>
                <w:sz w:val="21"/>
              </w:rPr>
              <w:t>。</w:t>
            </w:r>
          </w:p>
          <w:p>
            <w:pPr>
              <w:pStyle w:val="21"/>
              <w:tabs>
                <w:tab w:val="left" w:pos="3626"/>
                <w:tab w:val="left" w:pos="5883"/>
              </w:tabs>
              <w:spacing w:before="16" w:line="400" w:lineRule="exact"/>
              <w:ind w:left="107" w:right="-15"/>
              <w:rPr>
                <w:sz w:val="21"/>
              </w:rPr>
            </w:pPr>
            <w:r>
              <w:rPr>
                <w:spacing w:val="5"/>
                <w:sz w:val="21"/>
              </w:rPr>
              <w:t>□目前虽在其他项</w:t>
            </w:r>
            <w:r>
              <w:rPr>
                <w:spacing w:val="2"/>
                <w:sz w:val="21"/>
              </w:rPr>
              <w:t>目</w:t>
            </w:r>
            <w:r>
              <w:rPr>
                <w:spacing w:val="5"/>
                <w:sz w:val="21"/>
              </w:rPr>
              <w:t>上</w:t>
            </w:r>
            <w:r>
              <w:rPr>
                <w:spacing w:val="2"/>
                <w:sz w:val="21"/>
              </w:rPr>
              <w:t>任</w:t>
            </w:r>
            <w:r>
              <w:rPr>
                <w:spacing w:val="5"/>
                <w:sz w:val="21"/>
              </w:rPr>
              <w:t>职，但本项目中标</w:t>
            </w:r>
            <w:r>
              <w:rPr>
                <w:spacing w:val="2"/>
                <w:sz w:val="21"/>
              </w:rPr>
              <w:t>后</w:t>
            </w:r>
            <w:r>
              <w:rPr>
                <w:spacing w:val="5"/>
                <w:sz w:val="21"/>
              </w:rPr>
              <w:t>能</w:t>
            </w:r>
            <w:r>
              <w:rPr>
                <w:spacing w:val="2"/>
                <w:sz w:val="21"/>
              </w:rPr>
              <w:t>够</w:t>
            </w:r>
            <w:r>
              <w:rPr>
                <w:spacing w:val="5"/>
                <w:sz w:val="21"/>
              </w:rPr>
              <w:t>从该</w:t>
            </w:r>
            <w:r>
              <w:rPr>
                <w:spacing w:val="10"/>
                <w:sz w:val="21"/>
              </w:rPr>
              <w:t>项</w:t>
            </w:r>
            <w:r>
              <w:rPr>
                <w:spacing w:val="5"/>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2638" w:type="dxa"/>
            <w:gridSpan w:val="2"/>
          </w:tcPr>
          <w:p>
            <w:pPr>
              <w:pStyle w:val="21"/>
              <w:rPr>
                <w:rFonts w:ascii="黑体"/>
                <w:sz w:val="20"/>
              </w:rPr>
            </w:pPr>
          </w:p>
          <w:p>
            <w:pPr>
              <w:pStyle w:val="21"/>
              <w:spacing w:before="5"/>
              <w:rPr>
                <w:rFonts w:ascii="黑体"/>
                <w:sz w:val="17"/>
              </w:rPr>
            </w:pPr>
          </w:p>
          <w:p>
            <w:pPr>
              <w:pStyle w:val="21"/>
              <w:tabs>
                <w:tab w:val="left" w:pos="1581"/>
              </w:tabs>
              <w:ind w:left="844"/>
              <w:rPr>
                <w:sz w:val="21"/>
              </w:rPr>
            </w:pPr>
            <w:r>
              <w:rPr>
                <w:sz w:val="21"/>
              </w:rPr>
              <w:t>备</w:t>
            </w:r>
            <w:r>
              <w:rPr>
                <w:sz w:val="21"/>
              </w:rPr>
              <w:tab/>
            </w:r>
            <w:r>
              <w:rPr>
                <w:sz w:val="21"/>
              </w:rPr>
              <w:t>注</w:t>
            </w:r>
          </w:p>
        </w:tc>
        <w:tc>
          <w:tcPr>
            <w:tcW w:w="6099" w:type="dxa"/>
            <w:gridSpan w:val="7"/>
          </w:tcPr>
          <w:p>
            <w:pPr>
              <w:pStyle w:val="21"/>
              <w:rPr>
                <w:rFonts w:ascii="Times New Roman"/>
                <w:sz w:val="20"/>
              </w:rPr>
            </w:pPr>
          </w:p>
        </w:tc>
      </w:tr>
    </w:tbl>
    <w:p>
      <w:pPr>
        <w:spacing w:before="128"/>
        <w:ind w:left="264"/>
        <w:rPr>
          <w:sz w:val="21"/>
        </w:rPr>
      </w:pPr>
      <w:r>
        <w:rPr>
          <w:sz w:val="21"/>
        </w:rPr>
        <w:t>注：</w:t>
      </w:r>
      <w:r>
        <w:rPr>
          <w:rFonts w:ascii="Times New Roman" w:eastAsia="Times New Roman"/>
          <w:sz w:val="21"/>
        </w:rPr>
        <w:t>1.</w:t>
      </w:r>
      <w:r>
        <w:rPr>
          <w:sz w:val="21"/>
        </w:rPr>
        <w:t>本表应填写项目经理和项目总工相关情况。</w:t>
      </w:r>
    </w:p>
    <w:p>
      <w:pPr>
        <w:spacing w:before="129"/>
        <w:ind w:left="684"/>
        <w:rPr>
          <w:sz w:val="21"/>
        </w:rPr>
      </w:pPr>
      <w:r>
        <w:rPr>
          <w:rFonts w:ascii="Times New Roman" w:hAnsi="Times New Roman" w:eastAsia="Times New Roman"/>
          <w:sz w:val="21"/>
        </w:rPr>
        <w:t>2.</w:t>
      </w:r>
      <w:r>
        <w:rPr>
          <w:sz w:val="21"/>
        </w:rPr>
        <w:t xml:space="preserve">投标人应根据招标文件第二章“投标人须知”第 </w:t>
      </w:r>
      <w:r>
        <w:rPr>
          <w:rFonts w:ascii="Times New Roman" w:hAnsi="Times New Roman" w:eastAsia="Times New Roman"/>
          <w:sz w:val="21"/>
        </w:rPr>
        <w:t xml:space="preserve">3.5.5 </w:t>
      </w:r>
      <w:r>
        <w:rPr>
          <w:sz w:val="21"/>
        </w:rPr>
        <w:t>项的要求在本表后附相关证明材料。</w:t>
      </w:r>
    </w:p>
    <w:p>
      <w:pPr>
        <w:rPr>
          <w:sz w:val="21"/>
        </w:rPr>
        <w:sectPr>
          <w:pgSz w:w="11910" w:h="16850"/>
          <w:pgMar w:top="1540" w:right="1140" w:bottom="1060" w:left="1380" w:header="876" w:footer="860" w:gutter="0"/>
          <w:cols w:space="720" w:num="1"/>
        </w:sectPr>
      </w:pPr>
    </w:p>
    <w:p>
      <w:pPr>
        <w:pStyle w:val="11"/>
        <w:spacing w:before="108"/>
        <w:ind w:left="2261"/>
        <w:rPr>
          <w:rFonts w:ascii="黑体" w:hAnsi="黑体" w:eastAsia="黑体"/>
          <w:sz w:val="12"/>
        </w:rPr>
      </w:pPr>
      <w:bookmarkStart w:id="298" w:name="_bookmark317"/>
      <w:bookmarkEnd w:id="298"/>
      <w:r>
        <w:rPr>
          <w:rFonts w:hint="eastAsia" w:ascii="黑体" w:hAnsi="黑体" w:eastAsia="黑体"/>
        </w:rPr>
        <w:t>（七）拟委任的其他管理和技术人员汇总表</w:t>
      </w:r>
      <w:r>
        <w:rPr>
          <w:rFonts w:hint="eastAsia" w:ascii="黑体" w:hAnsi="黑体" w:eastAsia="黑体"/>
          <w:position w:val="11"/>
          <w:sz w:val="12"/>
        </w:rPr>
        <w:t>①</w:t>
      </w:r>
    </w:p>
    <w:p>
      <w:pPr>
        <w:pStyle w:val="11"/>
        <w:rPr>
          <w:rFonts w:ascii="黑体"/>
          <w:sz w:val="20"/>
        </w:rPr>
      </w:pPr>
    </w:p>
    <w:p>
      <w:pPr>
        <w:pStyle w:val="11"/>
        <w:spacing w:before="5"/>
        <w:rPr>
          <w:rFonts w:ascii="黑体"/>
          <w:sz w:val="11"/>
        </w:rPr>
      </w:pPr>
    </w:p>
    <w:tbl>
      <w:tblPr>
        <w:tblStyle w:val="19"/>
        <w:tblW w:w="8899"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27"/>
        <w:gridCol w:w="2682"/>
        <w:gridCol w:w="1103"/>
        <w:gridCol w:w="1307"/>
        <w:gridCol w:w="1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934" w:type="dxa"/>
          </w:tcPr>
          <w:p>
            <w:pPr>
              <w:pStyle w:val="21"/>
              <w:spacing w:before="12"/>
              <w:rPr>
                <w:rFonts w:ascii="黑体"/>
                <w:sz w:val="27"/>
              </w:rPr>
            </w:pPr>
          </w:p>
          <w:p>
            <w:pPr>
              <w:pStyle w:val="21"/>
              <w:ind w:left="256"/>
              <w:rPr>
                <w:sz w:val="21"/>
              </w:rPr>
            </w:pPr>
            <w:r>
              <w:rPr>
                <w:sz w:val="21"/>
              </w:rPr>
              <w:t>姓名</w:t>
            </w:r>
          </w:p>
        </w:tc>
        <w:tc>
          <w:tcPr>
            <w:tcW w:w="927" w:type="dxa"/>
          </w:tcPr>
          <w:p>
            <w:pPr>
              <w:pStyle w:val="21"/>
              <w:spacing w:before="12"/>
              <w:rPr>
                <w:rFonts w:ascii="黑体"/>
                <w:sz w:val="27"/>
              </w:rPr>
            </w:pPr>
          </w:p>
          <w:p>
            <w:pPr>
              <w:pStyle w:val="21"/>
              <w:ind w:left="251"/>
              <w:rPr>
                <w:sz w:val="21"/>
              </w:rPr>
            </w:pPr>
            <w:r>
              <w:rPr>
                <w:sz w:val="21"/>
              </w:rPr>
              <w:t>年龄</w:t>
            </w:r>
          </w:p>
        </w:tc>
        <w:tc>
          <w:tcPr>
            <w:tcW w:w="2682" w:type="dxa"/>
          </w:tcPr>
          <w:p>
            <w:pPr>
              <w:pStyle w:val="21"/>
              <w:spacing w:before="12"/>
              <w:rPr>
                <w:rFonts w:ascii="黑体"/>
                <w:sz w:val="27"/>
              </w:rPr>
            </w:pPr>
          </w:p>
          <w:p>
            <w:pPr>
              <w:pStyle w:val="21"/>
              <w:ind w:left="394"/>
              <w:rPr>
                <w:sz w:val="21"/>
              </w:rPr>
            </w:pPr>
            <w:r>
              <w:rPr>
                <w:sz w:val="21"/>
              </w:rPr>
              <w:t>拟在本标段工程任职</w:t>
            </w:r>
          </w:p>
        </w:tc>
        <w:tc>
          <w:tcPr>
            <w:tcW w:w="1103" w:type="dxa"/>
          </w:tcPr>
          <w:p>
            <w:pPr>
              <w:pStyle w:val="21"/>
              <w:spacing w:before="12"/>
              <w:rPr>
                <w:rFonts w:ascii="黑体"/>
                <w:sz w:val="27"/>
              </w:rPr>
            </w:pPr>
          </w:p>
          <w:p>
            <w:pPr>
              <w:pStyle w:val="21"/>
              <w:ind w:left="127"/>
              <w:rPr>
                <w:sz w:val="21"/>
              </w:rPr>
            </w:pPr>
            <w:r>
              <w:rPr>
                <w:sz w:val="21"/>
              </w:rPr>
              <w:t>技术职称</w:t>
            </w:r>
          </w:p>
        </w:tc>
        <w:tc>
          <w:tcPr>
            <w:tcW w:w="1307" w:type="dxa"/>
          </w:tcPr>
          <w:p>
            <w:pPr>
              <w:pStyle w:val="21"/>
              <w:spacing w:before="12"/>
              <w:rPr>
                <w:rFonts w:ascii="黑体"/>
                <w:sz w:val="27"/>
              </w:rPr>
            </w:pPr>
          </w:p>
          <w:p>
            <w:pPr>
              <w:pStyle w:val="21"/>
              <w:ind w:left="229"/>
              <w:rPr>
                <w:sz w:val="21"/>
              </w:rPr>
            </w:pPr>
            <w:r>
              <w:rPr>
                <w:sz w:val="21"/>
              </w:rPr>
              <w:t>工作年限</w:t>
            </w:r>
          </w:p>
        </w:tc>
        <w:tc>
          <w:tcPr>
            <w:tcW w:w="1946" w:type="dxa"/>
          </w:tcPr>
          <w:p>
            <w:pPr>
              <w:pStyle w:val="21"/>
              <w:spacing w:before="12"/>
              <w:rPr>
                <w:rFonts w:ascii="黑体"/>
                <w:sz w:val="27"/>
              </w:rPr>
            </w:pPr>
          </w:p>
          <w:p>
            <w:pPr>
              <w:pStyle w:val="21"/>
              <w:ind w:left="125"/>
              <w:rPr>
                <w:sz w:val="21"/>
              </w:rPr>
            </w:pPr>
            <w:r>
              <w:rPr>
                <w:sz w:val="21"/>
              </w:rPr>
              <w:t>类似施工经验年限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tcPr>
          <w:p>
            <w:pPr>
              <w:pStyle w:val="21"/>
              <w:rPr>
                <w:rFonts w:ascii="Times New Roman"/>
                <w:sz w:val="20"/>
              </w:rPr>
            </w:pPr>
          </w:p>
        </w:tc>
        <w:tc>
          <w:tcPr>
            <w:tcW w:w="927" w:type="dxa"/>
          </w:tcPr>
          <w:p>
            <w:pPr>
              <w:pStyle w:val="21"/>
              <w:rPr>
                <w:rFonts w:ascii="Times New Roman"/>
                <w:sz w:val="20"/>
              </w:rPr>
            </w:pPr>
          </w:p>
        </w:tc>
        <w:tc>
          <w:tcPr>
            <w:tcW w:w="2682" w:type="dxa"/>
          </w:tcPr>
          <w:p>
            <w:pPr>
              <w:pStyle w:val="21"/>
              <w:rPr>
                <w:rFonts w:ascii="Times New Roman"/>
                <w:sz w:val="20"/>
              </w:rPr>
            </w:pPr>
          </w:p>
        </w:tc>
        <w:tc>
          <w:tcPr>
            <w:tcW w:w="1103" w:type="dxa"/>
          </w:tcPr>
          <w:p>
            <w:pPr>
              <w:pStyle w:val="21"/>
              <w:rPr>
                <w:rFonts w:ascii="Times New Roman"/>
                <w:sz w:val="20"/>
              </w:rPr>
            </w:pPr>
          </w:p>
        </w:tc>
        <w:tc>
          <w:tcPr>
            <w:tcW w:w="1307" w:type="dxa"/>
          </w:tcPr>
          <w:p>
            <w:pPr>
              <w:pStyle w:val="21"/>
              <w:rPr>
                <w:rFonts w:ascii="Times New Roman"/>
                <w:sz w:val="20"/>
              </w:rPr>
            </w:pPr>
          </w:p>
        </w:tc>
        <w:tc>
          <w:tcPr>
            <w:tcW w:w="1946" w:type="dxa"/>
          </w:tcPr>
          <w:p>
            <w:pPr>
              <w:pStyle w:val="21"/>
              <w:rPr>
                <w:rFonts w:ascii="Times New Roman"/>
                <w:sz w:val="20"/>
              </w:rPr>
            </w:pPr>
          </w:p>
        </w:tc>
      </w:tr>
    </w:tbl>
    <w:p>
      <w:pPr>
        <w:spacing w:before="128"/>
        <w:ind w:left="264"/>
        <w:rPr>
          <w:sz w:val="21"/>
        </w:rPr>
      </w:pPr>
      <w:r>
        <w:rPr>
          <w:sz w:val="21"/>
        </w:rPr>
        <w:t xml:space="preserve">注：本表填报的人员应满足招标文件第二章“投标人须知”前附表附录 </w:t>
      </w:r>
      <w:r>
        <w:rPr>
          <w:rFonts w:ascii="Times New Roman" w:hAnsi="Times New Roman" w:eastAsia="Times New Roman"/>
          <w:sz w:val="21"/>
        </w:rPr>
        <w:t xml:space="preserve">6 </w:t>
      </w:r>
      <w:r>
        <w:rPr>
          <w:sz w:val="21"/>
        </w:rPr>
        <w:t>的要求。</w:t>
      </w:r>
    </w:p>
    <w:p>
      <w:pPr>
        <w:rPr>
          <w:sz w:val="21"/>
        </w:rPr>
        <w:sectPr>
          <w:footerReference r:id="rId106" w:type="default"/>
          <w:footerReference r:id="rId107" w:type="even"/>
          <w:pgSz w:w="11910" w:h="16850"/>
          <w:pgMar w:top="1540" w:right="1140" w:bottom="1980" w:left="1380" w:header="883" w:footer="1792" w:gutter="0"/>
          <w:pgNumType w:start="235"/>
          <w:cols w:space="720" w:num="1"/>
        </w:sectPr>
      </w:pPr>
    </w:p>
    <w:p>
      <w:pPr>
        <w:pStyle w:val="11"/>
        <w:rPr>
          <w:sz w:val="20"/>
        </w:rPr>
      </w:pPr>
    </w:p>
    <w:p>
      <w:pPr>
        <w:pStyle w:val="11"/>
        <w:spacing w:before="6"/>
        <w:rPr>
          <w:sz w:val="19"/>
        </w:rPr>
      </w:pPr>
    </w:p>
    <w:p>
      <w:pPr>
        <w:pStyle w:val="11"/>
        <w:ind w:left="2261"/>
        <w:rPr>
          <w:rFonts w:ascii="黑体" w:hAnsi="黑体" w:eastAsia="黑体"/>
          <w:sz w:val="12"/>
        </w:rPr>
      </w:pPr>
      <w:bookmarkStart w:id="299" w:name="_bookmark318"/>
      <w:bookmarkEnd w:id="299"/>
      <w:r>
        <w:rPr>
          <w:rFonts w:hint="eastAsia" w:ascii="黑体" w:hAnsi="黑体" w:eastAsia="黑体"/>
        </w:rPr>
        <w:t>（八）拟委任的其他管理和技术人员资历表</w:t>
      </w:r>
      <w:r>
        <w:rPr>
          <w:rFonts w:hint="eastAsia" w:ascii="黑体" w:hAnsi="黑体" w:eastAsia="黑体"/>
          <w:position w:val="11"/>
          <w:sz w:val="12"/>
        </w:rPr>
        <w:t>①</w:t>
      </w:r>
    </w:p>
    <w:p>
      <w:pPr>
        <w:pStyle w:val="11"/>
        <w:rPr>
          <w:rFonts w:ascii="黑体"/>
          <w:sz w:val="20"/>
        </w:rPr>
      </w:pPr>
    </w:p>
    <w:p>
      <w:pPr>
        <w:pStyle w:val="11"/>
        <w:spacing w:before="6"/>
        <w:rPr>
          <w:rFonts w:ascii="黑体"/>
          <w:sz w:val="11"/>
        </w:rPr>
      </w:pPr>
    </w:p>
    <w:tbl>
      <w:tblPr>
        <w:tblStyle w:val="19"/>
        <w:tblW w:w="8737"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spacing w:before="6"/>
              <w:rPr>
                <w:rFonts w:ascii="黑体"/>
                <w:sz w:val="14"/>
              </w:rPr>
            </w:pPr>
          </w:p>
          <w:p>
            <w:pPr>
              <w:pStyle w:val="21"/>
              <w:tabs>
                <w:tab w:val="left" w:pos="631"/>
              </w:tabs>
              <w:ind w:right="13"/>
              <w:jc w:val="center"/>
              <w:rPr>
                <w:sz w:val="21"/>
              </w:rPr>
            </w:pPr>
            <w:r>
              <w:rPr>
                <w:sz w:val="21"/>
              </w:rPr>
              <w:t>姓</w:t>
            </w:r>
            <w:r>
              <w:rPr>
                <w:sz w:val="21"/>
              </w:rPr>
              <w:tab/>
            </w:r>
            <w:r>
              <w:rPr>
                <w:sz w:val="21"/>
              </w:rPr>
              <w:t>名</w:t>
            </w:r>
          </w:p>
        </w:tc>
        <w:tc>
          <w:tcPr>
            <w:tcW w:w="1480" w:type="dxa"/>
            <w:gridSpan w:val="2"/>
          </w:tcPr>
          <w:p>
            <w:pPr>
              <w:pStyle w:val="21"/>
              <w:rPr>
                <w:rFonts w:ascii="Times New Roman"/>
                <w:sz w:val="20"/>
              </w:rPr>
            </w:pPr>
          </w:p>
        </w:tc>
        <w:tc>
          <w:tcPr>
            <w:tcW w:w="1061" w:type="dxa"/>
          </w:tcPr>
          <w:p>
            <w:pPr>
              <w:pStyle w:val="21"/>
              <w:spacing w:before="6"/>
              <w:rPr>
                <w:rFonts w:ascii="黑体"/>
                <w:sz w:val="14"/>
              </w:rPr>
            </w:pPr>
          </w:p>
          <w:p>
            <w:pPr>
              <w:pStyle w:val="21"/>
              <w:tabs>
                <w:tab w:val="left" w:pos="643"/>
              </w:tabs>
              <w:ind w:left="12"/>
              <w:jc w:val="center"/>
              <w:rPr>
                <w:sz w:val="21"/>
              </w:rPr>
            </w:pPr>
            <w:r>
              <w:rPr>
                <w:sz w:val="21"/>
              </w:rPr>
              <w:t>年</w:t>
            </w:r>
            <w:r>
              <w:rPr>
                <w:sz w:val="21"/>
              </w:rPr>
              <w:tab/>
            </w:r>
            <w:r>
              <w:rPr>
                <w:sz w:val="21"/>
              </w:rPr>
              <w:t>龄</w:t>
            </w:r>
          </w:p>
        </w:tc>
        <w:tc>
          <w:tcPr>
            <w:tcW w:w="1381" w:type="dxa"/>
          </w:tcPr>
          <w:p>
            <w:pPr>
              <w:pStyle w:val="21"/>
              <w:rPr>
                <w:rFonts w:ascii="Times New Roman"/>
                <w:sz w:val="20"/>
              </w:rPr>
            </w:pPr>
          </w:p>
        </w:tc>
        <w:tc>
          <w:tcPr>
            <w:tcW w:w="1883" w:type="dxa"/>
            <w:gridSpan w:val="2"/>
          </w:tcPr>
          <w:p>
            <w:pPr>
              <w:pStyle w:val="21"/>
              <w:spacing w:before="6"/>
              <w:rPr>
                <w:rFonts w:ascii="黑体"/>
                <w:sz w:val="14"/>
              </w:rPr>
            </w:pPr>
          </w:p>
          <w:p>
            <w:pPr>
              <w:pStyle w:val="21"/>
              <w:tabs>
                <w:tab w:val="left" w:pos="1151"/>
              </w:tabs>
              <w:ind w:left="520"/>
              <w:rPr>
                <w:sz w:val="21"/>
              </w:rPr>
            </w:pPr>
            <w:r>
              <w:rPr>
                <w:sz w:val="21"/>
              </w:rPr>
              <w:t>专</w:t>
            </w:r>
            <w:r>
              <w:rPr>
                <w:sz w:val="21"/>
              </w:rPr>
              <w:tab/>
            </w:r>
            <w:r>
              <w:rPr>
                <w:sz w:val="21"/>
              </w:rPr>
              <w:t>业</w:t>
            </w:r>
          </w:p>
        </w:tc>
        <w:tc>
          <w:tcPr>
            <w:tcW w:w="1671"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61" w:type="dxa"/>
          </w:tcPr>
          <w:p>
            <w:pPr>
              <w:pStyle w:val="21"/>
              <w:rPr>
                <w:rFonts w:ascii="黑体"/>
                <w:sz w:val="20"/>
              </w:rPr>
            </w:pPr>
          </w:p>
          <w:p>
            <w:pPr>
              <w:pStyle w:val="21"/>
              <w:spacing w:before="160"/>
              <w:ind w:right="15"/>
              <w:jc w:val="center"/>
              <w:rPr>
                <w:sz w:val="21"/>
              </w:rPr>
            </w:pPr>
            <w:r>
              <w:rPr>
                <w:sz w:val="21"/>
              </w:rPr>
              <w:t>技术职称</w:t>
            </w:r>
          </w:p>
        </w:tc>
        <w:tc>
          <w:tcPr>
            <w:tcW w:w="1480" w:type="dxa"/>
            <w:gridSpan w:val="2"/>
          </w:tcPr>
          <w:p>
            <w:pPr>
              <w:pStyle w:val="21"/>
              <w:rPr>
                <w:rFonts w:ascii="Times New Roman"/>
                <w:sz w:val="20"/>
              </w:rPr>
            </w:pPr>
          </w:p>
        </w:tc>
        <w:tc>
          <w:tcPr>
            <w:tcW w:w="1061" w:type="dxa"/>
          </w:tcPr>
          <w:p>
            <w:pPr>
              <w:pStyle w:val="21"/>
              <w:rPr>
                <w:rFonts w:ascii="黑体"/>
                <w:sz w:val="20"/>
              </w:rPr>
            </w:pPr>
          </w:p>
          <w:p>
            <w:pPr>
              <w:pStyle w:val="21"/>
              <w:tabs>
                <w:tab w:val="left" w:pos="643"/>
              </w:tabs>
              <w:spacing w:before="160"/>
              <w:ind w:left="12"/>
              <w:jc w:val="center"/>
              <w:rPr>
                <w:sz w:val="21"/>
              </w:rPr>
            </w:pPr>
            <w:r>
              <w:rPr>
                <w:sz w:val="21"/>
              </w:rPr>
              <w:t>学</w:t>
            </w:r>
            <w:r>
              <w:rPr>
                <w:sz w:val="21"/>
              </w:rPr>
              <w:tab/>
            </w:r>
            <w:r>
              <w:rPr>
                <w:sz w:val="21"/>
              </w:rPr>
              <w:t>历</w:t>
            </w:r>
          </w:p>
        </w:tc>
        <w:tc>
          <w:tcPr>
            <w:tcW w:w="1381" w:type="dxa"/>
          </w:tcPr>
          <w:p>
            <w:pPr>
              <w:pStyle w:val="21"/>
              <w:rPr>
                <w:rFonts w:ascii="Times New Roman"/>
                <w:sz w:val="20"/>
              </w:rPr>
            </w:pPr>
          </w:p>
        </w:tc>
        <w:tc>
          <w:tcPr>
            <w:tcW w:w="1883" w:type="dxa"/>
            <w:gridSpan w:val="2"/>
          </w:tcPr>
          <w:p>
            <w:pPr>
              <w:pStyle w:val="21"/>
              <w:spacing w:before="28" w:line="460" w:lineRule="exact"/>
              <w:ind w:left="520" w:right="402" w:hanging="106"/>
              <w:rPr>
                <w:sz w:val="21"/>
              </w:rPr>
            </w:pPr>
            <w:r>
              <w:rPr>
                <w:sz w:val="21"/>
              </w:rPr>
              <w:t>拟在本标段工程任职</w:t>
            </w:r>
          </w:p>
        </w:tc>
        <w:tc>
          <w:tcPr>
            <w:tcW w:w="1671"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tcPr>
          <w:p>
            <w:pPr>
              <w:pStyle w:val="21"/>
              <w:spacing w:before="7"/>
              <w:rPr>
                <w:rFonts w:ascii="黑体"/>
                <w:sz w:val="14"/>
              </w:rPr>
            </w:pPr>
          </w:p>
          <w:p>
            <w:pPr>
              <w:pStyle w:val="21"/>
              <w:ind w:right="15"/>
              <w:jc w:val="center"/>
              <w:rPr>
                <w:sz w:val="21"/>
              </w:rPr>
            </w:pPr>
            <w:r>
              <w:rPr>
                <w:sz w:val="21"/>
              </w:rPr>
              <w:t>工作年限</w:t>
            </w:r>
          </w:p>
        </w:tc>
        <w:tc>
          <w:tcPr>
            <w:tcW w:w="3922" w:type="dxa"/>
            <w:gridSpan w:val="4"/>
          </w:tcPr>
          <w:p>
            <w:pPr>
              <w:pStyle w:val="21"/>
              <w:rPr>
                <w:rFonts w:ascii="Times New Roman"/>
                <w:sz w:val="20"/>
              </w:rPr>
            </w:pPr>
          </w:p>
        </w:tc>
        <w:tc>
          <w:tcPr>
            <w:tcW w:w="1883" w:type="dxa"/>
            <w:gridSpan w:val="2"/>
          </w:tcPr>
          <w:p>
            <w:pPr>
              <w:pStyle w:val="21"/>
              <w:spacing w:before="7"/>
              <w:rPr>
                <w:rFonts w:ascii="黑体"/>
                <w:sz w:val="14"/>
              </w:rPr>
            </w:pPr>
          </w:p>
          <w:p>
            <w:pPr>
              <w:pStyle w:val="21"/>
              <w:ind w:left="100"/>
              <w:rPr>
                <w:sz w:val="21"/>
              </w:rPr>
            </w:pPr>
            <w:r>
              <w:rPr>
                <w:sz w:val="21"/>
              </w:rPr>
              <w:t>类似施工经验年限</w:t>
            </w:r>
          </w:p>
        </w:tc>
        <w:tc>
          <w:tcPr>
            <w:tcW w:w="1671"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spacing w:before="8"/>
              <w:rPr>
                <w:rFonts w:ascii="黑体"/>
                <w:sz w:val="14"/>
              </w:rPr>
            </w:pPr>
          </w:p>
          <w:p>
            <w:pPr>
              <w:pStyle w:val="21"/>
              <w:spacing w:before="1"/>
              <w:ind w:right="13"/>
              <w:jc w:val="center"/>
              <w:rPr>
                <w:sz w:val="21"/>
              </w:rPr>
            </w:pPr>
            <w:r>
              <w:rPr>
                <w:sz w:val="21"/>
              </w:rPr>
              <w:t>毕业学校</w:t>
            </w:r>
          </w:p>
        </w:tc>
        <w:tc>
          <w:tcPr>
            <w:tcW w:w="7476" w:type="dxa"/>
            <w:gridSpan w:val="8"/>
          </w:tcPr>
          <w:p>
            <w:pPr>
              <w:pStyle w:val="21"/>
              <w:tabs>
                <w:tab w:val="left" w:pos="531"/>
                <w:tab w:val="left" w:pos="1057"/>
                <w:tab w:val="left" w:pos="3892"/>
                <w:tab w:val="left" w:pos="5466"/>
                <w:tab w:val="left" w:pos="7145"/>
              </w:tabs>
              <w:spacing w:before="188"/>
              <w:ind w:left="5"/>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pacing w:val="-3"/>
                <w:sz w:val="21"/>
              </w:rPr>
              <w:t>月</w:t>
            </w:r>
            <w:r>
              <w:rPr>
                <w:sz w:val="21"/>
              </w:rPr>
              <w:t>毕</w:t>
            </w:r>
            <w:r>
              <w:rPr>
                <w:spacing w:val="-3"/>
                <w:sz w:val="21"/>
              </w:rPr>
              <w:t>业</w:t>
            </w:r>
            <w:r>
              <w:rPr>
                <w:sz w:val="21"/>
              </w:rPr>
              <w:t>于</w:t>
            </w:r>
            <w:r>
              <w:rPr>
                <w:sz w:val="21"/>
                <w:u w:val="single"/>
              </w:rPr>
              <w:t xml:space="preserve"> </w:t>
            </w:r>
            <w:r>
              <w:rPr>
                <w:sz w:val="21"/>
                <w:u w:val="single"/>
              </w:rPr>
              <w:tab/>
            </w:r>
            <w:r>
              <w:rPr>
                <w:spacing w:val="-3"/>
                <w:sz w:val="21"/>
              </w:rPr>
              <w:t>学</w:t>
            </w:r>
            <w:r>
              <w:rPr>
                <w:sz w:val="21"/>
              </w:rPr>
              <w:t>校</w:t>
            </w:r>
            <w:r>
              <w:rPr>
                <w:sz w:val="21"/>
                <w:u w:val="single"/>
              </w:rPr>
              <w:t xml:space="preserve"> </w:t>
            </w:r>
            <w:r>
              <w:rPr>
                <w:sz w:val="21"/>
                <w:u w:val="single"/>
              </w:rPr>
              <w:tab/>
            </w:r>
            <w:r>
              <w:rPr>
                <w:spacing w:val="-3"/>
                <w:sz w:val="21"/>
              </w:rPr>
              <w:t>专</w:t>
            </w:r>
            <w:r>
              <w:rPr>
                <w:sz w:val="21"/>
              </w:rPr>
              <w:t>业</w:t>
            </w:r>
            <w:r>
              <w:rPr>
                <w:spacing w:val="-3"/>
                <w:sz w:val="21"/>
              </w:rPr>
              <w:t>，</w:t>
            </w:r>
            <w:r>
              <w:rPr>
                <w:sz w:val="21"/>
              </w:rPr>
              <w:t>学制</w:t>
            </w:r>
            <w:r>
              <w:rPr>
                <w:sz w:val="21"/>
                <w:u w:val="single"/>
              </w:rPr>
              <w:t xml:space="preserve"> </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737" w:type="dxa"/>
            <w:gridSpan w:val="9"/>
          </w:tcPr>
          <w:p>
            <w:pPr>
              <w:pStyle w:val="21"/>
              <w:spacing w:before="6"/>
              <w:rPr>
                <w:rFonts w:ascii="黑体"/>
                <w:sz w:val="14"/>
              </w:rPr>
            </w:pPr>
          </w:p>
          <w:p>
            <w:pPr>
              <w:pStyle w:val="21"/>
              <w:tabs>
                <w:tab w:val="left" w:pos="1167"/>
              </w:tabs>
              <w:ind w:left="10"/>
              <w:jc w:val="center"/>
              <w:rPr>
                <w:sz w:val="21"/>
              </w:rPr>
            </w:pPr>
            <w:r>
              <w:rPr>
                <w:sz w:val="21"/>
              </w:rPr>
              <w:t>经</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261" w:type="dxa"/>
          </w:tcPr>
          <w:p>
            <w:pPr>
              <w:pStyle w:val="21"/>
              <w:rPr>
                <w:rFonts w:ascii="黑体"/>
                <w:sz w:val="20"/>
              </w:rPr>
            </w:pPr>
          </w:p>
          <w:p>
            <w:pPr>
              <w:pStyle w:val="21"/>
              <w:tabs>
                <w:tab w:val="left" w:pos="457"/>
              </w:tabs>
              <w:spacing w:before="131"/>
              <w:ind w:left="34"/>
              <w:jc w:val="center"/>
              <w:rPr>
                <w:sz w:val="21"/>
              </w:rPr>
            </w:pPr>
            <w:r>
              <w:rPr>
                <w:sz w:val="21"/>
              </w:rPr>
              <w:t>时</w:t>
            </w:r>
            <w:r>
              <w:rPr>
                <w:sz w:val="21"/>
              </w:rPr>
              <w:tab/>
            </w:r>
            <w:r>
              <w:rPr>
                <w:sz w:val="21"/>
              </w:rPr>
              <w:t>间</w:t>
            </w:r>
          </w:p>
        </w:tc>
        <w:tc>
          <w:tcPr>
            <w:tcW w:w="4261" w:type="dxa"/>
            <w:gridSpan w:val="5"/>
          </w:tcPr>
          <w:p>
            <w:pPr>
              <w:pStyle w:val="21"/>
              <w:rPr>
                <w:rFonts w:ascii="黑体"/>
                <w:sz w:val="20"/>
              </w:rPr>
            </w:pPr>
          </w:p>
          <w:p>
            <w:pPr>
              <w:pStyle w:val="21"/>
              <w:spacing w:before="131"/>
              <w:ind w:left="877"/>
              <w:rPr>
                <w:sz w:val="21"/>
              </w:rPr>
            </w:pPr>
            <w:r>
              <w:rPr>
                <w:sz w:val="21"/>
              </w:rPr>
              <w:t>参加过的类似工程项目名称</w:t>
            </w:r>
          </w:p>
        </w:tc>
        <w:tc>
          <w:tcPr>
            <w:tcW w:w="1932" w:type="dxa"/>
            <w:gridSpan w:val="2"/>
          </w:tcPr>
          <w:p>
            <w:pPr>
              <w:pStyle w:val="21"/>
              <w:rPr>
                <w:rFonts w:ascii="黑体"/>
                <w:sz w:val="20"/>
              </w:rPr>
            </w:pPr>
          </w:p>
          <w:p>
            <w:pPr>
              <w:pStyle w:val="21"/>
              <w:spacing w:before="131"/>
              <w:ind w:left="541"/>
              <w:rPr>
                <w:sz w:val="21"/>
              </w:rPr>
            </w:pPr>
            <w:r>
              <w:rPr>
                <w:sz w:val="21"/>
              </w:rPr>
              <w:t>担任职务</w:t>
            </w:r>
          </w:p>
        </w:tc>
        <w:tc>
          <w:tcPr>
            <w:tcW w:w="1283" w:type="dxa"/>
          </w:tcPr>
          <w:p>
            <w:pPr>
              <w:pStyle w:val="21"/>
              <w:spacing w:before="55" w:line="400" w:lineRule="atLeast"/>
              <w:ind w:left="320" w:right="107" w:hanging="212"/>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tcPr>
          <w:p>
            <w:pPr>
              <w:pStyle w:val="21"/>
              <w:rPr>
                <w:rFonts w:ascii="Times New Roman"/>
                <w:sz w:val="20"/>
              </w:rPr>
            </w:pPr>
          </w:p>
        </w:tc>
        <w:tc>
          <w:tcPr>
            <w:tcW w:w="4261" w:type="dxa"/>
            <w:gridSpan w:val="5"/>
          </w:tcPr>
          <w:p>
            <w:pPr>
              <w:pStyle w:val="21"/>
              <w:rPr>
                <w:rFonts w:ascii="Times New Roman"/>
                <w:sz w:val="20"/>
              </w:rPr>
            </w:pPr>
          </w:p>
        </w:tc>
        <w:tc>
          <w:tcPr>
            <w:tcW w:w="1932" w:type="dxa"/>
            <w:gridSpan w:val="2"/>
          </w:tcPr>
          <w:p>
            <w:pPr>
              <w:pStyle w:val="21"/>
              <w:rPr>
                <w:rFonts w:ascii="Times New Roman"/>
                <w:sz w:val="20"/>
              </w:rPr>
            </w:pPr>
          </w:p>
        </w:tc>
        <w:tc>
          <w:tcPr>
            <w:tcW w:w="1283"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38" w:type="dxa"/>
            <w:gridSpan w:val="2"/>
          </w:tcPr>
          <w:p>
            <w:pPr>
              <w:pStyle w:val="21"/>
              <w:spacing w:before="9"/>
              <w:rPr>
                <w:rFonts w:ascii="黑体"/>
                <w:sz w:val="14"/>
              </w:rPr>
            </w:pPr>
          </w:p>
          <w:p>
            <w:pPr>
              <w:pStyle w:val="21"/>
              <w:ind w:left="878" w:right="869"/>
              <w:jc w:val="center"/>
              <w:rPr>
                <w:sz w:val="21"/>
              </w:rPr>
            </w:pPr>
            <w:r>
              <w:rPr>
                <w:sz w:val="21"/>
              </w:rPr>
              <w:t>获奖情况</w:t>
            </w:r>
          </w:p>
        </w:tc>
        <w:tc>
          <w:tcPr>
            <w:tcW w:w="6099" w:type="dxa"/>
            <w:gridSpan w:val="7"/>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638" w:type="dxa"/>
            <w:gridSpan w:val="2"/>
          </w:tcPr>
          <w:p>
            <w:pPr>
              <w:pStyle w:val="21"/>
              <w:rPr>
                <w:rFonts w:ascii="黑体"/>
                <w:sz w:val="20"/>
              </w:rPr>
            </w:pPr>
          </w:p>
          <w:p>
            <w:pPr>
              <w:pStyle w:val="21"/>
              <w:spacing w:before="7"/>
              <w:rPr>
                <w:rFonts w:ascii="黑体"/>
                <w:sz w:val="19"/>
              </w:rPr>
            </w:pPr>
          </w:p>
          <w:p>
            <w:pPr>
              <w:pStyle w:val="21"/>
              <w:ind w:left="688"/>
              <w:rPr>
                <w:sz w:val="21"/>
              </w:rPr>
            </w:pPr>
            <w:r>
              <w:rPr>
                <w:sz w:val="21"/>
              </w:rPr>
              <w:t>说明在岗情况</w:t>
            </w:r>
          </w:p>
        </w:tc>
        <w:tc>
          <w:tcPr>
            <w:tcW w:w="6099" w:type="dxa"/>
            <w:gridSpan w:val="7"/>
          </w:tcPr>
          <w:p>
            <w:pPr>
              <w:pStyle w:val="21"/>
              <w:tabs>
                <w:tab w:val="left" w:pos="5780"/>
              </w:tabs>
              <w:spacing w:before="90"/>
              <w:ind w:left="107"/>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 xml:space="preserve"> </w:t>
            </w:r>
            <w:r>
              <w:rPr>
                <w:spacing w:val="-3"/>
                <w:sz w:val="21"/>
                <w:u w:val="single"/>
              </w:rPr>
              <w:tab/>
            </w:r>
            <w:r>
              <w:rPr>
                <w:sz w:val="21"/>
              </w:rPr>
              <w:t>。</w:t>
            </w:r>
          </w:p>
          <w:p>
            <w:pPr>
              <w:pStyle w:val="21"/>
              <w:tabs>
                <w:tab w:val="left" w:pos="3626"/>
                <w:tab w:val="left" w:pos="5883"/>
              </w:tabs>
              <w:spacing w:before="16" w:line="400" w:lineRule="exact"/>
              <w:ind w:left="107" w:right="-15"/>
              <w:rPr>
                <w:sz w:val="21"/>
              </w:rPr>
            </w:pPr>
            <w:r>
              <w:rPr>
                <w:spacing w:val="5"/>
                <w:sz w:val="21"/>
              </w:rPr>
              <w:t>□目前虽在其他项</w:t>
            </w:r>
            <w:r>
              <w:rPr>
                <w:spacing w:val="2"/>
                <w:sz w:val="21"/>
              </w:rPr>
              <w:t>目</w:t>
            </w:r>
            <w:r>
              <w:rPr>
                <w:spacing w:val="5"/>
                <w:sz w:val="21"/>
              </w:rPr>
              <w:t>上</w:t>
            </w:r>
            <w:r>
              <w:rPr>
                <w:spacing w:val="2"/>
                <w:sz w:val="21"/>
              </w:rPr>
              <w:t>任</w:t>
            </w:r>
            <w:r>
              <w:rPr>
                <w:spacing w:val="5"/>
                <w:sz w:val="21"/>
              </w:rPr>
              <w:t>职，但本项目中标</w:t>
            </w:r>
            <w:r>
              <w:rPr>
                <w:spacing w:val="2"/>
                <w:sz w:val="21"/>
              </w:rPr>
              <w:t>后</w:t>
            </w:r>
            <w:r>
              <w:rPr>
                <w:spacing w:val="5"/>
                <w:sz w:val="21"/>
              </w:rPr>
              <w:t>能</w:t>
            </w:r>
            <w:r>
              <w:rPr>
                <w:spacing w:val="2"/>
                <w:sz w:val="21"/>
              </w:rPr>
              <w:t>够</w:t>
            </w:r>
            <w:r>
              <w:rPr>
                <w:spacing w:val="5"/>
                <w:sz w:val="21"/>
              </w:rPr>
              <w:t>从该项目</w:t>
            </w:r>
            <w:r>
              <w:rPr>
                <w:sz w:val="21"/>
              </w:rPr>
              <w:t>撤离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638" w:type="dxa"/>
            <w:gridSpan w:val="2"/>
          </w:tcPr>
          <w:p>
            <w:pPr>
              <w:pStyle w:val="21"/>
              <w:rPr>
                <w:rFonts w:ascii="黑体"/>
                <w:sz w:val="20"/>
              </w:rPr>
            </w:pPr>
          </w:p>
          <w:p>
            <w:pPr>
              <w:pStyle w:val="21"/>
              <w:spacing w:before="5"/>
              <w:rPr>
                <w:rFonts w:ascii="黑体"/>
                <w:sz w:val="17"/>
              </w:rPr>
            </w:pPr>
          </w:p>
          <w:p>
            <w:pPr>
              <w:pStyle w:val="21"/>
              <w:tabs>
                <w:tab w:val="left" w:pos="1581"/>
              </w:tabs>
              <w:ind w:left="844"/>
              <w:rPr>
                <w:sz w:val="21"/>
              </w:rPr>
            </w:pPr>
            <w:r>
              <w:rPr>
                <w:sz w:val="21"/>
              </w:rPr>
              <w:t>备</w:t>
            </w:r>
            <w:r>
              <w:rPr>
                <w:sz w:val="21"/>
              </w:rPr>
              <w:tab/>
            </w:r>
            <w:r>
              <w:rPr>
                <w:sz w:val="21"/>
              </w:rPr>
              <w:t>注</w:t>
            </w:r>
          </w:p>
        </w:tc>
        <w:tc>
          <w:tcPr>
            <w:tcW w:w="6099" w:type="dxa"/>
            <w:gridSpan w:val="7"/>
          </w:tcPr>
          <w:p>
            <w:pPr>
              <w:pStyle w:val="21"/>
              <w:rPr>
                <w:rFonts w:ascii="Times New Roman"/>
                <w:sz w:val="20"/>
              </w:rPr>
            </w:pPr>
          </w:p>
        </w:tc>
      </w:tr>
    </w:tbl>
    <w:p>
      <w:pPr>
        <w:spacing w:before="128"/>
        <w:ind w:left="264"/>
        <w:rPr>
          <w:sz w:val="21"/>
        </w:rPr>
      </w:pPr>
      <w:r>
        <w:rPr>
          <w:sz w:val="21"/>
        </w:rPr>
        <w:t>注：</w:t>
      </w:r>
      <w:r>
        <w:rPr>
          <w:rFonts w:ascii="Times New Roman" w:eastAsia="Times New Roman"/>
          <w:sz w:val="21"/>
        </w:rPr>
        <w:t>1.</w:t>
      </w:r>
      <w:r>
        <w:rPr>
          <w:sz w:val="21"/>
        </w:rPr>
        <w:t>本表人员应与表（七）中所列人员相一致。</w:t>
      </w:r>
    </w:p>
    <w:p>
      <w:pPr>
        <w:spacing w:before="130"/>
        <w:ind w:left="684"/>
        <w:rPr>
          <w:sz w:val="21"/>
        </w:rPr>
      </w:pPr>
      <w:r>
        <w:rPr>
          <w:rFonts w:ascii="Times New Roman" w:hAnsi="Times New Roman" w:eastAsia="Times New Roman"/>
          <w:sz w:val="21"/>
        </w:rPr>
        <w:t>2.</w:t>
      </w:r>
      <w:r>
        <w:rPr>
          <w:sz w:val="21"/>
        </w:rPr>
        <w:t xml:space="preserve">投标人应根据招标文件第二章“投标人须知”第 </w:t>
      </w:r>
      <w:r>
        <w:rPr>
          <w:rFonts w:ascii="Times New Roman" w:hAnsi="Times New Roman" w:eastAsia="Times New Roman"/>
          <w:sz w:val="21"/>
        </w:rPr>
        <w:t xml:space="preserve">3.5.6 </w:t>
      </w:r>
      <w:r>
        <w:rPr>
          <w:sz w:val="21"/>
        </w:rPr>
        <w:t>项的要求在本表后附相关证明材料。</w:t>
      </w:r>
    </w:p>
    <w:p>
      <w:pPr>
        <w:rPr>
          <w:sz w:val="21"/>
        </w:rPr>
        <w:sectPr>
          <w:pgSz w:w="11910" w:h="16850"/>
          <w:pgMar w:top="1540" w:right="1140" w:bottom="1980" w:left="1380" w:header="876" w:footer="1792" w:gutter="0"/>
          <w:cols w:space="720" w:num="1"/>
        </w:sectPr>
      </w:pPr>
    </w:p>
    <w:p>
      <w:pPr>
        <w:pStyle w:val="11"/>
        <w:spacing w:before="127"/>
        <w:ind w:left="2441"/>
        <w:rPr>
          <w:rFonts w:ascii="黑体" w:hAnsi="黑体" w:eastAsia="黑体"/>
          <w:sz w:val="12"/>
        </w:rPr>
      </w:pPr>
      <w:bookmarkStart w:id="300" w:name="_bookmark319"/>
      <w:bookmarkEnd w:id="300"/>
      <w:r>
        <w:rPr>
          <w:rFonts w:hint="eastAsia" w:ascii="黑体" w:hAnsi="黑体" w:eastAsia="黑体"/>
        </w:rPr>
        <w:t>（九） 拟投入本标段的主要施工机械表</w:t>
      </w:r>
      <w:r>
        <w:rPr>
          <w:rFonts w:hint="eastAsia" w:ascii="黑体" w:hAnsi="黑体" w:eastAsia="黑体"/>
          <w:position w:val="11"/>
          <w:sz w:val="12"/>
        </w:rPr>
        <w:t>①</w:t>
      </w:r>
    </w:p>
    <w:p>
      <w:pPr>
        <w:pStyle w:val="11"/>
        <w:rPr>
          <w:rFonts w:ascii="黑体"/>
          <w:sz w:val="20"/>
        </w:rPr>
      </w:pPr>
    </w:p>
    <w:p>
      <w:pPr>
        <w:pStyle w:val="11"/>
        <w:spacing w:before="5"/>
        <w:rPr>
          <w:rFonts w:ascii="黑体"/>
          <w:sz w:val="11"/>
        </w:rPr>
      </w:pPr>
    </w:p>
    <w:tbl>
      <w:tblPr>
        <w:tblStyle w:val="19"/>
        <w:tblW w:w="8632" w:type="dxa"/>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085"/>
        <w:gridCol w:w="759"/>
        <w:gridCol w:w="670"/>
        <w:gridCol w:w="660"/>
        <w:gridCol w:w="941"/>
        <w:gridCol w:w="648"/>
        <w:gridCol w:w="430"/>
        <w:gridCol w:w="557"/>
        <w:gridCol w:w="559"/>
        <w:gridCol w:w="558"/>
        <w:gridCol w:w="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4" w:type="dxa"/>
            <w:vMerge w:val="restart"/>
          </w:tcPr>
          <w:p>
            <w:pPr>
              <w:pStyle w:val="21"/>
              <w:rPr>
                <w:rFonts w:ascii="黑体"/>
                <w:sz w:val="20"/>
              </w:rPr>
            </w:pPr>
          </w:p>
          <w:p>
            <w:pPr>
              <w:pStyle w:val="21"/>
              <w:rPr>
                <w:rFonts w:ascii="黑体"/>
                <w:sz w:val="20"/>
              </w:rPr>
            </w:pPr>
          </w:p>
          <w:p>
            <w:pPr>
              <w:pStyle w:val="21"/>
              <w:spacing w:before="175"/>
              <w:ind w:left="196"/>
              <w:rPr>
                <w:sz w:val="21"/>
              </w:rPr>
            </w:pPr>
            <w:r>
              <w:rPr>
                <w:sz w:val="21"/>
              </w:rPr>
              <w:t>序号</w:t>
            </w:r>
          </w:p>
        </w:tc>
        <w:tc>
          <w:tcPr>
            <w:tcW w:w="1085" w:type="dxa"/>
            <w:vMerge w:val="restart"/>
          </w:tcPr>
          <w:p>
            <w:pPr>
              <w:pStyle w:val="21"/>
              <w:rPr>
                <w:rFonts w:ascii="黑体"/>
                <w:sz w:val="20"/>
              </w:rPr>
            </w:pPr>
          </w:p>
          <w:p>
            <w:pPr>
              <w:pStyle w:val="21"/>
              <w:rPr>
                <w:rFonts w:ascii="黑体"/>
                <w:sz w:val="20"/>
              </w:rPr>
            </w:pPr>
          </w:p>
          <w:p>
            <w:pPr>
              <w:pStyle w:val="21"/>
              <w:spacing w:before="175"/>
              <w:ind w:left="121"/>
              <w:rPr>
                <w:sz w:val="21"/>
              </w:rPr>
            </w:pPr>
            <w:r>
              <w:rPr>
                <w:sz w:val="21"/>
              </w:rPr>
              <w:t>设备名称</w:t>
            </w:r>
          </w:p>
        </w:tc>
        <w:tc>
          <w:tcPr>
            <w:tcW w:w="759" w:type="dxa"/>
            <w:vMerge w:val="restart"/>
          </w:tcPr>
          <w:p>
            <w:pPr>
              <w:pStyle w:val="21"/>
              <w:rPr>
                <w:rFonts w:ascii="黑体"/>
                <w:sz w:val="20"/>
              </w:rPr>
            </w:pPr>
          </w:p>
          <w:p>
            <w:pPr>
              <w:pStyle w:val="21"/>
              <w:spacing w:before="1"/>
              <w:rPr>
                <w:rFonts w:ascii="黑体"/>
                <w:sz w:val="18"/>
              </w:rPr>
            </w:pPr>
          </w:p>
          <w:p>
            <w:pPr>
              <w:pStyle w:val="21"/>
              <w:spacing w:line="357" w:lineRule="auto"/>
              <w:ind w:left="167" w:right="157"/>
              <w:rPr>
                <w:sz w:val="21"/>
              </w:rPr>
            </w:pPr>
            <w:r>
              <w:rPr>
                <w:sz w:val="21"/>
              </w:rPr>
              <w:t>型号规格</w:t>
            </w:r>
          </w:p>
        </w:tc>
        <w:tc>
          <w:tcPr>
            <w:tcW w:w="670" w:type="dxa"/>
            <w:vMerge w:val="restart"/>
          </w:tcPr>
          <w:p>
            <w:pPr>
              <w:pStyle w:val="21"/>
              <w:rPr>
                <w:rFonts w:ascii="黑体"/>
                <w:sz w:val="20"/>
              </w:rPr>
            </w:pPr>
          </w:p>
          <w:p>
            <w:pPr>
              <w:pStyle w:val="21"/>
              <w:spacing w:before="1"/>
              <w:rPr>
                <w:rFonts w:ascii="黑体"/>
                <w:sz w:val="18"/>
              </w:rPr>
            </w:pPr>
          </w:p>
          <w:p>
            <w:pPr>
              <w:pStyle w:val="21"/>
              <w:spacing w:line="357" w:lineRule="auto"/>
              <w:ind w:left="123" w:right="111"/>
              <w:rPr>
                <w:sz w:val="21"/>
              </w:rPr>
            </w:pPr>
            <w:r>
              <w:rPr>
                <w:sz w:val="21"/>
              </w:rPr>
              <w:t>国别产地</w:t>
            </w:r>
          </w:p>
        </w:tc>
        <w:tc>
          <w:tcPr>
            <w:tcW w:w="660" w:type="dxa"/>
            <w:vMerge w:val="restart"/>
          </w:tcPr>
          <w:p>
            <w:pPr>
              <w:pStyle w:val="21"/>
              <w:rPr>
                <w:rFonts w:ascii="黑体"/>
                <w:sz w:val="20"/>
              </w:rPr>
            </w:pPr>
          </w:p>
          <w:p>
            <w:pPr>
              <w:pStyle w:val="21"/>
              <w:spacing w:before="1"/>
              <w:rPr>
                <w:rFonts w:ascii="黑体"/>
                <w:sz w:val="18"/>
              </w:rPr>
            </w:pPr>
          </w:p>
          <w:p>
            <w:pPr>
              <w:pStyle w:val="21"/>
              <w:spacing w:line="357" w:lineRule="auto"/>
              <w:ind w:left="118" w:right="106"/>
              <w:rPr>
                <w:sz w:val="21"/>
              </w:rPr>
            </w:pPr>
            <w:r>
              <w:rPr>
                <w:sz w:val="21"/>
              </w:rPr>
              <w:t>制造年份</w:t>
            </w:r>
          </w:p>
        </w:tc>
        <w:tc>
          <w:tcPr>
            <w:tcW w:w="941" w:type="dxa"/>
            <w:vMerge w:val="restart"/>
          </w:tcPr>
          <w:p>
            <w:pPr>
              <w:pStyle w:val="21"/>
              <w:rPr>
                <w:rFonts w:ascii="黑体"/>
              </w:rPr>
            </w:pPr>
          </w:p>
          <w:p>
            <w:pPr>
              <w:pStyle w:val="21"/>
              <w:spacing w:before="1"/>
              <w:rPr>
                <w:rFonts w:ascii="黑体"/>
                <w:sz w:val="16"/>
              </w:rPr>
            </w:pPr>
          </w:p>
          <w:p>
            <w:pPr>
              <w:pStyle w:val="21"/>
              <w:spacing w:line="357" w:lineRule="auto"/>
              <w:ind w:left="106" w:right="-15" w:firstLine="45"/>
              <w:rPr>
                <w:sz w:val="21"/>
              </w:rPr>
            </w:pPr>
            <w:r>
              <w:rPr>
                <w:sz w:val="21"/>
              </w:rPr>
              <w:t xml:space="preserve">额定功 </w:t>
            </w:r>
            <w:r>
              <w:rPr>
                <w:spacing w:val="-104"/>
                <w:sz w:val="21"/>
              </w:rPr>
              <w:t>率</w:t>
            </w:r>
            <w:r>
              <w:rPr>
                <w:sz w:val="21"/>
              </w:rPr>
              <w:t>（</w:t>
            </w:r>
            <w:r>
              <w:rPr>
                <w:rFonts w:ascii="Times New Roman" w:eastAsia="Times New Roman"/>
                <w:sz w:val="21"/>
              </w:rPr>
              <w:t>kW</w:t>
            </w:r>
            <w:r>
              <w:rPr>
                <w:sz w:val="21"/>
              </w:rPr>
              <w:t>）</w:t>
            </w:r>
          </w:p>
        </w:tc>
        <w:tc>
          <w:tcPr>
            <w:tcW w:w="648" w:type="dxa"/>
            <w:vMerge w:val="restart"/>
          </w:tcPr>
          <w:p>
            <w:pPr>
              <w:pStyle w:val="21"/>
              <w:rPr>
                <w:rFonts w:ascii="黑体"/>
                <w:sz w:val="20"/>
              </w:rPr>
            </w:pPr>
          </w:p>
          <w:p>
            <w:pPr>
              <w:pStyle w:val="21"/>
              <w:spacing w:before="1"/>
              <w:rPr>
                <w:rFonts w:ascii="黑体"/>
                <w:sz w:val="18"/>
              </w:rPr>
            </w:pPr>
          </w:p>
          <w:p>
            <w:pPr>
              <w:pStyle w:val="21"/>
              <w:spacing w:line="357" w:lineRule="auto"/>
              <w:ind w:left="111" w:right="101"/>
              <w:rPr>
                <w:sz w:val="21"/>
              </w:rPr>
            </w:pPr>
            <w:r>
              <w:rPr>
                <w:sz w:val="21"/>
              </w:rPr>
              <w:t>生产能力</w:t>
            </w:r>
          </w:p>
        </w:tc>
        <w:tc>
          <w:tcPr>
            <w:tcW w:w="2104" w:type="dxa"/>
            <w:gridSpan w:val="4"/>
          </w:tcPr>
          <w:p>
            <w:pPr>
              <w:pStyle w:val="21"/>
              <w:spacing w:before="147"/>
              <w:ind w:left="524"/>
              <w:rPr>
                <w:sz w:val="21"/>
              </w:rPr>
            </w:pPr>
            <w:r>
              <w:rPr>
                <w:sz w:val="21"/>
              </w:rPr>
              <w:t>数量（台）</w:t>
            </w:r>
          </w:p>
        </w:tc>
        <w:tc>
          <w:tcPr>
            <w:tcW w:w="951" w:type="dxa"/>
            <w:vMerge w:val="restart"/>
          </w:tcPr>
          <w:p>
            <w:pPr>
              <w:pStyle w:val="21"/>
              <w:rPr>
                <w:rFonts w:ascii="黑体"/>
                <w:sz w:val="20"/>
              </w:rPr>
            </w:pPr>
          </w:p>
          <w:p>
            <w:pPr>
              <w:pStyle w:val="21"/>
              <w:spacing w:before="1"/>
              <w:rPr>
                <w:rFonts w:ascii="黑体"/>
                <w:sz w:val="18"/>
              </w:rPr>
            </w:pPr>
          </w:p>
          <w:p>
            <w:pPr>
              <w:pStyle w:val="21"/>
              <w:spacing w:line="357" w:lineRule="auto"/>
              <w:ind w:left="161" w:right="144"/>
              <w:rPr>
                <w:sz w:val="21"/>
              </w:rPr>
            </w:pPr>
            <w:r>
              <w:rPr>
                <w:sz w:val="21"/>
              </w:rPr>
              <w:t>预计进场时间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vMerge w:val="continue"/>
            <w:tcBorders>
              <w:top w:val="nil"/>
            </w:tcBorders>
          </w:tcPr>
          <w:p>
            <w:pPr>
              <w:rPr>
                <w:sz w:val="2"/>
                <w:szCs w:val="2"/>
              </w:rPr>
            </w:pPr>
          </w:p>
        </w:tc>
        <w:tc>
          <w:tcPr>
            <w:tcW w:w="1085" w:type="dxa"/>
            <w:vMerge w:val="continue"/>
            <w:tcBorders>
              <w:top w:val="nil"/>
            </w:tcBorders>
          </w:tcPr>
          <w:p>
            <w:pPr>
              <w:rPr>
                <w:sz w:val="2"/>
                <w:szCs w:val="2"/>
              </w:rPr>
            </w:pPr>
          </w:p>
        </w:tc>
        <w:tc>
          <w:tcPr>
            <w:tcW w:w="759"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430" w:type="dxa"/>
            <w:vMerge w:val="restart"/>
          </w:tcPr>
          <w:p>
            <w:pPr>
              <w:pStyle w:val="21"/>
              <w:spacing w:before="134" w:line="400" w:lineRule="atLeast"/>
              <w:ind w:left="104" w:right="102"/>
              <w:rPr>
                <w:sz w:val="21"/>
              </w:rPr>
            </w:pPr>
            <w:r>
              <w:rPr>
                <w:sz w:val="21"/>
              </w:rPr>
              <w:t>小计</w:t>
            </w:r>
          </w:p>
        </w:tc>
        <w:tc>
          <w:tcPr>
            <w:tcW w:w="1674" w:type="dxa"/>
            <w:gridSpan w:val="3"/>
          </w:tcPr>
          <w:p>
            <w:pPr>
              <w:pStyle w:val="21"/>
              <w:spacing w:before="130" w:line="250" w:lineRule="exact"/>
              <w:ind w:left="553" w:right="545"/>
              <w:jc w:val="center"/>
              <w:rPr>
                <w:sz w:val="21"/>
              </w:rPr>
            </w:pPr>
            <w:r>
              <w:rPr>
                <w:sz w:val="21"/>
              </w:rPr>
              <w:t>其 中</w:t>
            </w:r>
          </w:p>
        </w:tc>
        <w:tc>
          <w:tcPr>
            <w:tcW w:w="9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14" w:type="dxa"/>
            <w:vMerge w:val="continue"/>
            <w:tcBorders>
              <w:top w:val="nil"/>
            </w:tcBorders>
          </w:tcPr>
          <w:p>
            <w:pPr>
              <w:rPr>
                <w:sz w:val="2"/>
                <w:szCs w:val="2"/>
              </w:rPr>
            </w:pPr>
          </w:p>
        </w:tc>
        <w:tc>
          <w:tcPr>
            <w:tcW w:w="1085" w:type="dxa"/>
            <w:vMerge w:val="continue"/>
            <w:tcBorders>
              <w:top w:val="nil"/>
            </w:tcBorders>
          </w:tcPr>
          <w:p>
            <w:pPr>
              <w:rPr>
                <w:sz w:val="2"/>
                <w:szCs w:val="2"/>
              </w:rPr>
            </w:pPr>
          </w:p>
        </w:tc>
        <w:tc>
          <w:tcPr>
            <w:tcW w:w="759"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557" w:type="dxa"/>
          </w:tcPr>
          <w:p>
            <w:pPr>
              <w:pStyle w:val="21"/>
              <w:spacing w:before="3"/>
              <w:rPr>
                <w:rFonts w:ascii="黑体"/>
                <w:sz w:val="20"/>
              </w:rPr>
            </w:pPr>
          </w:p>
          <w:p>
            <w:pPr>
              <w:pStyle w:val="21"/>
              <w:spacing w:before="1"/>
              <w:ind w:left="65"/>
              <w:rPr>
                <w:sz w:val="21"/>
              </w:rPr>
            </w:pPr>
            <w:r>
              <w:rPr>
                <w:sz w:val="21"/>
              </w:rPr>
              <w:t>自有</w:t>
            </w:r>
          </w:p>
        </w:tc>
        <w:tc>
          <w:tcPr>
            <w:tcW w:w="559" w:type="dxa"/>
          </w:tcPr>
          <w:p>
            <w:pPr>
              <w:pStyle w:val="21"/>
              <w:spacing w:before="3"/>
              <w:rPr>
                <w:rFonts w:ascii="黑体"/>
                <w:sz w:val="20"/>
              </w:rPr>
            </w:pPr>
          </w:p>
          <w:p>
            <w:pPr>
              <w:pStyle w:val="21"/>
              <w:spacing w:before="1"/>
              <w:ind w:left="67"/>
              <w:rPr>
                <w:sz w:val="21"/>
              </w:rPr>
            </w:pPr>
            <w:r>
              <w:rPr>
                <w:sz w:val="21"/>
              </w:rPr>
              <w:t>新购</w:t>
            </w:r>
          </w:p>
        </w:tc>
        <w:tc>
          <w:tcPr>
            <w:tcW w:w="558" w:type="dxa"/>
          </w:tcPr>
          <w:p>
            <w:pPr>
              <w:pStyle w:val="21"/>
              <w:spacing w:before="3"/>
              <w:rPr>
                <w:rFonts w:ascii="黑体"/>
                <w:sz w:val="20"/>
              </w:rPr>
            </w:pPr>
          </w:p>
          <w:p>
            <w:pPr>
              <w:pStyle w:val="21"/>
              <w:spacing w:before="1"/>
              <w:ind w:left="68"/>
              <w:rPr>
                <w:sz w:val="21"/>
              </w:rPr>
            </w:pPr>
            <w:r>
              <w:rPr>
                <w:sz w:val="21"/>
              </w:rPr>
              <w:t>租赁</w:t>
            </w:r>
          </w:p>
        </w:tc>
        <w:tc>
          <w:tcPr>
            <w:tcW w:w="9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21"/>
              <w:rPr>
                <w:rFonts w:ascii="Times New Roman"/>
                <w:sz w:val="20"/>
              </w:rPr>
            </w:pPr>
          </w:p>
        </w:tc>
        <w:tc>
          <w:tcPr>
            <w:tcW w:w="1085" w:type="dxa"/>
          </w:tcPr>
          <w:p>
            <w:pPr>
              <w:pStyle w:val="21"/>
              <w:rPr>
                <w:rFonts w:ascii="Times New Roman"/>
                <w:sz w:val="20"/>
              </w:rPr>
            </w:pPr>
          </w:p>
        </w:tc>
        <w:tc>
          <w:tcPr>
            <w:tcW w:w="759" w:type="dxa"/>
          </w:tcPr>
          <w:p>
            <w:pPr>
              <w:pStyle w:val="21"/>
              <w:rPr>
                <w:rFonts w:ascii="Times New Roman"/>
                <w:sz w:val="20"/>
              </w:rPr>
            </w:pPr>
          </w:p>
        </w:tc>
        <w:tc>
          <w:tcPr>
            <w:tcW w:w="670" w:type="dxa"/>
          </w:tcPr>
          <w:p>
            <w:pPr>
              <w:pStyle w:val="21"/>
              <w:rPr>
                <w:rFonts w:ascii="Times New Roman"/>
                <w:sz w:val="20"/>
              </w:rPr>
            </w:pPr>
          </w:p>
        </w:tc>
        <w:tc>
          <w:tcPr>
            <w:tcW w:w="660" w:type="dxa"/>
          </w:tcPr>
          <w:p>
            <w:pPr>
              <w:pStyle w:val="21"/>
              <w:rPr>
                <w:rFonts w:ascii="Times New Roman"/>
                <w:sz w:val="20"/>
              </w:rPr>
            </w:pPr>
          </w:p>
        </w:tc>
        <w:tc>
          <w:tcPr>
            <w:tcW w:w="941" w:type="dxa"/>
          </w:tcPr>
          <w:p>
            <w:pPr>
              <w:pStyle w:val="21"/>
              <w:rPr>
                <w:rFonts w:ascii="Times New Roman"/>
                <w:sz w:val="20"/>
              </w:rPr>
            </w:pPr>
          </w:p>
        </w:tc>
        <w:tc>
          <w:tcPr>
            <w:tcW w:w="648" w:type="dxa"/>
          </w:tcPr>
          <w:p>
            <w:pPr>
              <w:pStyle w:val="21"/>
              <w:rPr>
                <w:rFonts w:ascii="Times New Roman"/>
                <w:sz w:val="20"/>
              </w:rPr>
            </w:pPr>
          </w:p>
        </w:tc>
        <w:tc>
          <w:tcPr>
            <w:tcW w:w="430" w:type="dxa"/>
          </w:tcPr>
          <w:p>
            <w:pPr>
              <w:pStyle w:val="21"/>
              <w:rPr>
                <w:rFonts w:ascii="Times New Roman"/>
                <w:sz w:val="20"/>
              </w:rPr>
            </w:pPr>
          </w:p>
        </w:tc>
        <w:tc>
          <w:tcPr>
            <w:tcW w:w="557" w:type="dxa"/>
          </w:tcPr>
          <w:p>
            <w:pPr>
              <w:pStyle w:val="21"/>
              <w:rPr>
                <w:rFonts w:ascii="Times New Roman"/>
                <w:sz w:val="20"/>
              </w:rPr>
            </w:pPr>
          </w:p>
        </w:tc>
        <w:tc>
          <w:tcPr>
            <w:tcW w:w="559" w:type="dxa"/>
          </w:tcPr>
          <w:p>
            <w:pPr>
              <w:pStyle w:val="21"/>
              <w:rPr>
                <w:rFonts w:ascii="Times New Roman"/>
                <w:sz w:val="20"/>
              </w:rPr>
            </w:pPr>
          </w:p>
        </w:tc>
        <w:tc>
          <w:tcPr>
            <w:tcW w:w="558" w:type="dxa"/>
          </w:tcPr>
          <w:p>
            <w:pPr>
              <w:pStyle w:val="21"/>
              <w:rPr>
                <w:rFonts w:ascii="Times New Roman"/>
                <w:sz w:val="20"/>
              </w:rPr>
            </w:pPr>
          </w:p>
        </w:tc>
        <w:tc>
          <w:tcPr>
            <w:tcW w:w="951" w:type="dxa"/>
          </w:tcPr>
          <w:p>
            <w:pPr>
              <w:pStyle w:val="21"/>
              <w:rPr>
                <w:rFonts w:ascii="Times New Roman"/>
                <w:sz w:val="20"/>
              </w:rPr>
            </w:pPr>
          </w:p>
        </w:tc>
      </w:tr>
    </w:tbl>
    <w:p>
      <w:pPr>
        <w:spacing w:before="128"/>
        <w:ind w:left="264"/>
        <w:rPr>
          <w:sz w:val="21"/>
        </w:rPr>
      </w:pPr>
      <w:r>
        <w:rPr>
          <w:sz w:val="21"/>
        </w:rPr>
        <w:t xml:space="preserve">注：本表填报的设备应满足招标文件第二章“投标人须知”前附表附录 </w:t>
      </w:r>
      <w:r>
        <w:rPr>
          <w:rFonts w:ascii="Times New Roman" w:hAnsi="Times New Roman" w:eastAsia="Times New Roman"/>
          <w:sz w:val="21"/>
        </w:rPr>
        <w:t xml:space="preserve">7 </w:t>
      </w:r>
      <w:r>
        <w:rPr>
          <w:sz w:val="21"/>
        </w:rPr>
        <w:t>的要求。</w:t>
      </w:r>
    </w:p>
    <w:p>
      <w:pPr>
        <w:rPr>
          <w:sz w:val="21"/>
        </w:rPr>
        <w:sectPr>
          <w:pgSz w:w="11910" w:h="16850"/>
          <w:pgMar w:top="1540" w:right="1140" w:bottom="1980" w:left="1380" w:header="883" w:footer="1792" w:gutter="0"/>
          <w:cols w:space="720" w:num="1"/>
        </w:sectPr>
      </w:pPr>
    </w:p>
    <w:p>
      <w:pPr>
        <w:pStyle w:val="11"/>
        <w:rPr>
          <w:sz w:val="20"/>
        </w:rPr>
      </w:pPr>
    </w:p>
    <w:p>
      <w:pPr>
        <w:pStyle w:val="11"/>
        <w:spacing w:before="6"/>
        <w:rPr>
          <w:sz w:val="19"/>
        </w:rPr>
      </w:pPr>
    </w:p>
    <w:p>
      <w:pPr>
        <w:pStyle w:val="11"/>
        <w:ind w:left="1241"/>
        <w:rPr>
          <w:rFonts w:ascii="黑体" w:hAnsi="黑体" w:eastAsia="黑体"/>
          <w:sz w:val="12"/>
        </w:rPr>
      </w:pPr>
      <w:bookmarkStart w:id="301" w:name="_bookmark320"/>
      <w:bookmarkEnd w:id="301"/>
      <w:r>
        <w:rPr>
          <w:rFonts w:hint="eastAsia" w:ascii="黑体" w:hAnsi="黑体" w:eastAsia="黑体"/>
        </w:rPr>
        <w:t>（十） 拟配备本标段的主要材料试验、测量、质检仪器设备表</w:t>
      </w:r>
      <w:r>
        <w:rPr>
          <w:rFonts w:hint="eastAsia" w:ascii="黑体" w:hAnsi="黑体" w:eastAsia="黑体"/>
          <w:position w:val="11"/>
          <w:sz w:val="12"/>
        </w:rPr>
        <w:t>①</w:t>
      </w:r>
    </w:p>
    <w:p>
      <w:pPr>
        <w:pStyle w:val="11"/>
        <w:rPr>
          <w:rFonts w:ascii="黑体"/>
          <w:sz w:val="20"/>
        </w:rPr>
      </w:pPr>
    </w:p>
    <w:p>
      <w:pPr>
        <w:pStyle w:val="11"/>
        <w:spacing w:before="6"/>
        <w:rPr>
          <w:rFonts w:ascii="黑体"/>
          <w:sz w:val="11"/>
        </w:rPr>
      </w:pPr>
    </w:p>
    <w:tbl>
      <w:tblPr>
        <w:tblStyle w:val="19"/>
        <w:tblW w:w="8707" w:type="dxa"/>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1618"/>
        <w:gridCol w:w="1029"/>
        <w:gridCol w:w="1015"/>
        <w:gridCol w:w="1027"/>
        <w:gridCol w:w="1024"/>
        <w:gridCol w:w="1694"/>
        <w:gridCol w:w="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spacing w:before="4"/>
              <w:rPr>
                <w:rFonts w:ascii="黑体"/>
                <w:sz w:val="19"/>
              </w:rPr>
            </w:pPr>
          </w:p>
          <w:p>
            <w:pPr>
              <w:pStyle w:val="21"/>
              <w:ind w:left="91"/>
              <w:rPr>
                <w:sz w:val="21"/>
              </w:rPr>
            </w:pPr>
            <w:r>
              <w:rPr>
                <w:sz w:val="21"/>
              </w:rPr>
              <w:t>序号</w:t>
            </w:r>
          </w:p>
        </w:tc>
        <w:tc>
          <w:tcPr>
            <w:tcW w:w="1618" w:type="dxa"/>
          </w:tcPr>
          <w:p>
            <w:pPr>
              <w:pStyle w:val="21"/>
              <w:spacing w:before="4"/>
              <w:rPr>
                <w:rFonts w:ascii="黑体"/>
                <w:sz w:val="19"/>
              </w:rPr>
            </w:pPr>
          </w:p>
          <w:p>
            <w:pPr>
              <w:pStyle w:val="21"/>
              <w:ind w:left="177"/>
              <w:rPr>
                <w:sz w:val="21"/>
              </w:rPr>
            </w:pPr>
            <w:r>
              <w:rPr>
                <w:sz w:val="21"/>
              </w:rPr>
              <w:t>仪器设备名称</w:t>
            </w:r>
          </w:p>
        </w:tc>
        <w:tc>
          <w:tcPr>
            <w:tcW w:w="1029" w:type="dxa"/>
          </w:tcPr>
          <w:p>
            <w:pPr>
              <w:pStyle w:val="21"/>
              <w:spacing w:before="4"/>
              <w:rPr>
                <w:rFonts w:ascii="黑体"/>
                <w:sz w:val="19"/>
              </w:rPr>
            </w:pPr>
          </w:p>
          <w:p>
            <w:pPr>
              <w:pStyle w:val="21"/>
              <w:ind w:left="93"/>
              <w:rPr>
                <w:sz w:val="21"/>
              </w:rPr>
            </w:pPr>
            <w:r>
              <w:rPr>
                <w:sz w:val="21"/>
              </w:rPr>
              <w:t>型号规格</w:t>
            </w:r>
          </w:p>
        </w:tc>
        <w:tc>
          <w:tcPr>
            <w:tcW w:w="1015" w:type="dxa"/>
          </w:tcPr>
          <w:p>
            <w:pPr>
              <w:pStyle w:val="21"/>
              <w:spacing w:before="4"/>
              <w:rPr>
                <w:rFonts w:ascii="黑体"/>
                <w:sz w:val="19"/>
              </w:rPr>
            </w:pPr>
          </w:p>
          <w:p>
            <w:pPr>
              <w:pStyle w:val="21"/>
              <w:ind w:left="297"/>
              <w:rPr>
                <w:sz w:val="21"/>
              </w:rPr>
            </w:pPr>
            <w:r>
              <w:rPr>
                <w:sz w:val="21"/>
              </w:rPr>
              <w:t>数量</w:t>
            </w:r>
          </w:p>
        </w:tc>
        <w:tc>
          <w:tcPr>
            <w:tcW w:w="1027" w:type="dxa"/>
          </w:tcPr>
          <w:p>
            <w:pPr>
              <w:pStyle w:val="21"/>
              <w:spacing w:before="4"/>
              <w:rPr>
                <w:rFonts w:ascii="黑体"/>
                <w:sz w:val="19"/>
              </w:rPr>
            </w:pPr>
          </w:p>
          <w:p>
            <w:pPr>
              <w:pStyle w:val="21"/>
              <w:ind w:left="91"/>
              <w:rPr>
                <w:sz w:val="21"/>
              </w:rPr>
            </w:pPr>
            <w:r>
              <w:rPr>
                <w:sz w:val="21"/>
              </w:rPr>
              <w:t>国别产地</w:t>
            </w:r>
          </w:p>
        </w:tc>
        <w:tc>
          <w:tcPr>
            <w:tcW w:w="1024" w:type="dxa"/>
          </w:tcPr>
          <w:p>
            <w:pPr>
              <w:pStyle w:val="21"/>
              <w:spacing w:before="4"/>
              <w:rPr>
                <w:rFonts w:ascii="黑体"/>
                <w:sz w:val="19"/>
              </w:rPr>
            </w:pPr>
          </w:p>
          <w:p>
            <w:pPr>
              <w:pStyle w:val="21"/>
              <w:ind w:left="92"/>
              <w:rPr>
                <w:sz w:val="21"/>
              </w:rPr>
            </w:pPr>
            <w:r>
              <w:rPr>
                <w:sz w:val="21"/>
              </w:rPr>
              <w:t>制造年份</w:t>
            </w:r>
          </w:p>
        </w:tc>
        <w:tc>
          <w:tcPr>
            <w:tcW w:w="1694" w:type="dxa"/>
          </w:tcPr>
          <w:p>
            <w:pPr>
              <w:pStyle w:val="21"/>
              <w:spacing w:before="4"/>
              <w:rPr>
                <w:rFonts w:ascii="黑体"/>
                <w:sz w:val="19"/>
              </w:rPr>
            </w:pPr>
          </w:p>
          <w:p>
            <w:pPr>
              <w:pStyle w:val="21"/>
              <w:ind w:left="619" w:right="605"/>
              <w:jc w:val="center"/>
              <w:rPr>
                <w:sz w:val="21"/>
              </w:rPr>
            </w:pPr>
            <w:r>
              <w:rPr>
                <w:sz w:val="21"/>
              </w:rPr>
              <w:t>用途</w:t>
            </w:r>
          </w:p>
        </w:tc>
        <w:tc>
          <w:tcPr>
            <w:tcW w:w="695" w:type="dxa"/>
          </w:tcPr>
          <w:p>
            <w:pPr>
              <w:pStyle w:val="21"/>
              <w:spacing w:before="4"/>
              <w:rPr>
                <w:rFonts w:ascii="黑体"/>
                <w:sz w:val="19"/>
              </w:rPr>
            </w:pPr>
          </w:p>
          <w:p>
            <w:pPr>
              <w:pStyle w:val="21"/>
              <w:ind w:left="139"/>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21"/>
              <w:rPr>
                <w:rFonts w:ascii="Times New Roman"/>
                <w:sz w:val="20"/>
              </w:rPr>
            </w:pPr>
          </w:p>
        </w:tc>
        <w:tc>
          <w:tcPr>
            <w:tcW w:w="1618" w:type="dxa"/>
          </w:tcPr>
          <w:p>
            <w:pPr>
              <w:pStyle w:val="21"/>
              <w:rPr>
                <w:rFonts w:ascii="Times New Roman"/>
                <w:sz w:val="20"/>
              </w:rPr>
            </w:pPr>
          </w:p>
        </w:tc>
        <w:tc>
          <w:tcPr>
            <w:tcW w:w="1029" w:type="dxa"/>
          </w:tcPr>
          <w:p>
            <w:pPr>
              <w:pStyle w:val="21"/>
              <w:rPr>
                <w:rFonts w:ascii="Times New Roman"/>
                <w:sz w:val="20"/>
              </w:rPr>
            </w:pPr>
          </w:p>
        </w:tc>
        <w:tc>
          <w:tcPr>
            <w:tcW w:w="1015" w:type="dxa"/>
          </w:tcPr>
          <w:p>
            <w:pPr>
              <w:pStyle w:val="21"/>
              <w:rPr>
                <w:rFonts w:ascii="Times New Roman"/>
                <w:sz w:val="20"/>
              </w:rPr>
            </w:pPr>
          </w:p>
        </w:tc>
        <w:tc>
          <w:tcPr>
            <w:tcW w:w="1027" w:type="dxa"/>
          </w:tcPr>
          <w:p>
            <w:pPr>
              <w:pStyle w:val="21"/>
              <w:rPr>
                <w:rFonts w:ascii="Times New Roman"/>
                <w:sz w:val="20"/>
              </w:rPr>
            </w:pPr>
          </w:p>
        </w:tc>
        <w:tc>
          <w:tcPr>
            <w:tcW w:w="1024" w:type="dxa"/>
          </w:tcPr>
          <w:p>
            <w:pPr>
              <w:pStyle w:val="21"/>
              <w:rPr>
                <w:rFonts w:ascii="Times New Roman"/>
                <w:sz w:val="20"/>
              </w:rPr>
            </w:pPr>
          </w:p>
        </w:tc>
        <w:tc>
          <w:tcPr>
            <w:tcW w:w="1694" w:type="dxa"/>
          </w:tcPr>
          <w:p>
            <w:pPr>
              <w:pStyle w:val="21"/>
              <w:rPr>
                <w:rFonts w:ascii="Times New Roman"/>
                <w:sz w:val="20"/>
              </w:rPr>
            </w:pPr>
          </w:p>
        </w:tc>
        <w:tc>
          <w:tcPr>
            <w:tcW w:w="695" w:type="dxa"/>
          </w:tcPr>
          <w:p>
            <w:pPr>
              <w:pStyle w:val="21"/>
              <w:rPr>
                <w:rFonts w:ascii="Times New Roman"/>
                <w:sz w:val="20"/>
              </w:rPr>
            </w:pPr>
          </w:p>
        </w:tc>
      </w:tr>
    </w:tbl>
    <w:p>
      <w:pPr>
        <w:spacing w:before="129"/>
        <w:ind w:left="264"/>
        <w:rPr>
          <w:sz w:val="21"/>
        </w:rPr>
      </w:pPr>
      <w:r>
        <w:rPr>
          <w:sz w:val="21"/>
        </w:rPr>
        <w:t xml:space="preserve">注：本表填报的设备应满足招标文件第二章“投标人须知”前附表附录 </w:t>
      </w:r>
      <w:r>
        <w:rPr>
          <w:rFonts w:ascii="Times New Roman" w:hAnsi="Times New Roman" w:eastAsia="Times New Roman"/>
          <w:sz w:val="21"/>
        </w:rPr>
        <w:t xml:space="preserve">7 </w:t>
      </w:r>
      <w:r>
        <w:rPr>
          <w:sz w:val="21"/>
        </w:rPr>
        <w:t>的要求。</w:t>
      </w:r>
    </w:p>
    <w:p>
      <w:pPr>
        <w:rPr>
          <w:sz w:val="21"/>
        </w:rPr>
        <w:sectPr>
          <w:pgSz w:w="11910" w:h="16850"/>
          <w:pgMar w:top="1540" w:right="1140" w:bottom="1980" w:left="1380" w:header="876" w:footer="1792" w:gutter="0"/>
          <w:cols w:space="720" w:num="1"/>
        </w:sectPr>
      </w:pPr>
    </w:p>
    <w:p>
      <w:pPr>
        <w:spacing w:before="56"/>
        <w:ind w:right="178"/>
        <w:jc w:val="center"/>
        <w:rPr>
          <w:rFonts w:ascii="黑体" w:eastAsia="黑体"/>
          <w:sz w:val="28"/>
        </w:rPr>
      </w:pPr>
      <w:bookmarkStart w:id="302" w:name="_bookmark321"/>
      <w:bookmarkEnd w:id="302"/>
      <w:r>
        <w:rPr>
          <w:rFonts w:hint="eastAsia" w:ascii="黑体" w:eastAsia="黑体"/>
          <w:sz w:val="28"/>
        </w:rPr>
        <w:t>九、其他资料</w:t>
      </w:r>
    </w:p>
    <w:p>
      <w:pPr>
        <w:jc w:val="center"/>
        <w:rPr>
          <w:rFonts w:ascii="黑体" w:eastAsia="黑体"/>
          <w:sz w:val="28"/>
        </w:rPr>
      </w:pPr>
    </w:p>
    <w:p>
      <w:pPr>
        <w:jc w:val="center"/>
        <w:rPr>
          <w:rFonts w:ascii="黑体" w:eastAsia="黑体"/>
          <w:sz w:val="28"/>
        </w:rPr>
      </w:pPr>
    </w:p>
    <w:p>
      <w:pPr>
        <w:jc w:val="center"/>
        <w:rPr>
          <w:rFonts w:ascii="黑体" w:eastAsia="黑体"/>
          <w:sz w:val="28"/>
          <w:szCs w:val="28"/>
        </w:rPr>
        <w:sectPr>
          <w:footerReference r:id="rId108" w:type="default"/>
          <w:footerReference r:id="rId109" w:type="even"/>
          <w:pgSz w:w="11910" w:h="16850"/>
          <w:pgMar w:top="1540" w:right="1140" w:bottom="1080" w:left="1380" w:header="883" w:footer="884" w:gutter="0"/>
          <w:cols w:space="720" w:num="1"/>
        </w:sectPr>
      </w:pPr>
      <w:r>
        <w:rPr>
          <w:rFonts w:hint="eastAsia" w:ascii="Times New Roman"/>
          <w:sz w:val="28"/>
          <w:szCs w:val="28"/>
        </w:rPr>
        <w:t>附四川省交通运输厅网站能反映投标人当前信用等级的页面打印件</w:t>
      </w: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9"/>
        <w:rPr>
          <w:rFonts w:ascii="黑体"/>
          <w:sz w:val="19"/>
        </w:rPr>
      </w:pPr>
    </w:p>
    <w:p>
      <w:pPr>
        <w:pStyle w:val="11"/>
        <w:rPr>
          <w:rFonts w:ascii="黑体"/>
          <w:sz w:val="20"/>
        </w:rPr>
      </w:pPr>
    </w:p>
    <w:p>
      <w:pPr>
        <w:pStyle w:val="11"/>
        <w:rPr>
          <w:rFonts w:ascii="黑体"/>
          <w:sz w:val="20"/>
        </w:rPr>
      </w:pPr>
    </w:p>
    <w:p>
      <w:pPr>
        <w:pStyle w:val="11"/>
        <w:rPr>
          <w:rFonts w:ascii="黑体"/>
          <w:sz w:val="20"/>
        </w:rPr>
      </w:pPr>
    </w:p>
    <w:p>
      <w:pPr>
        <w:pStyle w:val="11"/>
        <w:spacing w:before="2"/>
        <w:rPr>
          <w:rFonts w:ascii="黑体"/>
          <w:sz w:val="19"/>
        </w:rPr>
      </w:pPr>
    </w:p>
    <w:p>
      <w:pPr>
        <w:pStyle w:val="11"/>
        <w:tabs>
          <w:tab w:val="left" w:pos="2212"/>
          <w:tab w:val="left" w:pos="4918"/>
        </w:tabs>
        <w:spacing w:before="74"/>
        <w:ind w:right="293"/>
        <w:jc w:val="center"/>
        <w:rPr>
          <w:rFonts w:ascii="黑体" w:eastAsia="黑体"/>
        </w:rPr>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rPr>
          <w:rFonts w:hint="eastAsia" w:ascii="黑体" w:eastAsia="黑体"/>
        </w:rPr>
        <w:t>（项目名称）</w:t>
      </w:r>
      <w:r>
        <w:rPr>
          <w:rFonts w:hint="eastAsia" w:ascii="黑体" w:eastAsia="黑体"/>
          <w:u w:val="single"/>
        </w:rPr>
        <w:t xml:space="preserve"> </w:t>
      </w:r>
      <w:r>
        <w:rPr>
          <w:rFonts w:hint="eastAsia" w:ascii="黑体" w:eastAsia="黑体"/>
          <w:u w:val="single"/>
        </w:rPr>
        <w:tab/>
      </w:r>
      <w:r>
        <w:rPr>
          <w:rFonts w:hint="eastAsia" w:ascii="黑体" w:eastAsia="黑体"/>
        </w:rPr>
        <w:t>标段施工招标</w:t>
      </w: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pStyle w:val="11"/>
        <w:spacing w:before="3"/>
        <w:rPr>
          <w:rFonts w:ascii="黑体"/>
          <w:sz w:val="35"/>
        </w:rPr>
      </w:pPr>
    </w:p>
    <w:p>
      <w:pPr>
        <w:tabs>
          <w:tab w:val="left" w:pos="1440"/>
          <w:tab w:val="left" w:pos="2880"/>
          <w:tab w:val="left" w:pos="4320"/>
        </w:tabs>
        <w:ind w:right="181"/>
        <w:jc w:val="center"/>
        <w:rPr>
          <w:rFonts w:ascii="黑体" w:eastAsia="黑体"/>
          <w:sz w:val="72"/>
        </w:rPr>
      </w:pPr>
      <w:bookmarkStart w:id="303" w:name="_bookmark322"/>
      <w:bookmarkEnd w:id="303"/>
      <w:r>
        <w:rPr>
          <w:rFonts w:hint="eastAsia" w:ascii="黑体" w:eastAsia="黑体"/>
          <w:sz w:val="72"/>
        </w:rPr>
        <w:t>投</w:t>
      </w:r>
      <w:r>
        <w:rPr>
          <w:rFonts w:hint="eastAsia" w:ascii="黑体" w:eastAsia="黑体"/>
          <w:sz w:val="72"/>
        </w:rPr>
        <w:tab/>
      </w:r>
      <w:r>
        <w:rPr>
          <w:rFonts w:hint="eastAsia" w:ascii="黑体" w:eastAsia="黑体"/>
          <w:sz w:val="72"/>
        </w:rPr>
        <w:t>标</w:t>
      </w:r>
      <w:r>
        <w:rPr>
          <w:rFonts w:hint="eastAsia" w:ascii="黑体" w:eastAsia="黑体"/>
          <w:sz w:val="72"/>
        </w:rPr>
        <w:tab/>
      </w:r>
      <w:r>
        <w:rPr>
          <w:rFonts w:hint="eastAsia" w:ascii="黑体" w:eastAsia="黑体"/>
          <w:sz w:val="72"/>
        </w:rPr>
        <w:t>文</w:t>
      </w:r>
      <w:r>
        <w:rPr>
          <w:rFonts w:hint="eastAsia" w:ascii="黑体" w:eastAsia="黑体"/>
          <w:sz w:val="72"/>
        </w:rPr>
        <w:tab/>
      </w:r>
      <w:r>
        <w:rPr>
          <w:rFonts w:hint="eastAsia" w:ascii="黑体" w:eastAsia="黑体"/>
          <w:sz w:val="72"/>
        </w:rPr>
        <w:t>件</w:t>
      </w:r>
    </w:p>
    <w:p>
      <w:pPr>
        <w:pStyle w:val="7"/>
        <w:spacing w:before="479"/>
        <w:ind w:right="180"/>
        <w:jc w:val="center"/>
      </w:pPr>
      <w:r>
        <w:t>（报价文件）</w:t>
      </w: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spacing w:before="5"/>
        <w:rPr>
          <w:rFonts w:ascii="黑体"/>
          <w:sz w:val="45"/>
        </w:rPr>
      </w:pPr>
    </w:p>
    <w:p>
      <w:pPr>
        <w:tabs>
          <w:tab w:val="left" w:pos="5880"/>
        </w:tabs>
        <w:spacing w:before="1"/>
        <w:ind w:right="17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11"/>
        <w:rPr>
          <w:rFonts w:ascii="黑体"/>
          <w:sz w:val="20"/>
        </w:rPr>
      </w:pPr>
    </w:p>
    <w:p>
      <w:pPr>
        <w:pStyle w:val="11"/>
        <w:spacing w:before="12"/>
        <w:rPr>
          <w:rFonts w:ascii="黑体"/>
          <w:sz w:val="15"/>
        </w:rPr>
      </w:pPr>
    </w:p>
    <w:p>
      <w:pPr>
        <w:tabs>
          <w:tab w:val="left" w:pos="3550"/>
          <w:tab w:val="left" w:pos="4952"/>
          <w:tab w:val="left" w:pos="6490"/>
        </w:tabs>
        <w:spacing w:before="62"/>
        <w:ind w:left="2432"/>
        <w:rPr>
          <w:rFonts w:ascii="黑体" w:eastAsia="黑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rPr>
          <w:rFonts w:ascii="黑体" w:eastAsia="黑体"/>
          <w:sz w:val="28"/>
        </w:rPr>
        <w:sectPr>
          <w:pgSz w:w="11910" w:h="16850"/>
          <w:pgMar w:top="1540" w:right="1140" w:bottom="1060" w:left="1380" w:header="876" w:footer="860" w:gutter="0"/>
          <w:cols w:space="720" w:num="1"/>
        </w:sectPr>
      </w:pPr>
    </w:p>
    <w:p>
      <w:pPr>
        <w:pStyle w:val="11"/>
        <w:rPr>
          <w:rFonts w:ascii="黑体"/>
          <w:sz w:val="20"/>
        </w:rPr>
      </w:pPr>
    </w:p>
    <w:p>
      <w:pPr>
        <w:pStyle w:val="11"/>
        <w:rPr>
          <w:rFonts w:ascii="黑体"/>
          <w:sz w:val="20"/>
        </w:rPr>
      </w:pPr>
    </w:p>
    <w:p>
      <w:pPr>
        <w:pStyle w:val="11"/>
        <w:rPr>
          <w:rFonts w:ascii="黑体"/>
          <w:sz w:val="20"/>
        </w:rPr>
      </w:pPr>
    </w:p>
    <w:p>
      <w:pPr>
        <w:pStyle w:val="9"/>
        <w:tabs>
          <w:tab w:val="left" w:pos="5050"/>
        </w:tabs>
      </w:pPr>
      <w:r>
        <w:t>目</w:t>
      </w:r>
      <w:r>
        <w:tab/>
      </w:r>
      <w:r>
        <w:t>录</w:t>
      </w:r>
    </w:p>
    <w:p>
      <w:pPr>
        <w:pStyle w:val="11"/>
        <w:spacing w:before="6"/>
        <w:rPr>
          <w:rFonts w:ascii="黑体"/>
          <w:b/>
          <w:sz w:val="43"/>
        </w:rPr>
      </w:pPr>
    </w:p>
    <w:p>
      <w:pPr>
        <w:pStyle w:val="11"/>
        <w:spacing w:line="343" w:lineRule="auto"/>
        <w:ind w:left="1884" w:right="5219"/>
      </w:pPr>
      <w:r>
        <w:t xml:space="preserve"> 一、投标函 </w:t>
      </w:r>
    </w:p>
    <w:p>
      <w:pPr>
        <w:pStyle w:val="11"/>
        <w:spacing w:before="1" w:line="343" w:lineRule="auto"/>
        <w:ind w:left="1884" w:right="4979"/>
      </w:pPr>
      <w:r>
        <w:t xml:space="preserve">二、已标价工程量清单三、合同用款估算表 </w:t>
      </w:r>
    </w:p>
    <w:p>
      <w:pPr>
        <w:pStyle w:val="11"/>
        <w:spacing w:line="307" w:lineRule="exact"/>
        <w:ind w:left="1884"/>
      </w:pPr>
      <w:r>
        <w:t xml:space="preserve"> </w:t>
      </w:r>
    </w:p>
    <w:p>
      <w:pPr>
        <w:spacing w:line="307" w:lineRule="exact"/>
        <w:sectPr>
          <w:footerReference r:id="rId110" w:type="default"/>
          <w:footerReference r:id="rId111" w:type="even"/>
          <w:pgSz w:w="11910" w:h="16850"/>
          <w:pgMar w:top="1540" w:right="1140" w:bottom="1080" w:left="1380" w:header="883" w:footer="884" w:gutter="0"/>
          <w:cols w:space="720" w:num="1"/>
        </w:sectPr>
      </w:pPr>
    </w:p>
    <w:p>
      <w:pPr>
        <w:pStyle w:val="10"/>
        <w:spacing w:before="48"/>
        <w:ind w:right="178"/>
      </w:pPr>
      <w:bookmarkStart w:id="304" w:name="_bookmark324"/>
      <w:bookmarkEnd w:id="304"/>
      <w:r>
        <w:t>一、投标函</w:t>
      </w:r>
    </w:p>
    <w:p>
      <w:pPr>
        <w:pStyle w:val="11"/>
        <w:rPr>
          <w:rFonts w:ascii="黑体"/>
          <w:sz w:val="20"/>
        </w:rPr>
      </w:pPr>
    </w:p>
    <w:p>
      <w:pPr>
        <w:pStyle w:val="11"/>
        <w:rPr>
          <w:rFonts w:ascii="黑体"/>
          <w:sz w:val="20"/>
        </w:rPr>
      </w:pPr>
    </w:p>
    <w:p>
      <w:pPr>
        <w:pStyle w:val="11"/>
        <w:rPr>
          <w:rFonts w:ascii="黑体"/>
          <w:sz w:val="20"/>
        </w:rPr>
      </w:pPr>
    </w:p>
    <w:p>
      <w:pPr>
        <w:pStyle w:val="11"/>
        <w:spacing w:before="7"/>
        <w:rPr>
          <w:rFonts w:ascii="黑体"/>
          <w:sz w:val="19"/>
        </w:rPr>
      </w:pPr>
    </w:p>
    <w:p>
      <w:pPr>
        <w:pStyle w:val="11"/>
        <w:tabs>
          <w:tab w:val="left" w:pos="3264"/>
        </w:tabs>
        <w:spacing w:before="74"/>
        <w:ind w:left="384"/>
      </w:pPr>
      <w:r>
        <w:rPr>
          <w:rFonts w:ascii="Times New Roman" w:eastAsia="Times New Roman"/>
          <w:u w:val="single"/>
        </w:rPr>
        <w:t xml:space="preserve"> </w:t>
      </w:r>
      <w:r>
        <w:rPr>
          <w:rFonts w:ascii="Times New Roman" w:eastAsia="Times New Roman"/>
          <w:u w:val="single"/>
        </w:rPr>
        <w:tab/>
      </w:r>
      <w:r>
        <w:t>（招标人名称</w:t>
      </w:r>
      <w:r>
        <w:rPr>
          <w:spacing w:val="-120"/>
        </w:rPr>
        <w:t>）</w:t>
      </w:r>
      <w:r>
        <w:t>：</w:t>
      </w:r>
    </w:p>
    <w:p>
      <w:pPr>
        <w:pStyle w:val="11"/>
        <w:tabs>
          <w:tab w:val="left" w:pos="3716"/>
          <w:tab w:val="left" w:pos="4796"/>
          <w:tab w:val="left" w:pos="4964"/>
          <w:tab w:val="left" w:pos="7494"/>
        </w:tabs>
        <w:spacing w:before="214" w:line="312" w:lineRule="auto"/>
        <w:ind w:left="264" w:right="445" w:firstLine="479"/>
      </w:pPr>
      <w:r>
        <w:rPr>
          <w:rFonts w:ascii="Times New Roman" w:eastAsia="Times New Roman"/>
        </w:rPr>
        <w:t>1</w:t>
      </w:r>
      <w:r>
        <w:t>．我方已仔细研究</w:t>
      </w:r>
      <w:r>
        <w:rPr>
          <w:u w:val="single"/>
        </w:rPr>
        <w:t xml:space="preserve"> </w:t>
      </w:r>
      <w:r>
        <w:rPr>
          <w:u w:val="single"/>
        </w:rPr>
        <w:tab/>
      </w:r>
      <w:r>
        <w:rPr>
          <w:u w:val="single"/>
        </w:rPr>
        <w:tab/>
      </w:r>
      <w:r>
        <w:rPr>
          <w:u w:val="single"/>
        </w:rPr>
        <w:tab/>
      </w:r>
      <w:r>
        <w:t>（项目名称）</w:t>
      </w:r>
      <w:r>
        <w:rPr>
          <w:u w:val="single"/>
        </w:rPr>
        <w:t xml:space="preserve"> </w:t>
      </w:r>
      <w:r>
        <w:rPr>
          <w:u w:val="single"/>
        </w:rPr>
        <w:tab/>
      </w:r>
      <w:r>
        <w:t>标段施工招标文件的全部内</w:t>
      </w:r>
      <w:r>
        <w:rPr>
          <w:spacing w:val="-29"/>
        </w:rPr>
        <w:t>容</w:t>
      </w:r>
      <w:r>
        <w:t>（含补遗书第</w:t>
      </w:r>
      <w:r>
        <w:rPr>
          <w:u w:val="single"/>
        </w:rPr>
        <w:t xml:space="preserve"> </w:t>
      </w:r>
      <w:r>
        <w:rPr>
          <w:u w:val="single"/>
        </w:rPr>
        <w:tab/>
      </w:r>
      <w:r>
        <w:t>号至第</w:t>
      </w:r>
      <w:r>
        <w:rPr>
          <w:u w:val="single"/>
        </w:rPr>
        <w:t xml:space="preserve"> </w:t>
      </w:r>
      <w:r>
        <w:rPr>
          <w:u w:val="single"/>
        </w:rPr>
        <w:tab/>
      </w:r>
      <w:r>
        <w:t>号</w:t>
      </w:r>
      <w:r>
        <w:rPr>
          <w:spacing w:val="-75"/>
        </w:rPr>
        <w:t>），</w:t>
      </w:r>
      <w:r>
        <w:t>在考察工程现场后</w:t>
      </w:r>
      <w:r>
        <w:rPr>
          <w:spacing w:val="-29"/>
        </w:rPr>
        <w:t>，</w:t>
      </w:r>
      <w:r>
        <w:t>愿意以人民币</w:t>
      </w:r>
    </w:p>
    <w:p>
      <w:pPr>
        <w:pStyle w:val="11"/>
        <w:tabs>
          <w:tab w:val="left" w:pos="2556"/>
          <w:tab w:val="left" w:pos="4124"/>
          <w:tab w:val="left" w:pos="5929"/>
        </w:tabs>
        <w:spacing w:line="312" w:lineRule="auto"/>
        <w:ind w:left="264" w:right="446"/>
        <w:jc w:val="both"/>
      </w:pPr>
      <w:r>
        <w:t>（大写）</w:t>
      </w:r>
      <w:r>
        <w:rPr>
          <w:u w:val="single"/>
        </w:rPr>
        <w:t xml:space="preserve"> </w:t>
      </w:r>
      <w:r>
        <w:rPr>
          <w:u w:val="single"/>
        </w:rPr>
        <w:tab/>
      </w:r>
      <w:r>
        <w:t>元（</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t>）的投标总报价（或根据招标文件规定修正核实后确</w:t>
      </w:r>
      <w:r>
        <w:rPr>
          <w:spacing w:val="1"/>
        </w:rPr>
        <w:t>定</w:t>
      </w:r>
      <w:r>
        <w:t>的</w:t>
      </w:r>
      <w:r>
        <w:rPr>
          <w:spacing w:val="1"/>
        </w:rPr>
        <w:t>另</w:t>
      </w:r>
      <w:r>
        <w:t>一金</w:t>
      </w:r>
      <w:r>
        <w:rPr>
          <w:spacing w:val="2"/>
        </w:rPr>
        <w:t>额</w:t>
      </w:r>
      <w:r>
        <w:rPr>
          <w:spacing w:val="1"/>
        </w:rPr>
        <w:t>，</w:t>
      </w:r>
      <w:r>
        <w:t>其中，</w:t>
      </w:r>
      <w:r>
        <w:rPr>
          <w:spacing w:val="1"/>
        </w:rPr>
        <w:t>增</w:t>
      </w:r>
      <w:r>
        <w:t>值</w:t>
      </w:r>
      <w:r>
        <w:rPr>
          <w:spacing w:val="1"/>
        </w:rPr>
        <w:t>税</w:t>
      </w:r>
      <w:r>
        <w:t>税率</w:t>
      </w:r>
      <w:r>
        <w:rPr>
          <w:spacing w:val="1"/>
        </w:rPr>
        <w:t>为</w:t>
      </w:r>
      <w:r>
        <w:rPr>
          <w:rFonts w:ascii="Times New Roman" w:hAnsi="Times New Roman" w:eastAsia="Times New Roman"/>
          <w:u w:val="single"/>
        </w:rPr>
        <w:t xml:space="preserve"> </w:t>
      </w:r>
      <w:r>
        <w:rPr>
          <w:rFonts w:ascii="Times New Roman" w:hAnsi="Times New Roman" w:eastAsia="Times New Roman"/>
          <w:u w:val="single"/>
        </w:rPr>
        <w:tab/>
      </w:r>
      <w:r>
        <w:rPr>
          <w:spacing w:val="-120"/>
        </w:rPr>
        <w:t>）</w:t>
      </w:r>
      <w:r>
        <w:rPr>
          <w:spacing w:val="1"/>
        </w:rPr>
        <w:t>，</w:t>
      </w:r>
      <w:r>
        <w:t>按合</w:t>
      </w:r>
      <w:r>
        <w:rPr>
          <w:spacing w:val="1"/>
        </w:rPr>
        <w:t>同</w:t>
      </w:r>
      <w:r>
        <w:t>约</w:t>
      </w:r>
      <w:r>
        <w:rPr>
          <w:spacing w:val="1"/>
        </w:rPr>
        <w:t>定</w:t>
      </w:r>
      <w:r>
        <w:t>实施和</w:t>
      </w:r>
      <w:r>
        <w:rPr>
          <w:spacing w:val="1"/>
        </w:rPr>
        <w:t>完</w:t>
      </w:r>
      <w:r>
        <w:t>成承包工程，修补工程中的任何缺陷。</w:t>
      </w:r>
    </w:p>
    <w:p>
      <w:pPr>
        <w:pStyle w:val="11"/>
        <w:spacing w:before="1" w:line="312" w:lineRule="auto"/>
        <w:ind w:left="264" w:right="446" w:firstLine="479"/>
      </w:pPr>
      <w:r>
        <w:rPr>
          <w:rFonts w:ascii="Times New Roman" w:eastAsia="Times New Roman"/>
          <w:spacing w:val="-22"/>
        </w:rPr>
        <w:t>2</w:t>
      </w:r>
      <w:r>
        <w:rPr>
          <w:spacing w:val="-8"/>
        </w:rPr>
        <w:t>．在合同协议书正式签署生效之前，本投标函连同你方的中标通知书将构成我们双方之间共同遵守的文件，对双方具有约束力。</w:t>
      </w:r>
    </w:p>
    <w:p>
      <w:pPr>
        <w:pStyle w:val="11"/>
        <w:tabs>
          <w:tab w:val="left" w:pos="5785"/>
        </w:tabs>
        <w:spacing w:line="307" w:lineRule="exact"/>
        <w:ind w:left="744"/>
      </w:pPr>
      <w:r>
        <w:rPr>
          <w:rFonts w:ascii="Times New Roman" w:eastAsia="Times New Roman"/>
        </w:rPr>
        <w:t>3</w:t>
      </w:r>
      <w:r>
        <w:t>．</w:t>
      </w:r>
      <w:r>
        <w:rPr>
          <w:u w:val="single"/>
        </w:rPr>
        <w:t xml:space="preserve"> </w:t>
      </w:r>
      <w:r>
        <w:rPr>
          <w:u w:val="single"/>
        </w:rPr>
        <w:tab/>
      </w:r>
      <w:r>
        <w:t>（其他补充说明</w:t>
      </w:r>
      <w:r>
        <w:rPr>
          <w:spacing w:val="-120"/>
        </w:rPr>
        <w:t>）</w:t>
      </w:r>
      <w:r>
        <w:t>。</w:t>
      </w:r>
    </w:p>
    <w:p>
      <w:pPr>
        <w:pStyle w:val="11"/>
        <w:spacing w:before="7"/>
        <w:rPr>
          <w:sz w:val="38"/>
        </w:rPr>
      </w:pPr>
    </w:p>
    <w:p>
      <w:pPr>
        <w:pStyle w:val="11"/>
        <w:tabs>
          <w:tab w:val="left" w:pos="4404"/>
          <w:tab w:val="left" w:pos="7390"/>
          <w:tab w:val="left" w:pos="8101"/>
          <w:tab w:val="left" w:pos="8996"/>
        </w:tabs>
        <w:spacing w:line="312" w:lineRule="auto"/>
        <w:ind w:left="3685" w:right="322"/>
        <w:rPr>
          <w:rFonts w:ascii="Times New Roman" w:hAnsi="Times New Roman" w:eastAsia="Times New Roman"/>
        </w:rPr>
      </w:pPr>
      <w:r>
        <w:t>投 标 人</w:t>
      </w:r>
      <w:r>
        <w:rPr>
          <w:spacing w:val="-8"/>
        </w:rPr>
        <w:t>：</w:t>
      </w:r>
      <w:r>
        <w:rPr>
          <w:spacing w:val="-8"/>
          <w:u w:val="single"/>
        </w:rPr>
        <w:t xml:space="preserve"> </w:t>
      </w:r>
      <w:r>
        <w:rPr>
          <w:spacing w:val="-8"/>
          <w:u w:val="single"/>
        </w:rPr>
        <w:tab/>
      </w:r>
      <w:r>
        <w:t>（盖单位章</w:t>
      </w:r>
      <w:r>
        <w:rPr>
          <w:spacing w:val="-5"/>
        </w:rPr>
        <w:t>）</w:t>
      </w:r>
      <w:r>
        <w:rPr>
          <w:spacing w:val="-5"/>
          <w:position w:val="11"/>
          <w:sz w:val="12"/>
        </w:rPr>
        <w:t xml:space="preserve">① </w:t>
      </w:r>
      <w:r>
        <w:t>法定代表人或其委托代理人</w:t>
      </w:r>
      <w:r>
        <w:rPr>
          <w:spacing w:val="-12"/>
        </w:rPr>
        <w:t>：</w:t>
      </w:r>
      <w:r>
        <w:rPr>
          <w:spacing w:val="-12"/>
          <w:u w:val="single"/>
        </w:rPr>
        <w:t xml:space="preserve"> </w:t>
      </w:r>
      <w:r>
        <w:rPr>
          <w:spacing w:val="-12"/>
          <w:u w:val="single"/>
        </w:rPr>
        <w:tab/>
      </w:r>
      <w:r>
        <w:rPr>
          <w:spacing w:val="-12"/>
          <w:u w:val="single"/>
        </w:rPr>
        <w:tab/>
      </w:r>
      <w:r>
        <w:t>（签字） 地</w:t>
      </w:r>
      <w:r>
        <w:tab/>
      </w:r>
      <w:r>
        <w:t>址：</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网</w:t>
      </w:r>
      <w:r>
        <w:tab/>
      </w:r>
      <w:r>
        <w:t>址：</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电</w:t>
      </w:r>
      <w:r>
        <w:tab/>
      </w:r>
      <w:r>
        <w:t>话：</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传</w:t>
      </w:r>
      <w:r>
        <w:tab/>
      </w:r>
      <w:r>
        <w:t>真：</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邮政编码：</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p>
    <w:p>
      <w:pPr>
        <w:pStyle w:val="11"/>
        <w:spacing w:before="5"/>
        <w:rPr>
          <w:rFonts w:ascii="Times New Roman"/>
          <w:sz w:val="28"/>
        </w:rPr>
      </w:pPr>
    </w:p>
    <w:p>
      <w:pPr>
        <w:pStyle w:val="11"/>
        <w:tabs>
          <w:tab w:val="left" w:pos="6085"/>
          <w:tab w:val="left" w:pos="7165"/>
          <w:tab w:val="left" w:pos="8245"/>
        </w:tabs>
        <w:spacing w:before="74"/>
        <w:ind w:left="500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9"/>
        <w:rPr>
          <w:sz w:val="29"/>
        </w:rPr>
      </w:pPr>
      <w:r>
        <mc:AlternateContent>
          <mc:Choice Requires="wps">
            <w:drawing>
              <wp:anchor distT="0" distB="0" distL="114300" distR="114300" simplePos="0" relativeHeight="251678720" behindDoc="0" locked="0" layoutInCell="1" allowOverlap="1">
                <wp:simplePos x="0" y="0"/>
                <wp:positionH relativeFrom="page">
                  <wp:posOffset>1043940</wp:posOffset>
                </wp:positionH>
                <wp:positionV relativeFrom="paragraph">
                  <wp:posOffset>269875</wp:posOffset>
                </wp:positionV>
                <wp:extent cx="1829435" cy="0"/>
                <wp:effectExtent l="0" t="0" r="0" b="0"/>
                <wp:wrapTopAndBottom/>
                <wp:docPr id="47" name="直线 3"/>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82.2pt;margin-top:21.25pt;height:0pt;width:144.05pt;mso-position-horizontal-relative:page;mso-wrap-distance-bottom:0pt;mso-wrap-distance-top:0pt;z-index:251678720;mso-width-relative:page;mso-height-relative:page;" filled="f" stroked="t" coordsize="21600,21600" o:gfxdata="UEsFBgAAAAAAAAAAAAAAAAAAAAAAAFBLAwQKAAAAAACHTuJAAAAAAAAAAAAAAAAABAAAAGRycy9Q&#10;SwMEFAAAAAgAh07iQEEGwi3XAAAACQEAAA8AAABkcnMvZG93bnJldi54bWxNj0FvwjAMhe+T+A+R&#10;kXYbKaiwUppyAG0Sh2kaoJ1D47VdG6dqAoV/P6Mdtpuf/fT8vWx9ta24YO9rRwqmkwgEUuFMTaWC&#10;4+HlKQHhgyajW0eo4IYe1vnoIdOpcQN94GUfSsEh5FOtoAqhS6X0RYVW+4nrkPj25XqrA8u+lKbX&#10;A4fbVs6iaCGtrok/VLrDTYVFsz9bBW+J3Lr35rO4fQ+H1yTZNcvn3VGpx/E0WoEIeA1/ZrjjMzrk&#10;zHRyZzJetKwXccxWBfFsDoIN8fw+nH4XMs/k/wb5D1BLAwQUAAAACACHTuJAgEe8xdEBAACRAwAA&#10;DgAAAGRycy9lMm9Eb2MueG1srVNLjhMxEN0jcQfLe9JJZggzrXRmQRg2CEaa4QAVf7ot+SeXk07O&#10;wjVYseE4cw3KTibDZ4MQWThlV/nVe8/Vy5u9s2ynEprgOz6bTDlTXgRpfN/xzw+3r644wwxegg1e&#10;dfygkN+sXr5YjrFV8zAEK1ViBOKxHWPHh5xj2zQoBuUAJyEqT0kdkoNM29Q3MsFI6M428+l00Ywh&#10;yZiCUIh0uj4m+aria61E/qQ1qsxsx4lbrmuq66aszWoJbZ8gDkacaMA/sHBgPDU9Q60hA9sm8weU&#10;MyIFDDpPRHBN0NoIVTWQmtn0NzX3A0RVtZA5GM824f+DFR93d4kZ2fHLN5x5cPRGj1++Pn77zi6K&#10;OWPElmru41067ZDConSvkyv/pIHtq6GHs6Fqn5mgw9nV/Pry4jVn4inXPF+MCfN7FRwrQcet8UUr&#10;tLD7gJmaUelTSTm2no0dX0yvFwQHNCraQqbQRSKPvq93MVgjb4215QamfvPWJraD8vj1VyQR7i9l&#10;pckacDjW1dRxLAYF8p2XLB8iueJpfnmh4JTkzCoa9xIRILQZjP2bSmptPTEorh59LNEmyAM9wjYm&#10;0w/kRE5bVYmWJL17pXya0TJYP+8r2POXtP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QbCLdcA&#10;AAAJAQAADwAAAAAAAAABACAAAAA4AAAAZHJzL2Rvd25yZXYueG1sUEsBAhQAFAAAAAgAh07iQIBH&#10;vMXRAQAAkQMAAA4AAAAAAAAAAQAgAAAAPAEAAGRycy9lMm9Eb2MueG1sUEsFBgAAAAAGAAYAWQEA&#10;AH8FAAAAAA==&#10;">
                <v:fill on="f" focussize="0,0"/>
                <v:stroke weight="0.48pt" color="#000000" joinstyle="round"/>
                <v:imagedata o:title=""/>
                <o:lock v:ext="edit" aspectratio="f"/>
                <w10:wrap type="topAndBottom"/>
              </v:line>
            </w:pict>
          </mc:Fallback>
        </mc:AlternateContent>
      </w:r>
    </w:p>
    <w:p>
      <w:pPr>
        <w:spacing w:before="129"/>
        <w:ind w:left="264"/>
        <w:rPr>
          <w:sz w:val="18"/>
        </w:rPr>
      </w:pPr>
      <w:r>
        <w:rPr>
          <w:position w:val="9"/>
          <w:sz w:val="9"/>
        </w:rPr>
        <w:t xml:space="preserve">① </w:t>
      </w:r>
      <w:r>
        <w:rPr>
          <w:sz w:val="18"/>
        </w:rPr>
        <w:t>投标人仅须在投标函上加盖单位章，或由法定代表人或其委托代理人签字。</w:t>
      </w:r>
    </w:p>
    <w:p>
      <w:pPr>
        <w:rPr>
          <w:sz w:val="18"/>
        </w:rPr>
        <w:sectPr>
          <w:footerReference r:id="rId112" w:type="default"/>
          <w:footerReference r:id="rId113" w:type="even"/>
          <w:pgSz w:w="11910" w:h="16850"/>
          <w:pgMar w:top="1540" w:right="1140" w:bottom="1080" w:left="1380" w:header="883" w:footer="884" w:gutter="0"/>
          <w:pgNumType w:start="243"/>
          <w:cols w:space="720" w:num="1"/>
        </w:sectPr>
      </w:pPr>
    </w:p>
    <w:p>
      <w:pPr>
        <w:pStyle w:val="11"/>
        <w:rPr>
          <w:sz w:val="20"/>
        </w:rPr>
      </w:pPr>
    </w:p>
    <w:p>
      <w:pPr>
        <w:pStyle w:val="11"/>
        <w:rPr>
          <w:sz w:val="20"/>
        </w:rPr>
      </w:pPr>
    </w:p>
    <w:p>
      <w:pPr>
        <w:pStyle w:val="11"/>
        <w:spacing w:before="9"/>
        <w:rPr>
          <w:sz w:val="18"/>
        </w:rPr>
      </w:pPr>
    </w:p>
    <w:p>
      <w:pPr>
        <w:spacing w:before="62"/>
        <w:ind w:left="3202"/>
        <w:rPr>
          <w:rFonts w:ascii="黑体" w:eastAsia="黑体"/>
          <w:sz w:val="28"/>
        </w:rPr>
      </w:pPr>
      <w:bookmarkStart w:id="305" w:name="_bookmark325"/>
      <w:bookmarkEnd w:id="305"/>
      <w:r>
        <w:rPr>
          <w:rFonts w:hint="eastAsia" w:ascii="黑体" w:eastAsia="黑体"/>
          <w:sz w:val="28"/>
        </w:rPr>
        <w:t>二、已标价工程量清单</w:t>
      </w:r>
    </w:p>
    <w:p>
      <w:pPr>
        <w:pStyle w:val="11"/>
        <w:rPr>
          <w:rFonts w:ascii="黑体"/>
          <w:sz w:val="28"/>
        </w:rPr>
      </w:pPr>
    </w:p>
    <w:p>
      <w:pPr>
        <w:pStyle w:val="11"/>
        <w:spacing w:before="2"/>
        <w:rPr>
          <w:rFonts w:ascii="黑体"/>
          <w:sz w:val="34"/>
        </w:rPr>
      </w:pPr>
    </w:p>
    <w:p>
      <w:pPr>
        <w:pStyle w:val="11"/>
        <w:spacing w:before="1" w:line="343" w:lineRule="auto"/>
        <w:ind w:left="264" w:right="444" w:firstLine="479"/>
        <w:jc w:val="both"/>
      </w:pPr>
      <w:r>
        <w:t>投标人应按照第五章</w:t>
      </w:r>
      <w:r>
        <w:rPr>
          <w:rFonts w:ascii="Times New Roman" w:hAnsi="Times New Roman" w:eastAsia="Times New Roman"/>
        </w:rPr>
        <w:t>“</w:t>
      </w:r>
      <w:r>
        <w:t>工程量清单</w:t>
      </w:r>
      <w:r>
        <w:rPr>
          <w:rFonts w:ascii="Times New Roman" w:hAnsi="Times New Roman" w:eastAsia="Times New Roman"/>
        </w:rPr>
        <w:t>”</w:t>
      </w:r>
      <w:r>
        <w:t>的要求逐项填报工程量清单，包括工程量清单说明、投标报价说明、计日工说明、其他说明及工程量清单各项表格（工程量清</w:t>
      </w:r>
      <w:r>
        <w:rPr>
          <w:spacing w:val="-21"/>
        </w:rPr>
        <w:t xml:space="preserve">单表 </w:t>
      </w:r>
      <w:r>
        <w:rPr>
          <w:rFonts w:ascii="Times New Roman" w:hAnsi="Times New Roman" w:eastAsia="Times New Roman"/>
        </w:rPr>
        <w:t>5.1</w:t>
      </w:r>
      <w:r>
        <w:t>～</w:t>
      </w:r>
      <w:r>
        <w:rPr>
          <w:spacing w:val="-30"/>
        </w:rPr>
        <w:t xml:space="preserve">表 </w:t>
      </w:r>
      <w:r>
        <w:rPr>
          <w:rFonts w:ascii="Times New Roman" w:hAnsi="Times New Roman" w:eastAsia="Times New Roman"/>
        </w:rPr>
        <w:t>5.5</w:t>
      </w:r>
      <w:r>
        <w:rPr>
          <w:spacing w:val="-120"/>
        </w:rPr>
        <w:t>）。</w:t>
      </w:r>
    </w:p>
    <w:p>
      <w:pPr>
        <w:spacing w:line="343" w:lineRule="auto"/>
        <w:jc w:val="both"/>
        <w:sectPr>
          <w:pgSz w:w="11910" w:h="16850"/>
          <w:pgMar w:top="1540" w:right="1140" w:bottom="1060" w:left="1380" w:header="876" w:footer="860" w:gutter="0"/>
          <w:cols w:space="720" w:num="1"/>
        </w:sectPr>
      </w:pPr>
    </w:p>
    <w:p>
      <w:pPr>
        <w:spacing w:before="56"/>
        <w:ind w:right="181"/>
        <w:jc w:val="center"/>
        <w:rPr>
          <w:rFonts w:ascii="黑体" w:eastAsia="黑体"/>
          <w:sz w:val="28"/>
        </w:rPr>
      </w:pPr>
      <w:bookmarkStart w:id="306" w:name="_bookmark326"/>
      <w:bookmarkEnd w:id="306"/>
      <w:r>
        <w:rPr>
          <w:rFonts w:hint="eastAsia" w:ascii="黑体" w:eastAsia="黑体"/>
          <w:sz w:val="28"/>
        </w:rPr>
        <w:t>三、合同用款估算表</w:t>
      </w:r>
    </w:p>
    <w:p>
      <w:pPr>
        <w:pStyle w:val="11"/>
        <w:rPr>
          <w:rFonts w:ascii="黑体"/>
          <w:sz w:val="20"/>
        </w:rPr>
      </w:pPr>
    </w:p>
    <w:p>
      <w:pPr>
        <w:pStyle w:val="11"/>
        <w:spacing w:before="6"/>
        <w:rPr>
          <w:rFonts w:ascii="黑体"/>
          <w:sz w:val="11"/>
        </w:rPr>
      </w:pPr>
    </w:p>
    <w:tbl>
      <w:tblPr>
        <w:tblStyle w:val="19"/>
        <w:tblW w:w="8843" w:type="dxa"/>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2026"/>
        <w:gridCol w:w="1545"/>
        <w:gridCol w:w="1548"/>
        <w:gridCol w:w="1548"/>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vMerge w:val="restart"/>
          </w:tcPr>
          <w:p>
            <w:pPr>
              <w:pStyle w:val="21"/>
              <w:rPr>
                <w:rFonts w:ascii="黑体"/>
                <w:sz w:val="20"/>
              </w:rPr>
            </w:pPr>
          </w:p>
          <w:p>
            <w:pPr>
              <w:pStyle w:val="21"/>
              <w:spacing w:before="6"/>
              <w:rPr>
                <w:rFonts w:ascii="黑体"/>
                <w:sz w:val="18"/>
              </w:rPr>
            </w:pPr>
          </w:p>
          <w:p>
            <w:pPr>
              <w:pStyle w:val="21"/>
              <w:ind w:left="363" w:right="347"/>
              <w:jc w:val="center"/>
              <w:rPr>
                <w:sz w:val="21"/>
              </w:rPr>
            </w:pPr>
            <w:r>
              <w:rPr>
                <w:sz w:val="21"/>
              </w:rPr>
              <w:t>从开工月算起的时间</w:t>
            </w:r>
          </w:p>
          <w:p>
            <w:pPr>
              <w:pStyle w:val="21"/>
              <w:spacing w:before="12"/>
              <w:rPr>
                <w:rFonts w:ascii="黑体"/>
                <w:sz w:val="14"/>
              </w:rPr>
            </w:pPr>
          </w:p>
          <w:p>
            <w:pPr>
              <w:pStyle w:val="21"/>
              <w:ind w:left="360" w:right="347"/>
              <w:jc w:val="center"/>
              <w:rPr>
                <w:sz w:val="21"/>
              </w:rPr>
            </w:pPr>
            <w:r>
              <w:rPr>
                <w:sz w:val="21"/>
              </w:rPr>
              <w:t>（月）</w:t>
            </w:r>
          </w:p>
        </w:tc>
        <w:tc>
          <w:tcPr>
            <w:tcW w:w="6188" w:type="dxa"/>
            <w:gridSpan w:val="4"/>
          </w:tcPr>
          <w:p>
            <w:pPr>
              <w:pStyle w:val="21"/>
              <w:spacing w:before="8"/>
              <w:rPr>
                <w:rFonts w:ascii="黑体"/>
                <w:sz w:val="14"/>
              </w:rPr>
            </w:pPr>
          </w:p>
          <w:p>
            <w:pPr>
              <w:pStyle w:val="21"/>
              <w:ind w:left="2443" w:right="2429"/>
              <w:jc w:val="center"/>
              <w:rPr>
                <w:sz w:val="21"/>
              </w:rPr>
            </w:pPr>
            <w:r>
              <w:rPr>
                <w:sz w:val="21"/>
              </w:rPr>
              <w:t>投标人的估算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55" w:type="dxa"/>
            <w:gridSpan w:val="2"/>
            <w:vMerge w:val="continue"/>
            <w:tcBorders>
              <w:top w:val="nil"/>
            </w:tcBorders>
          </w:tcPr>
          <w:p>
            <w:pPr>
              <w:rPr>
                <w:sz w:val="2"/>
                <w:szCs w:val="2"/>
              </w:rPr>
            </w:pPr>
          </w:p>
        </w:tc>
        <w:tc>
          <w:tcPr>
            <w:tcW w:w="3093" w:type="dxa"/>
            <w:gridSpan w:val="2"/>
          </w:tcPr>
          <w:p>
            <w:pPr>
              <w:pStyle w:val="21"/>
              <w:spacing w:before="8"/>
              <w:rPr>
                <w:rFonts w:ascii="黑体"/>
                <w:sz w:val="14"/>
              </w:rPr>
            </w:pPr>
          </w:p>
          <w:p>
            <w:pPr>
              <w:pStyle w:val="21"/>
              <w:tabs>
                <w:tab w:val="left" w:pos="751"/>
              </w:tabs>
              <w:ind w:left="14"/>
              <w:jc w:val="center"/>
              <w:rPr>
                <w:sz w:val="21"/>
              </w:rPr>
            </w:pPr>
            <w:r>
              <w:rPr>
                <w:sz w:val="21"/>
              </w:rPr>
              <w:t>分</w:t>
            </w:r>
            <w:r>
              <w:rPr>
                <w:sz w:val="21"/>
              </w:rPr>
              <w:tab/>
            </w:r>
            <w:r>
              <w:rPr>
                <w:sz w:val="21"/>
              </w:rPr>
              <w:t>期</w:t>
            </w:r>
          </w:p>
        </w:tc>
        <w:tc>
          <w:tcPr>
            <w:tcW w:w="3095" w:type="dxa"/>
            <w:gridSpan w:val="2"/>
          </w:tcPr>
          <w:p>
            <w:pPr>
              <w:pStyle w:val="21"/>
              <w:spacing w:before="8"/>
              <w:rPr>
                <w:rFonts w:ascii="黑体"/>
                <w:sz w:val="14"/>
              </w:rPr>
            </w:pPr>
          </w:p>
          <w:p>
            <w:pPr>
              <w:pStyle w:val="21"/>
              <w:tabs>
                <w:tab w:val="left" w:pos="757"/>
              </w:tabs>
              <w:ind w:left="20"/>
              <w:jc w:val="center"/>
              <w:rPr>
                <w:sz w:val="21"/>
              </w:rPr>
            </w:pPr>
            <w:r>
              <w:rPr>
                <w:sz w:val="21"/>
              </w:rPr>
              <w:t>累</w:t>
            </w:r>
            <w:r>
              <w:rPr>
                <w:sz w:val="21"/>
              </w:rPr>
              <w:tab/>
            </w:r>
            <w:r>
              <w:rPr>
                <w:sz w:val="21"/>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vMerge w:val="continue"/>
            <w:tcBorders>
              <w:top w:val="nil"/>
            </w:tcBorders>
          </w:tcPr>
          <w:p>
            <w:pPr>
              <w:rPr>
                <w:sz w:val="2"/>
                <w:szCs w:val="2"/>
              </w:rPr>
            </w:pPr>
          </w:p>
        </w:tc>
        <w:tc>
          <w:tcPr>
            <w:tcW w:w="1545" w:type="dxa"/>
          </w:tcPr>
          <w:p>
            <w:pPr>
              <w:pStyle w:val="21"/>
              <w:spacing w:before="11"/>
              <w:rPr>
                <w:rFonts w:ascii="黑体"/>
                <w:sz w:val="14"/>
              </w:rPr>
            </w:pPr>
          </w:p>
          <w:p>
            <w:pPr>
              <w:pStyle w:val="21"/>
              <w:ind w:left="244"/>
              <w:rPr>
                <w:sz w:val="21"/>
              </w:rPr>
            </w:pPr>
            <w:r>
              <w:rPr>
                <w:sz w:val="21"/>
              </w:rPr>
              <w:t>金额（元）</w:t>
            </w:r>
          </w:p>
        </w:tc>
        <w:tc>
          <w:tcPr>
            <w:tcW w:w="1548" w:type="dxa"/>
          </w:tcPr>
          <w:p>
            <w:pPr>
              <w:pStyle w:val="21"/>
              <w:spacing w:before="190"/>
              <w:ind w:left="459" w:right="439"/>
              <w:jc w:val="center"/>
              <w:rPr>
                <w:sz w:val="21"/>
              </w:rPr>
            </w:pPr>
            <w:r>
              <w:rPr>
                <w:sz w:val="21"/>
              </w:rPr>
              <w:t>（</w:t>
            </w:r>
            <w:r>
              <w:rPr>
                <w:rFonts w:ascii="Times New Roman" w:eastAsia="Times New Roman"/>
                <w:sz w:val="21"/>
              </w:rPr>
              <w:t>%</w:t>
            </w:r>
            <w:r>
              <w:rPr>
                <w:sz w:val="21"/>
              </w:rPr>
              <w:t>）</w:t>
            </w:r>
          </w:p>
        </w:tc>
        <w:tc>
          <w:tcPr>
            <w:tcW w:w="1548" w:type="dxa"/>
          </w:tcPr>
          <w:p>
            <w:pPr>
              <w:pStyle w:val="21"/>
              <w:spacing w:before="11"/>
              <w:rPr>
                <w:rFonts w:ascii="黑体"/>
                <w:sz w:val="14"/>
              </w:rPr>
            </w:pPr>
          </w:p>
          <w:p>
            <w:pPr>
              <w:pStyle w:val="21"/>
              <w:ind w:left="250"/>
              <w:rPr>
                <w:sz w:val="21"/>
              </w:rPr>
            </w:pPr>
            <w:r>
              <w:rPr>
                <w:sz w:val="21"/>
              </w:rPr>
              <w:t>金额（元）</w:t>
            </w:r>
          </w:p>
        </w:tc>
        <w:tc>
          <w:tcPr>
            <w:tcW w:w="1547" w:type="dxa"/>
          </w:tcPr>
          <w:p>
            <w:pPr>
              <w:pStyle w:val="21"/>
              <w:spacing w:before="190"/>
              <w:ind w:left="478"/>
              <w:rPr>
                <w:sz w:val="21"/>
              </w:rPr>
            </w:pPr>
            <w:r>
              <w:rPr>
                <w:sz w:val="21"/>
              </w:rPr>
              <w:t>（</w:t>
            </w:r>
            <w:r>
              <w:rPr>
                <w:rFonts w:ascii="Times New Roman" w:eastAsia="Times New Roman"/>
                <w:sz w:val="21"/>
              </w:rPr>
              <w:t>%</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21"/>
              <w:spacing w:before="11"/>
              <w:rPr>
                <w:rFonts w:ascii="黑体"/>
                <w:sz w:val="14"/>
              </w:rPr>
            </w:pPr>
          </w:p>
          <w:p>
            <w:pPr>
              <w:pStyle w:val="21"/>
              <w:ind w:left="486"/>
              <w:rPr>
                <w:sz w:val="21"/>
              </w:rPr>
            </w:pPr>
            <w:r>
              <w:rPr>
                <w:sz w:val="21"/>
              </w:rPr>
              <w:t>第一次开工预付款</w:t>
            </w:r>
          </w:p>
        </w:tc>
        <w:tc>
          <w:tcPr>
            <w:tcW w:w="1545" w:type="dxa"/>
          </w:tcPr>
          <w:p>
            <w:pPr>
              <w:pStyle w:val="21"/>
              <w:rPr>
                <w:rFonts w:ascii="Times New Roman"/>
                <w:sz w:val="20"/>
              </w:rPr>
            </w:pPr>
          </w:p>
        </w:tc>
        <w:tc>
          <w:tcPr>
            <w:tcW w:w="1548" w:type="dxa"/>
          </w:tcPr>
          <w:p>
            <w:pPr>
              <w:pStyle w:val="21"/>
              <w:rPr>
                <w:rFonts w:ascii="Times New Roman"/>
                <w:sz w:val="20"/>
              </w:rPr>
            </w:pPr>
          </w:p>
        </w:tc>
        <w:tc>
          <w:tcPr>
            <w:tcW w:w="1548" w:type="dxa"/>
          </w:tcPr>
          <w:p>
            <w:pPr>
              <w:pStyle w:val="21"/>
              <w:rPr>
                <w:rFonts w:ascii="Times New Roman"/>
                <w:sz w:val="20"/>
              </w:rPr>
            </w:pPr>
          </w:p>
        </w:tc>
        <w:tc>
          <w:tcPr>
            <w:tcW w:w="1547"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21"/>
              <w:spacing w:before="9"/>
              <w:rPr>
                <w:rFonts w:ascii="黑体"/>
                <w:sz w:val="16"/>
              </w:rPr>
            </w:pPr>
          </w:p>
          <w:p>
            <w:pPr>
              <w:pStyle w:val="21"/>
              <w:ind w:left="360" w:right="347"/>
              <w:jc w:val="center"/>
              <w:rPr>
                <w:rFonts w:ascii="Times New Roman"/>
                <w:sz w:val="21"/>
              </w:rPr>
            </w:pPr>
            <w:r>
              <w:rPr>
                <w:rFonts w:ascii="Times New Roman"/>
                <w:sz w:val="21"/>
              </w:rPr>
              <w:t>1 ~ 3</w:t>
            </w:r>
          </w:p>
        </w:tc>
        <w:tc>
          <w:tcPr>
            <w:tcW w:w="1545" w:type="dxa"/>
          </w:tcPr>
          <w:p>
            <w:pPr>
              <w:pStyle w:val="21"/>
              <w:rPr>
                <w:rFonts w:ascii="Times New Roman"/>
                <w:sz w:val="20"/>
              </w:rPr>
            </w:pPr>
          </w:p>
        </w:tc>
        <w:tc>
          <w:tcPr>
            <w:tcW w:w="1548" w:type="dxa"/>
          </w:tcPr>
          <w:p>
            <w:pPr>
              <w:pStyle w:val="21"/>
              <w:rPr>
                <w:rFonts w:ascii="Times New Roman"/>
                <w:sz w:val="20"/>
              </w:rPr>
            </w:pPr>
          </w:p>
        </w:tc>
        <w:tc>
          <w:tcPr>
            <w:tcW w:w="1548" w:type="dxa"/>
          </w:tcPr>
          <w:p>
            <w:pPr>
              <w:pStyle w:val="21"/>
              <w:rPr>
                <w:rFonts w:ascii="Times New Roman"/>
                <w:sz w:val="20"/>
              </w:rPr>
            </w:pPr>
          </w:p>
        </w:tc>
        <w:tc>
          <w:tcPr>
            <w:tcW w:w="1547"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21"/>
              <w:spacing w:before="6"/>
              <w:rPr>
                <w:rFonts w:ascii="黑体"/>
                <w:sz w:val="16"/>
              </w:rPr>
            </w:pPr>
          </w:p>
          <w:p>
            <w:pPr>
              <w:pStyle w:val="21"/>
              <w:ind w:left="360" w:right="347"/>
              <w:jc w:val="center"/>
              <w:rPr>
                <w:rFonts w:ascii="Times New Roman"/>
                <w:sz w:val="21"/>
              </w:rPr>
            </w:pPr>
            <w:r>
              <w:rPr>
                <w:rFonts w:ascii="Times New Roman"/>
                <w:sz w:val="21"/>
              </w:rPr>
              <w:t>4 ~ 6</w:t>
            </w:r>
          </w:p>
        </w:tc>
        <w:tc>
          <w:tcPr>
            <w:tcW w:w="1545" w:type="dxa"/>
          </w:tcPr>
          <w:p>
            <w:pPr>
              <w:pStyle w:val="21"/>
              <w:rPr>
                <w:rFonts w:ascii="Times New Roman"/>
                <w:sz w:val="20"/>
              </w:rPr>
            </w:pPr>
          </w:p>
        </w:tc>
        <w:tc>
          <w:tcPr>
            <w:tcW w:w="1548" w:type="dxa"/>
          </w:tcPr>
          <w:p>
            <w:pPr>
              <w:pStyle w:val="21"/>
              <w:rPr>
                <w:rFonts w:ascii="Times New Roman"/>
                <w:sz w:val="20"/>
              </w:rPr>
            </w:pPr>
          </w:p>
        </w:tc>
        <w:tc>
          <w:tcPr>
            <w:tcW w:w="1548" w:type="dxa"/>
          </w:tcPr>
          <w:p>
            <w:pPr>
              <w:pStyle w:val="21"/>
              <w:rPr>
                <w:rFonts w:ascii="Times New Roman"/>
                <w:sz w:val="20"/>
              </w:rPr>
            </w:pPr>
          </w:p>
        </w:tc>
        <w:tc>
          <w:tcPr>
            <w:tcW w:w="1547"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21"/>
              <w:spacing w:before="6"/>
              <w:rPr>
                <w:rFonts w:ascii="黑体"/>
                <w:sz w:val="16"/>
              </w:rPr>
            </w:pPr>
          </w:p>
          <w:p>
            <w:pPr>
              <w:pStyle w:val="21"/>
              <w:ind w:left="360" w:right="347"/>
              <w:jc w:val="center"/>
              <w:rPr>
                <w:rFonts w:ascii="Times New Roman"/>
                <w:sz w:val="21"/>
              </w:rPr>
            </w:pPr>
            <w:r>
              <w:rPr>
                <w:rFonts w:ascii="Times New Roman"/>
                <w:sz w:val="21"/>
              </w:rPr>
              <w:t>7 ~ 9</w:t>
            </w:r>
          </w:p>
        </w:tc>
        <w:tc>
          <w:tcPr>
            <w:tcW w:w="1545" w:type="dxa"/>
          </w:tcPr>
          <w:p>
            <w:pPr>
              <w:pStyle w:val="21"/>
              <w:rPr>
                <w:rFonts w:ascii="Times New Roman"/>
                <w:sz w:val="20"/>
              </w:rPr>
            </w:pPr>
          </w:p>
        </w:tc>
        <w:tc>
          <w:tcPr>
            <w:tcW w:w="1548" w:type="dxa"/>
          </w:tcPr>
          <w:p>
            <w:pPr>
              <w:pStyle w:val="21"/>
              <w:rPr>
                <w:rFonts w:ascii="Times New Roman"/>
                <w:sz w:val="20"/>
              </w:rPr>
            </w:pPr>
          </w:p>
        </w:tc>
        <w:tc>
          <w:tcPr>
            <w:tcW w:w="1548" w:type="dxa"/>
          </w:tcPr>
          <w:p>
            <w:pPr>
              <w:pStyle w:val="21"/>
              <w:rPr>
                <w:rFonts w:ascii="Times New Roman"/>
                <w:sz w:val="20"/>
              </w:rPr>
            </w:pPr>
          </w:p>
        </w:tc>
        <w:tc>
          <w:tcPr>
            <w:tcW w:w="1547"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21"/>
              <w:spacing w:before="6"/>
              <w:rPr>
                <w:rFonts w:ascii="黑体"/>
                <w:sz w:val="16"/>
              </w:rPr>
            </w:pPr>
          </w:p>
          <w:p>
            <w:pPr>
              <w:pStyle w:val="21"/>
              <w:ind w:left="362" w:right="347"/>
              <w:jc w:val="center"/>
              <w:rPr>
                <w:rFonts w:ascii="Times New Roman"/>
                <w:sz w:val="21"/>
              </w:rPr>
            </w:pPr>
            <w:r>
              <w:rPr>
                <w:rFonts w:ascii="Times New Roman"/>
                <w:sz w:val="21"/>
              </w:rPr>
              <w:t>10 ~ 12</w:t>
            </w:r>
          </w:p>
        </w:tc>
        <w:tc>
          <w:tcPr>
            <w:tcW w:w="1545" w:type="dxa"/>
          </w:tcPr>
          <w:p>
            <w:pPr>
              <w:pStyle w:val="21"/>
              <w:rPr>
                <w:rFonts w:ascii="Times New Roman"/>
                <w:sz w:val="20"/>
              </w:rPr>
            </w:pPr>
          </w:p>
        </w:tc>
        <w:tc>
          <w:tcPr>
            <w:tcW w:w="1548" w:type="dxa"/>
          </w:tcPr>
          <w:p>
            <w:pPr>
              <w:pStyle w:val="21"/>
              <w:rPr>
                <w:rFonts w:ascii="Times New Roman"/>
                <w:sz w:val="20"/>
              </w:rPr>
            </w:pPr>
          </w:p>
        </w:tc>
        <w:tc>
          <w:tcPr>
            <w:tcW w:w="1548" w:type="dxa"/>
          </w:tcPr>
          <w:p>
            <w:pPr>
              <w:pStyle w:val="21"/>
              <w:rPr>
                <w:rFonts w:ascii="Times New Roman"/>
                <w:sz w:val="20"/>
              </w:rPr>
            </w:pPr>
          </w:p>
        </w:tc>
        <w:tc>
          <w:tcPr>
            <w:tcW w:w="1547"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21"/>
              <w:spacing w:before="6"/>
              <w:rPr>
                <w:rFonts w:ascii="黑体"/>
                <w:sz w:val="16"/>
              </w:rPr>
            </w:pPr>
          </w:p>
          <w:p>
            <w:pPr>
              <w:pStyle w:val="21"/>
              <w:ind w:left="362" w:right="347"/>
              <w:jc w:val="center"/>
              <w:rPr>
                <w:rFonts w:ascii="Times New Roman"/>
                <w:sz w:val="21"/>
              </w:rPr>
            </w:pPr>
            <w:r>
              <w:rPr>
                <w:rFonts w:ascii="Times New Roman"/>
                <w:sz w:val="21"/>
              </w:rPr>
              <w:t>13 ~ 15</w:t>
            </w:r>
          </w:p>
        </w:tc>
        <w:tc>
          <w:tcPr>
            <w:tcW w:w="1545" w:type="dxa"/>
          </w:tcPr>
          <w:p>
            <w:pPr>
              <w:pStyle w:val="21"/>
              <w:rPr>
                <w:rFonts w:ascii="Times New Roman"/>
                <w:sz w:val="20"/>
              </w:rPr>
            </w:pPr>
          </w:p>
        </w:tc>
        <w:tc>
          <w:tcPr>
            <w:tcW w:w="1548" w:type="dxa"/>
          </w:tcPr>
          <w:p>
            <w:pPr>
              <w:pStyle w:val="21"/>
              <w:rPr>
                <w:rFonts w:ascii="Times New Roman"/>
                <w:sz w:val="20"/>
              </w:rPr>
            </w:pPr>
          </w:p>
        </w:tc>
        <w:tc>
          <w:tcPr>
            <w:tcW w:w="1548" w:type="dxa"/>
          </w:tcPr>
          <w:p>
            <w:pPr>
              <w:pStyle w:val="21"/>
              <w:rPr>
                <w:rFonts w:ascii="Times New Roman"/>
                <w:sz w:val="20"/>
              </w:rPr>
            </w:pPr>
          </w:p>
        </w:tc>
        <w:tc>
          <w:tcPr>
            <w:tcW w:w="1547"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21"/>
              <w:spacing w:before="6"/>
              <w:rPr>
                <w:rFonts w:ascii="黑体"/>
                <w:sz w:val="16"/>
              </w:rPr>
            </w:pPr>
          </w:p>
          <w:p>
            <w:pPr>
              <w:pStyle w:val="21"/>
              <w:ind w:left="360" w:right="347"/>
              <w:jc w:val="center"/>
              <w:rPr>
                <w:rFonts w:ascii="Times New Roman" w:hAnsi="Times New Roman"/>
                <w:sz w:val="21"/>
              </w:rPr>
            </w:pPr>
            <w:r>
              <w:rPr>
                <w:rFonts w:ascii="Times New Roman" w:hAnsi="Times New Roman"/>
                <w:sz w:val="21"/>
              </w:rPr>
              <w:t>……</w:t>
            </w:r>
          </w:p>
        </w:tc>
        <w:tc>
          <w:tcPr>
            <w:tcW w:w="1545" w:type="dxa"/>
          </w:tcPr>
          <w:p>
            <w:pPr>
              <w:pStyle w:val="21"/>
              <w:rPr>
                <w:rFonts w:ascii="Times New Roman"/>
                <w:sz w:val="20"/>
              </w:rPr>
            </w:pPr>
          </w:p>
        </w:tc>
        <w:tc>
          <w:tcPr>
            <w:tcW w:w="1548" w:type="dxa"/>
          </w:tcPr>
          <w:p>
            <w:pPr>
              <w:pStyle w:val="21"/>
              <w:rPr>
                <w:rFonts w:ascii="Times New Roman"/>
                <w:sz w:val="20"/>
              </w:rPr>
            </w:pPr>
          </w:p>
        </w:tc>
        <w:tc>
          <w:tcPr>
            <w:tcW w:w="1548" w:type="dxa"/>
          </w:tcPr>
          <w:p>
            <w:pPr>
              <w:pStyle w:val="21"/>
              <w:rPr>
                <w:rFonts w:ascii="Times New Roman"/>
                <w:sz w:val="20"/>
              </w:rPr>
            </w:pPr>
          </w:p>
        </w:tc>
        <w:tc>
          <w:tcPr>
            <w:tcW w:w="1547"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21"/>
              <w:spacing w:before="6"/>
              <w:rPr>
                <w:rFonts w:ascii="黑体"/>
                <w:sz w:val="16"/>
              </w:rPr>
            </w:pPr>
          </w:p>
          <w:p>
            <w:pPr>
              <w:pStyle w:val="21"/>
              <w:spacing w:before="1"/>
              <w:ind w:left="360" w:right="347"/>
              <w:jc w:val="center"/>
              <w:rPr>
                <w:rFonts w:ascii="Times New Roman" w:hAnsi="Times New Roman"/>
                <w:sz w:val="21"/>
              </w:rPr>
            </w:pPr>
            <w:r>
              <w:rPr>
                <w:rFonts w:ascii="Times New Roman" w:hAnsi="Times New Roman"/>
                <w:sz w:val="21"/>
              </w:rPr>
              <w:t>……</w:t>
            </w:r>
          </w:p>
        </w:tc>
        <w:tc>
          <w:tcPr>
            <w:tcW w:w="1545" w:type="dxa"/>
          </w:tcPr>
          <w:p>
            <w:pPr>
              <w:pStyle w:val="21"/>
              <w:rPr>
                <w:rFonts w:ascii="Times New Roman"/>
                <w:sz w:val="20"/>
              </w:rPr>
            </w:pPr>
          </w:p>
        </w:tc>
        <w:tc>
          <w:tcPr>
            <w:tcW w:w="1548" w:type="dxa"/>
          </w:tcPr>
          <w:p>
            <w:pPr>
              <w:pStyle w:val="21"/>
              <w:rPr>
                <w:rFonts w:ascii="Times New Roman"/>
                <w:sz w:val="20"/>
              </w:rPr>
            </w:pPr>
          </w:p>
        </w:tc>
        <w:tc>
          <w:tcPr>
            <w:tcW w:w="1548" w:type="dxa"/>
          </w:tcPr>
          <w:p>
            <w:pPr>
              <w:pStyle w:val="21"/>
              <w:rPr>
                <w:rFonts w:ascii="Times New Roman"/>
                <w:sz w:val="20"/>
              </w:rPr>
            </w:pPr>
          </w:p>
        </w:tc>
        <w:tc>
          <w:tcPr>
            <w:tcW w:w="1547"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21"/>
              <w:rPr>
                <w:rFonts w:ascii="Times New Roman"/>
                <w:sz w:val="20"/>
              </w:rPr>
            </w:pPr>
          </w:p>
        </w:tc>
        <w:tc>
          <w:tcPr>
            <w:tcW w:w="1545" w:type="dxa"/>
          </w:tcPr>
          <w:p>
            <w:pPr>
              <w:pStyle w:val="21"/>
              <w:rPr>
                <w:rFonts w:ascii="Times New Roman"/>
                <w:sz w:val="20"/>
              </w:rPr>
            </w:pPr>
          </w:p>
        </w:tc>
        <w:tc>
          <w:tcPr>
            <w:tcW w:w="1548" w:type="dxa"/>
          </w:tcPr>
          <w:p>
            <w:pPr>
              <w:pStyle w:val="21"/>
              <w:rPr>
                <w:rFonts w:ascii="Times New Roman"/>
                <w:sz w:val="20"/>
              </w:rPr>
            </w:pPr>
          </w:p>
        </w:tc>
        <w:tc>
          <w:tcPr>
            <w:tcW w:w="1548" w:type="dxa"/>
          </w:tcPr>
          <w:p>
            <w:pPr>
              <w:pStyle w:val="21"/>
              <w:rPr>
                <w:rFonts w:ascii="Times New Roman"/>
                <w:sz w:val="20"/>
              </w:rPr>
            </w:pPr>
          </w:p>
        </w:tc>
        <w:tc>
          <w:tcPr>
            <w:tcW w:w="1547"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21"/>
              <w:spacing w:before="8"/>
              <w:rPr>
                <w:rFonts w:ascii="黑体"/>
                <w:sz w:val="14"/>
              </w:rPr>
            </w:pPr>
          </w:p>
          <w:p>
            <w:pPr>
              <w:pStyle w:val="21"/>
              <w:ind w:left="801"/>
              <w:rPr>
                <w:sz w:val="21"/>
              </w:rPr>
            </w:pPr>
            <w:r>
              <w:rPr>
                <w:sz w:val="21"/>
              </w:rPr>
              <w:t>缺陷责任期</w:t>
            </w:r>
          </w:p>
        </w:tc>
        <w:tc>
          <w:tcPr>
            <w:tcW w:w="1545" w:type="dxa"/>
          </w:tcPr>
          <w:p>
            <w:pPr>
              <w:pStyle w:val="21"/>
              <w:rPr>
                <w:rFonts w:ascii="Times New Roman"/>
                <w:sz w:val="20"/>
              </w:rPr>
            </w:pPr>
          </w:p>
        </w:tc>
        <w:tc>
          <w:tcPr>
            <w:tcW w:w="1548" w:type="dxa"/>
          </w:tcPr>
          <w:p>
            <w:pPr>
              <w:pStyle w:val="21"/>
              <w:rPr>
                <w:rFonts w:ascii="Times New Roman"/>
                <w:sz w:val="20"/>
              </w:rPr>
            </w:pPr>
          </w:p>
        </w:tc>
        <w:tc>
          <w:tcPr>
            <w:tcW w:w="1548" w:type="dxa"/>
          </w:tcPr>
          <w:p>
            <w:pPr>
              <w:pStyle w:val="21"/>
              <w:rPr>
                <w:rFonts w:ascii="Times New Roman"/>
                <w:sz w:val="20"/>
              </w:rPr>
            </w:pPr>
          </w:p>
        </w:tc>
        <w:tc>
          <w:tcPr>
            <w:tcW w:w="1547"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55" w:type="dxa"/>
            <w:gridSpan w:val="2"/>
          </w:tcPr>
          <w:p>
            <w:pPr>
              <w:pStyle w:val="21"/>
              <w:spacing w:before="8"/>
              <w:rPr>
                <w:rFonts w:ascii="黑体"/>
                <w:sz w:val="14"/>
              </w:rPr>
            </w:pPr>
          </w:p>
          <w:p>
            <w:pPr>
              <w:pStyle w:val="21"/>
              <w:tabs>
                <w:tab w:val="left" w:pos="1643"/>
              </w:tabs>
              <w:ind w:left="801"/>
              <w:rPr>
                <w:sz w:val="21"/>
              </w:rPr>
            </w:pPr>
            <w:r>
              <w:rPr>
                <w:sz w:val="21"/>
              </w:rPr>
              <w:t>小</w:t>
            </w:r>
            <w:r>
              <w:rPr>
                <w:sz w:val="21"/>
              </w:rPr>
              <w:tab/>
            </w:r>
            <w:r>
              <w:rPr>
                <w:sz w:val="21"/>
              </w:rPr>
              <w:t>计</w:t>
            </w:r>
          </w:p>
        </w:tc>
        <w:tc>
          <w:tcPr>
            <w:tcW w:w="1545" w:type="dxa"/>
          </w:tcPr>
          <w:p>
            <w:pPr>
              <w:pStyle w:val="21"/>
              <w:rPr>
                <w:rFonts w:ascii="Times New Roman"/>
                <w:sz w:val="20"/>
              </w:rPr>
            </w:pPr>
          </w:p>
        </w:tc>
        <w:tc>
          <w:tcPr>
            <w:tcW w:w="1548" w:type="dxa"/>
          </w:tcPr>
          <w:p>
            <w:pPr>
              <w:pStyle w:val="21"/>
              <w:spacing w:before="6"/>
              <w:rPr>
                <w:rFonts w:ascii="黑体"/>
                <w:sz w:val="16"/>
              </w:rPr>
            </w:pPr>
          </w:p>
          <w:p>
            <w:pPr>
              <w:pStyle w:val="21"/>
              <w:ind w:left="456" w:right="439"/>
              <w:jc w:val="center"/>
              <w:rPr>
                <w:rFonts w:ascii="Times New Roman"/>
                <w:sz w:val="21"/>
              </w:rPr>
            </w:pPr>
            <w:r>
              <w:rPr>
                <w:rFonts w:ascii="Times New Roman"/>
                <w:sz w:val="21"/>
              </w:rPr>
              <w:t>100.00</w:t>
            </w:r>
          </w:p>
        </w:tc>
        <w:tc>
          <w:tcPr>
            <w:tcW w:w="1548" w:type="dxa"/>
          </w:tcPr>
          <w:p>
            <w:pPr>
              <w:pStyle w:val="21"/>
              <w:rPr>
                <w:rFonts w:ascii="Times New Roman"/>
                <w:sz w:val="20"/>
              </w:rPr>
            </w:pPr>
          </w:p>
        </w:tc>
        <w:tc>
          <w:tcPr>
            <w:tcW w:w="1547" w:type="dxa"/>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8843" w:type="dxa"/>
            <w:gridSpan w:val="6"/>
          </w:tcPr>
          <w:p>
            <w:pPr>
              <w:pStyle w:val="21"/>
              <w:spacing w:before="11"/>
              <w:rPr>
                <w:rFonts w:ascii="黑体"/>
                <w:sz w:val="14"/>
              </w:rPr>
            </w:pPr>
          </w:p>
          <w:p>
            <w:pPr>
              <w:pStyle w:val="21"/>
              <w:ind w:left="28"/>
              <w:rPr>
                <w:sz w:val="21"/>
              </w:rPr>
            </w:pPr>
            <w:r>
              <w:rPr>
                <w:sz w:val="21"/>
              </w:rPr>
              <w:t>投标价：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3" w:hRule="atLeast"/>
        </w:trPr>
        <w:tc>
          <w:tcPr>
            <w:tcW w:w="629" w:type="dxa"/>
          </w:tcPr>
          <w:p>
            <w:pPr>
              <w:pStyle w:val="21"/>
              <w:rPr>
                <w:rFonts w:ascii="黑体"/>
                <w:sz w:val="20"/>
              </w:rPr>
            </w:pPr>
          </w:p>
          <w:p>
            <w:pPr>
              <w:pStyle w:val="21"/>
              <w:rPr>
                <w:rFonts w:ascii="黑体"/>
                <w:sz w:val="20"/>
              </w:rPr>
            </w:pPr>
          </w:p>
          <w:p>
            <w:pPr>
              <w:pStyle w:val="21"/>
              <w:spacing w:before="7"/>
              <w:rPr>
                <w:rFonts w:ascii="黑体"/>
                <w:sz w:val="15"/>
              </w:rPr>
            </w:pPr>
          </w:p>
          <w:p>
            <w:pPr>
              <w:pStyle w:val="21"/>
              <w:ind w:left="208"/>
              <w:rPr>
                <w:sz w:val="21"/>
              </w:rPr>
            </w:pPr>
            <w:r>
              <w:rPr>
                <w:sz w:val="21"/>
              </w:rPr>
              <w:t>说</w:t>
            </w:r>
          </w:p>
          <w:p>
            <w:pPr>
              <w:pStyle w:val="21"/>
              <w:rPr>
                <w:rFonts w:ascii="黑体"/>
                <w:sz w:val="20"/>
              </w:rPr>
            </w:pPr>
          </w:p>
          <w:p>
            <w:pPr>
              <w:pStyle w:val="21"/>
              <w:rPr>
                <w:rFonts w:ascii="黑体"/>
                <w:sz w:val="20"/>
              </w:rPr>
            </w:pPr>
          </w:p>
          <w:p>
            <w:pPr>
              <w:pStyle w:val="21"/>
              <w:rPr>
                <w:rFonts w:ascii="黑体"/>
                <w:sz w:val="20"/>
              </w:rPr>
            </w:pPr>
          </w:p>
          <w:p>
            <w:pPr>
              <w:pStyle w:val="21"/>
              <w:rPr>
                <w:rFonts w:ascii="黑体"/>
                <w:sz w:val="20"/>
              </w:rPr>
            </w:pPr>
          </w:p>
          <w:p>
            <w:pPr>
              <w:pStyle w:val="21"/>
              <w:spacing w:before="9"/>
              <w:rPr>
                <w:rFonts w:ascii="黑体"/>
                <w:sz w:val="23"/>
              </w:rPr>
            </w:pPr>
          </w:p>
          <w:p>
            <w:pPr>
              <w:pStyle w:val="21"/>
              <w:spacing w:before="1"/>
              <w:ind w:left="208"/>
              <w:rPr>
                <w:sz w:val="21"/>
              </w:rPr>
            </w:pPr>
            <w:r>
              <w:rPr>
                <w:sz w:val="21"/>
              </w:rPr>
              <w:t>明</w:t>
            </w:r>
          </w:p>
        </w:tc>
        <w:tc>
          <w:tcPr>
            <w:tcW w:w="8214" w:type="dxa"/>
            <w:gridSpan w:val="5"/>
          </w:tcPr>
          <w:p>
            <w:pPr>
              <w:pStyle w:val="21"/>
              <w:rPr>
                <w:rFonts w:ascii="Times New Roman"/>
                <w:sz w:val="20"/>
              </w:rPr>
            </w:pPr>
          </w:p>
        </w:tc>
      </w:tr>
    </w:tbl>
    <w:p>
      <w:pPr>
        <w:spacing w:before="68"/>
        <w:ind w:left="475"/>
        <w:rPr>
          <w:sz w:val="21"/>
        </w:rPr>
      </w:pPr>
      <w:r>
        <w:rPr>
          <w:sz w:val="21"/>
        </w:rPr>
        <w:t>注：</w:t>
      </w:r>
      <w:r>
        <w:rPr>
          <w:rFonts w:ascii="Times New Roman" w:eastAsia="Times New Roman"/>
          <w:sz w:val="21"/>
        </w:rPr>
        <w:t>1.</w:t>
      </w:r>
      <w:r>
        <w:rPr>
          <w:sz w:val="21"/>
        </w:rPr>
        <w:t>投标人可按工程进度估算并填写本表。</w:t>
      </w:r>
    </w:p>
    <w:p>
      <w:pPr>
        <w:spacing w:before="72" w:line="304" w:lineRule="auto"/>
        <w:ind w:left="1130" w:right="108" w:hanging="267"/>
        <w:rPr>
          <w:sz w:val="21"/>
        </w:rPr>
      </w:pPr>
      <w:r>
        <w:rPr>
          <w:rFonts w:ascii="Times New Roman" w:eastAsia="Times New Roman"/>
          <w:sz w:val="21"/>
        </w:rPr>
        <w:t>2.</w:t>
      </w:r>
      <w:r>
        <w:rPr>
          <w:sz w:val="21"/>
        </w:rPr>
        <w:t>用款额按所报单价和总额价估算，不包括价格调整和暂列金额、暂估价，但应考虑开工预付款的扣回以及签发付款证书后到实际支付的时间间隔。</w:t>
      </w:r>
    </w:p>
    <w:p>
      <w:pPr>
        <w:pStyle w:val="11"/>
        <w:spacing w:line="312" w:lineRule="auto"/>
        <w:ind w:right="444"/>
      </w:pPr>
      <w:bookmarkStart w:id="307" w:name="_bookmark327"/>
      <w:bookmarkEnd w:id="307"/>
    </w:p>
    <w:sectPr>
      <w:headerReference r:id="rId114" w:type="default"/>
      <w:footerReference r:id="rId115" w:type="default"/>
      <w:pgSz w:w="11910" w:h="16850"/>
      <w:pgMar w:top="1540" w:right="1140" w:bottom="1080" w:left="1380" w:header="883" w:footer="88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14208" behindDoc="1" locked="0" layoutInCell="1" allowOverlap="1">
              <wp:simplePos x="0" y="0"/>
              <wp:positionH relativeFrom="page">
                <wp:posOffset>6449695</wp:posOffset>
              </wp:positionH>
              <wp:positionV relativeFrom="page">
                <wp:posOffset>9992360</wp:posOffset>
              </wp:positionV>
              <wp:extent cx="167005" cy="152400"/>
              <wp:effectExtent l="0" t="0" r="0" b="0"/>
              <wp:wrapNone/>
              <wp:docPr id="94" name="文本框 136"/>
              <wp:cNvGraphicFramePr/>
              <a:graphic xmlns:a="http://schemas.openxmlformats.org/drawingml/2006/main">
                <a:graphicData uri="http://schemas.microsoft.com/office/word/2010/wordprocessingShape">
                  <wps:wsp>
                    <wps:cNvSpPr txBox="true"/>
                    <wps:spPr>
                      <a:xfrm>
                        <a:off x="0" y="0"/>
                        <a:ext cx="167005" cy="152400"/>
                      </a:xfrm>
                      <a:prstGeom prst="rect">
                        <a:avLst/>
                      </a:prstGeom>
                      <a:noFill/>
                      <a:ln>
                        <a:noFill/>
                      </a:ln>
                    </wps:spPr>
                    <wps:txbx>
                      <w:txbxContent>
                        <w:p>
                          <w:pPr>
                            <w:spacing w:before="12"/>
                            <w:ind w:left="40"/>
                            <w:rPr>
                              <w:rFonts w:ascii="Times New Roman"/>
                              <w:sz w:val="18"/>
                            </w:rPr>
                          </w:pPr>
                          <w:r>
                            <w:rPr>
                              <w:rFonts w:ascii="Times New Roman"/>
                              <w:sz w:val="18"/>
                            </w:rPr>
                            <w:t>63</w:t>
                          </w:r>
                        </w:p>
                      </w:txbxContent>
                    </wps:txbx>
                    <wps:bodyPr lIns="0" tIns="0" rIns="0" bIns="0" upright="true"/>
                  </wps:wsp>
                </a:graphicData>
              </a:graphic>
            </wp:anchor>
          </w:drawing>
        </mc:Choice>
        <mc:Fallback>
          <w:pict>
            <v:shape id="文本框 136" o:spid="_x0000_s1026" o:spt="202" type="#_x0000_t202" style="position:absolute;left:0pt;margin-left:507.85pt;margin-top:786.8pt;height:12pt;width:13.15pt;mso-position-horizontal-relative:page;mso-position-vertical-relative:page;z-index:-251702272;mso-width-relative:page;mso-height-relative:page;" filled="f" stroked="f" coordsize="21600,21600" o:gfxdata="UEsFBgAAAAAAAAAAAAAAAAAAAAAAAFBLAwQKAAAAAACHTuJAAAAAAAAAAAAAAAAABAAAAGRycy9Q&#10;SwMEFAAAAAgAh07iQE7RiVDbAAAADwEAAA8AAABkcnMvZG93bnJldi54bWxNj81OwzAQhO9IvIO1&#10;SNyonUITGuJUCMEJCZGGA0cndhOr8TrE7g9vz+ZUbju7o9lvis3ZDexopmA9SkgWApjB1muLnYSv&#10;+u3uEViICrUaPBoJvybApry+KlSu/Qkrc9zGjlEIhlxJ6GMcc85D2xunwsKPBum285NTkeTUcT2p&#10;E4W7gS+FSLlTFulDr0bz0pt2vz04Cc/fWL3an4/ms9pVtq7XAt/TvZS3N4l4AhbNOV7MMOMTOpTE&#10;1PgD6sAG0iJZZeSlaZXdp8Bmj3hYUsFm3q2zFHhZ8P89yj9QSwMEFAAAAAgAh07iQCK+en6lAQAA&#10;LAMAAA4AAABkcnMvZTJvRG9jLnhtbK1SS27bMBDdF+gdCO5rSk7itoLlAEGQokDRFkh7AJoiLQL8&#10;YUhb8gXaG3TVTfc9l8+RIWM5SbsLshkNZ0aP773h8nK0huwkRO1dS+tZRYl0wnfabVr6/dvNm3eU&#10;xMRdx413sqV7Genl6vWr5RAaOfe9N50EgiAuNkNoaZ9SaBiLopeWx5kP0mFTebA84RE2rAM+ILo1&#10;bF5VCzZ46AJ4IWPE6vV9k64KvlJSpC9KRZmIaSlySyVCiesc2WrJmw3w0GtxpMGfwcJy7fDSE9Q1&#10;T5xsQf8HZbUAH71KM+Et80ppIYsGVFNX/6i57XmQRQuaE8PJpvhysOLz7isQ3bX0/Tkljlvc0eHX&#10;z8Pvv4c/P0h9tsgODSE2OHgbcDSNV35saYKtnFoR61n7qMDmL6oiOIJ2708WyzERgcV68baqLigR&#10;2Kov5udVWQF7+DlATB+ktyQnLQXcYDGW7z7FhFxwdBrJdzl/o40pWzTuSQEHc4Vl8vcMc5bG9XhU&#10;tPbdHgWZjw79zG9jSmBK1lOyDaA3PdKZZBdUXEnhc3w+eeePz+Xuh0e+u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O0YlQ2wAAAA8BAAAPAAAAAAAAAAEAIAAAADgAAABkcnMvZG93bnJldi54bWxQ&#10;SwECFAAUAAAACACHTuJAIr56fqUBAAAsAwAADgAAAAAAAAABACAAAABAAQAAZHJzL2Uyb0RvYy54&#10;bWxQSwUGAAAAAAYABgBZAQAAVwUAAAAA&#10;">
              <v:fill on="f" focussize="0,0"/>
              <v:stroke on="f"/>
              <v:imagedata o:title=""/>
              <o:lock v:ext="edit" aspectratio="f"/>
              <v:textbox inset="0mm,0mm,0mm,0mm">
                <w:txbxContent>
                  <w:p>
                    <w:pPr>
                      <w:spacing w:before="12"/>
                      <w:ind w:left="40"/>
                      <w:rPr>
                        <w:rFonts w:ascii="Times New Roman"/>
                        <w:sz w:val="18"/>
                      </w:rPr>
                    </w:pPr>
                    <w:r>
                      <w:rPr>
                        <w:rFonts w:ascii="Times New Roman"/>
                        <w:sz w:val="18"/>
                      </w:rPr>
                      <w:t>63</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15232" behindDoc="1" locked="0" layoutInCell="1" allowOverlap="1">
              <wp:simplePos x="0" y="0"/>
              <wp:positionH relativeFrom="page">
                <wp:posOffset>1009015</wp:posOffset>
              </wp:positionH>
              <wp:positionV relativeFrom="page">
                <wp:posOffset>9183370</wp:posOffset>
              </wp:positionV>
              <wp:extent cx="1829435" cy="0"/>
              <wp:effectExtent l="0" t="0" r="0" b="0"/>
              <wp:wrapNone/>
              <wp:docPr id="95" name="直线 138"/>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38" o:spid="_x0000_s1026" o:spt="20" style="position:absolute;left:0pt;margin-left:79.45pt;margin-top:723.1pt;height:0pt;width:144.05pt;mso-position-horizontal-relative:page;mso-position-vertical-relative:page;z-index:-251701248;mso-width-relative:page;mso-height-relative:page;" filled="f" stroked="t" coordsize="21600,21600" o:gfxdata="UEsFBgAAAAAAAAAAAAAAAAAAAAAAAFBLAwQKAAAAAACHTuJAAAAAAAAAAAAAAAAABAAAAGRycy9Q&#10;SwMEFAAAAAgAh07iQCRlKsnZAAAADQEAAA8AAABkcnMvZG93bnJldi54bWxNj0FPwzAMhe9I/IfI&#10;SNxYuqlsWdd0BxBIOyDENnHOGq8tbZyqydbt32MOCG5+9tPz9/L1xXXijENoPGmYThIQSKW3DVUa&#10;9ruXBwUiREPWdJ5QwxUDrIvbm9xk1o/0gedtrASHUMiMhjrGPpMylDU6Eya+R+Lb0Q/ORJZDJe1g&#10;Rg53nZwlyVw60xB/qE2PTzWW7fbkNLwp+ezf28/y+jXuXpXatMvFZq/1/d00WYGIeIl/ZvjBZ3Qo&#10;mOngT2SD6Fg/qiVbeUjT+QwEW9J0wfUOvytZ5PJ/i+IbUEsDBBQAAAAIAIdO4kA9NoKq0gEAAJMD&#10;AAAOAAAAZHJzL2Uyb0RvYy54bWytU0tu2zAQ3RfoHQjua8lOa9iC5SzqppuiDZD0AGOSkgjwBw5t&#10;2WfpNbrqpsfJNTqkHaefTRDUC3rIGb5573G0uj5Yw/Yqovau5dNJzZlywkvt+pZ/vb95s+AMEzgJ&#10;xjvV8qNCfr1+/Wo1hkbN/OCNVJERiMNmDC0fUgpNVaEYlAWc+KAcJTsfLSTaxr6SEUZCt6aa1fW8&#10;Gn2UIXqhEOl0c0rydcHvOiXSl65DlZhpOXFLZY1l3ea1Wq+g6SOEQYszDXgBCwvaUdML1AYSsF3U&#10;/0BZLaJH36WJ8LbyXaeFKhpIzbT+S83dAEEVLWQOhotN+P9gxef9bWRatnz5jjMHlt7o4dv3hx8/&#10;2fRqke0ZAzZUdRdu43mHFGathy7a/E8q2KFYerxYqg6JCTqcLmbLt1cELR5z1dPFEDF9VN6yHLTc&#10;aJfVQgP7T5ioGZU+luRj49jY8nm9nBMc0LB0BhKFNhB9dH25i95oeaONyTcw9tv3JrI95OcvvyyJ&#10;cP8oy002gMOprqROgzEokB+cZOkYyBdHE8wzBaskZ0bRwOeIAKFJoM1zKqm1ccQgu3ryMUdbL4/0&#10;DLsQdT+QEynuVCGak/TyhfJ5SvNo/b4vYE/f0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JGUq&#10;ydkAAAANAQAADwAAAAAAAAABACAAAAA4AAAAZHJzL2Rvd25yZXYueG1sUEsBAhQAFAAAAAgAh07i&#10;QD02gqrSAQAAkwMAAA4AAAAAAAAAAQAgAAAAPg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16256" behindDoc="1" locked="0" layoutInCell="1" allowOverlap="1">
              <wp:simplePos x="0" y="0"/>
              <wp:positionH relativeFrom="page">
                <wp:posOffset>996315</wp:posOffset>
              </wp:positionH>
              <wp:positionV relativeFrom="page">
                <wp:posOffset>10012680</wp:posOffset>
              </wp:positionV>
              <wp:extent cx="141605" cy="152400"/>
              <wp:effectExtent l="0" t="0" r="0" b="0"/>
              <wp:wrapNone/>
              <wp:docPr id="96" name="文本框 137"/>
              <wp:cNvGraphicFramePr/>
              <a:graphic xmlns:a="http://schemas.openxmlformats.org/drawingml/2006/main">
                <a:graphicData uri="http://schemas.microsoft.com/office/word/2010/wordprocessingShape">
                  <wps:wsp>
                    <wps:cNvSpPr txBox="true"/>
                    <wps:spPr>
                      <a:xfrm>
                        <a:off x="0" y="0"/>
                        <a:ext cx="141605" cy="152400"/>
                      </a:xfrm>
                      <a:prstGeom prst="rect">
                        <a:avLst/>
                      </a:prstGeom>
                      <a:noFill/>
                      <a:ln>
                        <a:noFill/>
                      </a:ln>
                    </wps:spPr>
                    <wps:txbx>
                      <w:txbxContent>
                        <w:p>
                          <w:pPr>
                            <w:spacing w:before="12"/>
                            <w:ind w:left="20"/>
                            <w:rPr>
                              <w:rFonts w:ascii="Times New Roman"/>
                              <w:sz w:val="18"/>
                            </w:rPr>
                          </w:pPr>
                          <w:r>
                            <w:rPr>
                              <w:rFonts w:ascii="Times New Roman"/>
                              <w:sz w:val="18"/>
                            </w:rPr>
                            <w:t>62</w:t>
                          </w:r>
                        </w:p>
                      </w:txbxContent>
                    </wps:txbx>
                    <wps:bodyPr lIns="0" tIns="0" rIns="0" bIns="0" upright="true"/>
                  </wps:wsp>
                </a:graphicData>
              </a:graphic>
            </wp:anchor>
          </w:drawing>
        </mc:Choice>
        <mc:Fallback>
          <w:pict>
            <v:shape id="文本框 137" o:spid="_x0000_s1026" o:spt="202" type="#_x0000_t202" style="position:absolute;left:0pt;margin-left:78.45pt;margin-top:788.4pt;height:12pt;width:11.15pt;mso-position-horizontal-relative:page;mso-position-vertical-relative:page;z-index:-251700224;mso-width-relative:page;mso-height-relative:page;" filled="f" stroked="f" coordsize="21600,21600" o:gfxdata="UEsFBgAAAAAAAAAAAAAAAAAAAAAAAFBLAwQKAAAAAACHTuJAAAAAAAAAAAAAAAAABAAAAGRycy9Q&#10;SwMEFAAAAAgAh07iQKVnRB3ZAAAADQEAAA8AAABkcnMvZG93bnJldi54bWxNj81OwzAQhO9IvIO1&#10;SNyo3Uq4TYhTIQQnJEQaDhyd2E2sxusQuz+8PZsTvc1oP83OFNuLH9jJTtEFVLBcCGAW22Acdgq+&#10;6reHDbCYNBo9BLQKfm2EbXl7U+jchDNW9rRLHaMQjLlW0Kc05pzHtrdex0UYLdJtHyavE9mp42bS&#10;Zwr3A18JIbnXDulDr0f70tv2sDt6Bc/fWL26n4/ms9pXrq4zge/yoNT93VI8AUv2kv5hmOtTdSip&#10;UxOOaCIbyD/KjNBZrCWNmJF1tgLWkJBCbICXBb9eUf4BUEsDBBQAAAAIAIdO4kC8Jpb6pQEAACwD&#10;AAAOAAAAZHJzL2Uyb0RvYy54bWytUktu2zAQ3RfoHQjua0pO4raC5QBBkKJA0RZIewCaIi0C/GFI&#10;W/IF2ht01U33PZfPkSFjOUm7C7IZDWdGj++94fJytIbsJETtXUvrWUWJdMJ32m1a+v3bzZt3lMTE&#10;XceNd7Klexnp5er1q+UQGjn3vTedBIIgLjZDaGmfUmgYi6KXlseZD9JhU3mwPOERNqwDPiC6NWxe&#10;VQs2eOgCeCFjxOr1fZOuCr5SUqQvSkWZiGkpckslQonrHNlqyZsN8NBrcaTBn8HCcu3w0hPUNU+c&#10;bEH/B2W1AB+9SjPhLfNKaSGLBlRTV/+oue15kEULmhPDyab4crDi8+4rEN219P2CEsct7ujw6+fh&#10;99/Dnx+kPnubHRpCbHDwNuBoGq/82NIEWzm1Itaz9lGBzV9URXAE7d6fLJZjIgKL9Xm9qC4oEdiq&#10;L+bnVVkBe/g5QEwfpLckJy0F3GAxlu8+xYRccHQayXc5f6ONKVs07kkBB3OFZfL3DHOWxvV4VLT2&#10;3R4FmY8O/cxvY0pgStZTsg2gNz3SmWQXVFxJ4XN8Pnnnj8/l7odHvr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pWdEHdkAAAANAQAADwAAAAAAAAABACAAAAA4AAAAZHJzL2Rvd25yZXYueG1sUEsB&#10;AhQAFAAAAAgAh07iQLwmlvqlAQAALAMAAA4AAAAAAAAAAQAgAAAAPgEAAGRycy9lMm9Eb2MueG1s&#10;UEsFBgAAAAAGAAYAWQEAAFU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62</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21376" behindDoc="1" locked="0" layoutInCell="1" allowOverlap="1">
              <wp:simplePos x="0" y="0"/>
              <wp:positionH relativeFrom="page">
                <wp:posOffset>1018540</wp:posOffset>
              </wp:positionH>
              <wp:positionV relativeFrom="page">
                <wp:posOffset>10012680</wp:posOffset>
              </wp:positionV>
              <wp:extent cx="224790" cy="152400"/>
              <wp:effectExtent l="0" t="0" r="0" b="0"/>
              <wp:wrapNone/>
              <wp:docPr id="101" name="文本框 131"/>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68</w:t>
                          </w:r>
                          <w:r>
                            <w:fldChar w:fldCharType="end"/>
                          </w:r>
                        </w:p>
                      </w:txbxContent>
                    </wps:txbx>
                    <wps:bodyPr lIns="0" tIns="0" rIns="0" bIns="0" upright="true"/>
                  </wps:wsp>
                </a:graphicData>
              </a:graphic>
            </wp:anchor>
          </w:drawing>
        </mc:Choice>
        <mc:Fallback>
          <w:pict>
            <v:shape id="文本框 131" o:spid="_x0000_s1026" o:spt="202" type="#_x0000_t202" style="position:absolute;left:0pt;margin-left:80.2pt;margin-top:788.4pt;height:12pt;width:17.7pt;mso-position-horizontal-relative:page;mso-position-vertical-relative:page;z-index:-251695104;mso-width-relative:page;mso-height-relative:page;" filled="f" stroked="f" coordsize="21600,21600" o:gfxdata="UEsFBgAAAAAAAAAAAAAAAAAAAAAAAFBLAwQKAAAAAACHTuJAAAAAAAAAAAAAAAAABAAAAGRycy9Q&#10;SwMEFAAAAAgAh07iQLdLldLWAAAADQEAAA8AAABkcnMvZG93bnJldi54bWxNT8tOwzAQvCPxD9Yi&#10;caN2EQ1tiFMhBCckRBoOHJ14m1iN1yF2H/w9Wy5wm9GM5lGsT34QB5yiC6RhPlMgkNpgHXUaPuqX&#10;myWImAxZMwRCDd8YYV1eXhQmt+FIFR42qRMcQjE3GvqUxlzK2PboTZyFEYm1bZi8SUynTtrJHDnc&#10;D/JWqUx644gbejPiU4/tbrP3Gh4/qXp2X2/Ne7WtXF2vFL1mO62vr+bqAUTCU/ozw3k+T4eSNzVh&#10;TzaKgXmm7tjKYHGf8YmzZbVg0PxqagmyLOT/F+UPUEsDBBQAAAAIAIdO4kAQM0hVpAEAAC0DAAAO&#10;AAAAZHJzL2Uyb0RvYy54bWytUktu2zAQ3RfIHQjuY0pq+hMsByiCBAGKtkDaA9AUaRHgD0Paki/Q&#10;3qCrbrrvuXyODBnLSdpd0c1oODN6fO8Nl5eTNWQnIWrvOlovKkqkE77XbtPRr1+uz99SEhN3PTfe&#10;yY7uZaSXq7MXyzG0svGDN70EgiAutmPo6JBSaBmLYpCWx4UP0mFTebA84RE2rAc+Iro1rKmq12z0&#10;0AfwQsaI1auHJl0VfKWkSJ+UijIR01HklkqEEtc5stWStxvgYdDiSIP/AwvLtcNLT1BXPHGyBf0X&#10;lNUCfPQqLYS3zCulhSwaUE1d/aHmbuBBFi1oTgwnm+L/gxUfd5+B6B53V9WUOG5xSYcf3w8/fx9+&#10;fSP1yzpbNIbY4uRdwNk0vfdTRxNs5dyKWM/iJwU2f1EWwRH0e3/yWE6JCCw2zcWbd9gR2KpfNRdV&#10;2QF7/DlATDfSW5KTjgKusDjLdx9iQi44Oo/ku5y/1saUNRr3rICDucIy+QeGOUvTejoqWvt+j4LM&#10;rUND8+OYE5iT9ZxsA+jNgHRm2QUVd1L4HN9PXvrTc7n78ZWv7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3S5XS1gAAAA0BAAAPAAAAAAAAAAEAIAAAADgAAABkcnMvZG93bnJldi54bWxQSwECFAAU&#10;AAAACACHTuJAEDNIVaQBAAAtAwAADgAAAAAAAAABACAAAAA7AQAAZHJzL2Uyb0RvYy54bWxQSwUG&#10;AAAAAAYABgBZAQAAU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26496" behindDoc="1" locked="0" layoutInCell="1" allowOverlap="1">
              <wp:simplePos x="0" y="0"/>
              <wp:positionH relativeFrom="page">
                <wp:posOffset>1018540</wp:posOffset>
              </wp:positionH>
              <wp:positionV relativeFrom="page">
                <wp:posOffset>10012680</wp:posOffset>
              </wp:positionV>
              <wp:extent cx="167005" cy="152400"/>
              <wp:effectExtent l="0" t="0" r="0" b="0"/>
              <wp:wrapNone/>
              <wp:docPr id="106" name="文本框 125"/>
              <wp:cNvGraphicFramePr/>
              <a:graphic xmlns:a="http://schemas.openxmlformats.org/drawingml/2006/main">
                <a:graphicData uri="http://schemas.microsoft.com/office/word/2010/wordprocessingShape">
                  <wps:wsp>
                    <wps:cNvSpPr txBox="true"/>
                    <wps:spPr>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100</w:t>
                          </w:r>
                          <w:r>
                            <w:fldChar w:fldCharType="end"/>
                          </w:r>
                        </w:p>
                      </w:txbxContent>
                    </wps:txbx>
                    <wps:bodyPr lIns="0" tIns="0" rIns="0" bIns="0" upright="true"/>
                  </wps:wsp>
                </a:graphicData>
              </a:graphic>
            </wp:anchor>
          </w:drawing>
        </mc:Choice>
        <mc:Fallback>
          <w:pict>
            <v:shape id="文本框 125" o:spid="_x0000_s1026" o:spt="202" type="#_x0000_t202" style="position:absolute;left:0pt;margin-left:80.2pt;margin-top:788.4pt;height:12pt;width:13.15pt;mso-position-horizontal-relative:page;mso-position-vertical-relative:page;z-index:-251689984;mso-width-relative:page;mso-height-relative:page;" filled="f" stroked="f" coordsize="21600,21600" o:gfxdata="UEsFBgAAAAAAAAAAAAAAAAAAAAAAAFBLAwQKAAAAAACHTuJAAAAAAAAAAAAAAAAABAAAAGRycy9Q&#10;SwMEFAAAAAgAh07iQGFKacTZAAAADQEAAA8AAABkcnMvZG93bnJldi54bWxNj81OwzAQhO9IvIO1&#10;lbhRuwjckMapEIITEiINB45O7CZW43WI3R/eni2XctvRfJqdKdYnP7CDnaILqGAxF8AstsE47BR8&#10;1q+3GbCYNBo9BLQKfmyEdXl9VejchCNW9rBJHaMQjLlW0Kc05pzHtrdex3kYLZK3DZPXieTUcTPp&#10;I4X7gd8JIbnXDulDr0f73Nt2t9l7BU9fWL247/fmo9pWrq4fBb7JnVI3s4VYAUv2lC4wnOtTdSip&#10;UxP2aCIbSEtxTygdD0tJI85IJpfAmj9PZMDLgv9fUf4CUEsDBBQAAAAIAIdO4kDuFnelpAEAAC0D&#10;AAAOAAAAZHJzL2Uyb0RvYy54bWytUktu2zAQ3RfoHQjua0pG7RSC5QBFkKJA0QZIewCaIi0C/GFI&#10;W/IF2ht01U32OZfP0SFjOW2yC7IZDWdGj++94epytIbsJUTtXUvrWUWJdMJ32m1b+uP79bsPlMTE&#10;XceNd7KlBxnp5frtm9UQGjn3vTedBIIgLjZDaGmfUmgYi6KXlseZD9JhU3mwPOERtqwDPiC6NWxe&#10;VUs2eOgCeCFjxOrVQ5OuC75SUqRvSkWZiGkpckslQombHNl6xZst8NBrcaLBX8DCcu3w0jPUFU+c&#10;7EA/g7JagI9epZnwlnmltJBFA6qpqydqbnseZNGC5sRwtim+Hqz4ur8BojvcXbWkxHGLSzr+/nX8&#10;c3+8+0nq+SJbNITY4ORtwNk0fvRjSxPs5NSKWM/iRwU2f1EWwRH0+3D2WI6JCCzWy4uqWlAisFUv&#10;5u+rsgP2+HOAmD5Jb0lOWgq4wuIs33+JCbng6DSS73L+WhtT1mjcfwUczBWWyT8wzFkaN+NJ0cZ3&#10;BxRkPjs0ND+OKYEp2UzJLoDe9khnkl1QcSeFz+n95KX/ey53P77y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hSmnE2QAAAA0BAAAPAAAAAAAAAAEAIAAAADgAAABkcnMvZG93bnJldi54bWxQSwEC&#10;FAAUAAAACACHTuJA7hZ3paQBAAAtAwAADgAAAAAAAAABACAAAAA+AQAAZHJzL2Uyb0RvYy54bWxQ&#10;SwUGAAAAAAYABgBZAQAAV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35712" behindDoc="1" locked="0" layoutInCell="1" allowOverlap="1">
              <wp:simplePos x="0" y="0"/>
              <wp:positionH relativeFrom="page">
                <wp:posOffset>1018540</wp:posOffset>
              </wp:positionH>
              <wp:positionV relativeFrom="page">
                <wp:posOffset>9881235</wp:posOffset>
              </wp:positionV>
              <wp:extent cx="224790" cy="152400"/>
              <wp:effectExtent l="0" t="0" r="0" b="0"/>
              <wp:wrapNone/>
              <wp:docPr id="115" name="文本框 115"/>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106</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80.2pt;margin-top:778.05pt;height:12pt;width:17.7pt;mso-position-horizontal-relative:page;mso-position-vertical-relative:page;z-index:-251680768;mso-width-relative:page;mso-height-relative:page;" filled="f" stroked="f" coordsize="21600,21600" o:gfxdata="UEsFBgAAAAAAAAAAAAAAAAAAAAAAAFBLAwQKAAAAAACHTuJAAAAAAAAAAAAAAAAABAAAAGRycy9Q&#10;SwMEFAAAAAgAh07iQOdXTa/ZAAAADQEAAA8AAABkcnMvZG93bnJldi54bWxNj09PhDAQxe8mfodm&#10;TLy5LUbILlI2xujJxMjiwWOBWWiWTpF2//jtHU56mzfz8ub3iu3FjeKEc7CeNCQrBQKp9Z2lXsNn&#10;/Xq3BhGioc6MnlDDDwbYltdXhck7f6YKT7vYCw6hkBsNQ4xTLmVoB3QmrPyExLe9n52JLOdedrM5&#10;c7gb5b1SmXTGEn8YzITPA7aH3dFpePqi6sV+vzcf1b6ydb1R9JYdtL69SdQjiIiX+GeGBZ/RoWSm&#10;xh+pC2JknakHtvKQplkCYrFsUm7TLKu1SkCWhfzfovwFUEsDBBQAAAAIAIdO4kAr+lhFowEAAC0D&#10;AAAOAAAAZHJzL2Uyb0RvYy54bWytUktu2zAQ3RfoHQjua8pCkjaC5QBFkKJA0BZIcgCaIi0C/GFI&#10;W/IF2htklU32OZfP0SFjOW2zC7oZDWdGj++94eJitIZsJUTtXUvns4oS6YTvtFu39O726sMnSmLi&#10;ruPGO9nSnYz0Yvn+3WIIjax9700ngSCIi80QWtqnFBrGouil5XHmg3TYVB4sT3iENeuAD4huDaur&#10;6owNHroAXsgYsXr53KTLgq+UFOm7UlEmYlqK3FKJUOIqR7Zc8GYNPPRaHGjwN7CwXDu89Ah1yRMn&#10;G9CvoKwW4KNXaSa8ZV4pLWTRgGrm1T9qbnoeZNGC5sRwtCn+P1jxbfsDiO5wd/NTShy3uKT9/a/9&#10;w9P+8SfJRbRoCLHByZuAs2n87MeWJtjIqRWxnsWPCmz+oiyCI+j37uixHBMRWKzrk4/n2BHYmp/W&#10;J1XZAXv5OUBMX6S3JCctBVxhcZZvr2NCLjg6jeS7nL/SxpQ1GvdXAQdzhWXyzwxzlsbVeFC08t0O&#10;BZmvDg3Nj2NKYEpWU7IJoNc90plkF1TcSeFzeD956X+ey90vr3z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OdXTa/ZAAAADQEAAA8AAAAAAAAAAQAgAAAAOAAAAGRycy9kb3ducmV2LnhtbFBLAQIU&#10;ABQAAAAIAIdO4kAr+lhFowEAAC0DAAAOAAAAAAAAAAEAIAAAAD4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40832" behindDoc="1" locked="0" layoutInCell="1" allowOverlap="1">
              <wp:simplePos x="0" y="0"/>
              <wp:positionH relativeFrom="page">
                <wp:posOffset>1018540</wp:posOffset>
              </wp:positionH>
              <wp:positionV relativeFrom="page">
                <wp:posOffset>9881235</wp:posOffset>
              </wp:positionV>
              <wp:extent cx="224790" cy="152400"/>
              <wp:effectExtent l="0" t="0" r="0" b="0"/>
              <wp:wrapNone/>
              <wp:docPr id="120" name="文本框 108"/>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108</w:t>
                          </w:r>
                          <w:r>
                            <w:fldChar w:fldCharType="end"/>
                          </w:r>
                        </w:p>
                      </w:txbxContent>
                    </wps:txbx>
                    <wps:bodyPr lIns="0" tIns="0" rIns="0" bIns="0" upright="true"/>
                  </wps:wsp>
                </a:graphicData>
              </a:graphic>
            </wp:anchor>
          </w:drawing>
        </mc:Choice>
        <mc:Fallback>
          <w:pict>
            <v:shape id="文本框 108" o:spid="_x0000_s1026" o:spt="202" type="#_x0000_t202" style="position:absolute;left:0pt;margin-left:80.2pt;margin-top:778.05pt;height:12pt;width:17.7pt;mso-position-horizontal-relative:page;mso-position-vertical-relative:page;z-index:-251675648;mso-width-relative:page;mso-height-relative:page;" filled="f" stroked="f" coordsize="21600,21600" o:gfxdata="UEsFBgAAAAAAAAAAAAAAAAAAAAAAAFBLAwQKAAAAAACHTuJAAAAAAAAAAAAAAAAABAAAAGRycy9Q&#10;SwMEFAAAAAgAh07iQOdXTa/ZAAAADQEAAA8AAABkcnMvZG93bnJldi54bWxNj09PhDAQxe8mfodm&#10;TLy5LUbILlI2xujJxMjiwWOBWWiWTpF2//jtHU56mzfz8ub3iu3FjeKEc7CeNCQrBQKp9Z2lXsNn&#10;/Xq3BhGioc6MnlDDDwbYltdXhck7f6YKT7vYCw6hkBsNQ4xTLmVoB3QmrPyExLe9n52JLOdedrM5&#10;c7gb5b1SmXTGEn8YzITPA7aH3dFpePqi6sV+vzcf1b6ydb1R9JYdtL69SdQjiIiX+GeGBZ/RoWSm&#10;xh+pC2JknakHtvKQplkCYrFsUm7TLKu1SkCWhfzfovwFUEsDBBQAAAAIAIdO4kDM4YUKowEAAC0D&#10;AAAOAAAAZHJzL2Uyb0RvYy54bWytUktu2zAQ3RfoHQjua8pCmo9gOUARpChQNAWSHICmSIsAfxjS&#10;lnyB9AZdZZN9z+VzdMhYTtvsgm5Gw5nR43tvuLgcrSFbCVF719L5rKJEOuE77dYtvb+7/nBOSUzc&#10;ddx4J1u6k5FeLt+/WwyhkbXvvekkEARxsRlCS/uUQsNYFL20PM58kA6byoPlCY+wZh3wAdGtYXVV&#10;nbLBQxfACxkjVq+em3RZ8JWSIt0oFWUipqXILZUIJa5yZMsFb9bAQ6/FgQZ/AwvLtcNLj1BXPHGy&#10;Af0KymoBPnqVZsJb5pXSQhYNqGZe/aPmtudBFi1oTgxHm+L/gxXftt+B6A53V6M/jltc0v7nj/3j&#10;r/3TA5lX59miIcQGJ28Dzqbxkx9bmmAjp1bEehY/KrD5i7IIjiDe7uixHBMRWKzrk7ML7AhszT/W&#10;J1XZAXv5OUBMn6W3JCctBVxhcZZvv8aEXHB0Gsl3OX+tjSlrNO6vAg7mCsvknxnmLI2r8aBo5bsd&#10;CjJfHBqaH8eUwJSspmQTQK97pDPJLqi4k8Ln8H7y0v88l7tfXvn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OdXTa/ZAAAADQEAAA8AAAAAAAAAAQAgAAAAOAAAAGRycy9kb3ducmV2LnhtbFBLAQIU&#10;ABQAAAAIAIdO4kDM4YUKowEAAC0DAAAOAAAAAAAAAAEAIAAAAD4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41856" behindDoc="1" locked="0" layoutInCell="1" allowOverlap="1">
              <wp:simplePos x="0" y="0"/>
              <wp:positionH relativeFrom="page">
                <wp:posOffset>1018540</wp:posOffset>
              </wp:positionH>
              <wp:positionV relativeFrom="page">
                <wp:posOffset>9881235</wp:posOffset>
              </wp:positionV>
              <wp:extent cx="219710" cy="152400"/>
              <wp:effectExtent l="0" t="0" r="0" b="0"/>
              <wp:wrapNone/>
              <wp:docPr id="121" name="文本框 107"/>
              <wp:cNvGraphicFramePr/>
              <a:graphic xmlns:a="http://schemas.openxmlformats.org/drawingml/2006/main">
                <a:graphicData uri="http://schemas.microsoft.com/office/word/2010/wordprocessingShape">
                  <wps:wsp>
                    <wps:cNvSpPr txBox="true"/>
                    <wps:spPr>
                      <a:xfrm>
                        <a:off x="0" y="0"/>
                        <a:ext cx="21971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110</w:t>
                          </w:r>
                          <w:r>
                            <w:fldChar w:fldCharType="end"/>
                          </w:r>
                        </w:p>
                      </w:txbxContent>
                    </wps:txbx>
                    <wps:bodyPr lIns="0" tIns="0" rIns="0" bIns="0" upright="true"/>
                  </wps:wsp>
                </a:graphicData>
              </a:graphic>
            </wp:anchor>
          </w:drawing>
        </mc:Choice>
        <mc:Fallback>
          <w:pict>
            <v:shape id="文本框 107" o:spid="_x0000_s1026" o:spt="202" type="#_x0000_t202" style="position:absolute;left:0pt;margin-left:80.2pt;margin-top:778.05pt;height:12pt;width:17.3pt;mso-position-horizontal-relative:page;mso-position-vertical-relative:page;z-index:-251674624;mso-width-relative:page;mso-height-relative:page;" filled="f" stroked="f" coordsize="21600,21600" o:gfxdata="UEsFBgAAAAAAAAAAAAAAAAAAAAAAAFBLAwQKAAAAAACHTuJAAAAAAAAAAAAAAAAABAAAAGRycy9Q&#10;SwMEFAAAAAgAh07iQEWSkQHZAAAADQEAAA8AAABkcnMvZG93bnJldi54bWxNj09PhDAQxe8mfodm&#10;TLy5LUbILlI2xujJxMjiwWOBWWiWTpF2//jtHU56mzfz8ub3iu3FjeKEc7CeNCQrBQKp9Z2lXsNn&#10;/Xq3BhGioc6MnlDDDwbYltdXhck7f6YKT7vYCw6hkBsNQ4xTLmVoB3QmrPyExLe9n52JLOdedrM5&#10;c7gb5b1SmXTGEn8YzITPA7aH3dFpePqi6sV+vzcf1b6ydb1R9JYdtL69SdQjiIiX+GeGBZ/RoWSm&#10;xh+pC2JknakHtvKQplkCYrFsUq7XLKu1SkCWhfzfovwFUEsDBBQAAAAIAIdO4kDogUAHowEAAC0D&#10;AAAOAAAAZHJzL2Uyb0RvYy54bWytUktu2zAQ3RfoHQjua0pCm7SC5QBFkCJA0ARIewCaIi0C/GFI&#10;W/IF0ht0lU33PZfPkSFjOf3sim5Gw5nR43tvuLyYrCE7CVF719F6UVEinfC9dpuOfv1y9eY9JTFx&#10;13PjnezoXkZ6sXr9ajmGVjZ+8KaXQBDExXYMHR1SCi1jUQzS8rjwQTpsKg+WJzzChvXAR0S3hjVV&#10;dcZGD30AL2SMWL18btJVwVdKinSrVJSJmI4it1QilLjOka2WvN0AD4MWRxr8H1hYrh1eeoK65ImT&#10;Lei/oKwW4KNXaSG8ZV4pLWTRgGrq6g819wMPsmhBc2I42RT/H6z4vLsDonvcXVNT4rjFJR2+fzs8&#10;/jz8eCB1dZ4tGkNscfI+4GyaPvqpowm2cm5FrGfxkwKbvyiL4Aj6vT95LKdEBBab+sN5jR2Brfpd&#10;87YqO2AvPweI6ZP0luSko4ArLM7y3U1MyAVH55F8l/NX2piyRuN+K+BgrrBM/plhztK0no6K1r7f&#10;oyBz7dDQ/DjmBOZkPSfbAHozIJ1ZdkHFnRQ+x/eTl/7rudz98sp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EWSkQHZAAAADQEAAA8AAAAAAAAAAQAgAAAAOAAAAGRycy9kb3ducmV2LnhtbFBLAQIU&#10;ABQAAAAIAIdO4kDogUAHowEAAC0DAAAOAAAAAAAAAAEAIAAAAD4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46976" behindDoc="1" locked="0" layoutInCell="1" allowOverlap="1">
              <wp:simplePos x="0" y="0"/>
              <wp:positionH relativeFrom="page">
                <wp:posOffset>1018540</wp:posOffset>
              </wp:positionH>
              <wp:positionV relativeFrom="page">
                <wp:posOffset>10012680</wp:posOffset>
              </wp:positionV>
              <wp:extent cx="224790" cy="152400"/>
              <wp:effectExtent l="0" t="0" r="0" b="0"/>
              <wp:wrapNone/>
              <wp:docPr id="126" name="文本框 99"/>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128</w:t>
                          </w:r>
                          <w:r>
                            <w:fldChar w:fldCharType="end"/>
                          </w:r>
                        </w:p>
                      </w:txbxContent>
                    </wps:txbx>
                    <wps:bodyPr lIns="0" tIns="0" rIns="0" bIns="0" upright="true"/>
                  </wps:wsp>
                </a:graphicData>
              </a:graphic>
            </wp:anchor>
          </w:drawing>
        </mc:Choice>
        <mc:Fallback>
          <w:pict>
            <v:shape id="文本框 99" o:spid="_x0000_s1026" o:spt="202" type="#_x0000_t202" style="position:absolute;left:0pt;margin-left:80.2pt;margin-top:788.4pt;height:12pt;width:17.7pt;mso-position-horizontal-relative:page;mso-position-vertical-relative:page;z-index:-251669504;mso-width-relative:page;mso-height-relative:page;" filled="f" stroked="f" coordsize="21600,21600" o:gfxdata="UEsFBgAAAAAAAAAAAAAAAAAAAAAAAFBLAwQKAAAAAACHTuJAAAAAAAAAAAAAAAAABAAAAGRycy9Q&#10;SwMEFAAAAAgAh07iQLdLldLWAAAADQEAAA8AAABkcnMvZG93bnJldi54bWxNT8tOwzAQvCPxD9Yi&#10;caN2EQ1tiFMhBCckRBoOHJ14m1iN1yF2H/w9Wy5wm9GM5lGsT34QB5yiC6RhPlMgkNpgHXUaPuqX&#10;myWImAxZMwRCDd8YYV1eXhQmt+FIFR42qRMcQjE3GvqUxlzK2PboTZyFEYm1bZi8SUynTtrJHDnc&#10;D/JWqUx644gbejPiU4/tbrP3Gh4/qXp2X2/Ne7WtXF2vFL1mO62vr+bqAUTCU/ozw3k+T4eSNzVh&#10;TzaKgXmm7tjKYHGf8YmzZbVg0PxqagmyLOT/F+UPUEsDBBQAAAAIAIdO4kBFullRowEAACwDAAAO&#10;AAAAZHJzL2Uyb0RvYy54bWytUktu2zAQ3QfoHQjua8pCmsSC5QBFkKJAkQRIewCaIi0C/GFIW/IF&#10;2ht01U33PZfPkSFjOWm7K7oZDWdGj++94fJ6tIbsJETtXUvns4oS6YTvtNu09Mvn27dXlMTEXceN&#10;d7Klexnp9erN2XIIjax9700ngSCIi80QWtqnFBrGouil5XHmg3TYVB4sT3iEDeuAD4huDaur6oIN&#10;HroAXsgYsXrz3KSrgq+UFOleqSgTMS1FbqlEKHGdI1stebMBHnotjjT4P7CwXDu89AR1wxMnW9B/&#10;QVktwEev0kx4y7xSWsiiAdXMqz/UPPY8yKIFzYnhZFP8f7DibvcARHe4u/qCEsctLunw/dvhx6/D&#10;z69kscgODSE2OPgYcDSN7/3Y0gRbObUi1rP2UYHNX1RFcATt3p8slmMiAot1fX65wI7A1vxdfV6V&#10;FbCXnwPE9EF6S3LSUsANFmP57lNMyAVHp5F8l/O32piyReN+K+BgrrBM/plhztK4Ho+K1r7boyDz&#10;0aGf+W1MCUzJekq2AfSmRzqT7IKKKyl8js8n7/z1udz98sh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dLldLWAAAADQEAAA8AAAAAAAAAAQAgAAAAOAAAAGRycy9kb3ducmV2LnhtbFBLAQIUABQA&#10;AAAIAIdO4kBFullRowEAACwDAAAOAAAAAAAAAAEAIAAAADsBAABkcnMvZTJvRG9jLnhtbFBLBQYA&#10;AAAABgAGAFkBAABQ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48000" behindDoc="1" locked="0" layoutInCell="1" allowOverlap="1">
              <wp:simplePos x="0" y="0"/>
              <wp:positionH relativeFrom="page">
                <wp:posOffset>6369685</wp:posOffset>
              </wp:positionH>
              <wp:positionV relativeFrom="page">
                <wp:posOffset>9992360</wp:posOffset>
              </wp:positionV>
              <wp:extent cx="199390" cy="152400"/>
              <wp:effectExtent l="0" t="0" r="0" b="0"/>
              <wp:wrapNone/>
              <wp:docPr id="127" name="文本框 96"/>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131</w:t>
                          </w:r>
                        </w:p>
                      </w:txbxContent>
                    </wps:txbx>
                    <wps:bodyPr lIns="0" tIns="0" rIns="0" bIns="0" upright="true"/>
                  </wps:wsp>
                </a:graphicData>
              </a:graphic>
            </wp:anchor>
          </w:drawing>
        </mc:Choice>
        <mc:Fallback>
          <w:pict>
            <v:shape id="文本框 96" o:spid="_x0000_s1026" o:spt="202" type="#_x0000_t202" style="position:absolute;left:0pt;margin-left:501.55pt;margin-top:786.8pt;height:12pt;width:15.7pt;mso-position-horizontal-relative:page;mso-position-vertical-relative:page;z-index:-251668480;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NZdA0akAQAA&#10;LAMAAA4AAABkcnMvZTJvRG9jLnhtbK1SS27bMBDdF8gdCO5jyk6axoLlAEGQoEDRFkhyAJoiLQL8&#10;YUhb8gXaG3TVTfc9l8+RIWM5/eyCbEbDmdHje2+4uBqsIVsJUXvX0OmkokQ64Vvt1g19fLg9vaQk&#10;Ju5abryTDd3JSK+WJ+8WfajlzHfetBIIgrhY96GhXUqhZiyKTloeJz5Ih03lwfKER1izFniP6Naw&#10;WVVdsN5DG8ALGSNWb56bdFnwlZIifVEqykRMQ5FbKhFKXOXIlgter4GHTosDDf4KFpZrh5ceoW54&#10;4mQD+j8oqwX46FWaCG+ZV0oLWTSgmmn1j5r7jgdZtKA5MRxtim8HKz5vvwLRLe5u9oESxy0uaf/j&#10;+/7n7/2vb2R+kR3qQ6xx8D7gaBqu/dDQBBs5tiLWs/ZBgc1fVEVwBO3eHS2WQyICi9P5/GyOHYGt&#10;6fvZeVVWwF5+DhDTnfSW5KShgBssxvLtp5iQC46OI/ku52+1MWWLxv1VwMFcYZn8M8OcpWE1HBSt&#10;fLtDQeajQz/z2xgTGJPVmGwC6HWHdEbZBRVXUvgcnk/e+Z/ncvfLI1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GP/XTTbAAAADwEAAA8AAAAAAAAAAQAgAAAAOAAAAGRycy9kb3ducmV2LnhtbFBL&#10;AQIUABQAAAAIAIdO4kDWXQNGpAEAACwDAAAOAAAAAAAAAAEAIAAAAEABAABkcnMvZTJvRG9jLnht&#10;bFBLBQYAAAAABgAGAFkBAABW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131</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49024" behindDoc="1" locked="0" layoutInCell="1" allowOverlap="1">
              <wp:simplePos x="0" y="0"/>
              <wp:positionH relativeFrom="page">
                <wp:posOffset>1031240</wp:posOffset>
              </wp:positionH>
              <wp:positionV relativeFrom="page">
                <wp:posOffset>10012680</wp:posOffset>
              </wp:positionV>
              <wp:extent cx="199390" cy="152400"/>
              <wp:effectExtent l="0" t="0" r="0" b="0"/>
              <wp:wrapNone/>
              <wp:docPr id="128" name="文本框 97"/>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130</w:t>
                          </w:r>
                        </w:p>
                      </w:txbxContent>
                    </wps:txbx>
                    <wps:bodyPr lIns="0" tIns="0" rIns="0" bIns="0" upright="true"/>
                  </wps:wsp>
                </a:graphicData>
              </a:graphic>
            </wp:anchor>
          </w:drawing>
        </mc:Choice>
        <mc:Fallback>
          <w:pict>
            <v:shape id="文本框 97" o:spid="_x0000_s1026" o:spt="202" type="#_x0000_t202" style="position:absolute;left:0pt;margin-left:81.2pt;margin-top:788.4pt;height:12pt;width:15.7pt;mso-position-horizontal-relative:page;mso-position-vertical-relative:page;z-index:-251667456;mso-width-relative:page;mso-height-relative:page;" filled="f" stroked="f" coordsize="21600,21600" o:gfxdata="UEsFBgAAAAAAAAAAAAAAAAAAAAAAAFBLAwQKAAAAAACHTuJAAAAAAAAAAAAAAAAABAAAAGRycy9Q&#10;SwMEFAAAAAgAh07iQOBZFp7XAAAADQEAAA8AAABkcnMvZG93bnJldi54bWxNT8tOwzAQvCPxD9Yi&#10;caN2C4Q2jVMhBCckRBoOPTrxNokar0PsPvh7Nie4zWhG88g2F9eLE46h86RhPlMgkGpvO2o0fJVv&#10;d0sQIRqypveEGn4wwCa/vspMav2ZCjxtYyM4hEJqNLQxDqmUoW7RmTDzAxJrez86E5mOjbSjOXO4&#10;6+VCqUQ60xE3tGbAlxbrw/boNDzvqHjtvj+qz2JfdGW5UvSeHLS+vZmrNYiIl/hnhmk+T4ecN1X+&#10;SDaInnmyeGArg8enhE9MltU9g2rSlFqCzDP5/0X+C1BLAwQUAAAACACHTuJAEAts1qIBAAAsAwAA&#10;DgAAAGRycy9lMm9Eb2MueG1srVLNbhMxEL4j9R0s34k3oRSyyqYSqoqQEK0UeADHa2ct+U9jJ7t5&#10;AXgDTr303ufKc3TsZlOgt4rL7Hhmdvz9eHE5WEN2EqL2rqHTSUWJdMK32m0a+uP79duPlMTEXcuN&#10;d7Khexnp5fLszaIPtZz5zptWAsElLtZ9aGiXUqgZi6KTlseJD9JhU3mwPOERNqwF3uN2a9isqi5Y&#10;76EN4IWMEatXT026LPuVkiLdKBVlIqahiC2VCCWuc2TLBa83wEOnxREGfwUKy7XDS0+rrnjiZAv6&#10;xSqrBfjoVZoIb5lXSgtZOCCbafUPm1XHgyxcUJwYTjLF/7dWfNvdAtEtejdDqxy3aNLh96/D3cPh&#10;/ieZf8gK9SHWOLgKOJqGT35oaIKtHFsR65n7oMDmL7IiOIJy708SyyERgcXpfP5ujh2Bren72XlV&#10;LGDPPweI6bP0luSkoYAOFmH57mtMiAVHx5F8l/PX2pjionF/FXAwV1gG/4QwZ2lYD0dGa9/ukZD5&#10;4lDP/DbGBMZkPSbbAHrTIZyRdtmKlhQ8x+eTPf/zXO5+fuTLR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BZFp7XAAAADQEAAA8AAAAAAAAAAQAgAAAAOAAAAGRycy9kb3ducmV2LnhtbFBLAQIUABQA&#10;AAAIAIdO4kAQC2zWogEAACwDAAAOAAAAAAAAAAEAIAAAADwBAABkcnMvZTJvRG9jLnhtbFBLBQYA&#10;AAAABgAGAFkBAABQ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130</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0048" behindDoc="1" locked="0" layoutInCell="1" allowOverlap="1">
              <wp:simplePos x="0" y="0"/>
              <wp:positionH relativeFrom="page">
                <wp:posOffset>1018540</wp:posOffset>
              </wp:positionH>
              <wp:positionV relativeFrom="page">
                <wp:posOffset>10012680</wp:posOffset>
              </wp:positionV>
              <wp:extent cx="224790" cy="152400"/>
              <wp:effectExtent l="0" t="0" r="0" b="0"/>
              <wp:wrapNone/>
              <wp:docPr id="129" name="文本框 95"/>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138</w:t>
                          </w:r>
                          <w:r>
                            <w:fldChar w:fldCharType="end"/>
                          </w:r>
                        </w:p>
                      </w:txbxContent>
                    </wps:txbx>
                    <wps:bodyPr lIns="0" tIns="0" rIns="0" bIns="0" upright="true"/>
                  </wps:wsp>
                </a:graphicData>
              </a:graphic>
            </wp:anchor>
          </w:drawing>
        </mc:Choice>
        <mc:Fallback>
          <w:pict>
            <v:shape id="文本框 95" o:spid="_x0000_s1026" o:spt="202" type="#_x0000_t202" style="position:absolute;left:0pt;margin-left:80.2pt;margin-top:788.4pt;height:12pt;width:17.7pt;mso-position-horizontal-relative:page;mso-position-vertical-relative:page;z-index:-251666432;mso-width-relative:page;mso-height-relative:page;" filled="f" stroked="f" coordsize="21600,21600" o:gfxdata="UEsFBgAAAAAAAAAAAAAAAAAAAAAAAFBLAwQKAAAAAACHTuJAAAAAAAAAAAAAAAAABAAAAGRycy9Q&#10;SwMEFAAAAAgAh07iQLdLldLWAAAADQEAAA8AAABkcnMvZG93bnJldi54bWxNT8tOwzAQvCPxD9Yi&#10;caN2EQ1tiFMhBCckRBoOHJ14m1iN1yF2H/w9Wy5wm9GM5lGsT34QB5yiC6RhPlMgkNpgHXUaPuqX&#10;myWImAxZMwRCDd8YYV1eXhQmt+FIFR42qRMcQjE3GvqUxlzK2PboTZyFEYm1bZi8SUynTtrJHDnc&#10;D/JWqUx644gbejPiU4/tbrP3Gh4/qXp2X2/Ne7WtXF2vFL1mO62vr+bqAUTCU/ozw3k+T4eSNzVh&#10;TzaKgXmm7tjKYHGf8YmzZbVg0PxqagmyLOT/F+UPUEsDBBQAAAAIAIdO4kCephh5owEAACwDAAAO&#10;AAAAZHJzL2Uyb0RvYy54bWytUktu2zAQ3QfoHQjua8pC0sSC5QBFkKJAkQRIewCaIi0C/GFIW/IF&#10;2ht01U33PZfPkSFjOWm7K7oZDWdGj++94fJ6tIbsJETtXUvns4oS6YTvtNu09Mvn27dXlMTEXceN&#10;d7Klexnp9erN2XIIjax9700ngSCIi80QWtqnFBrGouil5XHmg3TYVB4sT3iEDeuAD4huDaur6h0b&#10;PHQBvJAxYvXmuUlXBV8pKdK9UlEmYlqK3FKJUOI6R7Za8mYDPPRaHGnwf2BhuXZ46QnqhidOtqD/&#10;grJagI9epZnwlnmltJBFA6qZV3+oeex5kEULmhPDyab4/2DF3e4BiO5wd/WCEsctLunw/dvhx6/D&#10;z69kcZEdGkJscPAx4Gga3/uxpQm2cmpFrGftowKbv6iK4AjavT9ZLMdEBBbr+vxygR2BrflFfV6V&#10;FbCXnwPE9EF6S3LSUsANFmP57lNMyAVHp5F8l/O32piyReN+K+BgrrBM/plhztK4Ho+K1r7boyDz&#10;0aGf+W1MCUzJekq2AfSmRzqT7IKKKyl8js8n7/z1udz98sh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dLldLWAAAADQEAAA8AAAAAAAAAAQAgAAAAOAAAAGRycy9kb3ducmV2LnhtbFBLAQIUABQA&#10;AAAIAIdO4kCephh5owEAACwDAAAOAAAAAAAAAAEAIAAAADsBAABkcnMvZTJvRG9jLnhtbFBLBQYA&#10;AAAABgAGAFkBAABQ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138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1072" behindDoc="1" locked="0" layoutInCell="1" allowOverlap="1">
              <wp:simplePos x="0" y="0"/>
              <wp:positionH relativeFrom="page">
                <wp:posOffset>6369685</wp:posOffset>
              </wp:positionH>
              <wp:positionV relativeFrom="page">
                <wp:posOffset>9992360</wp:posOffset>
              </wp:positionV>
              <wp:extent cx="199390" cy="152400"/>
              <wp:effectExtent l="0" t="0" r="0" b="0"/>
              <wp:wrapNone/>
              <wp:docPr id="130" name="文本框 92"/>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141</w:t>
                          </w:r>
                        </w:p>
                      </w:txbxContent>
                    </wps:txbx>
                    <wps:bodyPr lIns="0" tIns="0" rIns="0" bIns="0" upright="true"/>
                  </wps:wsp>
                </a:graphicData>
              </a:graphic>
            </wp:anchor>
          </w:drawing>
        </mc:Choice>
        <mc:Fallback>
          <w:pict>
            <v:shape id="文本框 92" o:spid="_x0000_s1026" o:spt="202" type="#_x0000_t202" style="position:absolute;left:0pt;margin-left:501.55pt;margin-top:786.8pt;height:12pt;width:15.7pt;mso-position-horizontal-relative:page;mso-position-vertical-relative:page;z-index:-251665408;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HKF1rWjAQAA&#10;LAMAAA4AAABkcnMvZTJvRG9jLnhtbK1SS27bMBDdF8gdCO5ryk5T1ILlAEWQoEDQFkhyAJoiLQL8&#10;YUhb8gXaG2SVTfY5l8/RIWM5TbsLshkNZ0aP773h4nywhmwlRO1dQ6eTihLphG+1Wzf07vby4xdK&#10;YuKu5cY72dCdjPR8efJh0YdaznznTSuBIIiLdR8a2qUUasai6KTlceKDdNhUHixPeIQ1a4H3iG4N&#10;m1XVZ9Z7aAN4IWPE6sVzky4LvlJSpB9KRZmIaShySyVCiasc2XLB6zXw0GlxoMHfwMJy7fDSI9QF&#10;T5xsQP8HZbUAH71KE+Et80ppIYsGVDOt/lFz0/EgixY0J4ajTfH9YMX37U8gusXdnaI/jltc0v7+&#10;9/7haf/4i8xn2aE+xBoHbwKOpuGrHxqaYCPHVsR61j4osPmLqgiOINzuaLEcEhFYnM7np3PsCGxN&#10;z2afqrIC9vJzgJiupLckJw0F3GAxlm+vY0IuODqO5Lucv9TGlC0a96qAg7nCMvlnhjlLw2o4KFr5&#10;doeCzDeHfua3MSYwJqsx2QTQ6w7pjLILKq6k8Dk8n7zzv8/l7pdHv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Y/9dNNsAAAAPAQAADwAAAAAAAAABACAAAAA4AAAAZHJzL2Rvd25yZXYueG1sUEsB&#10;AhQAFAAAAAgAh07iQHKF1rWjAQAALAMAAA4AAAAAAAAAAQAgAAAAQAEAAGRycy9lMm9Eb2MueG1s&#10;UEsFBgAAAAAGAAYAWQEAAFU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141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2096" behindDoc="1" locked="0" layoutInCell="1" allowOverlap="1">
              <wp:simplePos x="0" y="0"/>
              <wp:positionH relativeFrom="page">
                <wp:posOffset>1031240</wp:posOffset>
              </wp:positionH>
              <wp:positionV relativeFrom="page">
                <wp:posOffset>10012680</wp:posOffset>
              </wp:positionV>
              <wp:extent cx="199390" cy="152400"/>
              <wp:effectExtent l="0" t="0" r="0" b="0"/>
              <wp:wrapNone/>
              <wp:docPr id="131" name="文本框 93"/>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140</w:t>
                          </w:r>
                        </w:p>
                      </w:txbxContent>
                    </wps:txbx>
                    <wps:bodyPr lIns="0" tIns="0" rIns="0" bIns="0" upright="true"/>
                  </wps:wsp>
                </a:graphicData>
              </a:graphic>
            </wp:anchor>
          </w:drawing>
        </mc:Choice>
        <mc:Fallback>
          <w:pict>
            <v:shape id="文本框 93" o:spid="_x0000_s1026" o:spt="202" type="#_x0000_t202" style="position:absolute;left:0pt;margin-left:81.2pt;margin-top:788.4pt;height:12pt;width:15.7pt;mso-position-horizontal-relative:page;mso-position-vertical-relative:page;z-index:-251664384;mso-width-relative:page;mso-height-relative:page;" filled="f" stroked="f" coordsize="21600,21600" o:gfxdata="UEsFBgAAAAAAAAAAAAAAAAAAAAAAAFBLAwQKAAAAAACHTuJAAAAAAAAAAAAAAAAABAAAAGRycy9Q&#10;SwMEFAAAAAgAh07iQOBZFp7XAAAADQEAAA8AAABkcnMvZG93bnJldi54bWxNT8tOwzAQvCPxD9Yi&#10;caN2C4Q2jVMhBCckRBoOPTrxNokar0PsPvh7Nie4zWhG88g2F9eLE46h86RhPlMgkGpvO2o0fJVv&#10;d0sQIRqypveEGn4wwCa/vspMav2ZCjxtYyM4hEJqNLQxDqmUoW7RmTDzAxJrez86E5mOjbSjOXO4&#10;6+VCqUQ60xE3tGbAlxbrw/boNDzvqHjtvj+qz2JfdGW5UvSeHLS+vZmrNYiIl/hnhmk+T4ecN1X+&#10;SDaInnmyeGArg8enhE9MltU9g2rSlFqCzDP5/0X+C1BLAwQUAAAACACHTuJAoey/W6MBAAAsAwAA&#10;DgAAAGRycy9lMm9Eb2MueG1srVJLbtswEN0XyB0I7mtKdlvUguUARZCgQNEWSHIAmiItAvxhSFvy&#10;BdobdNVN9z2Xz9EhYzlNsiu6GQ1nRo/vveHqcrSG7CVE7V1L61lFiXTCd9ptW3p/d/36PSUxcddx&#10;451s6UFGerm+eLUaQiPnvvemk0AQxMVmCC3tUwoNY1H00vI480E6bCoPlic8wpZ1wAdEt4bNq+od&#10;Gzx0AbyQMWL16qFJ1wVfKSnSF6WiTMS0FLmlEqHETY5sveLNFnjotTjR4P/AwnLt8NIz1BVPnOxA&#10;v4CyWoCPXqWZ8JZ5pbSQRQOqqatnam57HmTRgubEcLYp/j9Y8Xn/FYjucHeLmhLHLS7p+OP78efv&#10;469vZLnIDg0hNjh4G3A0jR/82NIEOzm1Itaz9lGBzV9URXAE7T6cLZZjIgKL9XK5WGJHYKt+O39T&#10;lRWwx58DxHQjvSU5aSngBouxfP8pJuSCo9NIvsv5a21M2aJxTwo4mCssk39gmLM0bsaToo3vDijI&#10;fHToZ34bUwJTspmSXQC97ZHOJLug4koKn9PzyTv/+1zufnzk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gWRae1wAAAA0BAAAPAAAAAAAAAAEAIAAAADgAAABkcnMvZG93bnJldi54bWxQSwECFAAU&#10;AAAACACHTuJAoey/W6MBAAAsAwAADgAAAAAAAAABACAAAAA8AQAAZHJzL2Uyb0RvYy54bWxQSwUG&#10;AAAAAAYABgBZAQAAUQU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140</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3120" behindDoc="1" locked="0" layoutInCell="1" allowOverlap="1">
              <wp:simplePos x="0" y="0"/>
              <wp:positionH relativeFrom="page">
                <wp:posOffset>1018540</wp:posOffset>
              </wp:positionH>
              <wp:positionV relativeFrom="page">
                <wp:posOffset>10012680</wp:posOffset>
              </wp:positionV>
              <wp:extent cx="224790" cy="152400"/>
              <wp:effectExtent l="0" t="0" r="0" b="0"/>
              <wp:wrapNone/>
              <wp:docPr id="132" name="文本框 91"/>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148</w:t>
                          </w:r>
                          <w:r>
                            <w:fldChar w:fldCharType="end"/>
                          </w:r>
                        </w:p>
                      </w:txbxContent>
                    </wps:txbx>
                    <wps:bodyPr lIns="0" tIns="0" rIns="0" bIns="0" upright="true"/>
                  </wps:wsp>
                </a:graphicData>
              </a:graphic>
            </wp:anchor>
          </w:drawing>
        </mc:Choice>
        <mc:Fallback>
          <w:pict>
            <v:shape id="文本框 91" o:spid="_x0000_s1026" o:spt="202" type="#_x0000_t202" style="position:absolute;left:0pt;margin-left:80.2pt;margin-top:788.4pt;height:12pt;width:17.7pt;mso-position-horizontal-relative:page;mso-position-vertical-relative:page;z-index:-251663360;mso-width-relative:page;mso-height-relative:page;" filled="f" stroked="f" coordsize="21600,21600" o:gfxdata="UEsFBgAAAAAAAAAAAAAAAAAAAAAAAFBLAwQKAAAAAACHTuJAAAAAAAAAAAAAAAAABAAAAGRycy9Q&#10;SwMEFAAAAAgAh07iQLdLldLWAAAADQEAAA8AAABkcnMvZG93bnJldi54bWxNT8tOwzAQvCPxD9Yi&#10;caN2EQ1tiFMhBCckRBoOHJ14m1iN1yF2H/w9Wy5wm9GM5lGsT34QB5yiC6RhPlMgkNpgHXUaPuqX&#10;myWImAxZMwRCDd8YYV1eXhQmt+FIFR42qRMcQjE3GvqUxlzK2PboTZyFEYm1bZi8SUynTtrJHDnc&#10;D/JWqUx644gbejPiU4/tbrP3Gh4/qXp2X2/Ne7WtXF2vFL1mO62vr+bqAUTCU/ozw3k+T4eSNzVh&#10;TzaKgXmm7tjKYHGf8YmzZbVg0PxqagmyLOT/F+UPUEsDBBQAAAAIAIdO4kAe/OpspAEAACwDAAAO&#10;AAAAZHJzL2Uyb0RvYy54bWytUktu2zAQ3QfoHQjua8pq2jSC5QBFkKJAkQRIewCaIi0C/GFIW/IF&#10;2htk1U32OZfP0SFjOUm7K7oZDWdGj++94eJitIZsJUTtXUvns4oS6YTvtFu39Pu3q7cfKYmJu44b&#10;72RLdzLSi+Wbk8UQGln73ptOAkEQF5shtLRPKTSMRdFLy+PMB+mwqTxYnvAIa9YBHxDdGlZX1Qc2&#10;eOgCeCFjxOrlU5MuC75SUqQbpaJMxLQUuaUSocRVjmy54M0aeOi1ONDg/8DCcu3w0iPUJU+cbED/&#10;BWW1AB+9SjPhLfNKaSGLBlQzr/5Qc9fzIIsWNCeGo03x/8GK6+0tEN3h7t7VlDhucUn7+5/7X4/7&#10;hx/kfJ4dGkJscPAu4GgaP/mxpQk2cmpFrGftowKbv6iK4AjavTtaLMdEBBbr+vTsHDsCW/P39WlV&#10;VsCefw4Q02fpLclJSwE3WIzl268xIRccnUbyXc5faWPKFo17VcDBXGGZ/BPDnKVxNR4UrXy3Q0Hm&#10;i0M/89uYEpiS1ZRsAuh1j3Qm2QUVV1L4HJ5P3vnLc7n7+ZEv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3S5XS1gAAAA0BAAAPAAAAAAAAAAEAIAAAADgAAABkcnMvZG93bnJldi54bWxQSwECFAAU&#10;AAAACACHTuJAHvzqbKQBAAAsAwAADgAAAAAAAAABACAAAAA7AQAAZHJzL2Uyb0RvYy54bWxQSwUG&#10;AAAAAAYABgBZAQAAU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4144" behindDoc="1" locked="0" layoutInCell="1" allowOverlap="1">
              <wp:simplePos x="0" y="0"/>
              <wp:positionH relativeFrom="page">
                <wp:posOffset>6369685</wp:posOffset>
              </wp:positionH>
              <wp:positionV relativeFrom="page">
                <wp:posOffset>9992360</wp:posOffset>
              </wp:positionV>
              <wp:extent cx="199390" cy="152400"/>
              <wp:effectExtent l="0" t="0" r="0" b="0"/>
              <wp:wrapNone/>
              <wp:docPr id="133" name="文本框 88"/>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151</w:t>
                          </w:r>
                        </w:p>
                      </w:txbxContent>
                    </wps:txbx>
                    <wps:bodyPr lIns="0" tIns="0" rIns="0" bIns="0" upright="true"/>
                  </wps:wsp>
                </a:graphicData>
              </a:graphic>
            </wp:anchor>
          </w:drawing>
        </mc:Choice>
        <mc:Fallback>
          <w:pict>
            <v:shape id="文本框 88" o:spid="_x0000_s1026" o:spt="202" type="#_x0000_t202" style="position:absolute;left:0pt;margin-left:501.55pt;margin-top:786.8pt;height:12pt;width:15.7pt;mso-position-horizontal-relative:page;mso-position-vertical-relative:page;z-index:-251662336;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FLdaNqjAQAA&#10;LAMAAA4AAABkcnMvZTJvRG9jLnhtbK1SS27bMBDdF8gdCO5jynYb2ILlAEGQokDRFkhyAJoiLQL8&#10;YUhb8gXaG3TVTfY9l8/RIWM5/eyKbEbDmdHje2+4uh6sIXsJUXvX0OmkokQ64Vvttg19fLi7XFAS&#10;E3ctN97Jhh5kpNfrizerPtRy5jtvWgkEQVys+9DQLqVQMxZFJy2PEx+kw6byYHnCI2xZC7xHdGvY&#10;rKquWO+hDeCFjBGrt89Nui74SkmRPisVZSKmocgtlQglbnJk6xWvt8BDp8WJBv8PFpZrh5eeoW55&#10;4mQH+h8oqwX46FWaCG+ZV0oLWTSgmmn1l5r7jgdZtKA5MZxtiq8HKz7tvwDRLe5uPqfEcYtLOn7/&#10;dvzx8/j0lSwW2aE+xBoH7wOOpuHGDw1NsJNjK2I9ax8U2PxFVQRH0O7D2WI5JCKwOF0u50vsCGxN&#10;383eVmUF7OXnADG9l96SnDQUcIPFWL7/GBNywdFxJN/l/J02pmzRuD8KOJgrLJN/ZpizNGyGk6KN&#10;bw8oyHxw6Gd+G2MCY7IZk10Ave2Qzii7oOJKCp/T88k7//1c7n555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Y/9dNNsAAAAPAQAADwAAAAAAAAABACAAAAA4AAAAZHJzL2Rvd25yZXYueG1sUEsB&#10;AhQAFAAAAAgAh07iQFLdaNqjAQAALAMAAA4AAAAAAAAAAQAgAAAAQAEAAGRycy9lMm9Eb2MueG1s&#10;UEsFBgAAAAAGAAYAWQEAAFU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151</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5168" behindDoc="1" locked="0" layoutInCell="1" allowOverlap="1">
              <wp:simplePos x="0" y="0"/>
              <wp:positionH relativeFrom="page">
                <wp:posOffset>1031240</wp:posOffset>
              </wp:positionH>
              <wp:positionV relativeFrom="page">
                <wp:posOffset>10012680</wp:posOffset>
              </wp:positionV>
              <wp:extent cx="199390" cy="152400"/>
              <wp:effectExtent l="0" t="0" r="0" b="0"/>
              <wp:wrapNone/>
              <wp:docPr id="134" name="文本框 89"/>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150</w:t>
                          </w:r>
                        </w:p>
                      </w:txbxContent>
                    </wps:txbx>
                    <wps:bodyPr lIns="0" tIns="0" rIns="0" bIns="0" upright="true"/>
                  </wps:wsp>
                </a:graphicData>
              </a:graphic>
            </wp:anchor>
          </w:drawing>
        </mc:Choice>
        <mc:Fallback>
          <w:pict>
            <v:shape id="文本框 89" o:spid="_x0000_s1026" o:spt="202" type="#_x0000_t202" style="position:absolute;left:0pt;margin-left:81.2pt;margin-top:788.4pt;height:12pt;width:15.7pt;mso-position-horizontal-relative:page;mso-position-vertical-relative:page;z-index:-251661312;mso-width-relative:page;mso-height-relative:page;" filled="f" stroked="f" coordsize="21600,21600" o:gfxdata="UEsFBgAAAAAAAAAAAAAAAAAAAAAAAFBLAwQKAAAAAACHTuJAAAAAAAAAAAAAAAAABAAAAGRycy9Q&#10;SwMEFAAAAAgAh07iQOBZFp7XAAAADQEAAA8AAABkcnMvZG93bnJldi54bWxNT8tOwzAQvCPxD9Yi&#10;caN2C4Q2jVMhBCckRBoOPTrxNokar0PsPvh7Nie4zWhG88g2F9eLE46h86RhPlMgkGpvO2o0fJVv&#10;d0sQIRqypveEGn4wwCa/vspMav2ZCjxtYyM4hEJqNLQxDqmUoW7RmTDzAxJrez86E5mOjbSjOXO4&#10;6+VCqUQ60xE3tGbAlxbrw/boNDzvqHjtvj+qz2JfdGW5UvSeHLS+vZmrNYiIl/hnhmk+T4ecN1X+&#10;SDaInnmyeGArg8enhE9MltU9g2rSlFqCzDP5/0X+C1BLAwQUAAAACACHTuJAk3USR6QBAAAsAwAA&#10;DgAAAGRycy9lMm9Eb2MueG1srVJLbtswEN0X6B0I7mPKThrEguUAQZCiQNEUSHoAmiItAvxhSFvy&#10;BdobdJVN9j2Xz9EhYzltsguyGQ1nRo/vveHicrCGbCVE7V1Dp5OKEumEb7VbN/TH/c3JBSUxcddy&#10;451s6E5Gern8+GHRh1rOfOdNK4EgiIt1HxrapRRqxqLopOVx4oN02FQeLE94hDVrgfeIbg2bVdU5&#10;6z20AbyQMWL1+qlJlwVfKSnSrVJRJmIaitxSiVDiKke2XPB6DTx0Whxo8DewsFw7vPQIdc0TJxvQ&#10;r6CsFuCjV2kivGVeKS1k0YBqptULNXcdD7JoQXNiONoU3w9WfNt+B6Jb3N3pGSWOW1zS/vev/cOf&#10;/eNPcjHPDvUh1jh4F3A0DVd+aGiCjRxbEetZ+6DA5i+qIjiCdu+OFsshEYHF6Xx+OseOwNb00+ys&#10;Kitgzz8HiOmz9JbkpKGAGyzG8u3XmJALjo4j+S7nb7QxZYvG/VfAwVxhmfwTw5ylYTUcFK18u0NB&#10;5otDP/PbGBMYk9WYbALodYd0RtkFFVdS+ByeT975v+dy9/MjX/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4FkWntcAAAANAQAADwAAAAAAAAABACAAAAA4AAAAZHJzL2Rvd25yZXYueG1sUEsBAhQA&#10;FAAAAAgAh07iQJN1EkekAQAALAMAAA4AAAAAAAAAAQAgAAAAPAEAAGRycy9lMm9Eb2MueG1sUEsF&#10;BgAAAAAGAAYAWQEAAFI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150</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6192" behindDoc="1" locked="0" layoutInCell="1" allowOverlap="1">
              <wp:simplePos x="0" y="0"/>
              <wp:positionH relativeFrom="page">
                <wp:posOffset>1018540</wp:posOffset>
              </wp:positionH>
              <wp:positionV relativeFrom="page">
                <wp:posOffset>10012680</wp:posOffset>
              </wp:positionV>
              <wp:extent cx="224790" cy="152400"/>
              <wp:effectExtent l="0" t="0" r="0" b="0"/>
              <wp:wrapNone/>
              <wp:docPr id="135" name="文本框 87"/>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158</w:t>
                          </w:r>
                          <w:r>
                            <w:fldChar w:fldCharType="end"/>
                          </w:r>
                        </w:p>
                      </w:txbxContent>
                    </wps:txbx>
                    <wps:bodyPr lIns="0" tIns="0" rIns="0" bIns="0" upright="true"/>
                  </wps:wsp>
                </a:graphicData>
              </a:graphic>
            </wp:anchor>
          </w:drawing>
        </mc:Choice>
        <mc:Fallback>
          <w:pict>
            <v:shape id="文本框 87" o:spid="_x0000_s1026" o:spt="202" type="#_x0000_t202" style="position:absolute;left:0pt;margin-left:80.2pt;margin-top:788.4pt;height:12pt;width:17.7pt;mso-position-horizontal-relative:page;mso-position-vertical-relative:page;z-index:-251660288;mso-width-relative:page;mso-height-relative:page;" filled="f" stroked="f" coordsize="21600,21600" o:gfxdata="UEsFBgAAAAAAAAAAAAAAAAAAAAAAAFBLAwQKAAAAAACHTuJAAAAAAAAAAAAAAAAABAAAAGRycy9Q&#10;SwMEFAAAAAgAh07iQLdLldLWAAAADQEAAA8AAABkcnMvZG93bnJldi54bWxNT8tOwzAQvCPxD9Yi&#10;caN2EQ1tiFMhBCckRBoOHJ14m1iN1yF2H/w9Wy5wm9GM5lGsT34QB5yiC6RhPlMgkNpgHXUaPuqX&#10;myWImAxZMwRCDd8YYV1eXhQmt+FIFR42qRMcQjE3GvqUxlzK2PboTZyFEYm1bZi8SUynTtrJHDnc&#10;D/JWqUx644gbejPiU4/tbrP3Gh4/qXp2X2/Ne7WtXF2vFL1mO62vr+bqAUTCU/ozw3k+T4eSNzVh&#10;TzaKgXmm7tjKYHGf8YmzZbVg0PxqagmyLOT/F+UPUEsDBBQAAAAIAIdO4kBrpokfpAEAACwDAAAO&#10;AAAAZHJzL2Uyb0RvYy54bWytUktu2zAQ3RfoHQjua8pK0qSC5QBBkKJA0RZIegCaIi0C/GFIW/IF&#10;mhtk1U33PZfPkSFjOW2yK7oZDWdGj++94eJytIZsJUTtXUvns4oS6YTvtFu39PvdzbsLSmLiruPG&#10;O9nSnYz0cvn2zWIIjax9700ngSCIi80QWtqnFBrGouil5XHmg3TYVB4sT3iENeuAD4huDaur6j0b&#10;PHQBvJAxYvX6qUmXBV8pKdJXpaJMxLQUuaUSocRVjmy54M0aeOi1ONDg/8DCcu3w0iPUNU+cbEC/&#10;grJagI9epZnwlnmltJBFA6qZVy/U3PY8yKIFzYnhaFP8f7Diy/YbEN3h7k7OKHHc4pL2D/f7n7/3&#10;v36Qi/Ps0BBig4O3AUfTeOXHlibYyKkVsZ61jwps/qIqgiNo9+5osRwTEVis69PzD9gR2Jqf1adV&#10;WQF7/jlATB+ltyQnLQXcYDGWbz/HhFxwdBrJdzl/o40pWzTurwIO5grL5J8Y5iyNq/GgaOW7HQoy&#10;nxz6md/GlMCUrKZkE0Cve6QzyS6ouJLC5/B88s7/PJe7nx/5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3S5XS1gAAAA0BAAAPAAAAAAAAAAEAIAAAADgAAABkcnMvZG93bnJldi54bWxQSwECFAAU&#10;AAAACACHTuJAa6aJH6QBAAAsAwAADgAAAAAAAAABACAAAAA7AQAAZHJzL2Uyb0RvYy54bWxQSwUG&#10;AAAAAAYABgBZAQAAU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6369685</wp:posOffset>
              </wp:positionH>
              <wp:positionV relativeFrom="page">
                <wp:posOffset>9992360</wp:posOffset>
              </wp:positionV>
              <wp:extent cx="199390" cy="152400"/>
              <wp:effectExtent l="0" t="0" r="0" b="0"/>
              <wp:wrapNone/>
              <wp:docPr id="136" name="文本框 84"/>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161</w:t>
                          </w:r>
                        </w:p>
                      </w:txbxContent>
                    </wps:txbx>
                    <wps:bodyPr lIns="0" tIns="0" rIns="0" bIns="0" upright="true"/>
                  </wps:wsp>
                </a:graphicData>
              </a:graphic>
            </wp:anchor>
          </w:drawing>
        </mc:Choice>
        <mc:Fallback>
          <w:pict>
            <v:shape id="文本框 84" o:spid="_x0000_s1026" o:spt="202" type="#_x0000_t202" style="position:absolute;left:0pt;margin-left:501.55pt;margin-top:786.8pt;height:12pt;width:15.7pt;mso-position-horizontal-relative:page;mso-position-vertical-relative:page;z-index:-251659264;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L+CHWekAQAA&#10;LAMAAA4AAABkcnMvZTJvRG9jLnhtbK1SS27bMBDdB+gdCO5ryk4axILlAEWQokDRFEhyAJoiLQL8&#10;YUhb8gXSG3TVTfY9l8+RIWM5abMLuhkNZ0aP773h4nKwhmwlRO1dQ6eTihLphG+1Wzf0/u764wUl&#10;MXHXcuOdbOhORnq5/HCy6EMtZ77zppVAEMTFug8N7VIKNWNRdNLyOPFBOmwqD5YnPMKatcB7RLeG&#10;zarqnPUe2gBeyBixevXcpMuCr5QU6UapKBMxDUVuqUQocZUjWy54vQYeOi0ONPg7WFiuHV56hLri&#10;iZMN6DdQVgvw0as0Ed4yr5QWsmhANdPqHzW3HQ+yaEFzYjjaFP8frPi+/QFEt7i703NKHLe4pP2v&#10;n/vff/aPD+TiLDvUh1jj4G3A0TR89kNDE2zk2IpYz9oHBTZ/URXBEbR7d7RYDokILE7n89M5dgS2&#10;pp9mZ1VZAXv5OUBMX6S3JCcNBdxgMZZvv8WEXHB0HMl3OX+tjSlbNO6vAg7mCsvknxnmLA2r4aBo&#10;5dsdCjJfHfqZ38aYwJisxmQTQK87pDPKLqi4ksLn8Hzyzl+fy90vj3z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GP/XTTbAAAADwEAAA8AAAAAAAAAAQAgAAAAOAAAAGRycy9kb3ducmV2LnhtbFBL&#10;AQIUABQAAAAIAIdO4kC/gh1npAEAACwDAAAOAAAAAAAAAAEAIAAAAEABAABkcnMvZTJvRG9jLnht&#10;bFBLBQYAAAAABgAGAFkBAABW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161</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1031240</wp:posOffset>
              </wp:positionH>
              <wp:positionV relativeFrom="page">
                <wp:posOffset>10012680</wp:posOffset>
              </wp:positionV>
              <wp:extent cx="199390" cy="152400"/>
              <wp:effectExtent l="0" t="0" r="0" b="0"/>
              <wp:wrapNone/>
              <wp:docPr id="137" name="文本框 85"/>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160</w:t>
                          </w:r>
                        </w:p>
                      </w:txbxContent>
                    </wps:txbx>
                    <wps:bodyPr lIns="0" tIns="0" rIns="0" bIns="0" upright="true"/>
                  </wps:wsp>
                </a:graphicData>
              </a:graphic>
            </wp:anchor>
          </w:drawing>
        </mc:Choice>
        <mc:Fallback>
          <w:pict>
            <v:shape id="文本框 85" o:spid="_x0000_s1026" o:spt="202" type="#_x0000_t202" style="position:absolute;left:0pt;margin-left:81.2pt;margin-top:788.4pt;height:12pt;width:15.7pt;mso-position-horizontal-relative:page;mso-position-vertical-relative:page;z-index:-251658240;mso-width-relative:page;mso-height-relative:page;" filled="f" stroked="f" coordsize="21600,21600" o:gfxdata="UEsFBgAAAAAAAAAAAAAAAAAAAAAAAFBLAwQKAAAAAACHTuJAAAAAAAAAAAAAAAAABAAAAGRycy9Q&#10;SwMEFAAAAAgAh07iQOBZFp7XAAAADQEAAA8AAABkcnMvZG93bnJldi54bWxNT8tOwzAQvCPxD9Yi&#10;caN2C4Q2jVMhBCckRBoOPTrxNokar0PsPvh7Nie4zWhG88g2F9eLE46h86RhPlMgkGpvO2o0fJVv&#10;d0sQIRqypveEGn4wwCa/vspMav2ZCjxtYyM4hEJqNLQxDqmUoW7RmTDzAxJrez86E5mOjbSjOXO4&#10;6+VCqUQ60xE3tGbAlxbrw/boNDzvqHjtvj+qz2JfdGW5UvSeHLS+vZmrNYiIl/hnhmk+T4ecN1X+&#10;SDaInnmyeGArg8enhE9MltU9g2rSlFqCzDP5/0X+C1BLAwQUAAAACACHTuJAbOt0iaQBAAAsAwAA&#10;DgAAAGRycy9lMm9Eb2MueG1srVJLbtswEN0X6B0I7mvKTpPGguUAQZCiQNEUSHMAmiItAvxhSFvy&#10;BdobdJVN9j2Xz9EhYzmf7opsRsOZ0eN7b7i4GKwhWwlRe9fQ6aSiRDrhW+3WDb37cf3hnJKYuGu5&#10;8U42dCcjvVi+f7foQy1nvvOmlUAQxMW6Dw3tUgo1Y1F00vI48UE6bCoPlic8wpq1wHtEt4bNquqM&#10;9R7aAF7IGLF69diky4KvlBTpRqkoEzENRW6pRChxlSNbLni9Bh46LQ40+H+wsFw7vPQIdcUTJxvQ&#10;/0BZLcBHr9JEeMu8UlrIogHVTKtXam47HmTRgubEcLQpvh2s+Lb9DkS3uLuTT5Q4bnFJ+9+/9vd/&#10;9g8/yflpdqgPscbB24Cjabj0Q0MTbOTYiljP2gcFNn9RFcERtHt3tFgOiQgsTufzkzl2BLamp7OP&#10;VVkBe/o5QEyfpbckJw0F3GAxlm+/xoRccHQcyXc5f62NKVs07kUBB3OFZfKPDHOWhtVwULTy7Q4F&#10;mS8O/cxvY0xgTFZjsgmg1x3SGWUXVFxJ4XN4Pnnnz8/l7qdHvv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4FkWntcAAAANAQAADwAAAAAAAAABACAAAAA4AAAAZHJzL2Rvd25yZXYueG1sUEsBAhQA&#10;FAAAAAgAh07iQGzrdImkAQAALAMAAA4AAAAAAAAAAQAgAAAAPAEAAGRycy9lMm9Eb2MueG1sUEsF&#10;BgAAAAAGAAYAWQEAAFI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160</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6369685</wp:posOffset>
              </wp:positionH>
              <wp:positionV relativeFrom="page">
                <wp:posOffset>9992360</wp:posOffset>
              </wp:positionV>
              <wp:extent cx="199390" cy="152400"/>
              <wp:effectExtent l="0" t="0" r="0" b="0"/>
              <wp:wrapNone/>
              <wp:docPr id="138" name="文本框 82"/>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163</w:t>
                          </w:r>
                        </w:p>
                      </w:txbxContent>
                    </wps:txbx>
                    <wps:bodyPr lIns="0" tIns="0" rIns="0" bIns="0" upright="true"/>
                  </wps:wsp>
                </a:graphicData>
              </a:graphic>
            </wp:anchor>
          </w:drawing>
        </mc:Choice>
        <mc:Fallback>
          <w:pict>
            <v:shape id="文本框 82" o:spid="_x0000_s1026" o:spt="202" type="#_x0000_t202" style="position:absolute;left:0pt;margin-left:501.55pt;margin-top:786.8pt;height:12pt;width:15.7pt;mso-position-horizontal-relative:page;mso-position-vertical-relative:page;z-index:-251657216;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JEC7GKiAQAA&#10;LAMAAA4AAABkcnMvZTJvRG9jLnhtbK1SS27bMBDdF8gdCO5jys4HsWA5QBAkKFA0BdIegKZIiwB/&#10;GNKWfIH0Bl1lk33P5XN0yFhOP7sim9FwZjR8Hy6uB2vIVkLU3jV0OqkokU74Vrt1Q799vTu9oiQm&#10;7lpuvJMN3clIr5cnHxZ9qOXMd960EggucbHuQ0O7lELNWBSdtDxOfJAOm8qD5QmPsGYt8B63W8Nm&#10;VXXJeg9tAC9kjFi9fW3SZdmvlBTpQakoEzENRWypRChxlSNbLni9Bh46LQ4w+H+gsFw7vPS46pYn&#10;Tjag/1lltQAfvUoT4S3zSmkhCwdkM63+YvPY8SALFxQnhqNM8f3Wis/bL0B0i96doVWOWzRp/+P7&#10;/vnn/uWJXM2yQn2INQ4+BhxNw40fGppgI8dWxHrmPiiw+YusCI6g3LujxHJIRGBxOp+fzbEjsDW9&#10;mJ1XxQL29nOAmO6ltyQnDQV0sAjLt59iQiw4Oo7ku5y/08YUF437o4CDucIy+FeEOUvDajgwWvl2&#10;h4TMR4d65rcxJjAmqzHZBNDrDuGMtMtWtKTgOTyf7Pnv53L32yN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j/1002wAAAA8BAAAPAAAAAAAAAAEAIAAAADgAAABkcnMvZG93bnJldi54bWxQSwEC&#10;FAAUAAAACACHTuJAkQLsYqIBAAAsAwAADgAAAAAAAAABACAAAABAAQAAZHJzL2Uyb0RvYy54bWxQ&#10;SwUGAAAAAAYABgBZAQAAVAU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163</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1018540</wp:posOffset>
              </wp:positionH>
              <wp:positionV relativeFrom="page">
                <wp:posOffset>10012680</wp:posOffset>
              </wp:positionV>
              <wp:extent cx="224790" cy="152400"/>
              <wp:effectExtent l="0" t="0" r="0" b="0"/>
              <wp:wrapNone/>
              <wp:docPr id="139" name="文本框 83"/>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164</w:t>
                          </w:r>
                          <w:r>
                            <w:fldChar w:fldCharType="end"/>
                          </w:r>
                        </w:p>
                      </w:txbxContent>
                    </wps:txbx>
                    <wps:bodyPr lIns="0" tIns="0" rIns="0" bIns="0" upright="true"/>
                  </wps:wsp>
                </a:graphicData>
              </a:graphic>
            </wp:anchor>
          </w:drawing>
        </mc:Choice>
        <mc:Fallback>
          <w:pict>
            <v:shape id="文本框 83" o:spid="_x0000_s1026" o:spt="202" type="#_x0000_t202" style="position:absolute;left:0pt;margin-left:80.2pt;margin-top:788.4pt;height:12pt;width:17.7pt;mso-position-horizontal-relative:page;mso-position-vertical-relative:page;z-index:-251656192;mso-width-relative:page;mso-height-relative:page;" filled="f" stroked="f" coordsize="21600,21600" o:gfxdata="UEsFBgAAAAAAAAAAAAAAAAAAAAAAAFBLAwQKAAAAAACHTuJAAAAAAAAAAAAAAAAABAAAAGRycy9Q&#10;SwMEFAAAAAgAh07iQLdLldLWAAAADQEAAA8AAABkcnMvZG93bnJldi54bWxNT8tOwzAQvCPxD9Yi&#10;caN2EQ1tiFMhBCckRBoOHJ14m1iN1yF2H/w9Wy5wm9GM5lGsT34QB5yiC6RhPlMgkNpgHXUaPuqX&#10;myWImAxZMwRCDd8YYV1eXhQmt+FIFR42qRMcQjE3GvqUxlzK2PboTZyFEYm1bZi8SUynTtrJHDnc&#10;D/JWqUx644gbejPiU4/tbrP3Gh4/qXp2X2/Ne7WtXF2vFL1mO62vr+bqAUTCU/ozw3k+T4eSNzVh&#10;TzaKgXmm7tjKYHGf8YmzZbVg0PxqagmyLOT/F+UPUEsDBBQAAAAIAIdO4kCi89sdpAEAACwDAAAO&#10;AAAAZHJzL2Uyb0RvYy54bWytUktu2zAQ3RfIHQjuY8rKp4lgOUAQpChQtAXSHoCmSIsAfxjSlnyB&#10;9AZdZdN9z+VzdMhYTj+7IpvRcGb0+N4bLm5Ga8hWQtTetXQ+qyiRTvhOu3VLv365P72iJCbuOm68&#10;ky3dyUhvlidvFkNoZO17bzoJBEFcbIbQ0j6l0DAWRS8tjzMfpMOm8mB5wiOsWQd8QHRrWF1Vl2zw&#10;0AXwQsaI1bvnJl0WfKWkSJ+UijIR01LklkqEElc5suWCN2vgodfiQIP/BwvLtcNLj1B3PHGyAf0P&#10;lNUCfPQqzYS3zCulhSwaUM28+kvNQ8+DLFrQnBiONsXXgxUft5+B6A53d3ZNieMWl7T//m3/9HP/&#10;45FcnWWHhhAbHHwIOJrGWz+2NMFGTq2I9ax9VGDzF1URHEG7d0eL5ZiIwGJdn7+9xo7A1vyiPq/K&#10;CtjLzwFieie9JTlpKeAGi7F8+yEm5IKj00i+y/l7bUzZonF/FHAwV1gm/8wwZ2lcjQdFK9/tUJB5&#10;79DP/DamBKZkNSWbAHrdI51JdkHFlRQ+h+eTd/77udz98si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3S5XS1gAAAA0BAAAPAAAAAAAAAAEAIAAAADgAAABkcnMvZG93bnJldi54bWxQSwECFAAU&#10;AAAACACHTuJAovPbHaQBAAAsAwAADgAAAAAAAAABACAAAAA7AQAAZHJzL2Uyb0RvYy54bWxQSwUG&#10;AAAAAAYABgBZAQAAU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164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990600</wp:posOffset>
              </wp:positionH>
              <wp:positionV relativeFrom="page">
                <wp:posOffset>10007600</wp:posOffset>
              </wp:positionV>
              <wp:extent cx="199390" cy="152400"/>
              <wp:effectExtent l="0" t="0" r="0" b="0"/>
              <wp:wrapNone/>
              <wp:docPr id="144" name="文本框 58"/>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208</w:t>
                          </w:r>
                        </w:p>
                      </w:txbxContent>
                    </wps:txbx>
                    <wps:bodyPr lIns="0" tIns="0" rIns="0" bIns="0" upright="true"/>
                  </wps:wsp>
                </a:graphicData>
              </a:graphic>
            </wp:anchor>
          </w:drawing>
        </mc:Choice>
        <mc:Fallback>
          <w:pict>
            <v:shape id="文本框 58" o:spid="_x0000_s1026" o:spt="202" type="#_x0000_t202" style="position:absolute;left:0pt;margin-left:78pt;margin-top:788pt;height:12pt;width:15.7pt;mso-position-horizontal-relative:page;mso-position-vertical-relative:page;z-index:-251651072;mso-width-relative:page;mso-height-relative:page;" filled="f" stroked="f" coordsize="21600,21600" o:gfxdata="UEsFBgAAAAAAAAAAAAAAAAAAAAAAAFBLAwQKAAAAAACHTuJAAAAAAAAAAAAAAAAABAAAAGRycy9Q&#10;SwMEFAAAAAgAh07iQNxUFtfXAAAADQEAAA8AAABkcnMvZG93bnJldi54bWxNj81OwzAQhO9IvIO1&#10;SNyoXQRpCXEqhOCEhEjDgaMTbxOr8TrE7g9vz+YEt2+0o9mZYnP2gzjiFF0gDcuFAoHUBuuo0/BZ&#10;v96sQcRkyJohEGr4wQib8vKiMLkNJ6rwuE2d4BCKudHQpzTmUsa2R2/iIoxIfNuFyZvEcuqkncyJ&#10;w/0gb5XKpDeO+ENvRnzusd1vD17D0xdVL+77vfmodpWr6wdFb9le6+urpXoEkfCc/sww1+fqUHKn&#10;JhzIRjGwvs94S5phNdNsWa/uQDQMmVIKZFnI/yvKX1BLAwQUAAAACACHTuJAAfK8XaQBAAAsAwAA&#10;DgAAAGRycy9lMm9Eb2MueG1srVJLbtswEN0X6B0I7mvKrhPEguUARZCiQNAUSHoAmiItAvxhSFvy&#10;BZIbdJVN9j2Xz9EhYzlpuyu6GQ1nRo/vveHycrCG7CRE7V1Dp5OKEumEb7XbNPT7/fWHC0pi4q7l&#10;xjvZ0L2M9HL1/t2yD7Wc+c6bVgJBEBfrPjS0SynUjEXRScvjxAfpsKk8WJ7wCBvWAu8R3Ro2q6pz&#10;1ntoA3ghY8Tq1UuTrgq+UlKkW6WiTMQ0FLmlEqHEdY5steT1BnjotDjS4P/AwnLt8NIT1BVPnGxB&#10;/wVltQAfvUoT4S3zSmkhiwZUM63+UHPX8SCLFjQnhpNN8f/Biq+7b0B0i7ubzylx3OKSDj8eD08/&#10;D88P5OwiO9SHWOPgXcDRNHzyQ0MTbOXYiljP2gcFNn9RFcERtHt/slgOiQgsTheLjwvsCGxNz2bz&#10;qqyAvf4cIKbP0luSk4YCbrAYy3c3MSEXHB1H8l3OX2tjyhaN+62Ag7nCMvkXhjlLw3o4Klr7do+C&#10;zBeHfua3MSYwJusx2QbQmw7pjLILKq6k8Dk+n7zzt+dy9+sjX/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3FQW19cAAAANAQAADwAAAAAAAAABACAAAAA4AAAAZHJzL2Rvd25yZXYueG1sUEsBAhQA&#10;FAAAAAgAh07iQAHyvF2kAQAALAMAAA4AAAAAAAAAAQAgAAAAPAEAAGRycy9lMm9Eb2MueG1sUEsF&#10;BgAAAAAGAAYAWQEAAFI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208</w:t>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09088" behindDoc="1" locked="0" layoutInCell="1" allowOverlap="1">
              <wp:simplePos x="0" y="0"/>
              <wp:positionH relativeFrom="page">
                <wp:posOffset>983615</wp:posOffset>
              </wp:positionH>
              <wp:positionV relativeFrom="page">
                <wp:posOffset>10012680</wp:posOffset>
              </wp:positionV>
              <wp:extent cx="167005" cy="152400"/>
              <wp:effectExtent l="0" t="0" r="0" b="0"/>
              <wp:wrapNone/>
              <wp:docPr id="89" name="文本框 145"/>
              <wp:cNvGraphicFramePr/>
              <a:graphic xmlns:a="http://schemas.openxmlformats.org/drawingml/2006/main">
                <a:graphicData uri="http://schemas.microsoft.com/office/word/2010/wordprocessingShape">
                  <wps:wsp>
                    <wps:cNvSpPr txBox="true"/>
                    <wps:spPr>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36</w:t>
                          </w:r>
                          <w:r>
                            <w:fldChar w:fldCharType="end"/>
                          </w:r>
                        </w:p>
                      </w:txbxContent>
                    </wps:txbx>
                    <wps:bodyPr lIns="0" tIns="0" rIns="0" bIns="0" upright="true"/>
                  </wps:wsp>
                </a:graphicData>
              </a:graphic>
            </wp:anchor>
          </w:drawing>
        </mc:Choice>
        <mc:Fallback>
          <w:pict>
            <v:shape id="文本框 145" o:spid="_x0000_s1026" o:spt="202" type="#_x0000_t202" style="position:absolute;left:0pt;margin-left:77.45pt;margin-top:788.4pt;height:12pt;width:13.15pt;mso-position-horizontal-relative:page;mso-position-vertical-relative:page;z-index:-251707392;mso-width-relative:page;mso-height-relative:page;" filled="f" stroked="f" coordsize="21600,21600" o:gfxdata="UEsFBgAAAAAAAAAAAAAAAAAAAAAAAFBLAwQKAAAAAACHTuJAAAAAAAAAAAAAAAAABAAAAGRycy9Q&#10;SwMEFAAAAAgAh07iQHz9e7/ZAAAADQEAAA8AAABkcnMvZG93bnJldi54bWxNj81OwzAQhO9IfQdr&#10;K3GjdioIaYhTIQQnJEQaDhyd2E2sxusQuz+8PZsTvc1oP83OFNuLG9jJTMF6lJCsBDCDrdcWOwlf&#10;9dtdBixEhVoNHo2EXxNgWy5uCpVrf8bKnHaxYxSCIVcS+hjHnPPQ9sapsPKjQbrt/eRUJDt1XE/q&#10;TOFu4GshUu6URfrQq9G89KY97I5OwvM3Vq/256P5rPaVreuNwPf0IOXtMhFPwKK5xH8Y5vpUHUrq&#10;1Pgj6sAG8g/3G0Jn8ZjSiBnJkjWwhkQqRAa8LPj1ivIPUEsDBBQAAAAIAIdO4kABfV4FpQEAACwD&#10;AAAOAAAAZHJzL2Uyb0RvYy54bWytUktu2zAQ3RfoHQjua0pGnKaC5QBBkCBA0RZIegCaIi0C/GFI&#10;W/IF2ht01U33PZfP0SFjOW2zC7IZDWdGj++94fJytIbsJETtXUvrWUWJdMJ32m1a+vXh5t0FJTFx&#10;13HjnWzpXkZ6uXr7ZjmERs59700ngSCIi80QWtqnFBrGouil5XHmg3TYVB4sT3iEDeuAD4huDZtX&#10;1TkbPHQBvJAxYvX6sUlXBV8pKdJnpaJMxLQUuaUSocR1jmy15M0GeOi1ONLgL2BhuXZ46QnqmidO&#10;tqCfQVktwEev0kx4y7xSWsiiAdXU1X9q7nseZNGC5sRwsim+Hqz4tPsCRHctvfhAieMWd3T48f3w&#10;8/fh1zdSny2yQ0OIDQ7eBxxN45UfW5pgK6dWxHrWPiqw+YuqCI6g3fuTxXJMRGCxPn9fVQtKBLbq&#10;xfysKitgTz8HiOlWekty0lLADRZj+e5jTMgFR6eRfJfzN9qYskXj/ingYK6wTP6RYc7SuB6Pita+&#10;26Mgc+fQz/w2pgSmZD0l2wB60yOdSXZBxZUUPsfnk3f+97nc/fTI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fP17v9kAAAANAQAADwAAAAAAAAABACAAAAA4AAAAZHJzL2Rvd25yZXYueG1sUEsB&#10;AhQAFAAAAAgAh07iQAF9XgWlAQAALAMAAA4AAAAAAAAAAQAgAAAAPg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36</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990600</wp:posOffset>
              </wp:positionH>
              <wp:positionV relativeFrom="page">
                <wp:posOffset>10007600</wp:posOffset>
              </wp:positionV>
              <wp:extent cx="199390" cy="152400"/>
              <wp:effectExtent l="0" t="0" r="0" b="0"/>
              <wp:wrapNone/>
              <wp:docPr id="149" name="文本框 53"/>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210</w:t>
                          </w:r>
                        </w:p>
                      </w:txbxContent>
                    </wps:txbx>
                    <wps:bodyPr lIns="0" tIns="0" rIns="0" bIns="0" upright="true"/>
                  </wps:wsp>
                </a:graphicData>
              </a:graphic>
            </wp:anchor>
          </w:drawing>
        </mc:Choice>
        <mc:Fallback>
          <w:pict>
            <v:shape id="文本框 53" o:spid="_x0000_s1026" o:spt="202" type="#_x0000_t202" style="position:absolute;left:0pt;margin-left:78pt;margin-top:788pt;height:12pt;width:15.7pt;mso-position-horizontal-relative:page;mso-position-vertical-relative:page;z-index:-251645952;mso-width-relative:page;mso-height-relative:page;" filled="f" stroked="f" coordsize="21600,21600" o:gfxdata="UEsFBgAAAAAAAAAAAAAAAAAAAAAAAFBLAwQKAAAAAACHTuJAAAAAAAAAAAAAAAAABAAAAGRycy9Q&#10;SwMEFAAAAAgAh07iQNxUFtfXAAAADQEAAA8AAABkcnMvZG93bnJldi54bWxNj81OwzAQhO9IvIO1&#10;SNyoXQRpCXEqhOCEhEjDgaMTbxOr8TrE7g9vz+YEt2+0o9mZYnP2gzjiFF0gDcuFAoHUBuuo0/BZ&#10;v96sQcRkyJohEGr4wQib8vKiMLkNJ6rwuE2d4BCKudHQpzTmUsa2R2/iIoxIfNuFyZvEcuqkncyJ&#10;w/0gb5XKpDeO+ENvRnzusd1vD17D0xdVL+77vfmodpWr6wdFb9le6+urpXoEkfCc/sww1+fqUHKn&#10;JhzIRjGwvs94S5phNdNsWa/uQDQMmVIKZFnI/yvKX1BLAwQUAAAACACHTuJAu9jq2aQBAAAsAwAA&#10;DgAAAGRycy9lMm9Eb2MueG1srVJLbtswEN0X6B0I7mPKTlLUguUAQZCiQNEWSHoAmiItAvxhSFvy&#10;BdobZJVN9jmXz9EhYzltsguyGQ1nRo/vveHiYrCGbCVE7V1Dp5OKEumEb7VbN/TX7fXJZ0pi4q7l&#10;xjvZ0J2M9GL58cOiD7Wc+c6bVgJBEBfrPjS0SynUjEXRScvjxAfpsKk8WJ7wCGvWAu8R3Ro2q6pP&#10;rPfQBvBCxojVq6cmXRZ8paRIP5SKMhHTUOSWSoQSVzmy5YLXa+Ch0+JAg7+BheXa4aVHqCueONmA&#10;fgVltQAfvUoT4S3zSmkhiwZUM61eqLnpeJBFC5oTw9Gm+H6w4vv2JxDd4u7O5pQ4bnFJ+7s/+/vH&#10;/cNvcn6aHepDrHHwJuBoGi790NAEGzm2Itaz9kGBzV9URXAE7d4dLZZDIgKL0/n8dI4dga3p+eys&#10;Kitgzz8HiOmL9JbkpKGAGyzG8u23mJALjo4j+S7nr7UxZYvG/VfAwVxhmfwTw5ylYTUcFK18u0NB&#10;5qtDP/PbGBMYk9WYbALodYd0RtkFFVdS+ByeT975v+dy9/MjX/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3FQW19cAAAANAQAADwAAAAAAAAABACAAAAA4AAAAZHJzL2Rvd25yZXYueG1sUEsBAhQA&#10;FAAAAAgAh07iQLvY6tmkAQAALAMAAA4AAAAAAAAAAQAgAAAAPAEAAGRycy9lMm9Eb2MueG1sUEsF&#10;BgAAAAAGAAYAWQEAAFI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210</w:t>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977900</wp:posOffset>
              </wp:positionH>
              <wp:positionV relativeFrom="page">
                <wp:posOffset>10007600</wp:posOffset>
              </wp:positionV>
              <wp:extent cx="224790" cy="152400"/>
              <wp:effectExtent l="0" t="0" r="0" b="0"/>
              <wp:wrapNone/>
              <wp:docPr id="154" name="文本框 48"/>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212</w:t>
                          </w:r>
                          <w:r>
                            <w:fldChar w:fldCharType="end"/>
                          </w:r>
                        </w:p>
                      </w:txbxContent>
                    </wps:txbx>
                    <wps:bodyPr lIns="0" tIns="0" rIns="0" bIns="0" upright="true"/>
                  </wps:wsp>
                </a:graphicData>
              </a:graphic>
            </wp:anchor>
          </w:drawing>
        </mc:Choice>
        <mc:Fallback>
          <w:pict>
            <v:shape id="文本框 48" o:spid="_x0000_s1026" o:spt="202" type="#_x0000_t202" style="position:absolute;left:0pt;margin-left:77pt;margin-top:788pt;height:12pt;width:17.7pt;mso-position-horizontal-relative:page;mso-position-vertical-relative:page;z-index:-251640832;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DmgNbTowEAACwD&#10;AAAOAAAAZHJzL2Uyb0RvYy54bWytUktu2zAQ3RfoHQjua8qC06SC5QBFkCJA0BRIcgCaIi0C/GFI&#10;W/IF2ht0lU32PZfP0SFjOf3sim5Gw5nR43tvuLwcrSE7CVF719L5rKJEOuE77TYtfXy4fndBSUzc&#10;ddx4J1u6l5Fert6+WQ6hkbXvvekkEARxsRlCS/uUQsNYFL20PM58kA6byoPlCY+wYR3wAdGtYXVV&#10;vWeDhy6AFzJGrF69NOmq4CslRbpTKspETEuRWyoRSlznyFZL3myAh16LIw3+Dyws1w4vPUFd8cTJ&#10;FvRfUFYL8NGrNBPeMq+UFrJoQDXz6g819z0PsmhBc2I42RT/H6z4vPsCRHe4u7MFJY5bXNLh+7fD&#10;04/D81eyuMgODSE2OHgfcDSNH/3Y0gRbObUi1rP2UYHNX1RFcATt3p8slmMiAot1vTj/gB2BrflZ&#10;vajKCtjrzwFi+iS9JTlpKeAGi7F8dxsTcsHRaSTf5fy1NqZs0bjfCjiYKyyTf2GYszSux6Oite/2&#10;KMjcOPQzv40pgSlZT8k2gN70SGeSXVBxJYXP8fnknf96Lne/PvL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pY46PZAAAADQEAAA8AAAAAAAAAAQAgAAAAOAAAAGRycy9kb3ducmV2LnhtbFBLAQIU&#10;ABQAAAAIAIdO4kDmgNbTowEAACwDAAAOAAAAAAAAAAEAIAAAAD4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212</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79744" behindDoc="1" locked="0" layoutInCell="1" allowOverlap="1">
              <wp:simplePos x="0" y="0"/>
              <wp:positionH relativeFrom="page">
                <wp:posOffset>977900</wp:posOffset>
              </wp:positionH>
              <wp:positionV relativeFrom="page">
                <wp:posOffset>10007600</wp:posOffset>
              </wp:positionV>
              <wp:extent cx="224790" cy="152400"/>
              <wp:effectExtent l="0" t="0" r="0" b="0"/>
              <wp:wrapNone/>
              <wp:docPr id="158" name="文本框 43"/>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214</w:t>
                          </w:r>
                          <w:r>
                            <w:fldChar w:fldCharType="end"/>
                          </w:r>
                        </w:p>
                      </w:txbxContent>
                    </wps:txbx>
                    <wps:bodyPr lIns="0" tIns="0" rIns="0" bIns="0" upright="true"/>
                  </wps:wsp>
                </a:graphicData>
              </a:graphic>
            </wp:anchor>
          </w:drawing>
        </mc:Choice>
        <mc:Fallback>
          <w:pict>
            <v:shape id="文本框 43" o:spid="_x0000_s1026" o:spt="202" type="#_x0000_t202" style="position:absolute;left:0pt;margin-left:77pt;margin-top:788pt;height:12pt;width:17.7pt;mso-position-horizontal-relative:page;mso-position-vertical-relative:page;z-index:-251636736;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Dk9yj2ogEAACwD&#10;AAAOAAAAZHJzL2Uyb0RvYy54bWytUktu2zAQ3RfoHQjua8qqk6aC5QBBkKJA0RRIcwCaIi0C/GFI&#10;W/IF2ht0lU32PZfP0SFjOf3simxGw5nR8H24vBytITsJUXvX0vmsokQ64TvtNi29/3rz5oKSmLjr&#10;uPFOtnQvI71cvX61HEIja99700kguMTFZggt7VMKDWNR9NLyOPNBOmwqD5YnPMKGdcAH3G4Nq6vq&#10;nA0eugBeyBixev3UpKuyXykp0q1SUSZiWorYUolQ4jpHtlryZgM89FocYfD/QGG5dnjpadU1T5xs&#10;Qf+zymoBPnqVZsJb5pXSQhYOyGZe/cXmrudBFi4oTgwnmeLLrRWfd1+A6A69O0OrHLdo0uHH98PD&#10;z8PjN7J4mxUaQmxw8C7gaBqv/NjSBFs5tSLWM/dRgc1fZEVwBOXenySWYyICi3W9ePceOwJb87N6&#10;URUL2PPPAWL6IL0lOWkpoINFWL77FBNiwdFpJN/l/I02prho3B8FHMwVlsE/IcxZGtfjkdHad3sk&#10;ZD461DO/jSmBKVlPyTaA3vQIZ6JdtqIlBc/x+WTPfz+Xu58f+e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ljjo9kAAAANAQAADwAAAAAAAAABACAAAAA4AAAAZHJzL2Rvd25yZXYueG1sUEsBAhQA&#10;FAAAAAgAh07iQOT3KPaiAQAALAMAAA4AAAAAAAAAAQAgAAAAPgEAAGRycy9lMm9Eb2MueG1sUEsF&#10;BgAAAAAGAAYAWQEAAFI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214</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80768" behindDoc="1" locked="0" layoutInCell="1" allowOverlap="1">
              <wp:simplePos x="0" y="0"/>
              <wp:positionH relativeFrom="page">
                <wp:posOffset>923290</wp:posOffset>
              </wp:positionH>
              <wp:positionV relativeFrom="page">
                <wp:posOffset>10007600</wp:posOffset>
              </wp:positionV>
              <wp:extent cx="199390" cy="152400"/>
              <wp:effectExtent l="0" t="0" r="0" b="0"/>
              <wp:wrapNone/>
              <wp:docPr id="159" name="文本框 39"/>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217</w:t>
                          </w:r>
                        </w:p>
                      </w:txbxContent>
                    </wps:txbx>
                    <wps:bodyPr lIns="0" tIns="0" rIns="0" bIns="0" upright="true"/>
                  </wps:wsp>
                </a:graphicData>
              </a:graphic>
            </wp:anchor>
          </w:drawing>
        </mc:Choice>
        <mc:Fallback>
          <w:pict>
            <v:shape id="文本框 39" o:spid="_x0000_s1026" o:spt="202" type="#_x0000_t202" style="position:absolute;left:0pt;margin-left:72.7pt;margin-top:788pt;height:12pt;width:15.7pt;mso-position-horizontal-relative:page;mso-position-vertical-relative:page;z-index:-251635712;mso-width-relative:page;mso-height-relative:page;" filled="f" stroked="f" coordsize="21600,21600" o:gfxdata="UEsFBgAAAAAAAAAAAAAAAAAAAAAAAFBLAwQKAAAAAACHTuJAAAAAAAAAAAAAAAAABAAAAGRycy9Q&#10;SwMEFAAAAAgAh07iQO0RI3XZAAAADQEAAA8AAABkcnMvZG93bnJldi54bWxNj81OwzAQhO9IvIO1&#10;SNyoXdSmEOJUCMEJCZGGA0cn3iZW43WI3R/enu2p3Ga0n2ZnivXJD+KAU3SBNMxnCgRSG6yjTsNX&#10;/Xb3ACImQ9YMgVDDL0ZYl9dXhcltOFKFh03qBIdQzI2GPqUxlzK2PXoTZ2FE4ts2TN4ktlMn7WSO&#10;HO4Hea9UJr1xxB96M+JLj+1us/canr+penU/H81nta1cXT8qes92Wt/ezNUTiISndIHhXJ+rQ8md&#10;mrAnG8XAfrFcMMpiucp41RlZZbymYZEppUCWhfy/ovwDUEsDBBQAAAAIAIdO4kCOlJkhpAEAACwD&#10;AAAOAAAAZHJzL2Uyb0RvYy54bWytUktu2zAQ3QfoHQjua8pOE0SC5QBFkKJAkQRIewCaIi0C/GFI&#10;W/IF2ht01U33PZfPkSFjOWm7K7oZDWdGj++94fJ6tIbsJETtXUvns4oS6YTvtNu09Mvn27dXlMTE&#10;XceNd7Klexnp9erN2XIIjVz43ptOAkEQF5shtLRPKTSMRdFLy+PMB+mwqTxYnvAIG9YBHxDdGrao&#10;qks2eOgCeCFjxOrNc5OuCr5SUqR7paJMxLQUuaUSocR1jmy15M0GeOi1ONLg/8DCcu3w0hPUDU+c&#10;bEH/BWW1AB+9SjPhLfNKaSGLBlQzr/5Q89jzIIsWNCeGk03x/8GKu90DEN3h7i5qShy3uKTD92+H&#10;H78OP7+S8zo7NITY4OBjwNE0vvdjSxNs5dSKWM/aRwU2f1EVwRG0e3+yWI6JCCzO6/q8xo7A1vxi&#10;8a4qK2AvPweI6YP0luSkpYAbLMby3aeYkAuOTiP5LudvtTFli8b9VsDBXGGZ/DPDnKVxPR4VrX23&#10;R0Hmo0M/89uYEpiS9ZRsA+hNj3Qm2QUVV1L4HJ9P3vnrc7n75ZGv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tESN12QAAAA0BAAAPAAAAAAAAAAEAIAAAADgAAABkcnMvZG93bnJldi54bWxQSwEC&#10;FAAUAAAACACHTuJAjpSZIaQBAAAsAwAADgAAAAAAAAABACAAAAA+AQAAZHJzL2Uyb0RvYy54bWxQ&#10;SwUGAAAAAAYABgBZAQAAVAU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217</w:t>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83840" behindDoc="1" locked="0" layoutInCell="1" allowOverlap="1">
              <wp:simplePos x="0" y="0"/>
              <wp:positionH relativeFrom="page">
                <wp:posOffset>977900</wp:posOffset>
              </wp:positionH>
              <wp:positionV relativeFrom="page">
                <wp:posOffset>10007600</wp:posOffset>
              </wp:positionV>
              <wp:extent cx="224790" cy="152400"/>
              <wp:effectExtent l="0" t="0" r="0" b="0"/>
              <wp:wrapNone/>
              <wp:docPr id="162" name="文本框 40"/>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216</w:t>
                          </w:r>
                          <w:r>
                            <w:fldChar w:fldCharType="end"/>
                          </w:r>
                        </w:p>
                      </w:txbxContent>
                    </wps:txbx>
                    <wps:bodyPr lIns="0" tIns="0" rIns="0" bIns="0" upright="true"/>
                  </wps:wsp>
                </a:graphicData>
              </a:graphic>
            </wp:anchor>
          </w:drawing>
        </mc:Choice>
        <mc:Fallback>
          <w:pict>
            <v:shape id="文本框 40" o:spid="_x0000_s1026" o:spt="202" type="#_x0000_t202" style="position:absolute;left:0pt;margin-left:77pt;margin-top:788pt;height:12pt;width:17.7pt;mso-position-horizontal-relative:page;mso-position-vertical-relative:page;z-index:-251632640;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ALWgInogEAACwD&#10;AAAOAAAAZHJzL2Uyb0RvYy54bWytUktu2zAQ3RfIHQjuY8qCm7aC5QBBkKJA0QZIewCaIi0C/GFI&#10;W/IF2ht01U32OZfPkSFr2f3simyo4czozXtvuLwerSE7CVF719L5rKJEOuE77TYt/frl7vItJTFx&#10;13HjnWzpXkZ6vbp4tRxCI2vfe9NJIAjiYjOElvYphYaxKHppeZz5IB0WlQfLE15hwzrgA6Jbw+qq&#10;umKDhy6AFzJGzN7+KtJVwVdKivRZqSgTMS1FbqmcUM51PtlqyZsN8NBrcaTB/4OF5drh0BPULU+c&#10;bEH/A2W1AB+9SjPhLfNKaSGLBlQzr/5S89DzIIsWNCeGk03x5WDFp909EN3h7q5qShy3uKTDj++H&#10;n0+Hx29kURwaQmyw8SFgaxpv/NjSBFuZzculiPmsfVRg8xdVEWxBu/cni+WYiMBkXS/evMOKwNL8&#10;db2oygB2/jlATO+ltyQHLQXcYDGW7z7GhAOxdWrJs5y/08aULRr3RwIbc4adGeYojevxSHvtuz0K&#10;Mh8c+pnfxhTAFKynYBtAb3qkM8kuqLiSwuf4fPLOf7+X2edHvno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ljjo9kAAAANAQAADwAAAAAAAAABACAAAAA4AAAAZHJzL2Rvd25yZXYueG1sUEsBAhQA&#10;FAAAAAgAh07iQAtaAieiAQAALAMAAA4AAAAAAAAAAQAgAAAAPgEAAGRycy9lMm9Eb2MueG1sUEsF&#10;BgAAAAAGAAYAWQEAAFI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216</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923290</wp:posOffset>
              </wp:positionH>
              <wp:positionV relativeFrom="page">
                <wp:posOffset>6873240</wp:posOffset>
              </wp:positionV>
              <wp:extent cx="199390" cy="152400"/>
              <wp:effectExtent l="0" t="0" r="0" b="0"/>
              <wp:wrapNone/>
              <wp:docPr id="165" name="文本框 33"/>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219</w:t>
                          </w:r>
                        </w:p>
                      </w:txbxContent>
                    </wps:txbx>
                    <wps:bodyPr lIns="0" tIns="0" rIns="0" bIns="0" upright="true"/>
                  </wps:wsp>
                </a:graphicData>
              </a:graphic>
            </wp:anchor>
          </w:drawing>
        </mc:Choice>
        <mc:Fallback>
          <w:pict>
            <v:shape id="文本框 33" o:spid="_x0000_s1026" o:spt="202" type="#_x0000_t202" style="position:absolute;left:0pt;margin-left:72.7pt;margin-top:541.2pt;height:12pt;width:15.7pt;mso-position-horizontal-relative:page;mso-position-vertical-relative:page;z-index:-251629568;mso-width-relative:page;mso-height-relative:page;" filled="f" stroked="f" coordsize="21600,21600" o:gfxdata="UEsFBgAAAAAAAAAAAAAAAAAAAAAAAFBLAwQKAAAAAACHTuJAAAAAAAAAAAAAAAAABAAAAGRycy9Q&#10;SwMEFAAAAAgAh07iQDvGsbnZAAAADQEAAA8AAABkcnMvZG93bnJldi54bWxNj81OwzAQhO9IvIO1&#10;SNyonSqEEuJUCMEJCZGGA0cn3iZR43WI3R/enu2J3ma0o9lvivXJjeKAcxg8aUgWCgRS6+1AnYav&#10;+u1uBSJEQ9aMnlDDLwZYl9dXhcmtP1KFh03sBJdQyI2GPsYplzK0PToTFn5C4tvWz85EtnMn7WyO&#10;XO5GuVQqk84MxB96M+FLj+1us3canr+peh1+PprPalsNdf2o6D3baX17k6gnEBFP8T8MZ3xGh5KZ&#10;Gr8nG8TIPr1POcpCrZaszpGHjNc0LBKVpSDLQl6uKP8AUEsDBBQAAAAIAIdO4kCDZfvfpAEAACwD&#10;AAAOAAAAZHJzL2Uyb0RvYy54bWytUktu2zAQ3RfoHQjua8p2E9SC5QBFkKJAkQRIegCaIi0C/GFI&#10;W/IF2htklU33PZfPkSFtOf3sim5Gw5nR43tvuLwarCE7CVF719DppKJEOuFb7TYN/fp48+4DJTFx&#10;13LjnWzoXkZ6tXr7ZtmHWs58500rgSCIi3UfGtqlFGrGouik5XHig3TYVB4sT3iEDWuB94huDZtV&#10;1SXrPbQBvJAxYvX62KSrgq+UFOlOqSgTMQ1FbqlEKHGdI1steb0BHjotTjT4P7CwXDu89Ax1zRMn&#10;W9B/QVktwEev0kR4y7xSWsiiAdVMqz/UPHQ8yKIFzYnhbFP8f7DidncPRLe4u8sLShy3uKTD0/fD&#10;88/Dj29kPs8O9SHWOPgQcDQNH/3Q0ARbObYi1rP2QYHNX1RFcATt3p8tlkMiAovTxWK+wI7A1vRi&#10;9r4qK2CvPweI6ZP0luSkoYAbLMby3ZeYkAuOjiP5LudvtDFli8b9VsDBXGGZ/JFhztKwHk6K1r7d&#10;oyDz2aGf+W2MCYzJeky2AfSmQzqj7IKKKyl8Ts8n7/zXc7n79ZGvX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7xrG52QAAAA0BAAAPAAAAAAAAAAEAIAAAADgAAABkcnMvZG93bnJldi54bWxQSwEC&#10;FAAUAAAACACHTuJAg2X736QBAAAsAwAADgAAAAAAAAABACAAAAA+AQAAZHJzL2Uyb0RvYy54bWxQ&#10;SwUGAAAAAAYABgBZAQAAVAU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219</w:t>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89984" behindDoc="1" locked="0" layoutInCell="1" allowOverlap="1">
              <wp:simplePos x="0" y="0"/>
              <wp:positionH relativeFrom="page">
                <wp:posOffset>990600</wp:posOffset>
              </wp:positionH>
              <wp:positionV relativeFrom="page">
                <wp:posOffset>6874510</wp:posOffset>
              </wp:positionV>
              <wp:extent cx="199390" cy="152400"/>
              <wp:effectExtent l="0" t="0" r="0" b="0"/>
              <wp:wrapNone/>
              <wp:docPr id="168" name="文本框 34"/>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218</w:t>
                          </w:r>
                        </w:p>
                      </w:txbxContent>
                    </wps:txbx>
                    <wps:bodyPr lIns="0" tIns="0" rIns="0" bIns="0" upright="true"/>
                  </wps:wsp>
                </a:graphicData>
              </a:graphic>
            </wp:anchor>
          </w:drawing>
        </mc:Choice>
        <mc:Fallback>
          <w:pict>
            <v:shape id="文本框 34" o:spid="_x0000_s1026" o:spt="202" type="#_x0000_t202" style="position:absolute;left:0pt;margin-left:78pt;margin-top:541.3pt;height:12pt;width:15.7pt;mso-position-horizontal-relative:page;mso-position-vertical-relative:page;z-index:-251626496;mso-width-relative:page;mso-height-relative:page;" filled="f" stroked="f" coordsize="21600,21600" o:gfxdata="UEsFBgAAAAAAAAAAAAAAAAAAAAAAAFBLAwQKAAAAAACHTuJAAAAAAAAAAAAAAAAABAAAAGRycy9Q&#10;SwMEFAAAAAgAh07iQH54UK/ZAAAADQEAAA8AAABkcnMvZG93bnJldi54bWxNj81OwzAQhO9IvIO1&#10;SNyonQpMCHEqhOCEhEjTQ49O7CZW43WI3R/enu0JbjPa0ew35ersR3a0c3QBFWQLAcxiF4zDXsGm&#10;eb/LgcWk0egxoFXwYyOsquurUhcmnLC2x3XqGZVgLLSCIaWp4Dx2g/U6LsJkkW67MHudyM49N7M+&#10;Ubkf+VIIyb12SB8GPdnXwXb79cEreNli/ea+P9uvele7pnkS+CH3St3eZOIZWLLn9BeGCz6hQ0VM&#10;bTigiWwk/yBpSyIh8qUEdonkj/fAWhKZkBJ4VfL/K6pfUEsDBBQAAAAIAIdO4kBPMUKsogEAACwD&#10;AAAOAAAAZHJzL2Uyb0RvYy54bWytUs1OGzEQvlfqO1i+E28CRc0qGySEqCpVpRL0ARyvnbXkP42d&#10;7OYF2jfoiQt3nivP0bHJhhZuiMvseGZ2/P14cTFYQ7YSovauodNJRYl0wrfarRv68+765DMlMXHX&#10;cuOdbOhORnqx/Phh0YdaznznTSuB4BIX6z40tEsp1IxF0UnL48QH6bCpPFie8Ahr1gLvcbs1bFZV&#10;56z30AbwQsaI1aunJl2W/UpJkW6UijIR01DElkqEElc5suWC12vgodPiAIO/AYXl2uGlx1VXPHGy&#10;Af1qldUCfPQqTYS3zCulhSwckM20esHmtuNBFi4oTgxHmeL7rRXftz+A6Ba9O0erHLdo0v7P7/39&#10;4/7hFzk9ywr1IdY4eBtwNA2Xfmhogo0cWxHrmfugwOYvsiI4gnLvjhLLIRGBxel8fjrHjsDW9NPs&#10;rCoWsOefA8T0RXpLctJQQAeLsHz7LSbEgqPjSL7L+WttTHHRuP8KOJgrLIN/QpizNKyGA6OVb3dI&#10;yHx1qGd+G2MCY7Iak00Ave4Qzki7bEVLCp7D88me/3sudz8/8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fnhQr9kAAAANAQAADwAAAAAAAAABACAAAAA4AAAAZHJzL2Rvd25yZXYueG1sUEsBAhQA&#10;FAAAAAgAh07iQE8xQqyiAQAALAMAAA4AAAAAAAAAAQAgAAAAPgEAAGRycy9lMm9Eb2MueG1sUEsF&#10;BgAAAAAGAAYAWQEAAFI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218</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10112" behindDoc="1" locked="0" layoutInCell="1" allowOverlap="1">
              <wp:simplePos x="0" y="0"/>
              <wp:positionH relativeFrom="page">
                <wp:posOffset>6449695</wp:posOffset>
              </wp:positionH>
              <wp:positionV relativeFrom="page">
                <wp:posOffset>9992360</wp:posOffset>
              </wp:positionV>
              <wp:extent cx="167005" cy="152400"/>
              <wp:effectExtent l="0" t="0" r="0" b="0"/>
              <wp:wrapNone/>
              <wp:docPr id="90" name="文本框 141"/>
              <wp:cNvGraphicFramePr/>
              <a:graphic xmlns:a="http://schemas.openxmlformats.org/drawingml/2006/main">
                <a:graphicData uri="http://schemas.microsoft.com/office/word/2010/wordprocessingShape">
                  <wps:wsp>
                    <wps:cNvSpPr txBox="true"/>
                    <wps:spPr>
                      <a:xfrm>
                        <a:off x="0" y="0"/>
                        <a:ext cx="167005" cy="152400"/>
                      </a:xfrm>
                      <a:prstGeom prst="rect">
                        <a:avLst/>
                      </a:prstGeom>
                      <a:noFill/>
                      <a:ln>
                        <a:noFill/>
                      </a:ln>
                    </wps:spPr>
                    <wps:txbx>
                      <w:txbxContent>
                        <w:p>
                          <w:pPr>
                            <w:spacing w:before="12"/>
                            <w:ind w:left="40"/>
                            <w:rPr>
                              <w:rFonts w:ascii="Times New Roman"/>
                              <w:sz w:val="18"/>
                            </w:rPr>
                          </w:pPr>
                          <w:r>
                            <w:rPr>
                              <w:rFonts w:ascii="Times New Roman"/>
                              <w:sz w:val="18"/>
                            </w:rPr>
                            <w:t>39</w:t>
                          </w:r>
                        </w:p>
                      </w:txbxContent>
                    </wps:txbx>
                    <wps:bodyPr lIns="0" tIns="0" rIns="0" bIns="0" upright="true"/>
                  </wps:wsp>
                </a:graphicData>
              </a:graphic>
            </wp:anchor>
          </w:drawing>
        </mc:Choice>
        <mc:Fallback>
          <w:pict>
            <v:shape id="文本框 141" o:spid="_x0000_s1026" o:spt="202" type="#_x0000_t202" style="position:absolute;left:0pt;margin-left:507.85pt;margin-top:786.8pt;height:12pt;width:13.15pt;mso-position-horizontal-relative:page;mso-position-vertical-relative:page;z-index:-251706368;mso-width-relative:page;mso-height-relative:page;" filled="f" stroked="f" coordsize="21600,21600" o:gfxdata="UEsFBgAAAAAAAAAAAAAAAAAAAAAAAFBLAwQKAAAAAACHTuJAAAAAAAAAAAAAAAAABAAAAGRycy9Q&#10;SwMEFAAAAAgAh07iQE7RiVDbAAAADwEAAA8AAABkcnMvZG93bnJldi54bWxNj81OwzAQhO9IvIO1&#10;SNyonUITGuJUCMEJCZGGA0cndhOr8TrE7g9vz+ZUbju7o9lvis3ZDexopmA9SkgWApjB1muLnYSv&#10;+u3uEViICrUaPBoJvybApry+KlSu/Qkrc9zGjlEIhlxJ6GMcc85D2xunwsKPBum285NTkeTUcT2p&#10;E4W7gS+FSLlTFulDr0bz0pt2vz04Cc/fWL3an4/ms9pVtq7XAt/TvZS3N4l4AhbNOV7MMOMTOpTE&#10;1PgD6sAG0iJZZeSlaZXdp8Bmj3hYUsFm3q2zFHhZ8P89yj9QSwMEFAAAAAgAh07iQAMRn4OjAQAA&#10;LAMAAA4AAABkcnMvZTJvRG9jLnhtbK1SS27bMBDdF+gdCO5jSkaSNoLlAEGQIkCQFkh7AJoiLQL8&#10;YUhb8gXaG3TVTfc9l8/RIWM5v13RzWg4M3p87w0Xl6M1ZCshau9aWs8qSqQTvtNu3dJvX29OPlIS&#10;E3cdN97Jlu5kpJfL9+8WQ2jk3PfedBIIgrjYDKGlfUqhYSyKXloeZz5Ih03lwfKER1izDviA6Naw&#10;eVWds8FDF8ALGSNWrx+bdFnwlZIifVYqykRMS5FbKhFKXOXIlgverIGHXosDDf4PLCzXDi89Ql3z&#10;xMkG9BsoqwX46FWaCW+ZV0oLWTSgmrp6peah50EWLWhODEeb4v+DFffbL0B019ILtMdxizva//yx&#10;//Vn//s7qU/r7NAQYoODDwFH03jlx5Ym2MipFbGetY8KbP6iKoIjiLc7WizHRAQW6/MPVXVGicBW&#10;fTY/rcoK2NPPAWL6JL0lOWkp4AaLsXx7FxNywdFpJN/l/I02pmzRuBcFHMwVlsk/MsxZGlfjQdHK&#10;dzsUZG4d+pnfxpTAlKymZBNAr3ukM8kuqLiSwufwfPLOn5/L3U+PfP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TtGJUNsAAAAPAQAADwAAAAAAAAABACAAAAA4AAAAZHJzL2Rvd25yZXYueG1sUEsB&#10;AhQAFAAAAAgAh07iQAMRn4OjAQAALAMAAA4AAAAAAAAAAQAgAAAAQAEAAGRycy9lMm9Eb2MueG1s&#10;UEsFBgAAAAAGAAYAWQEAAFUFAAAAAA==&#10;">
              <v:fill on="f" focussize="0,0"/>
              <v:stroke on="f"/>
              <v:imagedata o:title=""/>
              <o:lock v:ext="edit" aspectratio="f"/>
              <v:textbox inset="0mm,0mm,0mm,0mm">
                <w:txbxContent>
                  <w:p>
                    <w:pPr>
                      <w:spacing w:before="12"/>
                      <w:ind w:left="40"/>
                      <w:rPr>
                        <w:rFonts w:ascii="Times New Roman"/>
                        <w:sz w:val="18"/>
                      </w:rPr>
                    </w:pPr>
                    <w:r>
                      <w:rPr>
                        <w:rFonts w:ascii="Times New Roman"/>
                        <w:sz w:val="18"/>
                      </w:rPr>
                      <w:t>39</w:t>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91008" behindDoc="1" locked="0" layoutInCell="1" allowOverlap="1">
              <wp:simplePos x="0" y="0"/>
              <wp:positionH relativeFrom="page">
                <wp:posOffset>6356985</wp:posOffset>
              </wp:positionH>
              <wp:positionV relativeFrom="page">
                <wp:posOffset>6859270</wp:posOffset>
              </wp:positionV>
              <wp:extent cx="224790" cy="152400"/>
              <wp:effectExtent l="0" t="0" r="0" b="0"/>
              <wp:wrapNone/>
              <wp:docPr id="169" name="文本框 31"/>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rPr>
                              <w:rFonts w:ascii="Times New Roman"/>
                              <w:sz w:val="18"/>
                            </w:rPr>
                            <w:t>221</w:t>
                          </w:r>
                        </w:p>
                      </w:txbxContent>
                    </wps:txbx>
                    <wps:bodyPr lIns="0" tIns="0" rIns="0" bIns="0" upright="true"/>
                  </wps:wsp>
                </a:graphicData>
              </a:graphic>
            </wp:anchor>
          </w:drawing>
        </mc:Choice>
        <mc:Fallback>
          <w:pict>
            <v:shape id="文本框 31" o:spid="_x0000_s1026" o:spt="202" type="#_x0000_t202" style="position:absolute;left:0pt;margin-left:500.55pt;margin-top:540.1pt;height:12pt;width:17.7pt;mso-position-horizontal-relative:page;mso-position-vertical-relative:page;z-index:-251625472;mso-width-relative:page;mso-height-relative:page;" filled="f" stroked="f" coordsize="21600,21600" o:gfxdata="UEsFBgAAAAAAAAAAAAAAAAAAAAAAAFBLAwQKAAAAAACHTuJAAAAAAAAAAAAAAAAABAAAAGRycy9Q&#10;SwMEFAAAAAgAh07iQEA172TaAAAADwEAAA8AAABkcnMvZG93bnJldi54bWxNj71OxDAQhHsk3sFa&#10;JDrOdoDoCHFOCEGFhMiFgtKJfYl18TrEvh/enk0F3Yz20+xMuTn7kR3tHF1ABXIlgFnsgnHYK/hs&#10;Xm/WwGLSaPQY0Cr4sRE21eVFqQsTTljb4zb1jEIwFlrBkNJUcB67wXodV2GySLddmL1OZOeem1mf&#10;KNyPPBMi5147pA+DnuzzYLv99uAVPH1h/eK+39uPele7pnkQ+Jbvlbq+kuIRWLLn9AfDUp+qQ0Wd&#10;2nBAE9lIXggpiV3UWmTAFkbc5vfAWlJS3GXAq5L/31H9AlBLAwQUAAAACACHTuJAkRcAN6MBAAAs&#10;AwAADgAAAGRycy9lMm9Eb2MueG1srVJLbtswEN0X6B0I7mPKyqeNYDlAEKQIULQB0h6ApkiLAH8Y&#10;0pZ8gfYGXXXTfc7lc2TIWE4/uyKb0XBm9PjeGy6uRmvIVkLU3rV0PqsokU74Trt1S79+uT15T0lM&#10;3HXceCdbupORXi3fvlkMoZG1773pJBAEcbEZQkv7lELDWBS9tDzOfJAOm8qD5QmPsGYd8AHRrWF1&#10;VV2wwUMXwAsZI1Zvnpt0WfCVkiJ9VirKRExLkVsqEUpc5ciWC96sgYdeiwMN/h8sLNcOLz1C3fDE&#10;yQb0P1BWC/DRqzQT3jKvlBayaEA18+ovNQ89D7JoQXNiONoUXw9WfNreA9Ed7u7ikhLHLS5p/+P7&#10;/ufj/tc3cjrPDg0hNjj4EHA0jdd+bGmCjZxaEetZ+6jA5i+qIjiCdu+OFssxEYHFuj57d4kdga35&#10;eX1WlRWwl58DxPRBekty0lLADRZj+fZjTMgFR6eRfJfzt9qYskXj/ijgYK6wTP6ZYc7SuBoPila+&#10;26Egc+fQz/w2pgSmZDUlmwB63SOdSXZBxZUUPofnk3f++7nc/fLIl0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ANe9k2gAAAA8BAAAPAAAAAAAAAAEAIAAAADgAAABkcnMvZG93bnJldi54bWxQSwEC&#10;FAAUAAAACACHTuJAkRcAN6MBAAAsAwAADgAAAAAAAAABACAAAAA/AQAAZHJzL2Uyb0RvYy54bWxQ&#10;SwUGAAAAAAYABgBZAQAAVAUAAAAA&#10;">
              <v:fill on="f" focussize="0,0"/>
              <v:stroke on="f"/>
              <v:imagedata o:title=""/>
              <o:lock v:ext="edit" aspectratio="f"/>
              <v:textbox inset="0mm,0mm,0mm,0mm">
                <w:txbxContent>
                  <w:p>
                    <w:pPr>
                      <w:spacing w:before="12"/>
                      <w:ind w:left="40"/>
                      <w:rPr>
                        <w:rFonts w:ascii="Times New Roman"/>
                        <w:sz w:val="18"/>
                      </w:rPr>
                    </w:pPr>
                    <w:r>
                      <w:rPr>
                        <w:rFonts w:ascii="Times New Roman"/>
                        <w:sz w:val="18"/>
                      </w:rPr>
                      <w:t>221</w:t>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92032" behindDoc="1" locked="0" layoutInCell="1" allowOverlap="1">
              <wp:simplePos x="0" y="0"/>
              <wp:positionH relativeFrom="page">
                <wp:posOffset>990600</wp:posOffset>
              </wp:positionH>
              <wp:positionV relativeFrom="page">
                <wp:posOffset>6874510</wp:posOffset>
              </wp:positionV>
              <wp:extent cx="199390" cy="152400"/>
              <wp:effectExtent l="0" t="0" r="0" b="0"/>
              <wp:wrapNone/>
              <wp:docPr id="170" name="文本框 32"/>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220</w:t>
                          </w:r>
                        </w:p>
                      </w:txbxContent>
                    </wps:txbx>
                    <wps:bodyPr lIns="0" tIns="0" rIns="0" bIns="0" upright="true"/>
                  </wps:wsp>
                </a:graphicData>
              </a:graphic>
            </wp:anchor>
          </w:drawing>
        </mc:Choice>
        <mc:Fallback>
          <w:pict>
            <v:shape id="文本框 32" o:spid="_x0000_s1026" o:spt="202" type="#_x0000_t202" style="position:absolute;left:0pt;margin-left:78pt;margin-top:541.3pt;height:12pt;width:15.7pt;mso-position-horizontal-relative:page;mso-position-vertical-relative:page;z-index:-251624448;mso-width-relative:page;mso-height-relative:page;" filled="f" stroked="f" coordsize="21600,21600" o:gfxdata="UEsFBgAAAAAAAAAAAAAAAAAAAAAAAFBLAwQKAAAAAACHTuJAAAAAAAAAAAAAAAAABAAAAGRycy9Q&#10;SwMEFAAAAAgAh07iQH54UK/ZAAAADQEAAA8AAABkcnMvZG93bnJldi54bWxNj81OwzAQhO9IvIO1&#10;SNyonQpMCHEqhOCEhEjTQ49O7CZW43WI3R/enu0JbjPa0ew35ersR3a0c3QBFWQLAcxiF4zDXsGm&#10;eb/LgcWk0egxoFXwYyOsquurUhcmnLC2x3XqGZVgLLSCIaWp4Dx2g/U6LsJkkW67MHudyM49N7M+&#10;Ubkf+VIIyb12SB8GPdnXwXb79cEreNli/ea+P9uvele7pnkS+CH3St3eZOIZWLLn9BeGCz6hQ0VM&#10;bTigiWwk/yBpSyIh8qUEdonkj/fAWhKZkBJ4VfL/K6pfUEsDBBQAAAAIAIdO4kCQ47sfowEAACwD&#10;AAAOAAAAZHJzL2Uyb0RvYy54bWytUktu2zAQ3RfIHQjua8pOmtaC5QBFkKJA0BRIegCaIi0C/GFI&#10;W/IFmht0lU32PZfPkSFjOf3sgmxGw5nR43tvuLgYrCFbCVF719DppKJEOuFb7dYN/XF39f4TJTFx&#10;13LjnWzoTkZ6sTx5t+hDLWe+86aVQBDExboPDe1SCjVjUXTS8jjxQTpsKg+WJzzCmrXAe0S3hs2q&#10;6pz1HtoAXsgYsXr53KTLgq+UFOlGqSgTMQ1FbqlEKHGVI1sueL0GHjotDjT4K1hYrh1eeoS65ImT&#10;Dej/oKwW4KNXaSK8ZV4pLWTRgGqm1T9qbjseZNGC5sRwtCm+Haz4tv0ORLe4u4/oj+MWl7T/db9/&#10;+L1//ElOZ9mhPsQaB28Djqbhsx8ammAjx1bEetY+KLD5i6oIjiDc7mixHBIRWJzO56dz7AhsTT/M&#10;zqqyAvbyc4CYvkhvSU4aCrjBYizfXseEXHB0HMl3OX+ljSlbNO6vAg7mCsvknxnmLA2r4aBo5dsd&#10;CjJfHfqZ38aYwJisxmQTQK87pDPKLqi4ksLn8Hzyzv88l7tfHvny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H54UK/ZAAAADQEAAA8AAAAAAAAAAQAgAAAAOAAAAGRycy9kb3ducmV2LnhtbFBLAQIU&#10;ABQAAAAIAIdO4kCQ47sfowEAACwDAAAOAAAAAAAAAAEAIAAAAD4BAABkcnMvZTJvRG9jLnhtbFBL&#10;BQYAAAAABgAGAFkBAABT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220</w:t>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97152" behindDoc="1" locked="0" layoutInCell="1" allowOverlap="1">
              <wp:simplePos x="0" y="0"/>
              <wp:positionH relativeFrom="page">
                <wp:posOffset>977900</wp:posOffset>
              </wp:positionH>
              <wp:positionV relativeFrom="page">
                <wp:posOffset>10007600</wp:posOffset>
              </wp:positionV>
              <wp:extent cx="224790" cy="152400"/>
              <wp:effectExtent l="0" t="0" r="0" b="0"/>
              <wp:wrapNone/>
              <wp:docPr id="175" name="文本框 26"/>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228</w:t>
                          </w:r>
                          <w:r>
                            <w:fldChar w:fldCharType="end"/>
                          </w:r>
                        </w:p>
                      </w:txbxContent>
                    </wps:txbx>
                    <wps:bodyPr lIns="0" tIns="0" rIns="0" bIns="0" upright="true"/>
                  </wps:wsp>
                </a:graphicData>
              </a:graphic>
            </wp:anchor>
          </w:drawing>
        </mc:Choice>
        <mc:Fallback>
          <w:pict>
            <v:shape id="文本框 26" o:spid="_x0000_s1026" o:spt="202" type="#_x0000_t202" style="position:absolute;left:0pt;margin-left:77pt;margin-top:788pt;height:12pt;width:17.7pt;mso-position-horizontal-relative:page;mso-position-vertical-relative:page;z-index:-251619328;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Di9CX6owEAACwD&#10;AAAOAAAAZHJzL2Uyb0RvYy54bWytUktu2zAQ3RfoHQjua8pCPq1gOUARpCgQNAWSHoCmSIsAfxjS&#10;lnyB5AZdZZN9zuVzdMhYTtruim5Gw5nR43tvuLgYrSFbCVF719L5rKJEOuE77dYt/XF39eEjJTFx&#10;13HjnWzpTkZ6sXz/bjGERta+96aTQBDExWYILe1TCg1jUfTS8jjzQTpsKg+WJzzCmnXAB0S3htVV&#10;dcYGD10AL2SMWL18adJlwVdKinSjVJSJmJYit1QilLjKkS0XvFkDD70WBxr8H1hYrh1eeoS65ImT&#10;Dei/oKwW4KNXaSa8ZV4pLWTRgGrm1R9qbnseZNGC5sRwtCn+P1jxbfsdiO5wd+enlDhucUn7nw/7&#10;x+f90z2pz7JDQ4gNDt4GHE3jZz+2NMFGTq2I9ax9VGDzF1URHEG7d0eL5ZiIwGJdn5x/wo7A1vy0&#10;PqnKCtjrzwFi+iK9JTlpKeAGi7F8ex0TcsHRaSTf5fyVNqZs0bjfCjiYKyyTf2GYszSuxoOile92&#10;KMh8dehnfhtTAlOympJNAL3ukc4ku6DiSgqfw/PJO397Lne/PvL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pY46PZAAAADQEAAA8AAAAAAAAAAQAgAAAAOAAAAGRycy9kb3ducmV2LnhtbFBLAQIU&#10;ABQAAAAIAIdO4kDi9CX6owEAACwDAAAOAAAAAAAAAAEAIAAAAD4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228</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98176" behindDoc="1" locked="0" layoutInCell="1" allowOverlap="1">
              <wp:simplePos x="0" y="0"/>
              <wp:positionH relativeFrom="page">
                <wp:posOffset>6369685</wp:posOffset>
              </wp:positionH>
              <wp:positionV relativeFrom="page">
                <wp:posOffset>9992360</wp:posOffset>
              </wp:positionV>
              <wp:extent cx="199390" cy="152400"/>
              <wp:effectExtent l="0" t="0" r="0" b="0"/>
              <wp:wrapNone/>
              <wp:docPr id="176" name="文本框 23"/>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231</w:t>
                          </w:r>
                        </w:p>
                      </w:txbxContent>
                    </wps:txbx>
                    <wps:bodyPr lIns="0" tIns="0" rIns="0" bIns="0" upright="true"/>
                  </wps:wsp>
                </a:graphicData>
              </a:graphic>
            </wp:anchor>
          </w:drawing>
        </mc:Choice>
        <mc:Fallback>
          <w:pict>
            <v:shape id="文本框 23" o:spid="_x0000_s1026" o:spt="202" type="#_x0000_t202" style="position:absolute;left:0pt;margin-left:501.55pt;margin-top:786.8pt;height:12pt;width:15.7pt;mso-position-horizontal-relative:page;mso-position-vertical-relative:page;z-index:-251618304;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A1vRvmkAQAA&#10;LAMAAA4AAABkcnMvZTJvRG9jLnhtbK1SS27bMBDdF+gdCO5ryk6b1oLlAEWQokCRBHB7AJoiLQL8&#10;YUhb8gXaG3SVTfY5l8+RIWM5TboruhkNZ0aP773h4mKwhuwkRO1dQ6eTihLphG+12zT0x/erd58o&#10;iYm7lhvvZEP3MtKL5ds3iz7UcuY7b1oJBEFcrPvQ0C6lUDMWRSctjxMfpMOm8mB5wiNsWAu8R3Rr&#10;2KyqzlnvoQ3ghYwRq5dPTbos+EpJkW6UijIR01DklkqEEtc5suWC1xvgodPiSIP/AwvLtcNLT1CX&#10;PHGyBf0XlNUCfPQqTYS3zCulhSwaUM20eqVm1fEgixY0J4aTTfH/wYrr3S0Q3eLuPp5T4rjFJR1+&#10;/zrcPRzuf5LZWXaoD7HGwVXA0TR89kNDE2zl2IpYz9oHBTZ/URXBEbR7f7JYDokILE7n87M5dgS2&#10;ph9m76uyAvb8c4CYvkhvSU4aCrjBYizffYsJueDoOJLvcv5KG1O2aNyLAg7mCsvknxjmLA3r4aho&#10;7ds9CjJfHfqZ38aYwJisx2QbQG86pDPKLqi4ksLn+Hzyzv88l7ufH/n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GP/XTTbAAAADwEAAA8AAAAAAAAAAQAgAAAAOAAAAGRycy9kb3ducmV2LnhtbFBL&#10;AQIUABQAAAAIAIdO4kANb0b5pAEAACwDAAAOAAAAAAAAAAEAIAAAAEABAABkcnMvZTJvRG9jLnht&#10;bFBLBQYAAAAABgAGAFkBAABW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231</w:t>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99200" behindDoc="1" locked="0" layoutInCell="1" allowOverlap="1">
              <wp:simplePos x="0" y="0"/>
              <wp:positionH relativeFrom="page">
                <wp:posOffset>990600</wp:posOffset>
              </wp:positionH>
              <wp:positionV relativeFrom="page">
                <wp:posOffset>10007600</wp:posOffset>
              </wp:positionV>
              <wp:extent cx="199390" cy="152400"/>
              <wp:effectExtent l="0" t="0" r="0" b="0"/>
              <wp:wrapNone/>
              <wp:docPr id="177" name="文本框 24"/>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230</w:t>
                          </w:r>
                        </w:p>
                      </w:txbxContent>
                    </wps:txbx>
                    <wps:bodyPr lIns="0" tIns="0" rIns="0" bIns="0" upright="true"/>
                  </wps:wsp>
                </a:graphicData>
              </a:graphic>
            </wp:anchor>
          </w:drawing>
        </mc:Choice>
        <mc:Fallback>
          <w:pict>
            <v:shape id="文本框 24" o:spid="_x0000_s1026" o:spt="202" type="#_x0000_t202" style="position:absolute;left:0pt;margin-left:78pt;margin-top:788pt;height:12pt;width:15.7pt;mso-position-horizontal-relative:page;mso-position-vertical-relative:page;z-index:-251617280;mso-width-relative:page;mso-height-relative:page;" filled="f" stroked="f" coordsize="21600,21600" o:gfxdata="UEsFBgAAAAAAAAAAAAAAAAAAAAAAAFBLAwQKAAAAAACHTuJAAAAAAAAAAAAAAAAABAAAAGRycy9Q&#10;SwMEFAAAAAgAh07iQNxUFtfXAAAADQEAAA8AAABkcnMvZG93bnJldi54bWxNj81OwzAQhO9IvIO1&#10;SNyoXQRpCXEqhOCEhEjDgaMTbxOr8TrE7g9vz+YEt2+0o9mZYnP2gzjiFF0gDcuFAoHUBuuo0/BZ&#10;v96sQcRkyJohEGr4wQib8vKiMLkNJ6rwuE2d4BCKudHQpzTmUsa2R2/iIoxIfNuFyZvEcuqkncyJ&#10;w/0gb5XKpDeO+ENvRnzusd1vD17D0xdVL+77vfmodpWr6wdFb9le6+urpXoEkfCc/sww1+fqUHKn&#10;JhzIRjGwvs94S5phNdNsWa/uQDQMmVIKZFnI/yvKX1BLAwQUAAAACACHTuJA5bnYbKQBAAAsAwAA&#10;DgAAAGRycy9lMm9Eb2MueG1srVJLbtswEN0H6B0I7mvKbtrUguUARZCiQNEESHsAmiItAvxhSFvy&#10;BZobZJVN9jmXz5EhYzlNuiu6GQ1nRo/vveHifLCGbCVE7V1Dp5OKEumEb7VbN/TXz8v3nymJibuW&#10;G+9kQ3cy0vPlu5NFH2o58503rQSCIC7WfWhol1KoGYuik5bHiQ/SYVN5sDzhEdasBd4jujVsVlWf&#10;WO+hDeCFjBGrF89Nuiz4SkmRrpSKMhHTUOSWSoQSVzmy5YLXa+Ch0+JAg/8DC8u1w0uPUBc8cbIB&#10;/ReU1QJ89CpNhLfMK6WFLBpQzbR6o+am40EWLWhODEeb4v+DFT+210B0i7s7O6PEcYtL2t/d7u8f&#10;9w+/yew0O9SHWOPgTcDRNHzxQ0MTbOTYiljP2gcFNn9RFcERtHt3tFgOiQgsTufzD3PsCGxNP85O&#10;q7IC9vJzgJi+Sm9JThoKuMFiLN9+jwm54Og4ku9y/lIbU7Zo3KsCDuYKy+SfGeYsDavhoGjl2x0K&#10;Mt8c+pnfxpjAmKzGZBNArzukM8ouqLiSwufwfPLO/zyXu18e+fI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3FQW19cAAAANAQAADwAAAAAAAAABACAAAAA4AAAAZHJzL2Rvd25yZXYueG1sUEsBAhQA&#10;FAAAAAgAh07iQOW52GykAQAALAMAAA4AAAAAAAAAAQAgAAAAPAEAAGRycy9lMm9Eb2MueG1sUEsF&#10;BgAAAAAGAAYAWQEAAFI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230</w:t>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700224" behindDoc="1" locked="0" layoutInCell="1" allowOverlap="1">
              <wp:simplePos x="0" y="0"/>
              <wp:positionH relativeFrom="page">
                <wp:posOffset>977900</wp:posOffset>
              </wp:positionH>
              <wp:positionV relativeFrom="page">
                <wp:posOffset>10007600</wp:posOffset>
              </wp:positionV>
              <wp:extent cx="224790" cy="152400"/>
              <wp:effectExtent l="0" t="0" r="0" b="0"/>
              <wp:wrapNone/>
              <wp:docPr id="178" name="文本框 22"/>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234</w:t>
                          </w:r>
                          <w:r>
                            <w:fldChar w:fldCharType="end"/>
                          </w:r>
                        </w:p>
                      </w:txbxContent>
                    </wps:txbx>
                    <wps:bodyPr lIns="0" tIns="0" rIns="0" bIns="0" upright="true"/>
                  </wps:wsp>
                </a:graphicData>
              </a:graphic>
            </wp:anchor>
          </w:drawing>
        </mc:Choice>
        <mc:Fallback>
          <w:pict>
            <v:shape id="文本框 22" o:spid="_x0000_s1026" o:spt="202" type="#_x0000_t202" style="position:absolute;left:0pt;margin-left:77pt;margin-top:788pt;height:12pt;width:17.7pt;mso-position-horizontal-relative:page;mso-position-vertical-relative:page;z-index:-251616256;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CT/N9ZogEAACwD&#10;AAAOAAAAZHJzL2Uyb0RvYy54bWytUktu2zAQ3RfoHQjua8pCmjSC5QBFkKJA0RRIcgCaIi0C/GFI&#10;W/IF0ht0lU32OZfP0SFjOW2zC7oZDWdGw/fh4mK0hmwlRO1dS+ezihLphO+0W7f07vbqwydKYuKu&#10;48Y72dKdjPRi+f7dYgiNrH3vTSeB4BIXmyG0tE8pNIxF0UvL48wH6bCpPFie8Ahr1gEfcLs1rK6q&#10;UzZ46AJ4IWPE6uVzky7LfqWkSNdKRZmIaSliSyVCiasc2XLBmzXw0GtxgMHfgMJy7fDS46pLnjjZ&#10;gH61ymoBPnqVZsJb5pXSQhYOyGZe/cPmpudBFi4oTgxHmeL/Wyu+b38A0R16d4ZWOW7RpP2vn/uH&#10;p/3jPanrrNAQYoODNwFH0/jZjy1NsJFTK2I9cx8V2PxFVgRHUO7dUWI5JiKwWNcnZ+fYEdiaf6xP&#10;qmIBe/k5QExfpLckJy0FdLAIy7ffYkIsODqN5Lucv9LGFBeN+6uAg7nCMvhnhDlL42o8MFr5boeE&#10;zFeHeua3MSUwJasp2QTQ6x7hTLTLVrSk4Dk8n+z5n+dy98sjX/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ljjo9kAAAANAQAADwAAAAAAAAABACAAAAA4AAAAZHJzL2Rvd25yZXYueG1sUEsBAhQA&#10;FAAAAAgAh07iQJP831miAQAALAMAAA4AAAAAAAAAAQAgAAAAPgEAAGRycy9lMm9Eb2MueG1sUEsF&#10;BgAAAAAGAAYAWQEAAFI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234</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701248" behindDoc="1" locked="0" layoutInCell="1" allowOverlap="1">
              <wp:simplePos x="0" y="0"/>
              <wp:positionH relativeFrom="page">
                <wp:posOffset>1043940</wp:posOffset>
              </wp:positionH>
              <wp:positionV relativeFrom="page">
                <wp:posOffset>9432290</wp:posOffset>
              </wp:positionV>
              <wp:extent cx="1829435" cy="0"/>
              <wp:effectExtent l="0" t="0" r="0" b="0"/>
              <wp:wrapNone/>
              <wp:docPr id="179" name="直线 20"/>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20" o:spid="_x0000_s1026" o:spt="20" style="position:absolute;left:0pt;margin-left:82.2pt;margin-top:742.7pt;height:0pt;width:144.05pt;mso-position-horizontal-relative:page;mso-position-vertical-relative:page;z-index:-251615232;mso-width-relative:page;mso-height-relative:page;" filled="f" stroked="t" coordsize="21600,21600" o:gfxdata="UEsFBgAAAAAAAAAAAAAAAAAAAAAAAFBLAwQKAAAAAACHTuJAAAAAAAAAAAAAAAAABAAAAGRycy9Q&#10;SwMEFAAAAAgAh07iQOcEPoLYAAAADQEAAA8AAABkcnMvZG93bnJldi54bWxNj81OwzAQhO9IvIO1&#10;SNyo0yopJsTpAQRSDwj1R5zdeElC4nUUu0379iwHBLeZ3dHst8Xq7HpxwjG0njTMZwkIpMrblmoN&#10;+93LnQIRoiFrek+o4YIBVuX1VWFy6yfa4Gkba8ElFHKjoYlxyKUMVYPOhJkfkHj36UdnItuxlnY0&#10;E5e7Xi6SZCmdaYkvNGbApwarbnt0Gt6UfPbv3Ud1+Zp2r0qtu4f79V7r25t58ggi4jn+heEHn9Gh&#10;ZKaDP5INome/TFOOskhVxoojabbIQBx+R7Is5P8vym9QSwMEFAAAAAgAh07iQIcHUmnQAQAAkwMA&#10;AA4AAABkcnMvZTJvRG9jLnhtbK1TS44TMRDdI3EHy3vSSYAwaaUzC8KwQTDSDAeo+NNtyT+5nHRy&#10;Fq7Big3HmWtQdmYSPhuE6IW77Cq/evWqvLo+OMv2KqEJvuOzyZQz5UWQxvcd/3x/8+KKM8zgJdjg&#10;VcePCvn1+vmz1RhbNQ9DsFIlRiAe2zF2fMg5tk2DYlAOcBKi8uTUITnItE19IxOMhO5sM59OF80Y&#10;kowpCIVIp5uTk68rvtZK5E9ao8rMdpy45bqmum7L2qxX0PYJ4mDEIw34BxYOjKekZ6gNZGC7ZP6A&#10;ckakgEHniQiuCVoboWoNVM1s+ls1dwNEVWshcTCeZcL/Bys+7m8TM5J692bJmQdHTXr48vXh23c2&#10;r/KMEVuKuou3icQqOySz1HrQyZU/VcEOVdLjWVJ1yEzQ4exqvnz18jVn4snXXC7GhPm9Co4Vo+PW&#10;+FIttLD/gJmSUehTSDm2no0dX0yXC4IDGhZtIZPpItFH39e7GKyRN8bacgNTv31rE9tDaX/9SscJ&#10;95ewkmQDOJziqus0GIMC+c5Llo+RZPE0wbxQcEpyZhUNfLHqCGUw9m8iKbX1xOCiY7G2QR6pDbuY&#10;TD+QEjntVCVanNT5SvlxSsto/byvYJe3t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5wQ+gtgA&#10;AAANAQAADwAAAAAAAAABACAAAAA4AAAAZHJzL2Rvd25yZXYueG1sUEsBAhQAFAAAAAgAh07iQIcH&#10;UmnQAQAAkwMAAA4AAAAAAAAAAQAgAAAAPQEAAGRycy9lMm9Eb2MueG1sUEsFBgAAAAAGAAYAWQEA&#10;AH8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702272" behindDoc="1" locked="0" layoutInCell="1" allowOverlap="1">
              <wp:simplePos x="0" y="0"/>
              <wp:positionH relativeFrom="page">
                <wp:posOffset>1031240</wp:posOffset>
              </wp:positionH>
              <wp:positionV relativeFrom="page">
                <wp:posOffset>9605645</wp:posOffset>
              </wp:positionV>
              <wp:extent cx="4657090" cy="149225"/>
              <wp:effectExtent l="0" t="0" r="0" b="0"/>
              <wp:wrapNone/>
              <wp:docPr id="180" name="文本框 19"/>
              <wp:cNvGraphicFramePr/>
              <a:graphic xmlns:a="http://schemas.openxmlformats.org/drawingml/2006/main">
                <a:graphicData uri="http://schemas.microsoft.com/office/word/2010/wordprocessingShape">
                  <wps:wsp>
                    <wps:cNvSpPr txBox="true"/>
                    <wps:spPr>
                      <a:xfrm>
                        <a:off x="0" y="0"/>
                        <a:ext cx="4657090" cy="149225"/>
                      </a:xfrm>
                      <a:prstGeom prst="rect">
                        <a:avLst/>
                      </a:prstGeom>
                      <a:noFill/>
                      <a:ln>
                        <a:noFill/>
                      </a:ln>
                    </wps:spPr>
                    <wps:txbx>
                      <w:txbxContent>
                        <w:p>
                          <w:pPr>
                            <w:spacing w:before="9" w:line="225" w:lineRule="exact"/>
                            <w:ind w:left="20"/>
                            <w:rPr>
                              <w:sz w:val="18"/>
                            </w:rPr>
                          </w:pPr>
                          <w:r>
                            <w:rPr>
                              <w:position w:val="9"/>
                              <w:sz w:val="9"/>
                            </w:rPr>
                            <w:t>①</w:t>
                          </w:r>
                          <w:r>
                            <w:rPr>
                              <w:sz w:val="9"/>
                            </w:rPr>
                            <w:t xml:space="preserve"> </w:t>
                          </w:r>
                          <w:r>
                            <w:rPr>
                              <w:sz w:val="18"/>
                            </w:rPr>
                            <w:t xml:space="preserve">本表仅适用于特别复杂的特大桥梁和特长隧道项目主体工程以及其他有特殊要求的工程。 </w:t>
                          </w:r>
                        </w:p>
                      </w:txbxContent>
                    </wps:txbx>
                    <wps:bodyPr lIns="0" tIns="0" rIns="0" bIns="0" upright="true"/>
                  </wps:wsp>
                </a:graphicData>
              </a:graphic>
            </wp:anchor>
          </w:drawing>
        </mc:Choice>
        <mc:Fallback>
          <w:pict>
            <v:shape id="文本框 19" o:spid="_x0000_s1026" o:spt="202" type="#_x0000_t202" style="position:absolute;left:0pt;margin-left:81.2pt;margin-top:756.35pt;height:11.75pt;width:366.7pt;mso-position-horizontal-relative:page;mso-position-vertical-relative:page;z-index:-251614208;mso-width-relative:page;mso-height-relative:page;" filled="f" stroked="f" coordsize="21600,21600" o:gfxdata="UEsFBgAAAAAAAAAAAAAAAAAAAAAAAFBLAwQKAAAAAACHTuJAAAAAAAAAAAAAAAAABAAAAGRycy9Q&#10;SwMEFAAAAAgAh07iQGPF36vbAAAADQEAAA8AAABkcnMvZG93bnJldi54bWxNj81OwzAQhO9IvIO1&#10;lbhRO4GGNo1TIQQnJNQ0HDg6sZtYjdchdn94e7YnuO3sjma/KTYXN7CTmYL1KCGZC2AGW68tdhI+&#10;67f7JbAQFWo1eDQSfkyATXl7U6hc+zNW5rSLHaMQDLmS0Mc45pyHtjdOhbkfDdJt7yenIsmp43pS&#10;Zwp3A0+FyLhTFulDr0bz0pv2sDs6Cc9fWL3a749mW+0rW9crge/ZQcq7WSLWwKK5xD8zXPEJHUpi&#10;avwRdWAD6Sx9JCsNiyR9AkaW5WpBbZrr6iFLgZcF/9+i/AVQSwMEFAAAAAgAh07iQFB91a+jAQAA&#10;LQMAAA4AAABkcnMvZTJvRG9jLnhtbK1SS27bMBDdF+gdCO5rykaSxoLlAEWQokDRBEhyAJoiLQL8&#10;YUhb8gXaG3SVTfc5l8/RIW3Z/eyKbkbDmdHje2+4uBmsIVsJUXvX0OmkokQ64Vvt1g19frp7d01J&#10;TNy13HgnG7qTkd4s375Z9KGWM99500ogCOJi3YeGdimFmrEoOml5nPggHTaVB8sTHmHNWuA9olvD&#10;ZlV1xXoPbQAvZIxYvT006bLgKyVFulcqykRMQ5FbKhFKXOXIlgter4GHTosjDf4PLCzXDi89Qd3y&#10;xMkG9F9QVgvw0as0Ed4yr5QWsmhANdPqDzWPHQ+yaEFzYjjZFP8frPiyfQCiW9zdNfrjuMUl7b9/&#10;27+87n98JdN5dqgPscbBx4Cjafjgh4Ym2MixFbGetQ8KbP6iKoIjCLc7WSyHRAQWL64u31dzbAns&#10;TS/ms9llhmHnvwPE9FF6S3LSUMAVFmf59nNMh9FxJF/m/J02pqzRuN8KiJkrLLM/UMxZGlbDUdLK&#10;tztUZD45NDQ/jjGBMVmNySaAXndIZ9RdUHEnhfrx/eSl/3oud59f+f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Y8Xfq9sAAAANAQAADwAAAAAAAAABACAAAAA4AAAAZHJzL2Rvd25yZXYueG1sUEsB&#10;AhQAFAAAAAgAh07iQFB91a+jAQAALQMAAA4AAAAAAAAAAQAgAAAAQAEAAGRycy9lMm9Eb2MueG1s&#10;UEsFBgAAAAAGAAYAWQEAAFUFAAAAAA==&#10;">
              <v:fill on="f" focussize="0,0"/>
              <v:stroke on="f"/>
              <v:imagedata o:title=""/>
              <o:lock v:ext="edit" aspectratio="f"/>
              <v:textbox inset="0mm,0mm,0mm,0mm">
                <w:txbxContent>
                  <w:p>
                    <w:pPr>
                      <w:spacing w:before="9" w:line="225" w:lineRule="exact"/>
                      <w:ind w:left="20"/>
                      <w:rPr>
                        <w:sz w:val="18"/>
                      </w:rPr>
                    </w:pPr>
                    <w:r>
                      <w:rPr>
                        <w:position w:val="9"/>
                        <w:sz w:val="9"/>
                      </w:rPr>
                      <w:t>①</w:t>
                    </w:r>
                    <w:r>
                      <w:rPr>
                        <w:sz w:val="9"/>
                      </w:rPr>
                      <w:t xml:space="preserve"> </w:t>
                    </w:r>
                    <w:r>
                      <w:rPr>
                        <w:sz w:val="18"/>
                      </w:rPr>
                      <w:t xml:space="preserve">本表仅适用于特别复杂的特大桥梁和特长隧道项目主体工程以及其他有特殊要求的工程。 </w:t>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703296" behindDoc="1" locked="0" layoutInCell="1" allowOverlap="1">
              <wp:simplePos x="0" y="0"/>
              <wp:positionH relativeFrom="page">
                <wp:posOffset>1043940</wp:posOffset>
              </wp:positionH>
              <wp:positionV relativeFrom="page">
                <wp:posOffset>9432290</wp:posOffset>
              </wp:positionV>
              <wp:extent cx="1829435" cy="0"/>
              <wp:effectExtent l="0" t="0" r="0" b="0"/>
              <wp:wrapNone/>
              <wp:docPr id="181" name="直线 17"/>
              <wp:cNvGraphicFramePr/>
              <a:graphic xmlns:a="http://schemas.openxmlformats.org/drawingml/2006/main">
                <a:graphicData uri="http://schemas.microsoft.com/office/word/2010/wordprocessingShape">
                  <wps:wsp>
                    <wps:cNvSpPr/>
                    <wps:spPr>
                      <a:xfrm>
                        <a:off x="0" y="0"/>
                        <a:ext cx="182943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7" o:spid="_x0000_s1026" o:spt="20" style="position:absolute;left:0pt;margin-left:82.2pt;margin-top:742.7pt;height:0pt;width:144.05pt;mso-position-horizontal-relative:page;mso-position-vertical-relative:page;z-index:-251613184;mso-width-relative:page;mso-height-relative:page;" filled="f" stroked="t" coordsize="21600,21600" o:gfxdata="UEsFBgAAAAAAAAAAAAAAAAAAAAAAAFBLAwQKAAAAAACHTuJAAAAAAAAAAAAAAAAABAAAAGRycy9Q&#10;SwMEFAAAAAgAh07iQOcEPoLYAAAADQEAAA8AAABkcnMvZG93bnJldi54bWxNj81OwzAQhO9IvIO1&#10;SNyo0yopJsTpAQRSDwj1R5zdeElC4nUUu0379iwHBLeZ3dHst8Xq7HpxwjG0njTMZwkIpMrblmoN&#10;+93LnQIRoiFrek+o4YIBVuX1VWFy6yfa4Gkba8ElFHKjoYlxyKUMVYPOhJkfkHj36UdnItuxlnY0&#10;E5e7Xi6SZCmdaYkvNGbApwarbnt0Gt6UfPbv3Ud1+Zp2r0qtu4f79V7r25t58ggi4jn+heEHn9Gh&#10;ZKaDP5INome/TFOOskhVxoojabbIQBx+R7Is5P8vym9QSwMEFAAAAAgAh07iQNOJjgjSAQAAkwMA&#10;AA4AAABkcnMvZTJvRG9jLnhtbK1TS44TMRDdI3EHy3vS3QFCppXOLAjDBsFIMxygYru7Lfknl5NO&#10;zsI1WLHhOHMNyk4mw2eDEFk4ZVf5+b1X1avrgzVsryJq7zrezGrOlBNeajd0/PP9zYslZ5jASTDe&#10;qY4fFfLr9fNnqym0au5Hb6SKjEActlPo+JhSaKsKxags4MwH5SjZ+2gh0TYOlYwwEbo11byuF9Xk&#10;owzRC4VIp5tTkq8Lft8rkT71ParETMeJWyprLOs2r9V6Be0QIYxanGnAP7CwoB09eoHaQAK2i/oP&#10;KKtF9Oj7NBPeVr7vtVBFA6lp6t/U3I0QVNFC5mC42IT/D1Z83N9GpiX1btlw5sBSkx6+fH349p01&#10;b7I9U8CWqu7CbTzvkMKs9dBHm/9JBTsUS48XS9UhMUGHzXJ+9erla87EY656uhgipvfKW5aDjhvt&#10;slpoYf8BEz1GpY8l+dg4NnV8UV8tCA5oWHoDiUIbiD66odxFb7S80cbkGxiH7VsT2R5y+8svSyLc&#10;X8ryIxvA8VRXUqfBGBXId06ydAxki6MJ5pmCVZIzo2jgc0SA0CbQ5m8q6WnjiEF29eRjjrZeHqkN&#10;uxD1MJITKe5UIZqT1PlC+TylebR+3hewp29p/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nBD6C&#10;2AAAAA0BAAAPAAAAAAAAAAEAIAAAADgAAABkcnMvZG93bnJldi54bWxQSwECFAAUAAAACACHTuJA&#10;04mOCNIBAACTAwAADgAAAAAAAAABACAAAAA9AQAAZHJzL2Uyb0RvYy54bWxQSwUGAAAAAAYABgBZ&#10;AQAAg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704320" behindDoc="1" locked="0" layoutInCell="1" allowOverlap="1">
              <wp:simplePos x="0" y="0"/>
              <wp:positionH relativeFrom="page">
                <wp:posOffset>1031240</wp:posOffset>
              </wp:positionH>
              <wp:positionV relativeFrom="page">
                <wp:posOffset>9605645</wp:posOffset>
              </wp:positionV>
              <wp:extent cx="4657090" cy="149225"/>
              <wp:effectExtent l="0" t="0" r="0" b="0"/>
              <wp:wrapNone/>
              <wp:docPr id="182" name="文本框 16"/>
              <wp:cNvGraphicFramePr/>
              <a:graphic xmlns:a="http://schemas.openxmlformats.org/drawingml/2006/main">
                <a:graphicData uri="http://schemas.microsoft.com/office/word/2010/wordprocessingShape">
                  <wps:wsp>
                    <wps:cNvSpPr txBox="true"/>
                    <wps:spPr>
                      <a:xfrm>
                        <a:off x="0" y="0"/>
                        <a:ext cx="4657090" cy="149225"/>
                      </a:xfrm>
                      <a:prstGeom prst="rect">
                        <a:avLst/>
                      </a:prstGeom>
                      <a:noFill/>
                      <a:ln>
                        <a:noFill/>
                      </a:ln>
                    </wps:spPr>
                    <wps:txbx>
                      <w:txbxContent>
                        <w:p>
                          <w:pPr>
                            <w:spacing w:before="9" w:line="225" w:lineRule="exact"/>
                            <w:ind w:left="20"/>
                            <w:rPr>
                              <w:sz w:val="18"/>
                            </w:rPr>
                          </w:pPr>
                          <w:r>
                            <w:rPr>
                              <w:position w:val="9"/>
                              <w:sz w:val="9"/>
                            </w:rPr>
                            <w:t>①</w:t>
                          </w:r>
                          <w:r>
                            <w:rPr>
                              <w:sz w:val="9"/>
                            </w:rPr>
                            <w:t xml:space="preserve"> </w:t>
                          </w:r>
                          <w:r>
                            <w:rPr>
                              <w:sz w:val="18"/>
                            </w:rPr>
                            <w:t xml:space="preserve">本表仅适用于特别复杂的特大桥梁和特长隧道项目主体工程以及其他有特殊要求的工程。 </w:t>
                          </w:r>
                        </w:p>
                      </w:txbxContent>
                    </wps:txbx>
                    <wps:bodyPr lIns="0" tIns="0" rIns="0" bIns="0" upright="true"/>
                  </wps:wsp>
                </a:graphicData>
              </a:graphic>
            </wp:anchor>
          </w:drawing>
        </mc:Choice>
        <mc:Fallback>
          <w:pict>
            <v:shape id="文本框 16" o:spid="_x0000_s1026" o:spt="202" type="#_x0000_t202" style="position:absolute;left:0pt;margin-left:81.2pt;margin-top:756.35pt;height:11.75pt;width:366.7pt;mso-position-horizontal-relative:page;mso-position-vertical-relative:page;z-index:-251612160;mso-width-relative:page;mso-height-relative:page;" filled="f" stroked="f" coordsize="21600,21600" o:gfxdata="UEsFBgAAAAAAAAAAAAAAAAAAAAAAAFBLAwQKAAAAAACHTuJAAAAAAAAAAAAAAAAABAAAAGRycy9Q&#10;SwMEFAAAAAgAh07iQGPF36vbAAAADQEAAA8AAABkcnMvZG93bnJldi54bWxNj81OwzAQhO9IvIO1&#10;lbhRO4GGNo1TIQQnJNQ0HDg6sZtYjdchdn94e7YnuO3sjma/KTYXN7CTmYL1KCGZC2AGW68tdhI+&#10;67f7JbAQFWo1eDQSfkyATXl7U6hc+zNW5rSLHaMQDLmS0Mc45pyHtjdOhbkfDdJt7yenIsmp43pS&#10;Zwp3A0+FyLhTFulDr0bz0pv2sDs6Cc9fWL3a749mW+0rW9crge/ZQcq7WSLWwKK5xD8zXPEJHUpi&#10;avwRdWAD6Sx9JCsNiyR9AkaW5WpBbZrr6iFLgZcF/9+i/AVQSwMEFAAAAAgAh07iQM3rAvKkAQAA&#10;LQMAAA4AAABkcnMvZTJvRG9jLnhtbK1SS27bMBDdF+gdCO5rykLiJoLlAEWQIEDQFkh7AJoiLQL8&#10;YUhb8gXSG3TVTfc9l8/RIW05/eyKbkbDmdHje2+4vBmtITsJUXvX0vmsokQ64TvtNi39/OnuzRUl&#10;MXHXceOdbOleRnqzev1qOYRG1r73ppNAEMTFZggt7VMKDWNR9NLyOPNBOmwqD5YnPMKGdcAHRLeG&#10;1VW1YIOHLoAXMkas3h6bdFXwlZIifVAqykRMS5FbKhFKXOfIVkvebICHXosTDf4PLCzXDi89Q93y&#10;xMkW9F9QVgvw0as0E94yr5QWsmhANfPqDzVPPQ+yaEFzYjjbFP8frHi/+whEd7i7q5oSxy0u6fD1&#10;y+Hbj8P3ZzJfZIeGEBscfAo4msZ3fmxpgq2cWhHrWfuowOYvqiI4gnbvzxbLMRGBxYvF5dvqGlsC&#10;e/OL67q+zDDs5e8AMd1Lb0lOWgq4wuIs3z3GdBydRvJlzt9pY8oajfutgJi5wjL7I8WcpXE9niSt&#10;fbdHRebBoaH5cUwJTMl6SrYB9KZHOpPugoo7KdRP7ycv/ddzufvlla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GPF36vbAAAADQEAAA8AAAAAAAAAAQAgAAAAOAAAAGRycy9kb3ducmV2LnhtbFBL&#10;AQIUABQAAAAIAIdO4kDN6wLypAEAAC0DAAAOAAAAAAAAAAEAIAAAAEABAABkcnMvZTJvRG9jLnht&#10;bFBLBQYAAAAABgAGAFkBAABWBQAAAAA=&#10;">
              <v:fill on="f" focussize="0,0"/>
              <v:stroke on="f"/>
              <v:imagedata o:title=""/>
              <o:lock v:ext="edit" aspectratio="f"/>
              <v:textbox inset="0mm,0mm,0mm,0mm">
                <w:txbxContent>
                  <w:p>
                    <w:pPr>
                      <w:spacing w:before="9" w:line="225" w:lineRule="exact"/>
                      <w:ind w:left="20"/>
                      <w:rPr>
                        <w:sz w:val="18"/>
                      </w:rPr>
                    </w:pPr>
                    <w:r>
                      <w:rPr>
                        <w:position w:val="9"/>
                        <w:sz w:val="9"/>
                      </w:rPr>
                      <w:t>①</w:t>
                    </w:r>
                    <w:r>
                      <w:rPr>
                        <w:sz w:val="9"/>
                      </w:rPr>
                      <w:t xml:space="preserve"> </w:t>
                    </w:r>
                    <w:r>
                      <w:rPr>
                        <w:sz w:val="18"/>
                      </w:rPr>
                      <w:t xml:space="preserve">本表仅适用于特别复杂的特大桥梁和特长隧道项目主体工程以及其他有特殊要求的工程。 </w:t>
                    </w:r>
                  </w:p>
                </w:txbxContent>
              </v:textbox>
            </v:shape>
          </w:pict>
        </mc:Fallback>
      </mc:AlternateContent>
    </w:r>
    <w:r>
      <mc:AlternateContent>
        <mc:Choice Requires="wps">
          <w:drawing>
            <wp:anchor distT="0" distB="0" distL="114300" distR="114300" simplePos="0" relativeHeight="251705344" behindDoc="1" locked="0" layoutInCell="1" allowOverlap="1">
              <wp:simplePos x="0" y="0"/>
              <wp:positionH relativeFrom="page">
                <wp:posOffset>977900</wp:posOffset>
              </wp:positionH>
              <wp:positionV relativeFrom="page">
                <wp:posOffset>10007600</wp:posOffset>
              </wp:positionV>
              <wp:extent cx="224790" cy="152400"/>
              <wp:effectExtent l="0" t="0" r="0" b="0"/>
              <wp:wrapNone/>
              <wp:docPr id="183" name="文本框 15"/>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238</w:t>
                          </w:r>
                          <w:r>
                            <w:fldChar w:fldCharType="end"/>
                          </w:r>
                        </w:p>
                      </w:txbxContent>
                    </wps:txbx>
                    <wps:bodyPr lIns="0" tIns="0" rIns="0" bIns="0" upright="true"/>
                  </wps:wsp>
                </a:graphicData>
              </a:graphic>
            </wp:anchor>
          </w:drawing>
        </mc:Choice>
        <mc:Fallback>
          <w:pict>
            <v:shape id="文本框 15" o:spid="_x0000_s1026" o:spt="202" type="#_x0000_t202" style="position:absolute;left:0pt;margin-left:77pt;margin-top:788pt;height:12pt;width:17.7pt;mso-position-horizontal-relative:page;mso-position-vertical-relative:page;z-index:-251611136;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AXlM1EowEAACwD&#10;AAAOAAAAZHJzL2Uyb0RvYy54bWytUktu2zAQ3QfoHQjua8pqfhUsByiCFAGKNkDaA9AUaRHgD0Pa&#10;ki+Q3qCrbLrPuXyODBnL6WdXdDMazowe33vDxdVoDdlKiNq7ls5nFSXSCd9pt27pt683by8piYm7&#10;jhvvZEt3MtKr5ZuTxRAaWfvem04CQRAXmyG0tE8pNIxF0UvL48wH6bCpPFie8Ahr1gEfEN0aVlfV&#10;ORs8dAG8kDFi9fqlSZcFXykp0helokzEtBS5pRKhxFWObLngzRp46LU40OD/wMJy7fDSI9Q1T5xs&#10;QP8FZbUAH71KM+Et80ppIYsGVDOv/lBz3/MgixY0J4ajTfH/wYrP2zsgusPdXb6jxHGLS9r/+L5/&#10;fNr/fCDzs+zQEGKDg/cBR9P4wY8tTbCRUytiPWsfFdj8RVUER9Du3dFiOSYisFjXpxfvsSOwNT+r&#10;T6uyAvb6c4CYPkpvSU5aCrjBYizffooJueDoNJLvcv5GG1O2aNxvBRzMFZbJvzDMWRpX40HRync7&#10;FGRuHfqZ38aUwJSspmQTQK97pDPJLqi4ksLn8Hzyzn89l7tfH/nyG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pY46PZAAAADQEAAA8AAAAAAAAAAQAgAAAAOAAAAGRycy9kb3ducmV2LnhtbFBLAQIU&#10;ABQAAAAIAIdO4kAXlM1EowEAACwDAAAOAAAAAAAAAAEAIAAAAD4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11136" behindDoc="1" locked="0" layoutInCell="1" allowOverlap="1">
              <wp:simplePos x="0" y="0"/>
              <wp:positionH relativeFrom="page">
                <wp:posOffset>1009015</wp:posOffset>
              </wp:positionH>
              <wp:positionV relativeFrom="page">
                <wp:posOffset>9018905</wp:posOffset>
              </wp:positionV>
              <wp:extent cx="1829435" cy="0"/>
              <wp:effectExtent l="0" t="0" r="0" b="0"/>
              <wp:wrapNone/>
              <wp:docPr id="91" name="直线 143"/>
              <wp:cNvGraphicFramePr/>
              <a:graphic xmlns:a="http://schemas.openxmlformats.org/drawingml/2006/main">
                <a:graphicData uri="http://schemas.microsoft.com/office/word/2010/wordprocessingShape">
                  <wps:wsp>
                    <wps:cNvSpPr/>
                    <wps:spPr>
                      <a:xfrm>
                        <a:off x="0" y="0"/>
                        <a:ext cx="1829435" cy="0"/>
                      </a:xfrm>
                      <a:prstGeom prst="line">
                        <a:avLst/>
                      </a:prstGeom>
                      <a:ln w="6097" cap="flat" cmpd="sng">
                        <a:solidFill>
                          <a:srgbClr val="000000"/>
                        </a:solidFill>
                        <a:prstDash val="solid"/>
                        <a:headEnd type="none" w="med" len="med"/>
                        <a:tailEnd type="none" w="med" len="med"/>
                      </a:ln>
                    </wps:spPr>
                    <wps:bodyPr upright="true"/>
                  </wps:wsp>
                </a:graphicData>
              </a:graphic>
            </wp:anchor>
          </w:drawing>
        </mc:Choice>
        <mc:Fallback>
          <w:pict>
            <v:line id="直线 143" o:spid="_x0000_s1026" o:spt="20" style="position:absolute;left:0pt;margin-left:79.45pt;margin-top:710.15pt;height:0pt;width:144.05pt;mso-position-horizontal-relative:page;mso-position-vertical-relative:page;z-index:-251705344;mso-width-relative:page;mso-height-relative:page;" filled="f" stroked="t" coordsize="21600,21600" o:gfxdata="UEsFBgAAAAAAAAAAAAAAAAAAAAAAAFBLAwQKAAAAAACHTuJAAAAAAAAAAAAAAAAABAAAAGRycy9Q&#10;SwMEFAAAAAgAh07iQCE80kjYAAAADQEAAA8AAABkcnMvZG93bnJldi54bWxNj81OwzAQhO9IvIO1&#10;SNyonSaFNMSpRCUkJE4U6NmJlyTCP1HspglPz3JAcNvZHc1+U+5ma9iEY+i9k5CsBDB0jde9ayW8&#10;vT7e5MBCVE4r4x1KWDDArrq8KFWh/dm94HSILaMQFwoloYtxKDgPTYdWhZUf0NHtw49WRZJjy/Wo&#10;zhRuDV8Lccut6h196NSA+w6bz8PJSsimeXn+2uNDWj8lS75p39NwNFJeXyXiHljEOf6Z4Qef0KEi&#10;ptqfnA7MkN7kW7LSkK1FCowsWXZH9erfFa9K/r9F9Q1QSwMEFAAAAAgAh07iQAZHMFLTAQAAkwMA&#10;AA4AAABkcnMvZTJvRG9jLnhtbK1TS27bMBDdF+gdCO5rSU6axoLlLOqmm6INkPQAY5KSCPAHDm3Z&#10;Z+k1uuqmx8k1OqQdp59NUdQLesgZvnnvcbS82VvDdiqi9q7jzazmTDnhpXZDxz8/3L665gwTOAnG&#10;O9Xxg0J+s3r5YjmFVs396I1UkRGIw3YKHR9TCm1VoRiVBZz5oBwlex8tJNrGoZIRJkK3pprX9VU1&#10;+ShD9EIh0un6mOSrgt/3SqRPfY8qMdNx4pbKGsu6yWu1WkI7RAijFica8A8sLGhHTc9Qa0jAtlH/&#10;AWW1iB59n2bC28r3vRaqaCA1Tf2bmvsRgipayBwMZ5vw/8GKj7u7yLTs+KLhzIGlN3r88vXx23fW&#10;XF5ke6aALVXdh7t42iGFWeu+jzb/kwq2L5YezpaqfWKCDpvr+eLy4jVn4ilXPV8MEdN75S3LQceN&#10;dlkttLD7gImaUelTST42jk0dv6oXbwgOaFh6A4lCG4g+uqHcRW+0vNXG5BsYh81bE9kO8vOXX5ZE&#10;uL+U5SZrwPFYV1LHwRgVyHdOsnQI5IujCeaZglWSM6No4HNEgNAm0OZvKqm1ccQgu3r0MUcbLw/0&#10;DNsQ9TCSEyluVSGak/TyhfJpSvNo/bwvYM/f0u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TzS&#10;SNgAAAANAQAADwAAAAAAAAABACAAAAA4AAAAZHJzL2Rvd25yZXYueG1sUEsBAhQAFAAAAAgAh07i&#10;QAZHMFLTAQAAkwMAAA4AAAAAAAAAAQAgAAAAPQEAAGRycy9lMm9Eb2MueG1sUEsFBgAAAAAGAAYA&#10;WQEAAIIFAAAAAA==&#10;">
              <v:fill on="f" focussize="0,0"/>
              <v:stroke weight="0.48007874015748pt" color="#000000" joinstyle="round"/>
              <v:imagedata o:title=""/>
              <o:lock v:ext="edit" aspectratio="f"/>
            </v:line>
          </w:pict>
        </mc:Fallback>
      </mc:AlternateContent>
    </w:r>
    <w:r>
      <mc:AlternateContent>
        <mc:Choice Requires="wps">
          <w:drawing>
            <wp:anchor distT="0" distB="0" distL="114300" distR="114300" simplePos="0" relativeHeight="251612160" behindDoc="1" locked="0" layoutInCell="1" allowOverlap="1">
              <wp:simplePos x="0" y="0"/>
              <wp:positionH relativeFrom="page">
                <wp:posOffset>996315</wp:posOffset>
              </wp:positionH>
              <wp:positionV relativeFrom="page">
                <wp:posOffset>10012680</wp:posOffset>
              </wp:positionV>
              <wp:extent cx="141605" cy="152400"/>
              <wp:effectExtent l="0" t="0" r="0" b="0"/>
              <wp:wrapNone/>
              <wp:docPr id="92" name="文本框 142"/>
              <wp:cNvGraphicFramePr/>
              <a:graphic xmlns:a="http://schemas.openxmlformats.org/drawingml/2006/main">
                <a:graphicData uri="http://schemas.microsoft.com/office/word/2010/wordprocessingShape">
                  <wps:wsp>
                    <wps:cNvSpPr txBox="true"/>
                    <wps:spPr>
                      <a:xfrm>
                        <a:off x="0" y="0"/>
                        <a:ext cx="141605" cy="152400"/>
                      </a:xfrm>
                      <a:prstGeom prst="rect">
                        <a:avLst/>
                      </a:prstGeom>
                      <a:noFill/>
                      <a:ln>
                        <a:noFill/>
                      </a:ln>
                    </wps:spPr>
                    <wps:txbx>
                      <w:txbxContent>
                        <w:p>
                          <w:pPr>
                            <w:spacing w:before="12"/>
                            <w:ind w:left="20"/>
                            <w:rPr>
                              <w:rFonts w:ascii="Times New Roman"/>
                              <w:sz w:val="18"/>
                            </w:rPr>
                          </w:pPr>
                          <w:r>
                            <w:rPr>
                              <w:rFonts w:ascii="Times New Roman"/>
                              <w:sz w:val="18"/>
                            </w:rPr>
                            <w:t>38</w:t>
                          </w:r>
                        </w:p>
                      </w:txbxContent>
                    </wps:txbx>
                    <wps:bodyPr lIns="0" tIns="0" rIns="0" bIns="0" upright="true"/>
                  </wps:wsp>
                </a:graphicData>
              </a:graphic>
            </wp:anchor>
          </w:drawing>
        </mc:Choice>
        <mc:Fallback>
          <w:pict>
            <v:shape id="文本框 142" o:spid="_x0000_s1026" o:spt="202" type="#_x0000_t202" style="position:absolute;left:0pt;margin-left:78.45pt;margin-top:788.4pt;height:12pt;width:11.15pt;mso-position-horizontal-relative:page;mso-position-vertical-relative:page;z-index:-251704320;mso-width-relative:page;mso-height-relative:page;" filled="f" stroked="f" coordsize="21600,21600" o:gfxdata="UEsFBgAAAAAAAAAAAAAAAAAAAAAAAFBLAwQKAAAAAACHTuJAAAAAAAAAAAAAAAAABAAAAGRycy9Q&#10;SwMEFAAAAAgAh07iQKVnRB3ZAAAADQEAAA8AAABkcnMvZG93bnJldi54bWxNj81OwzAQhO9IvIO1&#10;SNyo3Uq4TYhTIQQnJEQaDhyd2E2sxusQuz+8PZsTvc1oP83OFNuLH9jJTtEFVLBcCGAW22Acdgq+&#10;6reHDbCYNBo9BLQKfm2EbXl7U+jchDNW9rRLHaMQjLlW0Kc05pzHtrdex0UYLdJtHyavE9mp42bS&#10;Zwr3A18JIbnXDulDr0f70tv2sDt6Bc/fWL26n4/ms9pXrq4zge/yoNT93VI8AUv2kv5hmOtTdSip&#10;UxOOaCIbyD/KjNBZrCWNmJF1tgLWkJBCbICXBb9eUf4BUEsDBBQAAAAIAIdO4kBL4fGYpAEAACwD&#10;AAAOAAAAZHJzL2Uyb0RvYy54bWytUktu2zAQ3RfoHQjua0qCE7SC5QBBkCBA0RZIcwCaIi0C/GFI&#10;W/IF2ht01U33PZfP0SFjOf3simxGw5nR43tvuLqarCF7CVF719F6UVEinfC9dtuOPn6+ffOWkpi4&#10;67nxTnb0ICO9Wr9+tRpDKxs/eNNLIAjiYjuGjg4phZaxKAZpeVz4IB02lQfLEx5hy3rgI6Jbw5qq&#10;umSjhz6AFzJGrN48Nem64CslRfqoVJSJmI4it1QilLjJka1XvN0CD4MWJxr8P1hYrh1eeoa64YmT&#10;Heh/oKwW4KNXaSG8ZV4pLWTRgGrq6i81DwMPsmhBc2I42xRfDlZ82H8CovuOvmsocdzijo7fvh6/&#10;/zz++ELqZZMdGkNscfAh4Giarv3U0QQ7Obci1rP2SYHNX1RFcATtPpwtllMiAov1sr6sLigR2Kov&#10;mmVVVsCefw4Q0530luSko4AbLMby/fuYkAuOziP5LudvtTFli8b9UcDBXGGZ/BPDnKVpM50UbXx/&#10;QEHm3qGf+W3MCczJZk52AfR2QDqz7IKKKyl8Ts8n7/z3c7n7+ZG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lZ0Qd2QAAAA0BAAAPAAAAAAAAAAEAIAAAADgAAABkcnMvZG93bnJldi54bWxQSwEC&#10;FAAUAAAACACHTuJAS+HxmKQBAAAsAwAADgAAAAAAAAABACAAAAA+AQAAZHJzL2Uyb0RvYy54bWxQ&#10;SwUGAAAAAAYABgBZAQAAVAU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38</w:t>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706368" behindDoc="1" locked="0" layoutInCell="1" allowOverlap="1">
              <wp:simplePos x="0" y="0"/>
              <wp:positionH relativeFrom="page">
                <wp:posOffset>6369685</wp:posOffset>
              </wp:positionH>
              <wp:positionV relativeFrom="page">
                <wp:posOffset>9992360</wp:posOffset>
              </wp:positionV>
              <wp:extent cx="199390" cy="152400"/>
              <wp:effectExtent l="0" t="0" r="0" b="0"/>
              <wp:wrapNone/>
              <wp:docPr id="184" name="文本框 14"/>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239</w:t>
                          </w:r>
                        </w:p>
                      </w:txbxContent>
                    </wps:txbx>
                    <wps:bodyPr lIns="0" tIns="0" rIns="0" bIns="0" upright="true"/>
                  </wps:wsp>
                </a:graphicData>
              </a:graphic>
            </wp:anchor>
          </w:drawing>
        </mc:Choice>
        <mc:Fallback>
          <w:pict>
            <v:shape id="文本框 14" o:spid="_x0000_s1026" o:spt="202" type="#_x0000_t202" style="position:absolute;left:0pt;margin-left:501.55pt;margin-top:786.8pt;height:12pt;width:15.7pt;mso-position-horizontal-relative:page;mso-position-vertical-relative:page;z-index:-251610112;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Dak6UikAQAA&#10;LAMAAA4AAABkcnMvZTJvRG9jLnhtbK1SS27bMBDdF+gdCO5rSq5bxILlAEWQokDRBEh7AJoiLQL8&#10;YUhb8gXaG3SVTfc5l8/RIWM5bbMLuhkNZ0aP773h6nK0huwlRO1dS+tZRYl0wnfabVv67ev1mwtK&#10;YuKu48Y72dKDjPRy/frVagiNnPvem04CQRAXmyG0tE8pNIxF0UvL48wH6bCpPFie8Ahb1gEfEN0a&#10;Nq+q92zw0AXwQsaI1avHJl0XfKWkSDdKRZmIaSlySyVCiZsc2XrFmy3w0GtxosFfwMJy7fDSM9QV&#10;T5zsQD+DslqAj16lmfCWeaW0kEUDqqmrf9Tc9TzIogXNieFsU/x/sOLL/haI7nB3FwtKHLe4pOPP&#10;H8f7h+Ov76ReZIeGEBscvAs4msYPfmxpgp2cWhHrWfuowOYvqiI4gnYfzhbLMRGBxXq5fLvEjsBW&#10;/W6+qMoK2NPPAWL6KL0lOWkp4AaLsXz/OSbkgqPTSL7L+WttTNmicX8VcDBXWCb/yDBnadyMJ0Ub&#10;3x1QkPnk0M/8NqYEpmQzJbsAetsjnUl2QcWVFD6n55N3/ue53P30yN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GP/XTTbAAAADwEAAA8AAAAAAAAAAQAgAAAAOAAAAGRycy9kb3ducmV2LnhtbFBL&#10;AQIUABQAAAAIAIdO4kA2pOlIpAEAACwDAAAOAAAAAAAAAAEAIAAAAEABAABkcnMvZTJvRG9jLnht&#10;bFBLBQYAAAAABgAGAFkBAABW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239</w:t>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707392" behindDoc="1" locked="0" layoutInCell="1" allowOverlap="1">
              <wp:simplePos x="0" y="0"/>
              <wp:positionH relativeFrom="page">
                <wp:posOffset>990600</wp:posOffset>
              </wp:positionH>
              <wp:positionV relativeFrom="page">
                <wp:posOffset>10007600</wp:posOffset>
              </wp:positionV>
              <wp:extent cx="199390" cy="152400"/>
              <wp:effectExtent l="0" t="0" r="0" b="0"/>
              <wp:wrapNone/>
              <wp:docPr id="185" name="文本框 13"/>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240</w:t>
                          </w:r>
                        </w:p>
                      </w:txbxContent>
                    </wps:txbx>
                    <wps:bodyPr lIns="0" tIns="0" rIns="0" bIns="0" upright="true"/>
                  </wps:wsp>
                </a:graphicData>
              </a:graphic>
            </wp:anchor>
          </w:drawing>
        </mc:Choice>
        <mc:Fallback>
          <w:pict>
            <v:shape id="文本框 13" o:spid="_x0000_s1026" o:spt="202" type="#_x0000_t202" style="position:absolute;left:0pt;margin-left:78pt;margin-top:788pt;height:12pt;width:15.7pt;mso-position-horizontal-relative:page;mso-position-vertical-relative:page;z-index:-251609088;mso-width-relative:page;mso-height-relative:page;" filled="f" stroked="f" coordsize="21600,21600" o:gfxdata="UEsFBgAAAAAAAAAAAAAAAAAAAAAAAFBLAwQKAAAAAACHTuJAAAAAAAAAAAAAAAAABAAAAGRycy9Q&#10;SwMEFAAAAAgAh07iQNxUFtfXAAAADQEAAA8AAABkcnMvZG93bnJldi54bWxNj81OwzAQhO9IvIO1&#10;SNyoXQRpCXEqhOCEhEjDgaMTbxOr8TrE7g9vz+YEt2+0o9mZYnP2gzjiFF0gDcuFAoHUBuuo0/BZ&#10;v96sQcRkyJohEGr4wQib8vKiMLkNJ6rwuE2d4BCKudHQpzTmUsa2R2/iIoxIfNuFyZvEcuqkncyJ&#10;w/0gb5XKpDeO+ENvRnzusd1vD17D0xdVL+77vfmodpWr6wdFb9le6+urpXoEkfCc/sww1+fqUHKn&#10;JhzIRjGwvs94S5phNdNsWa/uQDQMmVIKZFnI/yvKX1BLAwQUAAAACACHTuJA3nJ33aQBAAAsAwAA&#10;DgAAAGRycy9lMm9Eb2MueG1srVJLbtswEN0XyB0I7mtKTlPEguUARZCgQNEWSHIAmiItAvxhSFvy&#10;BdobdNVN9z2Xz9EhYzlNsiu6GQ1nRo/vveHyarSG7CRE7V1L61lFiXTCd9ptWvpwf/P2kpKYuOu4&#10;8U62dC8jvVqdvVkOoZFz33vTSSAI4mIzhJb2KYWGsSh6aXmc+SAdNpUHyxMeYcM64AOiW8PmVfWe&#10;DR66AF7IGLF6/dikq4KvlBTpi1JRJmJaitxSiVDiOke2WvJmAzz0Whxp8H9gYbl2eOkJ6ponTrag&#10;X0FZLcBHr9JMeMu8UlrIogHV1NULNXc9D7JoQXNiONkU/x+s+Lz7CkR3uLvLC0oct7ikw4/vh5+/&#10;D7++kfo8OzSE2ODgXcDRNH7wY0sTbOXUiljP2kcFNn9RFcERtHt/sliOiQgs1ovF+QI7Alv1xfxd&#10;VVbAnn4OENOt9JbkpKWAGyzG8t2nmJALjk4j+S7nb7QxZYvGPSvgYK6wTP6RYc7SuB6Pita+26Mg&#10;89Ghn/ltTAlMyXpKtgH0pkc6k+yCiispfI7PJ+/873O5++mRr/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3FQW19cAAAANAQAADwAAAAAAAAABACAAAAA4AAAAZHJzL2Rvd25yZXYueG1sUEsBAhQA&#10;FAAAAAgAh07iQN5yd92kAQAALAMAAA4AAAAAAAAAAQAgAAAAPAEAAGRycy9lMm9Eb2MueG1sUEsF&#10;BgAAAAAGAAYAWQEAAFI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240</w:t>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708416" behindDoc="1" locked="0" layoutInCell="1" allowOverlap="1">
              <wp:simplePos x="0" y="0"/>
              <wp:positionH relativeFrom="page">
                <wp:posOffset>6369685</wp:posOffset>
              </wp:positionH>
              <wp:positionV relativeFrom="page">
                <wp:posOffset>9992360</wp:posOffset>
              </wp:positionV>
              <wp:extent cx="199390" cy="152400"/>
              <wp:effectExtent l="0" t="0" r="0" b="0"/>
              <wp:wrapNone/>
              <wp:docPr id="186" name="文本框 12"/>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241</w:t>
                          </w:r>
                        </w:p>
                      </w:txbxContent>
                    </wps:txbx>
                    <wps:bodyPr lIns="0" tIns="0" rIns="0" bIns="0" upright="true"/>
                  </wps:wsp>
                </a:graphicData>
              </a:graphic>
            </wp:anchor>
          </w:drawing>
        </mc:Choice>
        <mc:Fallback>
          <w:pict>
            <v:shape id="文本框 12" o:spid="_x0000_s1026" o:spt="202" type="#_x0000_t202" style="position:absolute;left:0pt;margin-left:501.55pt;margin-top:786.8pt;height:12pt;width:15.7pt;mso-position-horizontal-relative:page;mso-position-vertical-relative:page;z-index:-251608064;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DymP6ujAQAA&#10;LAMAAA4AAABkcnMvZTJvRG9jLnhtbK1SS27bMBDdB+gdCO5rSm4axILlAEWQIkDRBEh7AJoiLQL8&#10;YUhb8gXaG3TVTfY5l8+RIWM5/eyKbkbDmdHje2+4vBqtITsJUXvX0npWUSKd8J12m5Z+/XLz9pKS&#10;mLjruPFOtnQvI71avTlbDqGRc99700kgCOJiM4SW9imFhrEoeml5nPkgHTaVB8sTHmHDOuADolvD&#10;5lV1wQYPXQAvZIxYvX5p0lXBV0qKdKdUlImYliK3VCKUuM6RrZa82QAPvRZHGvwfWFiuHV56grrm&#10;iZMt6L+grBbgo1dpJrxlXiktZNGAaurqDzUPPQ+yaEFzYjjZFP8frPi8uweiO9zd5QUljltc0uHH&#10;98PPp8PjN1LPs0NDiA0OPgQcTeMHP7Y0wVZOrYj1rH1UYPMXVREcQbv3J4vlmIjAYr1YvFtgR2Cr&#10;fj8/r8oK2OvPAWL6KL0lOWkp4AaLsXz3KSbkgqPTSL7L+RttTNmicb8VcDBXWCb/wjBnaVyPR0Vr&#10;3+1RkLl16Gd+G1MCU7Kekm0AvemRziS7oOJKCp/j88k7//Vc7n595Kt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Y/9dNNsAAAAPAQAADwAAAAAAAAABACAAAAA4AAAAZHJzL2Rvd25yZXYueG1sUEsB&#10;AhQAFAAAAAgAh07iQDymP6ujAQAALAMAAA4AAAAAAAAAAQAgAAAAQAEAAGRycy9lMm9Eb2MueG1s&#10;UEsFBgAAAAAGAAYAWQEAAFU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241</w:t>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709440" behindDoc="1" locked="0" layoutInCell="1" allowOverlap="1">
              <wp:simplePos x="0" y="0"/>
              <wp:positionH relativeFrom="page">
                <wp:posOffset>977900</wp:posOffset>
              </wp:positionH>
              <wp:positionV relativeFrom="page">
                <wp:posOffset>10007600</wp:posOffset>
              </wp:positionV>
              <wp:extent cx="224790" cy="152400"/>
              <wp:effectExtent l="0" t="0" r="0" b="0"/>
              <wp:wrapNone/>
              <wp:docPr id="187" name="文本框 11"/>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rPr>
                              <w:rFonts w:ascii="Times New Roman"/>
                              <w:sz w:val="18"/>
                            </w:rPr>
                            <w:t>242</w:t>
                          </w:r>
                        </w:p>
                      </w:txbxContent>
                    </wps:txbx>
                    <wps:bodyPr lIns="0" tIns="0" rIns="0" bIns="0" upright="true"/>
                  </wps:wsp>
                </a:graphicData>
              </a:graphic>
            </wp:anchor>
          </w:drawing>
        </mc:Choice>
        <mc:Fallback>
          <w:pict>
            <v:shape id="文本框 11" o:spid="_x0000_s1026" o:spt="202" type="#_x0000_t202" style="position:absolute;left:0pt;margin-left:77pt;margin-top:788pt;height:12pt;width:17.7pt;mso-position-horizontal-relative:page;mso-position-vertical-relative:page;z-index:-251607040;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DZP4pLowEAACwD&#10;AAAOAAAAZHJzL2Uyb0RvYy54bWytUktu2zAQ3RfoHQjuY0pC2iSC5QBBkKJA0RZIewCaIi0C/GFI&#10;W/IF2ht01U33PZfP0SFjOU2yK7oZDWdGj++94fJ6sobsJETtXUfrRUWJdML32m06+vXL3dklJTFx&#10;13PjnezoXkZ6vXr9ajmGVjZ+8KaXQBDExXYMHR1SCi1jUQzS8rjwQTpsKg+WJzzChvXAR0S3hjVV&#10;9ZaNHvoAXsgYsXr70KSrgq+UFOmTUlEmYjqK3FKJUOI6R7Za8nYDPAxaHGnwf2BhuXZ46QnqlidO&#10;tqBfQFktwEev0kJ4y7xSWsiiAdXU1TM19wMPsmhBc2I42RT/H6z4uPsMRPe4u8sLShy3uKTDj++H&#10;n78Pv76Rus4OjSG2OHgfcDRNN37qaIKtnFsR61n7pMDmL6oiOIJ2708WyykRgcWmOb+4wo7AVv2m&#10;Oa/KCtjjzwFieie9JTnpKOAGi7F89yEm5IKj80i+y/k7bUzZonFPCjiYKyyTf2CYszStp6Oite/3&#10;KMi8d+hnfhtzAnOynpNtAL0ZkM4su6DiSgqf4/PJO//7XO5+fOS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pY46PZAAAADQEAAA8AAAAAAAAAAQAgAAAAOAAAAGRycy9kb3ducmV2LnhtbFBLAQIU&#10;ABQAAAAIAIdO4kDZP4pLowEAACwDAAAOAAAAAAAAAAEAIAAAAD4BAABkcnMvZTJvRG9jLnhtbFBL&#10;BQYAAAAABgAGAFkBAABTBQAAAAA=&#10;">
              <v:fill on="f" focussize="0,0"/>
              <v:stroke on="f"/>
              <v:imagedata o:title=""/>
              <o:lock v:ext="edit" aspectratio="f"/>
              <v:textbox inset="0mm,0mm,0mm,0mm">
                <w:txbxContent>
                  <w:p>
                    <w:pPr>
                      <w:spacing w:before="12"/>
                      <w:ind w:left="40"/>
                      <w:rPr>
                        <w:rFonts w:ascii="Times New Roman"/>
                        <w:sz w:val="18"/>
                      </w:rPr>
                    </w:pPr>
                    <w:r>
                      <w:rPr>
                        <w:rFonts w:ascii="Times New Roman"/>
                        <w:sz w:val="18"/>
                      </w:rPr>
                      <w:t>242</w:t>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710464" behindDoc="1" locked="0" layoutInCell="1" allowOverlap="1">
              <wp:simplePos x="0" y="0"/>
              <wp:positionH relativeFrom="page">
                <wp:posOffset>977900</wp:posOffset>
              </wp:positionH>
              <wp:positionV relativeFrom="page">
                <wp:posOffset>10007600</wp:posOffset>
              </wp:positionV>
              <wp:extent cx="224790" cy="152400"/>
              <wp:effectExtent l="0" t="0" r="0" b="0"/>
              <wp:wrapNone/>
              <wp:docPr id="188" name="文本框 9"/>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248</w:t>
                          </w:r>
                          <w:r>
                            <w:fldChar w:fldCharType="end"/>
                          </w:r>
                        </w:p>
                      </w:txbxContent>
                    </wps:txbx>
                    <wps:bodyPr lIns="0" tIns="0" rIns="0" bIns="0" upright="true"/>
                  </wps:wsp>
                </a:graphicData>
              </a:graphic>
            </wp:anchor>
          </w:drawing>
        </mc:Choice>
        <mc:Fallback>
          <w:pict>
            <v:shape id="文本框 9" o:spid="_x0000_s1026" o:spt="202" type="#_x0000_t202" style="position:absolute;left:0pt;margin-left:77pt;margin-top:788pt;height:12pt;width:17.7pt;mso-position-horizontal-relative:page;mso-position-vertical-relative:page;z-index:-251606016;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DlcJsnoQEAACsD&#10;AAAOAAAAZHJzL2Uyb0RvYy54bWytUs2O0zAQviPxDpbv1GlUYBs1rYRWi5AQIO3uA7iO3Vjyn8Zu&#10;k74AvAEnLtx5rj4HY2/TBfa24jIZz0zG349Xm9EacpAQtXctnc8qSqQTvtNu19L7u5tXV5TExF3H&#10;jXeypUcZ6Wb98sVqCI2sfe9NJ4HgEhebIbS0Tyk0jEXRS8vjzAfpsKk8WJ7wCDvWAR9wuzWsrqo3&#10;bPDQBfBCxojV64cmXZf9SkmRPisVZSKmpYgtlQglbnNk6xVvdsBDr8UZBn8GCsu1w0svq6554mQP&#10;+skqqwX46FWaCW+ZV0oLWTggm3n1D5vbngdZuKA4MVxkiv9vrfh0+AJEd+jdFVrluEWTTt+/nX78&#10;Ov38SpZZoCHEBuduA06m8Z0fW5pgL6dWxHqmPiqw+YukCI6g2seLwnJMRGCxrhdvl9gR2Jq/rhdV&#10;cYA9/hwgpvfSW5KTlgIaWHTlh48xIRYcnUbyXc7faGOKicb9VcDBXGEZ/APCnKVxO54ZbX13RELm&#10;g0M589OYEpiS7ZTsA+hdj3Am2mUrOlLwnF9PtvzPc7n78Y2v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KWOOj2QAAAA0BAAAPAAAAAAAAAAEAIAAAADgAAABkcnMvZG93bnJldi54bWxQSwECFAAU&#10;AAAACACHTuJA5XCbJ6EBAAArAwAADgAAAAAAAAABACAAAAA+AQAAZHJzL2Uyb0RvYy54bWxQSwUG&#10;AAAAAAYABgBZAQAAU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248</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712512" behindDoc="1" locked="0" layoutInCell="1" allowOverlap="1">
              <wp:simplePos x="0" y="0"/>
              <wp:positionH relativeFrom="page">
                <wp:posOffset>6369685</wp:posOffset>
              </wp:positionH>
              <wp:positionV relativeFrom="page">
                <wp:posOffset>9992360</wp:posOffset>
              </wp:positionV>
              <wp:extent cx="199390" cy="152400"/>
              <wp:effectExtent l="0" t="0" r="0" b="0"/>
              <wp:wrapNone/>
              <wp:docPr id="190" name="文本框 1"/>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253</w:t>
                          </w:r>
                        </w:p>
                      </w:txbxContent>
                    </wps:txbx>
                    <wps:bodyPr lIns="0" tIns="0" rIns="0" bIns="0" upright="true"/>
                  </wps:wsp>
                </a:graphicData>
              </a:graphic>
            </wp:anchor>
          </w:drawing>
        </mc:Choice>
        <mc:Fallback>
          <w:pict>
            <v:shape id="文本框 1" o:spid="_x0000_s1026" o:spt="202" type="#_x0000_t202" style="position:absolute;left:0pt;margin-left:501.55pt;margin-top:786.8pt;height:12pt;width:15.7pt;mso-position-horizontal-relative:page;mso-position-vertical-relative:page;z-index:-251603968;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KwlY3yhAQAA&#10;KwMAAA4AAABkcnMvZTJvRG9jLnhtbK1SS27bMBDdF+gdCO5jSk4b1ILlAEWQokDRFEhyAJoiLQL8&#10;YUhb8gXaG3TVTfc9l8/RIWM5TbILuqGGM6M3783j8nK0huwkRO1dS+tZRYl0wnfabVp6f3d99oGS&#10;mLjruPFOtnQvI71cvX2zHEIj5773ppNAEMTFZggt7VMKDWNR9NLyOPNBOiwqD5YnvMKGdcAHRLeG&#10;zavqgg0eugBeyBgxe/VQpKuCr5QU6UapKBMxLUVuqZxQznU+2WrJmw3w0GtxpMFfwcJy7XDoCeqK&#10;J062oF9AWS3AR6/STHjLvFJayKIB1dTVMzW3PQ+yaMHlxHBaU/x/sOLr7hsQ3aF3C9yP4xZNOvz8&#10;cfj15/D7O6nzgoYQG+y7DdiZxo9+bGmCrZxKEfNZ+qjA5i+KItiCaPvThuWYiMBkvVic5zkCS/X7&#10;+buqOMAefw4Q0yfpLclBSwENLHvluy8xIRdsnVryLOevtTHFROOeJLAxZ1gm/8AwR2lcj0dFa9/t&#10;UZD57HCd+WlMAUzBegq2AfSmRzqT7IKKjhQ+x9eTLf/3XmY/vvH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GP/XTTbAAAADwEAAA8AAAAAAAAAAQAgAAAAOAAAAGRycy9kb3ducmV2LnhtbFBLAQIU&#10;ABQAAAAIAIdO4kCsJWN8oQEAACsDAAAOAAAAAAAAAAEAIAAAAEABAABkcnMvZTJvRG9jLnhtbFBL&#10;BQYAAAAABgAGAFkBAABT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253</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13184" behindDoc="1" locked="0" layoutInCell="1" allowOverlap="1">
              <wp:simplePos x="0" y="0"/>
              <wp:positionH relativeFrom="page">
                <wp:posOffset>983615</wp:posOffset>
              </wp:positionH>
              <wp:positionV relativeFrom="page">
                <wp:posOffset>10012680</wp:posOffset>
              </wp:positionV>
              <wp:extent cx="167005" cy="152400"/>
              <wp:effectExtent l="0" t="0" r="0" b="0"/>
              <wp:wrapNone/>
              <wp:docPr id="93" name="文本框 140"/>
              <wp:cNvGraphicFramePr/>
              <a:graphic xmlns:a="http://schemas.openxmlformats.org/drawingml/2006/main">
                <a:graphicData uri="http://schemas.microsoft.com/office/word/2010/wordprocessingShape">
                  <wps:wsp>
                    <wps:cNvSpPr txBox="true"/>
                    <wps:spPr>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60</w:t>
                          </w:r>
                          <w:r>
                            <w:fldChar w:fldCharType="end"/>
                          </w:r>
                        </w:p>
                      </w:txbxContent>
                    </wps:txbx>
                    <wps:bodyPr lIns="0" tIns="0" rIns="0" bIns="0" upright="true"/>
                  </wps:wsp>
                </a:graphicData>
              </a:graphic>
            </wp:anchor>
          </w:drawing>
        </mc:Choice>
        <mc:Fallback>
          <w:pict>
            <v:shape id="文本框 140" o:spid="_x0000_s1026" o:spt="202" type="#_x0000_t202" style="position:absolute;left:0pt;margin-left:77.45pt;margin-top:788.4pt;height:12pt;width:13.15pt;mso-position-horizontal-relative:page;mso-position-vertical-relative:page;z-index:-251703296;mso-width-relative:page;mso-height-relative:page;" filled="f" stroked="f" coordsize="21600,21600" o:gfxdata="UEsFBgAAAAAAAAAAAAAAAAAAAAAAAFBLAwQKAAAAAACHTuJAAAAAAAAAAAAAAAAABAAAAGRycy9Q&#10;SwMEFAAAAAgAh07iQHz9e7/ZAAAADQEAAA8AAABkcnMvZG93bnJldi54bWxNj81OwzAQhO9IfQdr&#10;K3GjdioIaYhTIQQnJEQaDhyd2E2sxusQuz+8PZsTvc1oP83OFNuLG9jJTMF6lJCsBDCDrdcWOwlf&#10;9dtdBixEhVoNHo2EXxNgWy5uCpVrf8bKnHaxYxSCIVcS+hjHnPPQ9sapsPKjQbrt/eRUJDt1XE/q&#10;TOFu4GshUu6URfrQq9G89KY97I5OwvM3Vq/256P5rPaVreuNwPf0IOXtMhFPwKK5xH8Y5vpUHUrq&#10;1Pgj6sAG8g/3G0Jn8ZjSiBnJkjWwhkQqRAa8LPj1ivIPUEsDBBQAAAAIAIdO4kAMlwNYowEAACwD&#10;AAAOAAAAZHJzL2Uyb0RvYy54bWytUs1uEzEQviPxDpbvxLuhLXSVTSVUFSEhqBT6AI7Xzlryn8ZO&#10;dvMC8AacuHDvc+U5GJts0sINcfGOZ2a/+b5vvLgZrSE7CVF719J6VlEinfCddpuWPny5e/WWkpi4&#10;67jxTrZ0LyO9Wb58sRhCI+e+96aTQBDExWYILe1TCg1jUfTS8jjzQTosKg+WJ7zChnXAB0S3hs2r&#10;6ooNHroAXsgYMXv7u0iXBV8pKdJnpaJMxLQUuaVyQjnX+WTLBW82wEOvxZEG/wcWlmuHQ09Qtzxx&#10;sgX9F5TVAnz0Ks2Et8wrpYUsGlBNXf2hZtXzIIsWNCeGk03x/8GKT7t7ILpr6fVrShy3uKPD92+H&#10;H4+Hn19JfVEcGkJssHEVsDWN7/zY0gRbmc3LpYj5rH1UYPMXVRFsQbv3J4vlmIjAZH31pqouKRFY&#10;qi/nF1UZwM4/B4jpvfSW5KClgBssxvLdx5hwILZOLXmW83famLJF454lsDFn2JlhjtK4Ho+0177b&#10;oyDzwaGf+W1MAUzBegq2AfSmRzqT7IKKKyl8js8n7/zpvcw+P/L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Hz9e7/ZAAAADQEAAA8AAAAAAAAAAQAgAAAAOAAAAGRycy9kb3ducmV2LnhtbFBLAQIU&#10;ABQAAAAIAIdO4kAMlwNYowEAACwDAAAOAAAAAAAAAAEAIAAAAD4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02944" behindDoc="1" locked="0" layoutInCell="1" allowOverlap="1">
              <wp:simplePos x="0" y="0"/>
              <wp:positionH relativeFrom="page">
                <wp:posOffset>990600</wp:posOffset>
              </wp:positionH>
              <wp:positionV relativeFrom="page">
                <wp:posOffset>737870</wp:posOffset>
              </wp:positionV>
              <wp:extent cx="5498465" cy="0"/>
              <wp:effectExtent l="0" t="0" r="0" b="0"/>
              <wp:wrapNone/>
              <wp:docPr id="83" name="直线 159"/>
              <wp:cNvGraphicFramePr/>
              <a:graphic xmlns:a="http://schemas.openxmlformats.org/drawingml/2006/main">
                <a:graphicData uri="http://schemas.microsoft.com/office/word/2010/wordprocessingShape">
                  <wps:wsp>
                    <wps:cNvSpPr/>
                    <wps:spPr>
                      <a:xfrm>
                        <a:off x="0" y="0"/>
                        <a:ext cx="549846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59" o:spid="_x0000_s1026" o:spt="20" style="position:absolute;left:0pt;margin-left:78pt;margin-top:58.1pt;height:0pt;width:432.95pt;mso-position-horizontal-relative:page;mso-position-vertical-relative:page;z-index:-251713536;mso-width-relative:page;mso-height-relative:page;" filled="f" stroked="t" coordsize="21600,21600" o:gfxdata="UEsFBgAAAAAAAAAAAAAAAAAAAAAAAFBLAwQKAAAAAACHTuJAAAAAAAAAAAAAAAAABAAAAGRycy9Q&#10;SwMEFAAAAAgAh07iQGlAa9fYAAAADAEAAA8AAABkcnMvZG93bnJldi54bWxNj0FLw0AQhe+C/2EZ&#10;wZvdTcCYxmx6UBR6ELEtnrfZMYnJzobstmn/vVMQ9DZv5vHme+Xq5AZxxCl0njQkCwUCqfa2o0bD&#10;bvtyl4MI0ZA1gyfUcMYAq+r6qjSF9TN94HETG8EhFAqjoY1xLKQMdYvOhIUfkfj25SdnIsupkXYy&#10;M4e7QaZKZdKZjvhDa0Z8arHuNwen4S2Xz/69/6zP3/P2Nc/X/fJhvdP69iZRjyAinuKfGS74jA4V&#10;M+39gWwQA+v7jLtEHpIsBXFxqDRZgtj/rmRVyv8lqh9QSwMEFAAAAAgAh07iQKHw0sTTAQAAkwMA&#10;AA4AAABkcnMvZTJvRG9jLnhtbK1TS44TMRDdI3EHy3vSnWESJa10ZkEYNghGGjhAxXZ3W/JPLied&#10;nIVrsGLDceYalJ1MBpjNCJGFU3aVX733XL26OVjD9iqi9q7l00nNmXLCS+36ln/9cvtmwRkmcBKM&#10;d6rlR4X8Zv361WoMjbrygzdSRUYgDpsxtHxIKTRVhWJQFnDig3KU7Hy0kGgb+0pGGAndmuqqrufV&#10;6KMM0QuFSKebU5KvC37XKZE+dx2qxEzLiVsqayzrNq/VegVNHyEMWpxpwD+wsKAdNb1AbSAB20X9&#10;DMpqET36Lk2Et5XvOi1U0UBqpvVfau4HCKpoIXMwXGzC/wcrPu3vItOy5Yu3nDmw9EYP374//PjJ&#10;prNltmcM2FDVfbiL5x1SmLUeumjzP6lgh2Lp8WKpOiQm6HB2vVxcz2ecicdc9XQxREwflLcsBy03&#10;2mW10MD+IyZqRqWPJfnYODa2fF4v5wQHNCydgUShDUQfXV/uojda3mpj8g2M/fadiWwP+fnLL0si&#10;3D/KcpMN4HCqK6nTYAwK5HsnWToG8sXRBPNMwSrJmVE08DkiQGgSaPOSSmptHDHIrp58zNHWyyM9&#10;wy5E3Q/kRIo7VYjmJL18oXye0jxav+8L2NO3t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aUBr&#10;19gAAAAMAQAADwAAAAAAAAABACAAAAA4AAAAZHJzL2Rvd25yZXYueG1sUEsBAhQAFAAAAAgAh07i&#10;QKHw0sTTAQAAkw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03968" behindDoc="1" locked="0" layoutInCell="1" allowOverlap="1">
              <wp:simplePos x="0" y="0"/>
              <wp:positionH relativeFrom="page">
                <wp:posOffset>4081780</wp:posOffset>
              </wp:positionH>
              <wp:positionV relativeFrom="page">
                <wp:posOffset>548005</wp:posOffset>
              </wp:positionV>
              <wp:extent cx="2401570" cy="165735"/>
              <wp:effectExtent l="0" t="0" r="0" b="0"/>
              <wp:wrapNone/>
              <wp:docPr id="84" name="文本框 158"/>
              <wp:cNvGraphicFramePr/>
              <a:graphic xmlns:a="http://schemas.openxmlformats.org/drawingml/2006/main">
                <a:graphicData uri="http://schemas.microsoft.com/office/word/2010/wordprocessingShape">
                  <wps:wsp>
                    <wps:cNvSpPr txBox="true"/>
                    <wps:spPr>
                      <a:xfrm>
                        <a:off x="0" y="0"/>
                        <a:ext cx="2401570" cy="165735"/>
                      </a:xfrm>
                      <a:prstGeom prst="rect">
                        <a:avLst/>
                      </a:prstGeom>
                      <a:noFill/>
                      <a:ln>
                        <a:noFill/>
                      </a:ln>
                    </wps:spPr>
                    <wps:txbx>
                      <w:txbxContent>
                        <w:p>
                          <w:pPr>
                            <w:tabs>
                              <w:tab w:val="left" w:pos="900"/>
                            </w:tabs>
                            <w:spacing w:line="261" w:lineRule="exact"/>
                            <w:ind w:left="20"/>
                            <w:jc w:val="right"/>
                            <w:rPr>
                              <w:rFonts w:ascii="黑体" w:eastAsia="黑体"/>
                            </w:rPr>
                          </w:pPr>
                        </w:p>
                      </w:txbxContent>
                    </wps:txbx>
                    <wps:bodyPr lIns="0" tIns="0" rIns="0" bIns="0" upright="true"/>
                  </wps:wsp>
                </a:graphicData>
              </a:graphic>
            </wp:anchor>
          </w:drawing>
        </mc:Choice>
        <mc:Fallback>
          <w:pict>
            <v:shape id="文本框 158" o:spid="_x0000_s1026" o:spt="202" type="#_x0000_t202" style="position:absolute;left:0pt;margin-left:321.4pt;margin-top:43.15pt;height:13.05pt;width:189.1pt;mso-position-horizontal-relative:page;mso-position-vertical-relative:page;z-index:-251712512;mso-width-relative:page;mso-height-relative:page;" filled="f" stroked="f" coordsize="21600,21600" o:gfxdata="UEsFBgAAAAAAAAAAAAAAAAAAAAAAAFBLAwQKAAAAAACHTuJAAAAAAAAAAAAAAAAABAAAAGRycy9Q&#10;SwMEFAAAAAgAh07iQH58QsbZAAAACwEAAA8AAABkcnMvZG93bnJldi54bWxNj81OwzAQhO9IvIO1&#10;lbhRO6GKShqnQghOSIg0HDg6yTaxGq9D7P7w9mxPcJvVjGa/KbYXN4oTzsF60pAsFQik1neWeg2f&#10;9ev9GkSIhjozekINPxhgW97eFCbv/JkqPO1iL7iEQm40DDFOuZShHdCZsPQTEnt7PzsT+Zx72c3m&#10;zOVulKlSmXTGEn8YzITPA7aH3dFpePqi6sV+vzcf1b6ydf2o6C07aH23SNQGRMRL/AvDFZ/RoWSm&#10;xh+pC2LUkK1SRo8a1tkDiGtApQmva1gl6QpkWcj/G8pfUEsDBBQAAAAIAIdO4kCZquBfpAEAAC0D&#10;AAAOAAAAZHJzL2Uyb0RvYy54bWytUkuOEzEQ3SNxB8t74u4wmYla6YyERoOQECANHMBx22lL/qns&#10;pDsXgBuwYsOec+UclJ10BpjdiE11uar6+b1XXt2O1pC9hKi9a2k9qyiRTvhOu21Lv3y+f7WkJCbu&#10;Om68ky09yEhv1y9frIbQyLnvvekkEARxsRlCS/uUQsNYFL20PM58kA6byoPlCY+wZR3wAdGtYfOq&#10;umaDhy6AFzJGrN6dmnRd8JWSIn1UKspETEuRWyoRStzkyNYr3myBh16LMw3+DBaWa4eXXqDueOJk&#10;B/oJlNUCfPQqzYS3zCulhSwaUE1d/aPmoedBFi1oTgwXm+L/gxUf9p+A6K6lyytKHLe4o+P3b8cf&#10;v44/v5J6scwODSE2OPgQcDSNb/zY0gQ7ObUi1rP2UYHNX1RFcATtPlwslmMiAovzq6pe3GBLYK++&#10;Xty8XmQY9vh3gJjeSm9JTloKuMLiLN+/j+k0Oo3ky5y/18aUNRr3VwExc4Vl9ieKOUvjZjxL2vju&#10;gIrMO4eG5scxJTAlmynZBdDbHulMugsq7qRQP7+fvPQ/z+Xux1e+/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fELG2QAAAAsBAAAPAAAAAAAAAAEAIAAAADgAAABkcnMvZG93bnJldi54bWxQSwEC&#10;FAAUAAAACACHTuJAmargX6QBAAAtAwAADgAAAAAAAAABACAAAAA+AQAAZHJzL2Uyb0RvYy54bWxQ&#10;SwUGAAAAAAYABgBZAQAAVAUAAAAA&#10;">
              <v:fill on="f" focussize="0,0"/>
              <v:stroke on="f"/>
              <v:imagedata o:title=""/>
              <o:lock v:ext="edit" aspectratio="f"/>
              <v:textbox inset="0mm,0mm,0mm,0mm">
                <w:txbxContent>
                  <w:p>
                    <w:pPr>
                      <w:tabs>
                        <w:tab w:val="left" w:pos="900"/>
                      </w:tabs>
                      <w:spacing w:line="261" w:lineRule="exact"/>
                      <w:ind w:left="20"/>
                      <w:jc w:val="right"/>
                      <w:rPr>
                        <w:rFonts w:ascii="黑体" w:eastAsia="黑体"/>
                      </w:rPr>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31616" behindDoc="1" locked="0" layoutInCell="1" allowOverlap="1">
              <wp:simplePos x="0" y="0"/>
              <wp:positionH relativeFrom="page">
                <wp:posOffset>1026160</wp:posOffset>
              </wp:positionH>
              <wp:positionV relativeFrom="page">
                <wp:posOffset>737870</wp:posOffset>
              </wp:positionV>
              <wp:extent cx="5424805" cy="0"/>
              <wp:effectExtent l="0" t="0" r="0" b="0"/>
              <wp:wrapNone/>
              <wp:docPr id="111" name="直线 119"/>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19" o:spid="_x0000_s1026" o:spt="20" style="position:absolute;left:0pt;margin-left:80.8pt;margin-top:58.1pt;height:0pt;width:427.15pt;mso-position-horizontal-relative:page;mso-position-vertical-relative:page;z-index:-251684864;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IfmzD/TAQAAlAMA&#10;AA4AAABkcnMvZTJvRG9jLnhtbK1TS27bMBDdF+gdCO5rSUZiJILlLOqmm6INkOYAY5KSCPAHDm3Z&#10;Z+k1uuqmx8k1OqQdp002RVEv6CFn+Pjem9HyZm8N26mI2ruON7OaM+WEl9oNHX/4evvuijNM4CQY&#10;71THDwr5zertm+UUWjX3ozdSRUYgDtspdHxMKbRVhWJUFnDmg3KU7H20kGgbh0pGmAjdmmpe14tq&#10;8lGG6IVCpNP1MclXBb/vlUhf+h5VYqbjxC2VNZZ1k9dqtYR2iBBGLU404B9YWNCOHj1DrSEB20b9&#10;CspqET36Ps2Et5Xvey1U0UBqmvqFmvsRgipayBwMZ5vw/8GKz7u7yLSk3jUNZw4sNenx2/fHHz9Z&#10;01xnf6aALZXdh7t42iGFWey+jzb/kwy2L54ezp6qfWKCDi8v5hdX9SVn4ilXPV8MEdNH5S3LQceN&#10;dlkutLD7hIkeo9KnknxsHJs6vqivFwQHNC29gUShDcQf3VDuojda3mpj8g2Mw+a9iWwHuf/llyUR&#10;7h9l+ZE14HisK6njZIwK5AcnWToE8sXRCPNMwSrJmVE08TkiQGgTaPM3lfS0ccQgu3r0MUcbLw/U&#10;h22IehjJiRS3qhDNSWp9oXwa0zxbv+8L2PPHtP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38tP&#10;ktgAAAAMAQAADwAAAAAAAAABACAAAAA4AAAAZHJzL2Rvd25yZXYueG1sUEsBAhQAFAAAAAgAh07i&#10;QIfmzD/TAQAAlA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32640" behindDoc="1" locked="0" layoutInCell="1" allowOverlap="1">
              <wp:simplePos x="0" y="0"/>
              <wp:positionH relativeFrom="page">
                <wp:posOffset>4323715</wp:posOffset>
              </wp:positionH>
              <wp:positionV relativeFrom="page">
                <wp:posOffset>548005</wp:posOffset>
              </wp:positionV>
              <wp:extent cx="2122805" cy="165735"/>
              <wp:effectExtent l="0" t="0" r="0" b="0"/>
              <wp:wrapNone/>
              <wp:docPr id="112" name="文本框 118"/>
              <wp:cNvGraphicFramePr/>
              <a:graphic xmlns:a="http://schemas.openxmlformats.org/drawingml/2006/main">
                <a:graphicData uri="http://schemas.microsoft.com/office/word/2010/wordprocessingShape">
                  <wps:wsp>
                    <wps:cNvSpPr txBox="true"/>
                    <wps:spPr>
                      <a:xfrm>
                        <a:off x="0" y="0"/>
                        <a:ext cx="2122805" cy="165735"/>
                      </a:xfrm>
                      <a:prstGeom prst="rect">
                        <a:avLst/>
                      </a:prstGeom>
                      <a:noFill/>
                      <a:ln>
                        <a:noFill/>
                      </a:ln>
                    </wps:spPr>
                    <wps:txbx>
                      <w:txbxContent>
                        <w:p>
                          <w:pPr>
                            <w:tabs>
                              <w:tab w:val="left" w:pos="900"/>
                            </w:tabs>
                            <w:spacing w:line="261" w:lineRule="exact"/>
                            <w:ind w:left="20"/>
                            <w:rPr>
                              <w:rFonts w:ascii="黑体" w:eastAsia="黑体"/>
                            </w:rPr>
                          </w:pPr>
                        </w:p>
                      </w:txbxContent>
                    </wps:txbx>
                    <wps:bodyPr lIns="0" tIns="0" rIns="0" bIns="0" upright="true"/>
                  </wps:wsp>
                </a:graphicData>
              </a:graphic>
            </wp:anchor>
          </w:drawing>
        </mc:Choice>
        <mc:Fallback>
          <w:pict>
            <v:shape id="文本框 118" o:spid="_x0000_s1026" o:spt="202" type="#_x0000_t202" style="position:absolute;left:0pt;margin-left:340.45pt;margin-top:43.15pt;height:13.05pt;width:167.15pt;mso-position-horizontal-relative:page;mso-position-vertical-relative:page;z-index:-251683840;mso-width-relative:page;mso-height-relative:page;" filled="f" stroked="f" coordsize="21600,21600" o:gfxdata="UEsFBgAAAAAAAAAAAAAAAAAAAAAAAFBLAwQKAAAAAACHTuJAAAAAAAAAAAAAAAAABAAAAGRycy9Q&#10;SwMEFAAAAAgAh07iQAWf5LvaAAAACwEAAA8AAABkcnMvZG93bnJldi54bWxNj8tOwzAQRfdI/Qdr&#10;KrGjdgJEaYhTIQQrJEQaFiydeJpYjcchdh/8Pe6q7GY0R3fOLTdnO7Ijzt44kpCsBDCkzmlDvYSv&#10;5u0uB+aDIq1GRyjhFz1sqsVNqQrtTlTjcRt6FkPIF0rCEMJUcO67Aa3yKzchxdvOzVaFuM4917M6&#10;xXA78lSIjFtlKH4Y1IQvA3b77cFKeP6m+tX8fLSf9a42TbMW9J7tpbxdJuIJWMBzuMJw0Y/qUEWn&#10;1h1IezZKyHKxjqiEPLsHdgFE8pgCa+OUpA/Aq5L/71D9AVBLAwQUAAAACACHTuJAq8H7M6QBAAAu&#10;AwAADgAAAGRycy9lMm9Eb2MueG1srVJLjhMxEN0jcQfLe+LuRhmiVjojodEgJARIwxzAcdtpS/6p&#10;7KQ7F4AbsGLDnnPlHJSddIbPDrGpLldVP7/3yuvbyRpykBC1dx2tFxUl0gnfa7fr6OOn+xcrSmLi&#10;rufGO9nRo4z0dvP82XoMrWz84E0vgSCIi+0YOjqkFFrGohik5XHhg3TYVB4sT3iEHeuBj4huDWuq&#10;6oaNHvoAXsgYsXp3btJNwVdKivRBqSgTMR1FbqlEKHGbI9usebsDHgYtLjT4P7CwXDu89Ap1xxMn&#10;e9B/QVktwEev0kJ4y7xSWsiiAdXU1R9qHgYeZNGC5sRwtSn+P1jx/vARiO5xd3VDieMWl3T6+uX0&#10;7cfp+2dS16ts0Rhii5MPAWfT9NpPHU2wl3MrYj2LnxTY/EVZBEfQ7+PVYzklIrDY1E2zqpaUCOzV&#10;N8tXL5cZhj39HSCmN9JbkpOOAu6wWMsP72I6j84j+TLn77UxZY/G/VZAzFxhmf2ZYs7StJ0ukra+&#10;P6Ii89aho/l1zAnMyXZO9gH0bkA6s+6Ciksp1C8PKG/913O5++mZb3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BZ/ku9oAAAALAQAADwAAAAAAAAABACAAAAA4AAAAZHJzL2Rvd25yZXYueG1sUEsB&#10;AhQAFAAAAAgAh07iQKvB+zOkAQAALgMAAA4AAAAAAAAAAQAgAAAAPwEAAGRycy9lMm9Eb2MueG1s&#10;UEsFBgAAAAAGAAYAWQEAAFUFAAAAAA==&#10;">
              <v:fill on="f" focussize="0,0"/>
              <v:stroke on="f"/>
              <v:imagedata o:title=""/>
              <o:lock v:ext="edit" aspectratio="f"/>
              <v:textbox inset="0mm,0mm,0mm,0mm">
                <w:txbxContent>
                  <w:p>
                    <w:pPr>
                      <w:tabs>
                        <w:tab w:val="left" w:pos="900"/>
                      </w:tabs>
                      <w:spacing w:line="261" w:lineRule="exact"/>
                      <w:ind w:left="20"/>
                      <w:rPr>
                        <w:rFonts w:ascii="黑体" w:eastAsia="黑体"/>
                      </w:rPr>
                    </w:pP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33664" behindDoc="1" locked="0" layoutInCell="1" allowOverlap="1">
              <wp:simplePos x="0" y="0"/>
              <wp:positionH relativeFrom="page">
                <wp:posOffset>1026160</wp:posOffset>
              </wp:positionH>
              <wp:positionV relativeFrom="page">
                <wp:posOffset>737870</wp:posOffset>
              </wp:positionV>
              <wp:extent cx="5424805" cy="0"/>
              <wp:effectExtent l="0" t="0" r="0" b="0"/>
              <wp:wrapNone/>
              <wp:docPr id="113" name="直线 117"/>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17" o:spid="_x0000_s1026" o:spt="20" style="position:absolute;left:0pt;margin-left:80.8pt;margin-top:58.1pt;height:0pt;width:427.15pt;mso-position-horizontal-relative:page;mso-position-vertical-relative:page;z-index:-251682816;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Emdve7TAQAAlAMA&#10;AA4AAABkcnMvZTJvRG9jLnhtbK1TzW4TMRC+I/EOlu9kd0MbyiqbHgjlgqBS4QEmtnfXkv/kcbLJ&#10;s/AanLjwOH0Nxk6aQntBiBycsWf8+fu+mV1e761hOxVRe9fxZlZzppzwUruh41+/3Ly64gwTOAnG&#10;O9Xxg0J+vXr5YjmFVs396I1UkRGIw3YKHR9TCm1VoRiVBZz5oBwlex8tJNrGoZIRJkK3pprX9aKa&#10;fJQheqEQ6XR9TPJVwe97JdLnvkeVmOk4cUtljWXd5LVaLaEdIoRRixMN+AcWFrSjR89Qa0jAtlE/&#10;g7JaRI++TzPhbeX7XgtVNJCapn6i5m6EoIoWMgfD2Sb8f7Di0+42Mi2pd81rzhxYatL9t+/3P36y&#10;pnmT/ZkCtlR2F27jaYcUZrH7Ptr8TzLYvnh6OHuq9okJOry8mF9c1ZeciYdc9XgxREwflLcsBx03&#10;2mW50MLuIyZ6jEofSvKxcWzq+KJ+uyA4oGnpDSQKbSD+6IZyF73R8kYbk29gHDbvTGQ7yP0vvyyJ&#10;cP8oy4+sAcdjXUkdJ2NUIN87ydIhkC+ORphnClZJzoyiic8RAUKbQJu/qaSnjSMG2dWjjznaeHmg&#10;PmxD1MNITqS4VYVoTlLrC+XTmObZ+n1fwB4/pt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38tP&#10;ktgAAAAMAQAADwAAAAAAAAABACAAAAA4AAAAZHJzL2Rvd25yZXYueG1sUEsBAhQAFAAAAAgAh07i&#10;QEmdve7TAQAAlA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34688"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14" name="文本框 116"/>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116" o:spid="_x0000_s1026" o:spt="202" type="#_x0000_t202" style="position:absolute;left:0pt;margin-left:81.2pt;margin-top:42.8pt;height:14.25pt;width:202.95pt;mso-position-horizontal-relative:page;mso-position-vertical-relative:page;z-index:-251681792;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GKqs1OlAQAALgMA&#10;AA4AAABkcnMvZTJvRG9jLnhtbK1SS44TMRDdI3EHy3vi7miSDK10RkKjQUgIkAYO4LjttCX/VHbS&#10;nQvADVixYc+5cg7KTjrDZ4fYVJerqp/fe+X13WgNOUiI2ruW1rOKEumE77TbtfTTx4cXt5TExF3H&#10;jXeypUcZ6d3m+bP1EBo59703nQSCIC42Q2hpn1JoGIuil5bHmQ/SYVN5sDzhEXasAz4gujVsXlVL&#10;NnjoAnghY8Tq/blJNwVfKSnSe6WiTMS0FLmlEqHEbY5ss+bNDnjotbjQ4P/AwnLt8NIr1D1PnOxB&#10;/wVltQAfvUoz4S3zSmkhiwZUU1d/qHnseZBFC5oTw9Wm+P9gxbvDByC6w93VN5Q4bnFJp69fTt9+&#10;nL5/JnW9zBYNITY4+RhwNo2v/NjSBHs5tSLWs/hRgc1flEVwBP0+Xj2WYyICi/PFanWzXFAisFff&#10;Vi9XiwzDnv4OENNr6S3JSUsBd1is5Ye3MZ1Hp5F8mfMP2piyR+N+KyBmrrDM/kwxZ2ncjhdJW98d&#10;UZF549DR/DqmBKZkOyX7AHrXI51Jd0HFpRTqlweUt/7rudz99Mw3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sqLIi2AAAAAoBAAAPAAAAAAAAAAEAIAAAADgAAABkcnMvZG93bnJldi54bWxQSwEC&#10;FAAUAAAACACHTuJAYqqzU6UBAAAuAwAADgAAAAAAAAABACAAAAA9AQAAZHJzL2Uyb0RvYy54bWxQ&#10;SwUGAAAAAAYABgBZAQAAVAU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36736" behindDoc="1" locked="0" layoutInCell="1" allowOverlap="1">
              <wp:simplePos x="0" y="0"/>
              <wp:positionH relativeFrom="page">
                <wp:posOffset>1026160</wp:posOffset>
              </wp:positionH>
              <wp:positionV relativeFrom="page">
                <wp:posOffset>737870</wp:posOffset>
              </wp:positionV>
              <wp:extent cx="5424805" cy="0"/>
              <wp:effectExtent l="0" t="0" r="0" b="0"/>
              <wp:wrapNone/>
              <wp:docPr id="116" name="直线 113"/>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13" o:spid="_x0000_s1026" o:spt="20" style="position:absolute;left:0pt;margin-left:80.8pt;margin-top:58.1pt;height:0pt;width:427.15pt;mso-position-horizontal-relative:page;mso-position-vertical-relative:page;z-index:-251679744;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GVBvHzTAQAAlAMA&#10;AA4AAABkcnMvZTJvRG9jLnhtbK1TzW4TMRC+I/EOlu9kd0MblVU2PRDKBUGllgeY2N5dS/6Tx8km&#10;z8JrcOLC4/Q1GDtpCvRSIXJwxp7x5+/7ZnZ5vbeG7VRE7V3Hm1nNmXLCS+2Gjn+9v3lzxRkmcBKM&#10;d6rjB4X8evX61XIKrZr70RupIiMQh+0UOj6mFNqqQjEqCzjzQTlK9j5aSLSNQyUjTIRuTTWv60U1&#10;+ShD9EIh0un6mOSrgt/3SqQvfY8qMdNx4pbKGsu6yWu1WkI7RAijFica8A8sLGhHj56h1pCAbaN+&#10;BmW1iB59n2bC28r3vRaqaCA1Tf2XmrsRgipayBwMZ5vw/8GKz7vbyLSk3jULzhxYatLDt+8PP36y&#10;pnmb/ZkCtlR2F27jaYcUZrH7Ptr8TzLYvnh6OHuq9okJOry8mF9c1Zecicdc9XQxREwflbcsBx03&#10;2mW50MLuEyZ6jEofS/KxcWzq+KJ+R0wF0LT0BhKFNhB/dEO5i95oeaONyTcwDpv3JrId5P6XX5ZE&#10;uH+U5UfWgOOxrqSOkzEqkB+cZOkQyBdHI8wzBaskZ0bRxOeIAKFNoM1LKulp44hBdvXoY442Xh6o&#10;D9sQ9TCSEyluVSGak9T6Qvk0pnm2ft8XsKePaf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38tP&#10;ktgAAAAMAQAADwAAAAAAAAABACAAAAA4AAAAZHJzL2Rvd25yZXYueG1sUEsBAhQAFAAAAAgAh07i&#10;QGVBvHzTAQAAlA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37760" behindDoc="1" locked="0" layoutInCell="1" allowOverlap="1">
              <wp:simplePos x="0" y="0"/>
              <wp:positionH relativeFrom="page">
                <wp:posOffset>3625850</wp:posOffset>
              </wp:positionH>
              <wp:positionV relativeFrom="page">
                <wp:posOffset>548005</wp:posOffset>
              </wp:positionV>
              <wp:extent cx="2820670" cy="165735"/>
              <wp:effectExtent l="0" t="0" r="0" b="0"/>
              <wp:wrapNone/>
              <wp:docPr id="117" name="文本框 112"/>
              <wp:cNvGraphicFramePr/>
              <a:graphic xmlns:a="http://schemas.openxmlformats.org/drawingml/2006/main">
                <a:graphicData uri="http://schemas.microsoft.com/office/word/2010/wordprocessingShape">
                  <wps:wsp>
                    <wps:cNvSpPr txBox="true"/>
                    <wps:spPr>
                      <a:xfrm>
                        <a:off x="0" y="0"/>
                        <a:ext cx="2820670" cy="165735"/>
                      </a:xfrm>
                      <a:prstGeom prst="rect">
                        <a:avLst/>
                      </a:prstGeom>
                      <a:noFill/>
                      <a:ln>
                        <a:noFill/>
                      </a:ln>
                    </wps:spPr>
                    <wps:txbx>
                      <w:txbxContent>
                        <w:p>
                          <w:pPr>
                            <w:tabs>
                              <w:tab w:val="left" w:pos="901"/>
                            </w:tabs>
                            <w:spacing w:line="261" w:lineRule="exact"/>
                            <w:ind w:left="20"/>
                            <w:rPr>
                              <w:rFonts w:ascii="黑体" w:eastAsia="黑体"/>
                            </w:rPr>
                          </w:pPr>
                        </w:p>
                      </w:txbxContent>
                    </wps:txbx>
                    <wps:bodyPr lIns="0" tIns="0" rIns="0" bIns="0" upright="true"/>
                  </wps:wsp>
                </a:graphicData>
              </a:graphic>
            </wp:anchor>
          </w:drawing>
        </mc:Choice>
        <mc:Fallback>
          <w:pict>
            <v:shape id="文本框 112" o:spid="_x0000_s1026" o:spt="202" type="#_x0000_t202" style="position:absolute;left:0pt;margin-left:285.5pt;margin-top:43.15pt;height:13.05pt;width:222.1pt;mso-position-horizontal-relative:page;mso-position-vertical-relative:page;z-index:-251678720;mso-width-relative:page;mso-height-relative:page;" filled="f" stroked="f" coordsize="21600,21600" o:gfxdata="UEsFBgAAAAAAAAAAAAAAAAAAAAAAAFBLAwQKAAAAAACHTuJAAAAAAAAAAAAAAAAABAAAAGRycy9Q&#10;SwMEFAAAAAgAh07iQChOiCnaAAAACwEAAA8AAABkcnMvZG93bnJldi54bWxNj81OwzAQhO9IvIO1&#10;SNyo7UBDCXEqhOCEhEjDgaMTbxOr8TrE7g9vj3uC26xmNPtNuT65kR1wDtaTArkQwJA6byz1Cj6b&#10;15sVsBA1GT16QgU/GGBdXV6UujD+SDUeNrFnqYRCoRUMMU4F56Eb0Omw8BNS8rZ+djqmc+65mfUx&#10;lbuRZ0Lk3GlL6cOgJ3wesNtt9k7B0xfVL/b7vf2ot7VtmgdBb/lOqesrKR6BRTzFvzCc8RM6VImp&#10;9XsygY0KlvcybYkKVvktsHNAyGUGrE1KZnfAq5L/31D9AlBLAwQUAAAACACHTuJANkt4eKMBAAAu&#10;AwAADgAAAGRycy9lMm9Eb2MueG1srVJLjhMxEN0jcQfLe+LuRpOMWumMhEaDkBAgDRzAcdtpS/6p&#10;7KQ7F4AbsGLDnnPlHJSddIbPDrGpLldVP7/3yuu7yRpykBC1dx2tFxUl0gnfa7fr6KePDy9uKYmJ&#10;u54b72RHjzLSu83zZ+sxtLLxgze9BIIgLrZj6OiQUmgZi2KQlseFD9JhU3mwPOERdqwHPiK6Nayp&#10;qiUbPfQBvJAxYvX+3KSbgq+UFOm9UlEmYjqK3FKJUOI2R7ZZ83YHPAxaXGjwf2BhuXZ46RXqnidO&#10;9qD/grJagI9epYXwlnmltJBFA6qpqz/UPA48yKIFzYnhalP8f7Di3eEDEN3j7uoVJY5bXNLp65fT&#10;tx+n759JXTfZojHEFicfA86m6ZWfOppgL+dWxHoWPymw+YuyCI6g38erx3JKRGCxuW2q5QpbAnv1&#10;8mb18ibDsKe/A8T0WnpLctJRwB0Wa/nhbUzn0XkkX+b8gzam7NG43wqImSsssz9TzFmattNF0tb3&#10;R1Rk3jh0NL+OOYE52c7JPoDeDUhn1l1QcSmF+uUB5a3/ei53Pz3z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oTogp2gAAAAsBAAAPAAAAAAAAAAEAIAAAADgAAABkcnMvZG93bnJldi54bWxQSwEC&#10;FAAUAAAACACHTuJANkt4eKMBAAAuAwAADgAAAAAAAAABACAAAAA/AQAAZHJzL2Uyb0RvYy54bWxQ&#10;SwUGAAAAAAYABgBZAQAAVAUAAAAA&#10;">
              <v:fill on="f" focussize="0,0"/>
              <v:stroke on="f"/>
              <v:imagedata o:title=""/>
              <o:lock v:ext="edit" aspectratio="f"/>
              <v:textbox inset="0mm,0mm,0mm,0mm">
                <w:txbxContent>
                  <w:p>
                    <w:pPr>
                      <w:tabs>
                        <w:tab w:val="left" w:pos="901"/>
                      </w:tabs>
                      <w:spacing w:line="261" w:lineRule="exact"/>
                      <w:ind w:left="20"/>
                      <w:rPr>
                        <w:rFonts w:ascii="黑体" w:eastAsia="黑体"/>
                      </w:rPr>
                    </w:pP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38784" behindDoc="1" locked="0" layoutInCell="1" allowOverlap="1">
              <wp:simplePos x="0" y="0"/>
              <wp:positionH relativeFrom="page">
                <wp:posOffset>1026160</wp:posOffset>
              </wp:positionH>
              <wp:positionV relativeFrom="page">
                <wp:posOffset>737870</wp:posOffset>
              </wp:positionV>
              <wp:extent cx="5424805" cy="0"/>
              <wp:effectExtent l="0" t="0" r="0" b="0"/>
              <wp:wrapNone/>
              <wp:docPr id="118" name="直线 111"/>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11" o:spid="_x0000_s1026" o:spt="20" style="position:absolute;left:0pt;margin-left:80.8pt;margin-top:58.1pt;height:0pt;width:427.15pt;mso-position-horizontal-relative:page;mso-position-vertical-relative:page;z-index:-251677696;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OCs/rzSAQAAlAMA&#10;AA4AAABkcnMvZTJvRG9jLnhtbK1TS27bMBDdF8gdCO5jSUZipILlLOomm6ANkPYAY5KSCPAHDm3Z&#10;Z+k1uuqmx8k1OqQdp59NUdQLesgZPr73ZrS83VvDdiqi9q7jzazmTDnhpXZDxz9/uru84QwTOAnG&#10;O9Xxg0J+u7p4s5xCq+Z+9EaqyAjEYTuFjo8phbaqUIzKAs58UI6SvY8WEm3jUMkIE6FbU83relFN&#10;PsoQvVCIdLo+Jvmq4Pe9Eulj36NKzHScuKWyxrJu8lqtltAOEcKoxYkG/AMLC9rRo2eoNSRg26j/&#10;gLJaRI++TzPhbeX7XgtVNJCapv5NzdMIQRUtZA6Gs034/2DFh91jZFpS7xpqlQNLTXr+8vX523fW&#10;NE32ZwrYUtlTeIynHVKYxe77aPM/yWD74unh7KnaJybo8PpqfnVTX3MmXnLV68UQMd0rb1kOOm60&#10;y3Khhd0DJnqMSl9K8rFxbOr4on67IDigaekNJAptIP7ohnIXvdHyThuTb2AcNu9MZDvI/S+/LIlw&#10;fynLj6wBx2NdSR0nY1Qg3zvJ0iGQL45GmGcKVknOjKKJzxEBQptAm7+ppKeNIwbZ1aOPOdp4eaA+&#10;bEPUw0hOpLhVhWhOUusL5dOY5tn6eV/AXj+m1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fy0+S&#10;2AAAAAwBAAAPAAAAAAAAAAEAIAAAADgAAABkcnMvZG93bnJldi54bWxQSwECFAAUAAAACACHTuJA&#10;4Kz+vNIBAACUAwAADgAAAAAAAAABACAAAAA9AQAAZHJzL2Uyb0RvYy54bWxQSwUGAAAAAAYABgBZ&#10;AQAAg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39808"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19" name="文本框 110"/>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110" o:spid="_x0000_s1026" o:spt="202" type="#_x0000_t202" style="position:absolute;left:0pt;margin-left:81.2pt;margin-top:42.8pt;height:14.25pt;width:202.95pt;mso-position-horizontal-relative:page;mso-position-vertical-relative:page;z-index:-251676672;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CX5WymkAQAALgMA&#10;AA4AAABkcnMvZTJvRG9jLnhtbK1SS44TMRDdI3EHy3vi7ohMZlrpjIRGg5AQIA0cwHHbaUv+qeyk&#10;OxeAG7Biw55z5RyUPekEmN2ITXW5qvr5vVde3Y7WkL2EqL1raT2rKJFO+E67bUu/fL5/dU1JTNx1&#10;3HgnW3qQkd6uX75YDaGRc99700kgCOJiM4SW9imFhrEoeml5nPkgHTaVB8sTHmHLOuADolvD5lV1&#10;xQYPXQAvZIxYvXts0nXBV0qK9FGpKBMxLUVuqUQocZMjW694swUeei1ONPgzWFiuHV56hrrjiZMd&#10;6CdQVgvw0as0E94yr5QWsmhANXX1j5qHngdZtKA5MZxtiv8PVnzYfwKiO9xdfUOJ4xaXdPz+7fjj&#10;1/HnV1LXxaIhxAYnHwLOpvGNH1uaYCeze7kVsZ7Fjwps/qIsgiPo9+HssRwTEVicL5bL11cLSgT2&#10;6uvqZrnIMOzyd4CY3kpvSU5aCrjDYi3fv4/pcXQayZc5f6+NKXs07q8CYuYKu1DMWRo344n3xncH&#10;VGTeOXQ0v44pgSnZTMkugN72SGfSXVBxKYX66QHlrf95Lndfnvn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yosiLYAAAACgEAAA8AAAAAAAAAAQAgAAAAOAAAAGRycy9kb3ducmV2LnhtbFBLAQIU&#10;ABQAAAAIAIdO4kAl+VsppAEAAC4DAAAOAAAAAAAAAAEAIAAAAD0BAABkcnMvZTJvRG9jLnhtbFBL&#10;BQYAAAAABgAGAFkBAABTBQ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42880" behindDoc="1" locked="0" layoutInCell="1" allowOverlap="1">
              <wp:simplePos x="0" y="0"/>
              <wp:positionH relativeFrom="page">
                <wp:posOffset>1026160</wp:posOffset>
              </wp:positionH>
              <wp:positionV relativeFrom="page">
                <wp:posOffset>737870</wp:posOffset>
              </wp:positionV>
              <wp:extent cx="5424805" cy="0"/>
              <wp:effectExtent l="0" t="0" r="0" b="0"/>
              <wp:wrapNone/>
              <wp:docPr id="122" name="直线 105"/>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05" o:spid="_x0000_s1026" o:spt="20" style="position:absolute;left:0pt;margin-left:80.8pt;margin-top:58.1pt;height:0pt;width:427.15pt;mso-position-horizontal-relative:page;mso-position-vertical-relative:page;z-index:-251673600;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P+eNljRAQAAlAMA&#10;AA4AAABkcnMvZTJvRG9jLnhtbK1TS44TMRDdI3EHy3vSnWgmGlrpzIIwbBCMNHCAij/dlvyTy0kn&#10;Z+EarNhwnLkGZSeT4bNBiCycsqv8/N6r6tXtwVm2VwlN8D2fz1rOlBdBGj/0/POnu1c3nGEGL8EG&#10;r3p+VMhv1y9frKbYqUUYg5UqMQLx2E2x52POsWsaFKNygLMQlaekDslBpm0aGplgInRnm0XbLpsp&#10;JBlTEAqRTjenJF9XfK2VyB+1RpWZ7Tlxy3VNdd2WtVmvoBsSxNGIMw34BxYOjKdHL1AbyMB2yfwB&#10;5YxIAYPOMxFcE7Q2QlUNpGbe/qbmYYSoqhYyB+PFJvx/sOLD/j4xI6l3iwVnHhw16fHL18dv39m8&#10;vS7+TBE7KnuI9+m8QwqL2INOrvyTDHaonh4vnqpDZoIOr68WVzcExMRTrnm+GBPmdyo4VoKeW+OL&#10;XOhg/x4zPUalTyXl2Ho29XzZvl4SHNC0aAuZQheJP/qh3sVgjbwz1pYbmIbtG5vYHkr/669IItxf&#10;ysojG8DxVFdTp8kYFci3XrJ8jOSLpxHmhYJTkjOraOJLRIDQZTD2byrpaeuJQXH15GOJtkEeqQ+7&#10;mMwwkhM57VQlWpLU+kr5PKZltn7eV7Dnj2n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LT5LY&#10;AAAADAEAAA8AAAAAAAAAAQAgAAAAOAAAAGRycy9kb3ducmV2LnhtbFBLAQIUABQAAAAIAIdO4kD/&#10;njZY0QEAAJQDAAAOAAAAAAAAAAEAIAAAAD0BAABkcnMvZTJvRG9jLnhtbFBLBQYAAAAABgAGAFkB&#10;AACA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43904" behindDoc="1" locked="0" layoutInCell="1" allowOverlap="1">
              <wp:simplePos x="0" y="0"/>
              <wp:positionH relativeFrom="page">
                <wp:posOffset>4883150</wp:posOffset>
              </wp:positionH>
              <wp:positionV relativeFrom="page">
                <wp:posOffset>548005</wp:posOffset>
              </wp:positionV>
              <wp:extent cx="1563370" cy="165735"/>
              <wp:effectExtent l="0" t="0" r="0" b="0"/>
              <wp:wrapNone/>
              <wp:docPr id="123" name="文本框 104"/>
              <wp:cNvGraphicFramePr/>
              <a:graphic xmlns:a="http://schemas.openxmlformats.org/drawingml/2006/main">
                <a:graphicData uri="http://schemas.microsoft.com/office/word/2010/wordprocessingShape">
                  <wps:wsp>
                    <wps:cNvSpPr txBox="true"/>
                    <wps:spPr>
                      <a:xfrm>
                        <a:off x="0" y="0"/>
                        <a:ext cx="1563370" cy="165735"/>
                      </a:xfrm>
                      <a:prstGeom prst="rect">
                        <a:avLst/>
                      </a:prstGeom>
                      <a:noFill/>
                      <a:ln>
                        <a:noFill/>
                      </a:ln>
                    </wps:spPr>
                    <wps:txbx>
                      <w:txbxContent>
                        <w:p>
                          <w:pPr>
                            <w:tabs>
                              <w:tab w:val="left" w:pos="900"/>
                            </w:tabs>
                            <w:spacing w:line="261" w:lineRule="exact"/>
                            <w:ind w:left="20"/>
                            <w:rPr>
                              <w:rFonts w:ascii="黑体" w:eastAsia="黑体"/>
                            </w:rPr>
                          </w:pPr>
                        </w:p>
                      </w:txbxContent>
                    </wps:txbx>
                    <wps:bodyPr lIns="0" tIns="0" rIns="0" bIns="0" upright="true"/>
                  </wps:wsp>
                </a:graphicData>
              </a:graphic>
            </wp:anchor>
          </w:drawing>
        </mc:Choice>
        <mc:Fallback>
          <w:pict>
            <v:shape id="文本框 104" o:spid="_x0000_s1026" o:spt="202" type="#_x0000_t202" style="position:absolute;left:0pt;margin-left:384.5pt;margin-top:43.15pt;height:13.05pt;width:123.1pt;mso-position-horizontal-relative:page;mso-position-vertical-relative:page;z-index:-251672576;mso-width-relative:page;mso-height-relative:page;" filled="f" stroked="f" coordsize="21600,21600" o:gfxdata="UEsFBgAAAAAAAAAAAAAAAAAAAAAAAFBLAwQKAAAAAACHTuJAAAAAAAAAAAAAAAAABAAAAGRycy9Q&#10;SwMEFAAAAAgAh07iQDmt0izaAAAACwEAAA8AAABkcnMvZG93bnJldi54bWxNj81OwzAQhO9IfQdr&#10;K3GjdgKENsSpKgQnJEQaDhydeJtYjddp7P7w9rgnuM1qRrPfFOuLHdgJJ28cSUgWAhhS67ShTsJX&#10;/Xa3BOaDIq0GRyjhBz2sy9lNoXLtzlThaRs6FkvI50pCH8KYc+7bHq3yCzciRW/nJqtCPKeO60md&#10;Y7kdeCpExq0yFD/0asSXHtv99mglbL6pejWHj+az2lWmrleC3rO9lLfzRDwDC3gJf2G44kd0KCNT&#10;446kPRskPGWruCVIWGb3wK4BkTymwJqokvQBeFnw/xvKX1BLAwQUAAAACACHTuJA44N/JqQBAAAu&#10;AwAADgAAAGRycy9lMm9Eb2MueG1srVJLjhMxEN0jcQfLe+LuhGRQK52R0GgQEgKkGQ7guO20Jf9U&#10;dtKdC8ANWLFhz7lyDspOOsNnh9hUl6uqn9975fXtaA05SIjau5bWs4oS6YTvtNu19NPj/YtXlMTE&#10;XceNd7KlRxnp7eb5s/UQGjn3vTedBIIgLjZDaGmfUmgYi6KXlseZD9JhU3mwPOERdqwDPiC6NWxe&#10;VSs2eOgCeCFjxOrduUk3BV8pKdIHpaJMxLQUuaUSocRtjmyz5s0OeOi1uNDg/8DCcu3w0ivUHU+c&#10;7EH/BWW1AB+9SjPhLfNKaSGLBlRTV3+oeeh5kEULmhPD1ab4/2DF+8NHILrD3c0XlDhucUmnr19O&#10;336cvn8mdfUyWzSE2ODkQ8DZNL72Y0sT7OXUiljP4kcFNn9RFsER9Pt49ViOiQgs1svVYnGDLYG9&#10;erW8WSwzDHv6O0BMb6S3JCctBdxhsZYf3sV0Hp1G8mXO32tjyh6N+62AmLnCMvszxZylcTteJG19&#10;d0RF5q1DR/PrmBKYku2U7APoXY90Jt0FFZdSqF8eUN76r+dy99Mz3/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Oa3SLNoAAAALAQAADwAAAAAAAAABACAAAAA4AAAAZHJzL2Rvd25yZXYueG1sUEsB&#10;AhQAFAAAAAgAh07iQOODfyakAQAALgMAAA4AAAAAAAAAAQAgAAAAPwEAAGRycy9lMm9Eb2MueG1s&#10;UEsFBgAAAAAGAAYAWQEAAFUFAAAAAA==&#10;">
              <v:fill on="f" focussize="0,0"/>
              <v:stroke on="f"/>
              <v:imagedata o:title=""/>
              <o:lock v:ext="edit" aspectratio="f"/>
              <v:textbox inset="0mm,0mm,0mm,0mm">
                <w:txbxContent>
                  <w:p>
                    <w:pPr>
                      <w:tabs>
                        <w:tab w:val="left" w:pos="900"/>
                      </w:tabs>
                      <w:spacing w:line="261" w:lineRule="exact"/>
                      <w:ind w:left="20"/>
                      <w:rPr>
                        <w:rFonts w:ascii="黑体" w:eastAsia="黑体"/>
                      </w:rPr>
                    </w:pP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44928" behindDoc="1" locked="0" layoutInCell="1" allowOverlap="1">
              <wp:simplePos x="0" y="0"/>
              <wp:positionH relativeFrom="page">
                <wp:posOffset>1026160</wp:posOffset>
              </wp:positionH>
              <wp:positionV relativeFrom="page">
                <wp:posOffset>737870</wp:posOffset>
              </wp:positionV>
              <wp:extent cx="5424805" cy="0"/>
              <wp:effectExtent l="0" t="0" r="0" b="0"/>
              <wp:wrapNone/>
              <wp:docPr id="124" name="直线 103"/>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03" o:spid="_x0000_s1026" o:spt="20" style="position:absolute;left:0pt;margin-left:80.8pt;margin-top:58.1pt;height:0pt;width:427.15pt;mso-position-horizontal-relative:page;mso-position-vertical-relative:page;z-index:-251671552;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PrWF73TAQAAlAMA&#10;AA4AAABkcnMvZTJvRG9jLnhtbK1TS27bMBDdF8gdCO5jya5jpILlLOokm6INkPQAY5KSCPAHDm3Z&#10;Z+k1uuqmx8k1OqQdp59NUdQLesgZPr73ZrS82VvDdiqi9q7l00nNmXLCS+36ln9+uru85gwTOAnG&#10;O9Xyg0J+s7p4sxxDo2Z+8EaqyAjEYTOGlg8phaaqUAzKAk58UI6SnY8WEm1jX8kII6FbU83qelGN&#10;PsoQvVCIdLo+Jvmq4HedEulT16FKzLScuKWyxrJu8lqtltD0EcKgxYkG/AMLC9rRo2eoNSRg26j/&#10;gLJaRI++SxPhbeW7TgtVNJCaaf2bmscBgipayBwMZ5vw/8GKj7uHyLSk3s3mnDmw1KTnL1+fv31n&#10;0/pt9mcM2FDZY3iIpx1SmMXuu2jzP8lg++Lp4eyp2icm6PBqPptf11eciZdc9XoxREz3yluWg5Yb&#10;7bJcaGD3ARM9RqUvJfnYODa2fFG/WxAc0LR0BhKFNhB/dH25i95oeaeNyTcw9pv3JrId5P6XX5ZE&#10;uL+U5UfWgMOxrqSOkzEokLdOsnQI5IujEeaZglWSM6No4nNEgNAk0OZvKulp44hBdvXoY442Xh6o&#10;D9sQdT+QEyluVSGak9T6Qvk0pnm2ft4XsNePaf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38tP&#10;ktgAAAAMAQAADwAAAAAAAAABACAAAAA4AAAAZHJzL2Rvd25yZXYueG1sUEsBAhQAFAAAAAgAh07i&#10;QPrWF73TAQAAlA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45952"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25" name="文本框 102"/>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102" o:spid="_x0000_s1026" o:spt="202" type="#_x0000_t202" style="position:absolute;left:0pt;margin-left:81.2pt;margin-top:42.8pt;height:14.25pt;width:202.95pt;mso-position-horizontal-relative:page;mso-position-vertical-relative:page;z-index:-251670528;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GcIaTekAQAALgMA&#10;AA4AAABkcnMvZTJvRG9jLnhtbK1SS44TMRDdI3EHy3viTotMhlY6I6HRICQESDMcwHHbaUv+qeyk&#10;OxeAG7Biw55z5RyUnXQGmN2IjbtcVf3qvVde3YzWkL2EqL1r6XxWUSKd8J1225Z+ebh7dU1JTNx1&#10;3HgnW3qQkd6sX75YDaGRte+96SQQBHGxGUJL+5RCw1gUvbQ8znyQDovKg+UJr7BlHfAB0a1hdVVd&#10;scFDF8ALGSNmb09Fui74SkmRPikVZSKmpcgtlRPKucknW694swUeei3ONPgzWFiuHQ69QN3yxMkO&#10;9BMoqwX46FWaCW+ZV0oLWTSgmnn1j5r7ngdZtKA5MVxsiv8PVnzcfwaiO9xdvaDEcYtLOn7/dvzx&#10;6/jzK5lXdbZoCLHBzvuAvWl868eWJtjJqRQxn8WPCmz+oiyCLej34eKxHBMRmKwXy+XrKxwlsDa/&#10;rt4sFxmGPf4dIKZ30luSg5YC7rBYy/cfYjq1Ti15mPN32piyR+P+SiBmzrDM/kQxR2ncjGdJG98d&#10;UJF579DR/DqmAKZgMwW7AHrbI51Jd0HFpRTq5weUt/7nvcx+fOb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yosiLYAAAACgEAAA8AAAAAAAAAAQAgAAAAOAAAAGRycy9kb3ducmV2LnhtbFBLAQIU&#10;ABQAAAAIAIdO4kBnCGk3pAEAAC4DAAAOAAAAAAAAAAEAIAAAAD0BAABkcnMvZTJvRG9jLnhtbFBL&#10;BQYAAAAABgAGAFkBAABTBQ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04992" behindDoc="1" locked="0" layoutInCell="1" allowOverlap="1">
              <wp:simplePos x="0" y="0"/>
              <wp:positionH relativeFrom="page">
                <wp:posOffset>990600</wp:posOffset>
              </wp:positionH>
              <wp:positionV relativeFrom="page">
                <wp:posOffset>737870</wp:posOffset>
              </wp:positionV>
              <wp:extent cx="5498465" cy="0"/>
              <wp:effectExtent l="0" t="0" r="0" b="0"/>
              <wp:wrapNone/>
              <wp:docPr id="85" name="直线 147"/>
              <wp:cNvGraphicFramePr/>
              <a:graphic xmlns:a="http://schemas.openxmlformats.org/drawingml/2006/main">
                <a:graphicData uri="http://schemas.microsoft.com/office/word/2010/wordprocessingShape">
                  <wps:wsp>
                    <wps:cNvSpPr/>
                    <wps:spPr>
                      <a:xfrm>
                        <a:off x="0" y="0"/>
                        <a:ext cx="549846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47" o:spid="_x0000_s1026" o:spt="20" style="position:absolute;left:0pt;margin-left:78pt;margin-top:58.1pt;height:0pt;width:432.95pt;mso-position-horizontal-relative:page;mso-position-vertical-relative:page;z-index:-251711488;mso-width-relative:page;mso-height-relative:page;" filled="f" stroked="t" coordsize="21600,21600" o:gfxdata="UEsFBgAAAAAAAAAAAAAAAAAAAAAAAFBLAwQKAAAAAACHTuJAAAAAAAAAAAAAAAAABAAAAGRycy9Q&#10;SwMEFAAAAAgAh07iQGlAa9fYAAAADAEAAA8AAABkcnMvZG93bnJldi54bWxNj0FLw0AQhe+C/2EZ&#10;wZvdTcCYxmx6UBR6ELEtnrfZMYnJzobstmn/vVMQ9DZv5vHme+Xq5AZxxCl0njQkCwUCqfa2o0bD&#10;bvtyl4MI0ZA1gyfUcMYAq+r6qjSF9TN94HETG8EhFAqjoY1xLKQMdYvOhIUfkfj25SdnIsupkXYy&#10;M4e7QaZKZdKZjvhDa0Z8arHuNwen4S2Xz/69/6zP3/P2Nc/X/fJhvdP69iZRjyAinuKfGS74jA4V&#10;M+39gWwQA+v7jLtEHpIsBXFxqDRZgtj/rmRVyv8lqh9QSwMEFAAAAAgAh07iQMPoSJvRAQAAkwMA&#10;AA4AAABkcnMvZTJvRG9jLnhtbK1TS44TMRDdI3EHy3vSySgTMq10ZkEYNghGGjhAxZ9uS/7J5aST&#10;s3ANVmw4zlyDspPJ8NkgRBZO2VV+9d5z9er24Czbq4Qm+I7PJlPOlBdBGt93/POnu1dLzjCDl2CD&#10;Vx0/KuS365cvVmNs1VUYgpUqMQLx2I6x40POsW0aFINygJMQlaekDslBpm3qG5lgJHRnm6vpdNGM&#10;IcmYglCIdLo5Jfm64mutRP6oNarMbMeJW65rquu2rM16BW2fIA5GnGnAP7BwYDw1vUBtIAPbJfMH&#10;lDMiBQw6T0RwTdDaCFU1kJrZ9Dc1DwNEVbWQORgvNuH/gxUf9veJGdnx5TVnHhy90eOXr4/fvrPZ&#10;/HWxZ4zYUtVDvE/nHVJYtB50cuWfVLBDtfR4sVQdMhN0eD2/Wc4XBC2ecs3zxZgwv1PBsRJ03Bpf&#10;1EIL+/eYqRmVPpWUY+vZ2PHF9GZBcEDDoi1kCl0k+uj7eheDNfLOWFtuYOq3b2xieyjPX39FEuH+&#10;UlaabACHU11NnQZjUCDfesnyMZIvniaYFwpOSc6sooEvEQFCm8HYv6mk1tYTg+LqyccSbYM80jPs&#10;YjL9QE7ktFOVaEnSy1fK5ykto/XzvoI9f0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lAa9fY&#10;AAAADAEAAA8AAAAAAAAAAQAgAAAAOAAAAGRycy9kb3ducmV2LnhtbFBLAQIUABQAAAAIAIdO4kDD&#10;6Eib0QEAAJMDAAAOAAAAAAAAAAEAIAAAAD0BAABkcnMvZTJvRG9jLnhtbFBLBQYAAAAABgAGAFkB&#10;AACA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06016" behindDoc="1" locked="0" layoutInCell="1" allowOverlap="1">
              <wp:simplePos x="0" y="0"/>
              <wp:positionH relativeFrom="page">
                <wp:posOffset>5198745</wp:posOffset>
              </wp:positionH>
              <wp:positionV relativeFrom="page">
                <wp:posOffset>548005</wp:posOffset>
              </wp:positionV>
              <wp:extent cx="1284605" cy="165735"/>
              <wp:effectExtent l="0" t="0" r="0" b="0"/>
              <wp:wrapNone/>
              <wp:docPr id="86" name="文本框 146"/>
              <wp:cNvGraphicFramePr/>
              <a:graphic xmlns:a="http://schemas.openxmlformats.org/drawingml/2006/main">
                <a:graphicData uri="http://schemas.microsoft.com/office/word/2010/wordprocessingShape">
                  <wps:wsp>
                    <wps:cNvSpPr txBox="true"/>
                    <wps:spPr>
                      <a:xfrm>
                        <a:off x="0" y="0"/>
                        <a:ext cx="1284605" cy="165735"/>
                      </a:xfrm>
                      <a:prstGeom prst="rect">
                        <a:avLst/>
                      </a:prstGeom>
                      <a:noFill/>
                      <a:ln>
                        <a:noFill/>
                      </a:ln>
                    </wps:spPr>
                    <wps:txbx>
                      <w:txbxContent>
                        <w:p>
                          <w:pPr>
                            <w:tabs>
                              <w:tab w:val="left" w:pos="901"/>
                            </w:tabs>
                            <w:spacing w:line="261" w:lineRule="exact"/>
                            <w:ind w:left="20"/>
                            <w:rPr>
                              <w:rFonts w:ascii="黑体" w:eastAsia="黑体"/>
                            </w:rPr>
                          </w:pPr>
                        </w:p>
                      </w:txbxContent>
                    </wps:txbx>
                    <wps:bodyPr lIns="0" tIns="0" rIns="0" bIns="0" upright="true"/>
                  </wps:wsp>
                </a:graphicData>
              </a:graphic>
            </wp:anchor>
          </w:drawing>
        </mc:Choice>
        <mc:Fallback>
          <w:pict>
            <v:shape id="文本框 146" o:spid="_x0000_s1026" o:spt="202" type="#_x0000_t202" style="position:absolute;left:0pt;margin-left:409.35pt;margin-top:43.15pt;height:13.05pt;width:101.15pt;mso-position-horizontal-relative:page;mso-position-vertical-relative:page;z-index:-251710464;mso-width-relative:page;mso-height-relative:page;" filled="f" stroked="f" coordsize="21600,21600" o:gfxdata="UEsFBgAAAAAAAAAAAAAAAAAAAAAAAFBLAwQKAAAAAACHTuJAAAAAAAAAAAAAAAAABAAAAGRycy9Q&#10;SwMEFAAAAAgAh07iQOb1mvrYAAAACwEAAA8AAABkcnMvZG93bnJldi54bWxNj71OxDAQhHsk3sFa&#10;JDrOdkAhhDgnhKBCQuRCQenEvsS6eB1i3w9vz14F3Yz20+xMtT75iR3sEl1ABXIlgFnsg3E4KPhs&#10;X28KYDFpNHoKaBX82Ajr+vKi0qUJR2zsYZMGRiEYS61gTGkuOY/9aL2OqzBbpNs2LF4nssvAzaKP&#10;FO4nngmRc68d0odRz/Z5tP1us/cKnr6weXHf791Hs21c2z4IfMt3Sl1fSfEILNlT+oPhXJ+qQ02d&#10;urBHE9mkoJDFPaEk8ltgZ0BkktZ1pGR2B7yu+P8N9S9QSwMEFAAAAAgAh07iQM76jFelAQAALQMA&#10;AA4AAABkcnMvZTJvRG9jLnhtbK1SS27bMBDdF8gdCO5jSW6sGoLlAEWQIEDRFkh6AJoiLQL8YUhb&#10;8gXaG3TVTfc9l8/RIW05/eyKbkbDmdHje2+4uh2NJnsBQTnb0mpWUiIsd52y25Z+er6/XlISIrMd&#10;086Klh5EoLfrq1erwTdi7nqnOwEEQWxoBt/SPkbfFEXgvTAszJwXFpvSgWERj7AtOmADohtdzMuy&#10;LgYHnQfHRQhYvTs16TrjSyl4/CBlEJHoliK3mCPkuEmxWK9YswXme8XPNNg/sDBMWbz0AnXHIiM7&#10;UH9BGcXBBSfjjDtTOCkVF1kDqqnKP9Q89cyLrAXNCf5iU/h/sPz9/iMQ1bV0WVNimcEdHb9+OX77&#10;cfz+mVQ3dXJo8KHBwSePo3F868aWRtiJqRWwnrSPEkz6oiqCI2j34WKxGCPhWKzmy5u6XFDCsVfV&#10;izevFwmmePnbQ4gPwhmSkpYCrjA7y/bvQjyNTiPpMuvuldZ5jdr+VkDMVCkS+xPFlMVxM54lbVx3&#10;QEX60aKh6XFMCUzJZkp2HtS2RzqT7oyKO8nUz+8nLf3Xc7775ZWv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m9Zr62AAAAAsBAAAPAAAAAAAAAAEAIAAAADgAAABkcnMvZG93bnJldi54bWxQSwEC&#10;FAAUAAAACACHTuJAzvqMV6UBAAAtAwAADgAAAAAAAAABACAAAAA9AQAAZHJzL2Uyb0RvYy54bWxQ&#10;SwUGAAAAAAYABgBZAQAAVAUAAAAA&#10;">
              <v:fill on="f" focussize="0,0"/>
              <v:stroke on="f"/>
              <v:imagedata o:title=""/>
              <o:lock v:ext="edit" aspectratio="f"/>
              <v:textbox inset="0mm,0mm,0mm,0mm">
                <w:txbxContent>
                  <w:p>
                    <w:pPr>
                      <w:tabs>
                        <w:tab w:val="left" w:pos="901"/>
                      </w:tabs>
                      <w:spacing w:line="261" w:lineRule="exact"/>
                      <w:ind w:left="20"/>
                      <w:rPr>
                        <w:rFonts w:ascii="黑体" w:eastAsia="黑体"/>
                      </w:rPr>
                    </w:pP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1026160</wp:posOffset>
              </wp:positionH>
              <wp:positionV relativeFrom="page">
                <wp:posOffset>737870</wp:posOffset>
              </wp:positionV>
              <wp:extent cx="5424805" cy="0"/>
              <wp:effectExtent l="0" t="0" r="0" b="0"/>
              <wp:wrapNone/>
              <wp:docPr id="140" name="直线 60"/>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60" o:spid="_x0000_s1026" o:spt="20" style="position:absolute;left:0pt;margin-left:80.8pt;margin-top:58.1pt;height:0pt;width:427.15pt;mso-position-horizontal-relative:page;mso-position-vertical-relative:page;z-index:-251655168;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LE4eYDPAQAAkwMA&#10;AA4AAABkcnMvZTJvRG9jLnhtbK1TS44TMRDdI3EHy3vSPVEmGlrpzIIwbBCMNHCAij/dlvyTy0kn&#10;Z+EarNhwnLkGZWcm4bNBiF64y67yq1evyqvbg7NsrxKa4Ht+NWs5U14EafzQ88+f7l7dcIYZvAQb&#10;vOr5USG/Xb98sZpip+ZhDFaqxAjEYzfFno85x65pUIzKAc5CVJ6cOiQHmbZpaGSCidCdbeZtu2ym&#10;kGRMQShEOt2cnHxd8bVWIn/UGlVmtufELdc11XVb1ma9gm5IEEcjnmjAP7BwYDwlPUNtIAPbJfMH&#10;lDMiBQw6z0RwTdDaCFVroGqu2t+qeRghqloLiYPxLBP+P1jxYX+fmJHUuwXp48FRkx6/fH389p0t&#10;qzxTxI6iHuJ9IrHKDskstR50cuVPVbBDlfR4llQdMhN0eL2YL27aa87Es6+5XIwJ8zsVHCtGz63x&#10;pVroYP8eMyWj0OeQcmw9m3q+bF8vCQ5oWLSFTKaLRB/9UO9isEbeGWvLDUzD9o1NbA+l/fUrHSfc&#10;X8JKkg3geIqrrtNgjArkWy9ZPkaSxdME80LBKcmZVTTwxaojlMHYv4mk1NYTg4uOxdoGeaQ27GIy&#10;w0hK5LRTlWhxUucr5acpLaP1876CXd7S+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fy0+S2AAA&#10;AAwBAAAPAAAAAAAAAAEAIAAAADgAAABkcnMvZG93bnJldi54bWxQSwECFAAUAAAACACHTuJAsTh5&#10;gM8BAACTAwAADgAAAAAAAAABACAAAAA9AQAAZHJzL2Uyb0RvYy54bWxQSwUGAAAAAAYABgBZAQAA&#10;fg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5022215</wp:posOffset>
              </wp:positionH>
              <wp:positionV relativeFrom="page">
                <wp:posOffset>548005</wp:posOffset>
              </wp:positionV>
              <wp:extent cx="1424940" cy="165735"/>
              <wp:effectExtent l="0" t="0" r="0" b="0"/>
              <wp:wrapNone/>
              <wp:docPr id="141" name="文本框 59"/>
              <wp:cNvGraphicFramePr/>
              <a:graphic xmlns:a="http://schemas.openxmlformats.org/drawingml/2006/main">
                <a:graphicData uri="http://schemas.microsoft.com/office/word/2010/wordprocessingShape">
                  <wps:wsp>
                    <wps:cNvSpPr txBox="true"/>
                    <wps:spPr>
                      <a:xfrm>
                        <a:off x="0" y="0"/>
                        <a:ext cx="1424940" cy="165735"/>
                      </a:xfrm>
                      <a:prstGeom prst="rect">
                        <a:avLst/>
                      </a:prstGeom>
                      <a:noFill/>
                      <a:ln>
                        <a:noFill/>
                      </a:ln>
                    </wps:spPr>
                    <wps:txbx>
                      <w:txbxContent>
                        <w:p>
                          <w:pPr>
                            <w:tabs>
                              <w:tab w:val="left" w:pos="900"/>
                            </w:tabs>
                            <w:spacing w:line="261" w:lineRule="exact"/>
                            <w:ind w:left="20"/>
                            <w:rPr>
                              <w:rFonts w:ascii="黑体" w:eastAsia="黑体"/>
                            </w:rPr>
                          </w:pPr>
                        </w:p>
                      </w:txbxContent>
                    </wps:txbx>
                    <wps:bodyPr lIns="0" tIns="0" rIns="0" bIns="0" upright="true"/>
                  </wps:wsp>
                </a:graphicData>
              </a:graphic>
            </wp:anchor>
          </w:drawing>
        </mc:Choice>
        <mc:Fallback>
          <w:pict>
            <v:shape id="文本框 59" o:spid="_x0000_s1026" o:spt="202" type="#_x0000_t202" style="position:absolute;left:0pt;margin-left:395.45pt;margin-top:43.15pt;height:13.05pt;width:112.2pt;mso-position-horizontal-relative:page;mso-position-vertical-relative:page;z-index:-251654144;mso-width-relative:page;mso-height-relative:page;" filled="f" stroked="f" coordsize="21600,21600" o:gfxdata="UEsFBgAAAAAAAAAAAAAAAAAAAAAAAFBLAwQKAAAAAACHTuJAAAAAAAAAAAAAAAAABAAAAGRycy9Q&#10;SwMEFAAAAAgAh07iQNehuAjZAAAACwEAAA8AAABkcnMvZG93bnJldi54bWxNj01PwzAMhu9I/IfI&#10;SNxY0gFlLU0nhOCEhOjKgWPaeG21xilN9sG/xzvB7bX86PXjYn1yozjgHAZPGpKFAoHUejtQp+Gz&#10;fr1ZgQjRkDWjJ9TwgwHW5eVFYXLrj1ThYRM7wSUUcqOhj3HKpQxtj86EhZ+QeLf1szORx7mTdjZH&#10;LnejXCqVSmcG4gu9mfC5x3a32TsNT19UvQzf781Hta2Gus4UvaU7ra+vEvUIIuIp/sFw1md1KNmp&#10;8XuyQYwaHjKVMaphld6COAMquefUcEqWdyDLQv7/ofwFUEsDBBQAAAAIAIdO4kARxy5bpAEAAC0D&#10;AAAOAAAAZHJzL2Uyb0RvYy54bWytUs1uEzEQviP1HSzfG2dDUugqm0qoalUJAVLhARyvnbXkP42d&#10;7OYF4A04ceHOc+U5GDvZtIUb4jI7npn9/H3feHkzWEN2EqL2rqHVZEqJdMK32m0a+uXz3eVbSmLi&#10;ruXGO9nQvYz0ZnXxatmHWs58500rgSCIi3UfGtqlFGrGouik5XHig3TYVB4sT3iEDWuB94huDZtN&#10;p1es99AG8ELGiNXbY5OuCr5SUqSPSkWZiGkockslQonrHNlqyesN8NBpcaLB/4GF5drhpWeoW544&#10;2YL+C8pqAT56lSbCW+aV0kIWDaimmv6h5rHjQRYtaE4MZ5vi/4MVH3afgOgWdzevKHHc4pIO378d&#10;fvw6/PxKFtfZoT7EGgcfA46m4Z0fGppgK8dWxHrWPiiw+YuqCI6g3fuzxXJIRGCxms/m13NsCexV&#10;V4s3rxcZhj39HSCme+ktyUlDAVdYnOW79zEdR8eRfJnzd9qYskbjXhQQM1dYZn+kmLM0rIeTpLVv&#10;96jIPDg0ND+OMYExWY/JNoDedEhn1F1QcSeF+un95KU/P5e7n175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XobgI2QAAAAsBAAAPAAAAAAAAAAEAIAAAADgAAABkcnMvZG93bnJldi54bWxQSwEC&#10;FAAUAAAACACHTuJAEccuW6QBAAAtAwAADgAAAAAAAAABACAAAAA+AQAAZHJzL2Uyb0RvYy54bWxQ&#10;SwUGAAAAAAYABgBZAQAAVAUAAAAA&#10;">
              <v:fill on="f" focussize="0,0"/>
              <v:stroke on="f"/>
              <v:imagedata o:title=""/>
              <o:lock v:ext="edit" aspectratio="f"/>
              <v:textbox inset="0mm,0mm,0mm,0mm">
                <w:txbxContent>
                  <w:p>
                    <w:pPr>
                      <w:tabs>
                        <w:tab w:val="left" w:pos="900"/>
                      </w:tabs>
                      <w:spacing w:line="261" w:lineRule="exact"/>
                      <w:ind w:left="20"/>
                      <w:rPr>
                        <w:rFonts w:ascii="黑体" w:eastAsia="黑体"/>
                      </w:rPr>
                    </w:pP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1026160</wp:posOffset>
              </wp:positionH>
              <wp:positionV relativeFrom="page">
                <wp:posOffset>737870</wp:posOffset>
              </wp:positionV>
              <wp:extent cx="5424805" cy="0"/>
              <wp:effectExtent l="0" t="0" r="0" b="0"/>
              <wp:wrapNone/>
              <wp:docPr id="142" name="直线 62"/>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62" o:spid="_x0000_s1026" o:spt="20" style="position:absolute;left:0pt;margin-left:80.8pt;margin-top:58.1pt;height:0pt;width:427.15pt;mso-position-horizontal-relative:page;mso-position-vertical-relative:page;z-index:-251653120;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K0r29XRAQAAkwMA&#10;AA4AAABkcnMvZTJvRG9jLnhtbK1TS44TMRDdI3EHy3vSPVEmGlrpzIIwbBCMNHCAij/dlvyTy0kn&#10;Z+EarNhwnLkGZSeT4bNBiCycsqv8/N6r6tXtwVm2VwlN8D2/mrWcKS+CNH7o+edPd69uOMMMXoIN&#10;XvX8qJDfrl++WE2xU/MwBitVYgTisZtiz8ecY9c0KEblAGchKk9JHZKDTNs0NDLBROjONvO2XTZT&#10;SDKmIBQinW5OSb6u+ForkT9qjSoz23Piluua6rota7NeQTckiKMRZxrwDywcGE+PXqA2kIHtkvkD&#10;yhmRAgadZyK4JmhthKoaSM1V+5uahxGiqlrIHIwXm/D/wYoP+/vEjKTeLeaceXDUpMcvXx+/fWfL&#10;ebFnithR1UO8T+cdUli0HnRy5Z9UsEO19HixVB0yE3R4vZgvbtprzsRTrnm+GBPmdyo4VoKeW+OL&#10;Wuhg/x4zPUalTyXl2Ho29XzZvl4SHNCwaAuZQheJPvqh3sVgjbwz1pYbmIbtG5vYHkr7669IItxf&#10;ysojG8DxVFdTp8EYFci3XrJ8jGSLpwnmhYJTkjOraOBLRIDQZTD2byrpaeuJQXH15GOJtkEeqQ27&#10;mMwwkhM57VQlWpLU+Ur5PKVltH7eV7Dnb2n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LT5LY&#10;AAAADAEAAA8AAAAAAAAAAQAgAAAAOAAAAGRycy9kb3ducmV2LnhtbFBLAQIUABQAAAAIAIdO4kCt&#10;K9vV0QEAAJMDAAAOAAAAAAAAAAEAIAAAAD0BAABkcnMvZTJvRG9jLnhtbFBLBQYAAAAABgAGAFkB&#10;AACA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43" name="文本框 61"/>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61" o:spid="_x0000_s1026" o:spt="202" type="#_x0000_t202" style="position:absolute;left:0pt;margin-left:81.2pt;margin-top:42.8pt;height:14.25pt;width:202.95pt;mso-position-horizontal-relative:page;mso-position-vertical-relative:page;z-index:-251652096;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OJayxylAQAALQMA&#10;AA4AAABkcnMvZTJvRG9jLnhtbK1SS44TMRDdI3EHy3viTpgkQyudkdBoEBICpIEDOG47bck/lZ10&#10;5wJwA1Zs2HOunGPKTjrDDDvEprpcVf383iuvbgZryF5C1N41dDqpKJFO+Fa7bUO/frl7dU1JTNy1&#10;3HgnG3qQkd6sX75Y9aGWM99500ogCOJi3YeGdimFmrEoOml5nPggHTaVB8sTHmHLWuA9olvDZlW1&#10;YL2HNoAXMkas3p6adF3wlZIifVIqykRMQ5FbKhFK3OTI1iteb4GHToszDf4PLCzXDi+9QN3yxMkO&#10;9F9QVgvw0as0Ed4yr5QWsmhANdPqmZr7jgdZtKA5MVxsiv8PVnzcfwaiW9zd1WtKHLe4pOOP78ef&#10;v4+/vpHFNDvUh1jj4H3A0TS89UNDE+zk2IpYz9oHBTZ/URXBEbT7cLFYDokILM7my+XVYk6JwN70&#10;unqznGcY9vh3gJjeSW9JThoKuMLiLN9/iOk0Oo7ky5y/08aUNRr3pICYucIy+xPFnKVhM5wlbXx7&#10;QEXmvUND8+MYExiTzZjsAuhth3RG3QUVd1Kon99PXvqf53L34ytf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sqLIi2AAAAAoBAAAPAAAAAAAAAAEAIAAAADgAAABkcnMvZG93bnJldi54bWxQSwEC&#10;FAAUAAAACACHTuJA4lrLHKUBAAAtAwAADgAAAAAAAAABACAAAAA9AQAAZHJzL2Uyb0RvYy54bWxQ&#10;SwUGAAAAAAYABgBZAQAAVAU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1026160</wp:posOffset>
              </wp:positionH>
              <wp:positionV relativeFrom="page">
                <wp:posOffset>737870</wp:posOffset>
              </wp:positionV>
              <wp:extent cx="5424805" cy="0"/>
              <wp:effectExtent l="0" t="0" r="0" b="0"/>
              <wp:wrapNone/>
              <wp:docPr id="145" name="直线 55"/>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5" o:spid="_x0000_s1026" o:spt="20" style="position:absolute;left:0pt;margin-left:80.8pt;margin-top:58.1pt;height:0pt;width:427.15pt;mso-position-horizontal-relative:page;mso-position-vertical-relative:page;z-index:-251650048;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Ati0mPRAQAAkwMA&#10;AA4AAABkcnMvZTJvRG9jLnhtbK1TS44TMRDdI3EHy3ume6IkGlrpzIIwbBCMNHCAij/dlvyTy0kn&#10;Z+EarNhwnLkGZSeT4bNBiCycsqv8/N6r6tXtwVm2VwlN8D2/vmo5U14EafzQ88+f7l7dcIYZvAQb&#10;vOr5USG/Xb98sZpip2ZhDFaqxAjEYzfFno85x65pUIzKAV6FqDwldUgOMm3T0MgEE6E728zadtlM&#10;IcmYglCIdLo5Jfm64mutRP6oNarMbM+JW65rquu2rM16Bd2QII5GnGnAP7BwYDw9eoHaQAa2S+YP&#10;KGdEChh0vhLBNUFrI1TVQGqu29/UPIwQVdVC5mC82IT/D1Z82N8nZiT1br7gzIOjJj1++fr47Ttb&#10;LIo9U8SOqh7ifTrvkMKi9aCTK/+kgh2qpceLpeqQmaDDxXw2v2kJWTzlmueLMWF+p4JjJei5Nb6o&#10;hQ727zHTY1T6VFKOrWdTz5ft6yXBAQ2LtpApdJHoox/qXQzWyDtjbbmBadi+sYntobS//ookwv2l&#10;rDyyARxPdTV1GoxRgXzrJcvHSLZ4mmBeKDglObOKBr5EBAhdBmP/ppKetp4YFFdPPpZoG+SR2rCL&#10;yQwjOZHTTlWiJUmdr5TPU1pG6+d9BXv+lt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LT5LY&#10;AAAADAEAAA8AAAAAAAAAAQAgAAAAOAAAAGRycy9kb3ducmV2LnhtbFBLAQIUABQAAAAIAIdO4kAL&#10;YtJj0QEAAJMDAAAOAAAAAAAAAAEAIAAAAD0BAABkcnMvZTJvRG9jLnhtbFBLBQYAAAAABgAGAFkB&#10;AACA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5022215</wp:posOffset>
              </wp:positionH>
              <wp:positionV relativeFrom="page">
                <wp:posOffset>548005</wp:posOffset>
              </wp:positionV>
              <wp:extent cx="1424940" cy="165735"/>
              <wp:effectExtent l="0" t="0" r="0" b="0"/>
              <wp:wrapNone/>
              <wp:docPr id="146" name="文本框 54"/>
              <wp:cNvGraphicFramePr/>
              <a:graphic xmlns:a="http://schemas.openxmlformats.org/drawingml/2006/main">
                <a:graphicData uri="http://schemas.microsoft.com/office/word/2010/wordprocessingShape">
                  <wps:wsp>
                    <wps:cNvSpPr txBox="true"/>
                    <wps:spPr>
                      <a:xfrm>
                        <a:off x="0" y="0"/>
                        <a:ext cx="1424940" cy="165735"/>
                      </a:xfrm>
                      <a:prstGeom prst="rect">
                        <a:avLst/>
                      </a:prstGeom>
                      <a:noFill/>
                      <a:ln>
                        <a:noFill/>
                      </a:ln>
                    </wps:spPr>
                    <wps:txbx>
                      <w:txbxContent>
                        <w:p>
                          <w:pPr>
                            <w:tabs>
                              <w:tab w:val="left" w:pos="900"/>
                            </w:tabs>
                            <w:spacing w:line="261" w:lineRule="exact"/>
                            <w:ind w:left="20"/>
                            <w:rPr>
                              <w:rFonts w:ascii="黑体" w:eastAsia="黑体"/>
                            </w:rPr>
                          </w:pPr>
                        </w:p>
                      </w:txbxContent>
                    </wps:txbx>
                    <wps:bodyPr lIns="0" tIns="0" rIns="0" bIns="0" upright="true"/>
                  </wps:wsp>
                </a:graphicData>
              </a:graphic>
            </wp:anchor>
          </w:drawing>
        </mc:Choice>
        <mc:Fallback>
          <w:pict>
            <v:shape id="文本框 54" o:spid="_x0000_s1026" o:spt="202" type="#_x0000_t202" style="position:absolute;left:0pt;margin-left:395.45pt;margin-top:43.15pt;height:13.05pt;width:112.2pt;mso-position-horizontal-relative:page;mso-position-vertical-relative:page;z-index:-251649024;mso-width-relative:page;mso-height-relative:page;" filled="f" stroked="f" coordsize="21600,21600" o:gfxdata="UEsFBgAAAAAAAAAAAAAAAAAAAAAAAFBLAwQKAAAAAACHTuJAAAAAAAAAAAAAAAAABAAAAGRycy9Q&#10;SwMEFAAAAAgAh07iQNehuAjZAAAACwEAAA8AAABkcnMvZG93bnJldi54bWxNj01PwzAMhu9I/IfI&#10;SNxY0gFlLU0nhOCEhOjKgWPaeG21xilN9sG/xzvB7bX86PXjYn1yozjgHAZPGpKFAoHUejtQp+Gz&#10;fr1ZgQjRkDWjJ9TwgwHW5eVFYXLrj1ThYRM7wSUUcqOhj3HKpQxtj86EhZ+QeLf1szORx7mTdjZH&#10;LnejXCqVSmcG4gu9mfC5x3a32TsNT19UvQzf781Hta2Gus4UvaU7ra+vEvUIIuIp/sFw1md1KNmp&#10;8XuyQYwaHjKVMaphld6COAMquefUcEqWdyDLQv7/ofwFUEsDBBQAAAAIAIdO4kDodEEOpAEAAC0D&#10;AAAOAAAAZHJzL2Uyb0RvYy54bWytUkuOEzEQ3SNxB8t74iR0ArTSGQmNZjQSAqSBAzhuO23JP5Wd&#10;dOcCcANWbNhzrpxjyk46w2c3mk11uar6+b1XXl0N1pC9hKi9a+hsMqVEOuFb7bYN/frl5tVbSmLi&#10;ruXGO9nQg4z0av3yxaoPtZz7zptWAkEQF+s+NLRLKdSMRdFJy+PEB+mwqTxYnvAIW9YC7xHdGjaf&#10;Tpes99AG8ELGiNXrU5OuC75SUqRPSkWZiGkockslQombHNl6xest8NBpcabBn8DCcu3w0gvUNU+c&#10;7ED/B2W1AB+9ShPhLfNKaSGLBlQzm/6j5r7jQRYtaE4MF5vi88GKj/vPQHSLu6uWlDhucUnHH9+P&#10;P38ff30jiyo71IdY4+B9wNE0vPdDQxPs5NiKWM/aBwU2f1EVwRG0+3CxWA6JCCzOqnn1rsKWwN5s&#10;uXjzepFh2OPfAWK6ld6SnDQUcIXFWb7/ENNpdBzJlzl/o40pazTurwJi5grL7E8Uc5aGzXCWtPHt&#10;ARWZO4eG5scxJjAmmzHZBdDbDumMugsq7qRQP7+fvPQ/z+Xux1e+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XobgI2QAAAAsBAAAPAAAAAAAAAAEAIAAAADgAAABkcnMvZG93bnJldi54bWxQSwEC&#10;FAAUAAAACACHTuJA6HRBDqQBAAAtAwAADgAAAAAAAAABACAAAAA+AQAAZHJzL2Uyb0RvYy54bWxQ&#10;SwUGAAAAAAYABgBZAQAAVAUAAAAA&#10;">
              <v:fill on="f" focussize="0,0"/>
              <v:stroke on="f"/>
              <v:imagedata o:title=""/>
              <o:lock v:ext="edit" aspectratio="f"/>
              <v:textbox inset="0mm,0mm,0mm,0mm">
                <w:txbxContent>
                  <w:p>
                    <w:pPr>
                      <w:tabs>
                        <w:tab w:val="left" w:pos="900"/>
                      </w:tabs>
                      <w:spacing w:line="261" w:lineRule="exact"/>
                      <w:ind w:left="20"/>
                      <w:rPr>
                        <w:rFonts w:ascii="黑体" w:eastAsia="黑体"/>
                      </w:rPr>
                    </w:pP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1026160</wp:posOffset>
              </wp:positionH>
              <wp:positionV relativeFrom="page">
                <wp:posOffset>737870</wp:posOffset>
              </wp:positionV>
              <wp:extent cx="5424805" cy="0"/>
              <wp:effectExtent l="0" t="0" r="0" b="0"/>
              <wp:wrapNone/>
              <wp:docPr id="147" name="直线 57"/>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7" o:spid="_x0000_s1026" o:spt="20" style="position:absolute;left:0pt;margin-left:80.8pt;margin-top:58.1pt;height:0pt;width:427.15pt;mso-position-horizontal-relative:page;mso-position-vertical-relative:page;z-index:-251648000;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BdxcDbTAQAAkwMA&#10;AA4AAABkcnMvZTJvRG9jLnhtbK1TS27bMBDdF+gdCO5rKYbtJILlLOokm6INkPYAY5KSCPAHDm3Z&#10;Z+k1uuqmx8k1OqQdJ203RVEv6CFn+Pjem9HyZm8N26mI2ruWX0xqzpQTXmrXt/zL57t3V5xhAifB&#10;eKdaflDIb1Zv3yzH0KipH7yRKjICcdiMoeVDSqGpKhSDsoATH5SjZOejhUTb2Fcywkjo1lTTul5U&#10;o48yRC8UIp2uj0m+Kvhdp0T61HWoEjMtJ26prLGsm7xWqyU0fYQwaHGiAf/AwoJ29OgZag0J2Dbq&#10;P6CsFtGj79JEeFv5rtNCFQ2k5qL+Tc3jAEEVLWQOhrNN+P9gxcfdQ2RaUu9ml5w5sNSkp6/fnr7/&#10;YPPLbM8YsKGqx/AQTzukMGvdd9Hmf1LB9sXSw9lStU9M0OF8Np1d1XPOxHOuerkYIqZ75S3LQcuN&#10;dlktNLD7gIkeo9LnknxsHBtbvqivFwQHNCydgUShDUQfXV/uojda3mlj8g2M/ea9iWwHuf3llyUR&#10;7i9l+ZE14HCsK6njYAwK5K2TLB0C2eJognmmYJXkzCga+BwRIDQJtPmbSnraOGKQXT36mKONlwdq&#10;wzZE3Q/kRIpbVYjmJHW+UD5NaR6t1/sC9vItr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38tP&#10;ktgAAAAMAQAADwAAAAAAAAABACAAAAA4AAAAZHJzL2Rvd25yZXYueG1sUEsBAhQAFAAAAAgAh07i&#10;QBdxcDbTAQAAkw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48" name="文本框 56"/>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56" o:spid="_x0000_s1026" o:spt="202" type="#_x0000_t202" style="position:absolute;left:0pt;margin-left:81.2pt;margin-top:42.8pt;height:14.25pt;width:202.95pt;mso-position-horizontal-relative:page;mso-position-vertical-relative:page;z-index:-251646976;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M0SFk6kAQAALQMA&#10;AA4AAABkcnMvZTJvRG9jLnhtbK1SS44TMRDdI80dLO+JO9EkGVrpjIRGM0JCgDRwAMdtpy35p7KT&#10;7lxguAErNuw5V85B2UlnBtghNtXlqurneu95dTtYQ/YSovauodNJRYl0wrfabRv65fP96xtKYuKu&#10;5cY72dCDjPR2ffVq1YdaznznTSuBIIiLdR8a2qUUasai6KTlceKDdNhUHixPeIQta4H3iG4Nm1XV&#10;gvUe2gBeyBixendq0nXBV0qK9FGpKBMxDcXdUolQ4iZHtl7xegs8dFqc1+D/sIXl2uGlF6g7njjZ&#10;gf4LymoBPnqVJsJb5pXSQhYOyGZa/cHmseNBFi4oTgwXmeL/gxUf9p+A6Ba9u0arHLdo0vHb1+P3&#10;n8cfT2S+yAr1IdY4+BhwNA1v/dDQBDs5tiLWM/dBgc1fZEVwBOU+XCSWQyICi7P5cnm9mFMisDe9&#10;qd4s5xmGPf8dIKYH6S3JSUMBLSzK8v37mE6j40i+zPl7bUyx0bjfCoiZKyxvf1oxZ2nYDGdKG98e&#10;kJF551DQ/DjGBMZkMya7AHrb4Toj74KKnpTVz+8nm/7yXO5+fuX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yosiLYAAAACgEAAA8AAAAAAAAAAQAgAAAAOAAAAGRycy9kb3ducmV2LnhtbFBLAQIU&#10;ABQAAAAIAIdO4kDNEhZOpAEAAC0DAAAOAAAAAAAAAAEAIAAAAD0BAABkcnMvZTJvRG9jLnhtbFBL&#10;BQYAAAAABgAGAFkBAABTBQ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1026160</wp:posOffset>
              </wp:positionH>
              <wp:positionV relativeFrom="page">
                <wp:posOffset>737870</wp:posOffset>
              </wp:positionV>
              <wp:extent cx="5424805" cy="0"/>
              <wp:effectExtent l="0" t="0" r="0" b="0"/>
              <wp:wrapNone/>
              <wp:docPr id="150" name="直线 50"/>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0" o:spid="_x0000_s1026" o:spt="20" style="position:absolute;left:0pt;margin-left:80.8pt;margin-top:58.1pt;height:0pt;width:427.15pt;mso-position-horizontal-relative:page;mso-position-vertical-relative:page;z-index:-251644928;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KjjV3/QAQAAkwMA&#10;AA4AAABkcnMvZTJvRG9jLnhtbK1TS24bMQzdF+gdBO3rmRixkQ48zqJuuinaAGkPQOszI0A/iLLH&#10;Pkuv0VU3PU6uUUp2nH42RVEvZIqkHvkeOavbg7NsrxKa4Ht+NWs5U14EafzQ88+f7l7dcIYZvAQb&#10;vOr5USG/Xb98sZpip+ZhDFaqxAjEYzfFno85x65pUIzKAc5CVJ6COiQHma5paGSCidCdbeZtu2ym&#10;kGRMQShE8m5OQb6u+ForkT9qjSoz23PqLdcz1XNbzma9gm5IEEcjzm3AP3ThwHgqeoHaQAa2S+YP&#10;KGdEChh0nongmqC1EapyIDZX7W9sHkaIqnIhcTBeZML/Bys+7O8TM5JmtyB9PDga0uOXr4/fvjNy&#10;kDxTxI6yHuJ9Ot+QzML1oJMr/8SCHaqkx4uk6pCZIOfien590y44E0+x5vlhTJjfqeBYMXpujS9s&#10;oYP9e8xUjFKfUorbejb1fNm+XhIc0LJoC5lMF6l99EN9i8EaeWesLS8wDds3NrE9lPHXX6FEuL+k&#10;lSIbwPGUV0OnxRgVyLdesnyMJIunDealBackZ1bRwheLAKHLYOzfZFJp66mDoupJx2JtgzzSGHYx&#10;mWEkJXLaqdpoCdLka8vnLS2r9fO9gj1/S+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38tPktgA&#10;AAAMAQAADwAAAAAAAAABACAAAAA4AAAAZHJzL2Rvd25yZXYueG1sUEsBAhQAFAAAAAgAh07iQKjj&#10;V3/QAQAAkwMAAA4AAAAAAAAAAQAgAAAAPQEAAGRycy9lMm9Eb2MueG1sUEsFBgAAAAAGAAYAWQEA&#10;AH8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5022215</wp:posOffset>
              </wp:positionH>
              <wp:positionV relativeFrom="page">
                <wp:posOffset>548005</wp:posOffset>
              </wp:positionV>
              <wp:extent cx="1424940" cy="165735"/>
              <wp:effectExtent l="0" t="0" r="0" b="0"/>
              <wp:wrapNone/>
              <wp:docPr id="151" name="文本框 49"/>
              <wp:cNvGraphicFramePr/>
              <a:graphic xmlns:a="http://schemas.openxmlformats.org/drawingml/2006/main">
                <a:graphicData uri="http://schemas.microsoft.com/office/word/2010/wordprocessingShape">
                  <wps:wsp>
                    <wps:cNvSpPr txBox="true"/>
                    <wps:spPr>
                      <a:xfrm>
                        <a:off x="0" y="0"/>
                        <a:ext cx="1424940" cy="165735"/>
                      </a:xfrm>
                      <a:prstGeom prst="rect">
                        <a:avLst/>
                      </a:prstGeom>
                      <a:noFill/>
                      <a:ln>
                        <a:noFill/>
                      </a:ln>
                    </wps:spPr>
                    <wps:txbx>
                      <w:txbxContent>
                        <w:p>
                          <w:pPr>
                            <w:tabs>
                              <w:tab w:val="left" w:pos="900"/>
                            </w:tabs>
                            <w:spacing w:line="261" w:lineRule="exact"/>
                            <w:ind w:left="20"/>
                            <w:rPr>
                              <w:rFonts w:ascii="黑体" w:eastAsia="黑体"/>
                            </w:rPr>
                          </w:pPr>
                        </w:p>
                      </w:txbxContent>
                    </wps:txbx>
                    <wps:bodyPr lIns="0" tIns="0" rIns="0" bIns="0" upright="true"/>
                  </wps:wsp>
                </a:graphicData>
              </a:graphic>
            </wp:anchor>
          </w:drawing>
        </mc:Choice>
        <mc:Fallback>
          <w:pict>
            <v:shape id="文本框 49" o:spid="_x0000_s1026" o:spt="202" type="#_x0000_t202" style="position:absolute;left:0pt;margin-left:395.45pt;margin-top:43.15pt;height:13.05pt;width:112.2pt;mso-position-horizontal-relative:page;mso-position-vertical-relative:page;z-index:-251643904;mso-width-relative:page;mso-height-relative:page;" filled="f" stroked="f" coordsize="21600,21600" o:gfxdata="UEsFBgAAAAAAAAAAAAAAAAAAAAAAAFBLAwQKAAAAAACHTuJAAAAAAAAAAAAAAAAABAAAAGRycy9Q&#10;SwMEFAAAAAgAh07iQNehuAjZAAAACwEAAA8AAABkcnMvZG93bnJldi54bWxNj01PwzAMhu9I/IfI&#10;SNxY0gFlLU0nhOCEhOjKgWPaeG21xilN9sG/xzvB7bX86PXjYn1yozjgHAZPGpKFAoHUejtQp+Gz&#10;fr1ZgQjRkDWjJ9TwgwHW5eVFYXLrj1ThYRM7wSUUcqOhj3HKpQxtj86EhZ+QeLf1szORx7mTdjZH&#10;LnejXCqVSmcG4gu9mfC5x3a32TsNT19UvQzf781Hta2Gus4UvaU7ra+vEvUIIuIp/sFw1md1KNmp&#10;8XuyQYwaHjKVMaphld6COAMquefUcEqWdyDLQv7/ofwFUEsDBBQAAAAIAIdO4kBYZlXFpAEAAC0D&#10;AAAOAAAAZHJzL2Uyb0RvYy54bWytUs1uEzEQviP1HSzfG2dDUugqm0qoalUJAVLhARyvnbXkP42d&#10;7OYF4A04ceHOc+U5GDvZtIUb4jI7npn9/H3feHkzWEN2EqL2rqHVZEqJdMK32m0a+uXz3eVbSmLi&#10;ruXGO9nQvYz0ZnXxatmHWs58500rgSCIi3UfGtqlFGrGouik5XHig3TYVB4sT3iEDWuB94huDZtN&#10;p1es99AG8ELGiNXbY5OuCr5SUqSPSkWZiGkockslQonrHNlqyesN8NBpcaLB/4GF5drhpWeoW544&#10;2YL+C8pqAT56lSbCW+aV0kIWDaimmv6h5rHjQRYtaE4MZ5vi/4MVH3afgOgWd7eoKHHc4pIO378d&#10;fvw6/PxK5tfZoT7EGgcfA46m4Z0fGppgK8dWxHrWPiiw+YuqCI6g3fuzxXJIRGCxms/m13NsCexV&#10;V4s3rxcZhj39HSCme+ktyUlDAVdYnOW79zEdR8eRfJnzd9qYskbjXhQQM1dYZn+kmLM0rIeTpLVv&#10;96jIPDg0ND+OMYExWY/JNoDedEhn1F1QcSeF+un95KU/P5e7n175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XobgI2QAAAAsBAAAPAAAAAAAAAAEAIAAAADgAAABkcnMvZG93bnJldi54bWxQSwEC&#10;FAAUAAAACACHTuJAWGZVxaQBAAAtAwAADgAAAAAAAAABACAAAAA+AQAAZHJzL2Uyb0RvYy54bWxQ&#10;SwUGAAAAAAYABgBZAQAAVAUAAAAA&#10;">
              <v:fill on="f" focussize="0,0"/>
              <v:stroke on="f"/>
              <v:imagedata o:title=""/>
              <o:lock v:ext="edit" aspectratio="f"/>
              <v:textbox inset="0mm,0mm,0mm,0mm">
                <w:txbxContent>
                  <w:p>
                    <w:pPr>
                      <w:tabs>
                        <w:tab w:val="left" w:pos="900"/>
                      </w:tabs>
                      <w:spacing w:line="261" w:lineRule="exact"/>
                      <w:ind w:left="20"/>
                      <w:rPr>
                        <w:rFonts w:ascii="黑体" w:eastAsia="黑体"/>
                      </w:rPr>
                    </w:pP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1026160</wp:posOffset>
              </wp:positionH>
              <wp:positionV relativeFrom="page">
                <wp:posOffset>737870</wp:posOffset>
              </wp:positionV>
              <wp:extent cx="5424805" cy="0"/>
              <wp:effectExtent l="0" t="0" r="0" b="0"/>
              <wp:wrapNone/>
              <wp:docPr id="152" name="直线 52"/>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2" o:spid="_x0000_s1026" o:spt="20" style="position:absolute;left:0pt;margin-left:80.8pt;margin-top:58.1pt;height:0pt;width:427.15pt;mso-position-horizontal-relative:page;mso-position-vertical-relative:page;z-index:-251642880;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LTw9SrRAQAAkwMA&#10;AA4AAABkcnMvZTJvRG9jLnhtbK1TS24bMQzdF+gdBO3rmRixkQ48zqJuuinaAGkPQOszI0A/iLLH&#10;Pkuv0VU3PU6uUUp2nH42RVEvZIqkHvkeOavbg7NsrxKa4Ht+NWs5U14EafzQ88+f7l7dcIYZvAQb&#10;vOr5USG/Xb98sZpip+ZhDFaqxAjEYzfFno85x65pUIzKAc5CVJ6COiQHma5paGSCidCdbeZtu2ym&#10;kGRMQShE8m5OQb6u+ForkT9qjSoz23PqLdcz1XNbzma9gm5IEEcjzm3AP3ThwHgqeoHaQAa2S+YP&#10;KGdEChh0nongmqC1EapyIDZX7W9sHkaIqnIhcTBeZML/Bys+7O8TM5Jmt5hz5sHRkB6/fH389p2R&#10;g+SZInaU9RDv0/mGZBauB51c+ScW7FAlPV4kVYfMBDkX1/Prm3bBmXiKNc8PY8L8TgXHitFza3xh&#10;Cx3s32OmYpT6lFLc1rOp58v29ZLggJZFW8hkukjtox/qWwzWyDtjbXmBadi+sYntoYy//golwv0l&#10;rRTZAI6nvBo6LcaoQL71kuVjJFk8bTAvLTglObOKFr5YBAhdBmP/JpNKW08dFFVPOhZrG+SRxrCL&#10;yQwjKZHTTtVGS5AmX1s+b2lZrZ/vFez5W1r/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LT5LY&#10;AAAADAEAAA8AAAAAAAAAAQAgAAAAOAAAAGRycy9kb3ducmV2LnhtbFBLAQIUABQAAAAIAIdO4kC0&#10;8PUq0QEAAJMDAAAOAAAAAAAAAAEAIAAAAD0BAABkcnMvZTJvRG9jLnhtbFBLBQYAAAAABgAGAFkB&#10;AACA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74624"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53" name="文本框 51"/>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51" o:spid="_x0000_s1026" o:spt="202" type="#_x0000_t202" style="position:absolute;left:0pt;margin-left:81.2pt;margin-top:42.8pt;height:14.25pt;width:202.95pt;mso-position-horizontal-relative:page;mso-position-vertical-relative:page;z-index:-251641856;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NrvuxakAQAALQMA&#10;AA4AAABkcnMvZTJvRG9jLnhtbK1SS44TMRDdI3EHy3viTqAnQyudkdBoEBICpIEDOG47bck/lZ10&#10;5wJwA1Zs2HOunIOyk87MwA6xqS5XVT+/98qrm9EaspcQtXctnc8qSqQTvtNu29Ivn+9eXFMSE3cd&#10;N97Jlh5kpDfr589WQ2jkwvfedBIIgrjYDKGlfUqhYSyKXloeZz5Ih03lwfKER9iyDviA6NawRVVd&#10;scFDF8ALGSNWb09Nui74SkmRPioVZSKmpcgtlQglbnJk6xVvtsBDr8WZBv8HFpZrh5deoG554mQH&#10;+i8oqwX46FWaCW+ZV0oLWTSgmnn1h5r7ngdZtKA5MVxsiv8PVnzYfwKiO9xd/ZISxy0u6fj92/HH&#10;r+PPr6SeZ4eGEBscvA84msY3fmxpgp2cWhHrWfuowOYvqiI4gnYfLhbLMRGBxUW9XL66qikR2Jtf&#10;V6+XdYZhD38HiOmt9JbkpKWAKyzO8v37mE6j00i+zPk7bUxZo3FPCoiZKyyzP1HMWRo341nSxncH&#10;VGTeOTQ0P44pgSnZTMkugN72SGfSXVBxJ4X6+f3kpT8+l7sfXvn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yosiLYAAAACgEAAA8AAAAAAAAAAQAgAAAAOAAAAGRycy9kb3ducmV2LnhtbFBLAQIU&#10;ABQAAAAIAIdO4kDa77sWpAEAAC0DAAAOAAAAAAAAAAEAIAAAAD0BAABkcnMvZTJvRG9jLnhtbFBL&#10;BQYAAAAABgAGAFkBAABTBQ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1026160</wp:posOffset>
              </wp:positionH>
              <wp:positionV relativeFrom="page">
                <wp:posOffset>737870</wp:posOffset>
              </wp:positionV>
              <wp:extent cx="5424805" cy="0"/>
              <wp:effectExtent l="0" t="0" r="0" b="0"/>
              <wp:wrapNone/>
              <wp:docPr id="155" name="直线 45"/>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5" o:spid="_x0000_s1026" o:spt="20" style="position:absolute;left:0pt;margin-left:80.8pt;margin-top:58.1pt;height:0pt;width:427.15pt;mso-position-horizontal-relative:page;mso-position-vertical-relative:page;z-index:-251639808;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CUd+GnRAQAAkwMA&#10;AA4AAABkcnMvZTJvRG9jLnhtbK1TS44TMRDdI3EHy3ume6IkGlrpzIIwbBCMNHCAij/dlvyTy0kn&#10;Z+EarNhwnLkGZSeT4bNBiCycsqv8/N6r6tXtwVm2VwlN8D2/vmo5U14EafzQ88+f7l7dcIYZvAQb&#10;vOr5USG/Xb98sZpip2ZhDFaqxAjEYzfFno85x65pUIzKAV6FqDwldUgOMm3T0MgEE6E728zadtlM&#10;IcmYglCIdLo5Jfm64mutRP6oNarMbM+JW65rquu2rM16Bd2QII5GnGnAP7BwYDw9eoHaQAa2S+YP&#10;KGdEChh0vhLBNUFrI1TVQGqu29/UPIwQVdVC5mC82IT/D1Z82N8nZiT1brHgzIOjJj1++fr47Tub&#10;L4o9U8SOqh7ifTrvkMKi9aCTK/+kgh2qpceLpeqQmaDDxXw2v2kJWTzlmueLMWF+p4JjJei5Nb6o&#10;hQ727zHTY1T6VFKOrWdTz5ft6yXBAQ2LtpApdJHoox/qXQzWyDtjbbmBadi+sYntobS//ookwv2l&#10;rDyyARxPdTV1GoxRgXzrJcvHSLZ4mmBeKDglObOKBr5EBAhdBmP/ppKetp4YFFdPPpZoG+SR2rCL&#10;yQwjOZHTTlWiJUmdr5TPU1pG6+d9BXv+lt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LT5LY&#10;AAAADAEAAA8AAAAAAAAAAQAgAAAAOAAAAGRycy9kb3ducmV2LnhtbFBLAQIUABQAAAAIAIdO4kAl&#10;Hfhp0QEAAJMDAAAOAAAAAAAAAAEAIAAAAD0BAABkcnMvZTJvRG9jLnhtbFBLBQYAAAAABgAGAFkB&#10;AACABQAAAAA=&#10;">
              <v:fill on="f" focussize="0,0"/>
              <v:stroke weight="0.48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07040" behindDoc="1" locked="0" layoutInCell="1" allowOverlap="1">
              <wp:simplePos x="0" y="0"/>
              <wp:positionH relativeFrom="page">
                <wp:posOffset>990600</wp:posOffset>
              </wp:positionH>
              <wp:positionV relativeFrom="page">
                <wp:posOffset>737870</wp:posOffset>
              </wp:positionV>
              <wp:extent cx="5498465" cy="0"/>
              <wp:effectExtent l="0" t="0" r="0" b="0"/>
              <wp:wrapNone/>
              <wp:docPr id="87" name="直线 149"/>
              <wp:cNvGraphicFramePr/>
              <a:graphic xmlns:a="http://schemas.openxmlformats.org/drawingml/2006/main">
                <a:graphicData uri="http://schemas.microsoft.com/office/word/2010/wordprocessingShape">
                  <wps:wsp>
                    <wps:cNvSpPr/>
                    <wps:spPr>
                      <a:xfrm>
                        <a:off x="0" y="0"/>
                        <a:ext cx="549846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49" o:spid="_x0000_s1026" o:spt="20" style="position:absolute;left:0pt;margin-left:78pt;margin-top:58.1pt;height:0pt;width:432.95pt;mso-position-horizontal-relative:page;mso-position-vertical-relative:page;z-index:-251709440;mso-width-relative:page;mso-height-relative:page;" filled="f" stroked="t" coordsize="21600,21600" o:gfxdata="UEsFBgAAAAAAAAAAAAAAAAAAAAAAAFBLAwQKAAAAAACHTuJAAAAAAAAAAAAAAAAABAAAAGRycy9Q&#10;SwMEFAAAAAgAh07iQGlAa9fYAAAADAEAAA8AAABkcnMvZG93bnJldi54bWxNj0FLw0AQhe+C/2EZ&#10;wZvdTcCYxmx6UBR6ELEtnrfZMYnJzobstmn/vVMQ9DZv5vHme+Xq5AZxxCl0njQkCwUCqfa2o0bD&#10;bvtyl4MI0ZA1gyfUcMYAq+r6qjSF9TN94HETG8EhFAqjoY1xLKQMdYvOhIUfkfj25SdnIsupkXYy&#10;M4e7QaZKZdKZjvhDa0Z8arHuNwen4S2Xz/69/6zP3/P2Nc/X/fJhvdP69iZRjyAinuKfGS74jA4V&#10;M+39gWwQA+v7jLtEHpIsBXFxqDRZgtj/rmRVyv8lqh9QSwMEFAAAAAgAh07iQA2TOUrTAQAAkwMA&#10;AA4AAABkcnMvZTJvRG9jLnhtbK1TS44TMRDdI3EHy3vSnVEmJK10ZkEYNghGGjhAxXZ3W/JPLied&#10;nIVrsGLDceYalJ1MBpjNCJGFU3aVX733XL26OVjD9iqi9q7l00nNmXLCS+36ln/9cvtmwRkmcBKM&#10;d6rlR4X8Zv361WoMjbrygzdSRUYgDpsxtHxIKTRVhWJQFnDig3KU7Hy0kGgb+0pGGAndmuqqrufV&#10;6KMM0QuFSKebU5KvC37XKZE+dx2qxEzLiVsqayzrNq/VegVNHyEMWpxpwD+wsKAdNb1AbSAB20X9&#10;DMpqET36Lk2Et5XvOi1U0UBqpvVfau4HCKpoIXMwXGzC/wcrPu3vItOy5Yu3nDmw9EYP374//PjJ&#10;prNltmcM2FDVfbiL5x1SmLUeumjzP6lgh2Lp8WKpOiQm6PB6tlzM5tecicdc9XQxREwflLcsBy03&#10;2mW10MD+IyZqRqWPJfnYODa2fF4v5wQHNCydgUShDUQfXV/uojda3mpj8g2M/fadiWwP+fnLL0si&#10;3D/KcpMN4HCqK6nTYAwK5HsnWToG8sXRBPNMwSrJmVE08DkiQGgSaPOSSmptHDHIrp58zNHWyyM9&#10;wy5E3Q/kRIo7VYjmJL18oXye0jxav+8L2NO3t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aUBr&#10;19gAAAAMAQAADwAAAAAAAAABACAAAAA4AAAAZHJzL2Rvd25yZXYueG1sUEsBAhQAFAAAAAgAh07i&#10;QA2TOUrTAQAAkw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08064" behindDoc="1" locked="0" layoutInCell="1" allowOverlap="1">
              <wp:simplePos x="0" y="0"/>
              <wp:positionH relativeFrom="page">
                <wp:posOffset>996315</wp:posOffset>
              </wp:positionH>
              <wp:positionV relativeFrom="page">
                <wp:posOffset>543560</wp:posOffset>
              </wp:positionV>
              <wp:extent cx="2577465" cy="180975"/>
              <wp:effectExtent l="0" t="0" r="0" b="0"/>
              <wp:wrapNone/>
              <wp:docPr id="88" name="文本框 148"/>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148" o:spid="_x0000_s1026" o:spt="202" type="#_x0000_t202" style="position:absolute;left:0pt;margin-left:78.45pt;margin-top:42.8pt;height:14.25pt;width:202.95pt;mso-position-horizontal-relative:page;mso-position-vertical-relative:page;z-index:-251708416;mso-width-relative:page;mso-height-relative:page;" filled="f" stroked="f" coordsize="21600,21600" o:gfxdata="UEsFBgAAAAAAAAAAAAAAAAAAAAAAAFBLAwQKAAAAAACHTuJAAAAAAAAAAAAAAAAABAAAAGRycy9Q&#10;SwMEFAAAAAgAh07iQLOXd4bYAAAACgEAAA8AAABkcnMvZG93bnJldi54bWxNj81OwzAQhO9IfQdr&#10;K3GjdipitSFOhRCckBBpOHB0YjexGq9D7P7w9iwnOI5mNPNNubv6kZ3tHF1ABdlKALPYBeOwV/DR&#10;vNxtgMWk0egxoFXwbSPsqsVNqQsTLljb8z71jEowFlrBkNJUcB67wXodV2GySN4hzF4nknPPzawv&#10;VO5HvhZCcq8d0sKgJ/s02O64P3kFj59YP7uvt/a9PtSuabYCX+VRqdtlJh6AJXtNf2H4xSd0qIip&#10;DSc0kY2kc7mlqIJNLoFRIJdr+tKSk91nwKuS/79Q/QBQSwMEFAAAAAgAh07iQE7wsNClAQAALQMA&#10;AA4AAABkcnMvZTJvRG9jLnhtbK1SS44TMRDdI80dLO+JO9FkElrpjIRGM0JCgDRwAMdtpy35p7KT&#10;7lxguAErNuw5V85B2UlnBtghNtXlqurn9155dTtYQ/YSovauodNJRYl0wrfabRv65fP96yUlMXHX&#10;cuOdbOhBRnq7vnq16kMtZ77zppVAEMTFug8N7VIKNWNRdNLyOPFBOmwqD5YnPMKWtcB7RLeGzarq&#10;hvUe2gBeyBixendq0nXBV0qK9FGpKBMxDUVuqUQocZMjW694vQUeOi3ONPg/sLBcO7z0AnXHEyc7&#10;0H9BWS3AR6/SRHjLvFJayKIB1UyrP9Q8djzIogXNieFiU/x/sOLD/hMQ3TZ0iZty3OKOjt++Hr//&#10;PP54ItPrZXaoD7HGwceAo2l464eGJtjJsRWxnrUPCmz+oiqCI2j34WKxHBIRWJzNF4vrmzklAnvT&#10;ZfVmMc8w7PnvADE9SG9JThoKuMLiLN+/j+k0Oo7ky5y/18aUNRr3WwExc4Vl9ieKOUvDZjhL2vj2&#10;gIrMO4eG5scxJjAmmzHZBdDbDumMugsq7qRQP7+fvPSX53L38yt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zl3eG2AAAAAoBAAAPAAAAAAAAAAEAIAAAADgAAABkcnMvZG93bnJldi54bWxQSwEC&#10;FAAUAAAACACHTuJATvCw0KUBAAAtAwAADgAAAAAAAAABACAAAAA9AQAAZHJzL2Uyb0RvYy54bWxQ&#10;SwUGAAAAAAYABgBZAQAAVAU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1026160</wp:posOffset>
              </wp:positionH>
              <wp:positionV relativeFrom="page">
                <wp:posOffset>737870</wp:posOffset>
              </wp:positionV>
              <wp:extent cx="5424805" cy="0"/>
              <wp:effectExtent l="0" t="0" r="0" b="0"/>
              <wp:wrapNone/>
              <wp:docPr id="156" name="直线 47"/>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7" o:spid="_x0000_s1026" o:spt="20" style="position:absolute;left:0pt;margin-left:80.8pt;margin-top:58.1pt;height:0pt;width:427.15pt;mso-position-horizontal-relative:page;mso-position-vertical-relative:page;z-index:-251638784;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Ly0g/7SAQAAkwMA&#10;AA4AAABkcnMvZTJvRG9jLnhtbK1TS27bMBDdF8gdCO5rKYbtJoLlLOqkm6INkOQAY5KSCPAHDm3Z&#10;Z+k1uuqmx8k1OqQdp59NUdQLesgZPr73ZrS82VvDdiqi9q7ll5OaM+WEl9r1LX96vHt7xRkmcBKM&#10;d6rlB4X8ZnXxZjmGRk394I1UkRGIw2YMLR9SCk1VoRiUBZz4oBwlOx8tJNrGvpIRRkK3pprW9aIa&#10;fZQheqEQ6XR9TPJVwe86JdLnrkOVmGk5cUtljWXd5LVaLaHpI4RBixMN+AcWFrSjR89Qa0jAtlH/&#10;AWW1iB59lybC28p3nRaqaCA1l/Vvah4GCKpoIXMwnG3C/wcrPu3uI9OSejdfcObAUpOev3x9/vad&#10;zd5le8aADVU9hPt42iGFWeu+izb/kwq2L5YezpaqfWKCDuez6eyqnnMmXnLV68UQMX1Q3rIctNxo&#10;l9VCA7uPmOgxKn0pycfGsbHli/qaiAqgYekMJAptIPro+nIXvdHyThuTb2DsN+9NZDvI7S+/LIlw&#10;fynLj6wBh2NdSR0HY1Agb51k6RDIFkcTzDMFqyRnRtHA54gAoUmgzd9U0tPGEYPs6tHHHG28PFAb&#10;tiHqfiAnUtyqQjQnqfOF8mlK82j9vC9gr9/S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fy0+S&#10;2AAAAAwBAAAPAAAAAAAAAAEAIAAAADgAAABkcnMvZG93bnJldi54bWxQSwECFAAUAAAACACHTuJA&#10;vLSD/tIBAACTAwAADgAAAAAAAAABACAAAAA9AQAAZHJzL2Uyb0RvYy54bWxQSwUGAAAAAAYABgBZ&#10;AQAAg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57" name="文本框 46"/>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46" o:spid="_x0000_s1026" o:spt="202" type="#_x0000_t202" style="position:absolute;left:0pt;margin-left:81.2pt;margin-top:42.8pt;height:14.25pt;width:202.95pt;mso-position-horizontal-relative:page;mso-position-vertical-relative:page;z-index:-251637760;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LPC1XilAQAALQMA&#10;AA4AAABkcnMvZTJvRG9jLnhtbK1SS44TMRDdI80dLO+JO9EkGVrpjIRGM0JCgDRwAMdtpy35p7KT&#10;7lxguAErNuw5V85B2UlnBtghNtXlqurn9155dTtYQ/YSovauodNJRYl0wrfabRv65fP96xtKYuKu&#10;5cY72dCDjPR2ffVq1YdaznznTSuBIIiLdR8a2qUUasai6KTlceKDdNhUHixPeIQta4H3iG4Nm1XV&#10;gvUe2gBeyBixendq0nXBV0qK9FGpKBMxDUVuqUQocZMjW694vQUeOi3ONPg/sLBcO7z0AnXHEyc7&#10;0H9BWS3AR6/SRHjLvFJayKIB1UyrP9Q8djzIogXNieFiU/x/sOLD/hMQ3eLu5ktKHLe4pOO3r8fv&#10;P48/nsj1IjvUh1jj4GPA0TS89UNDE+zk2IpYz9oHBTZ/URXBEbT7cLFYDokILM7my+X1Yk6JwN70&#10;pnqznGcY9vx3gJgepLckJw0FXGFxlu/fx3QaHUfyZc7fa2PKGo37rYCYucIy+xPFnKVhM5wlbXx7&#10;QEXmnUND8+MYExiTzZjsAuhth3RG3QUVd1Kon99PXvrLc7n7+ZW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sqLIi2AAAAAoBAAAPAAAAAAAAAAEAIAAAADgAAABkcnMvZG93bnJldi54bWxQSwEC&#10;FAAUAAAACACHTuJAs8LVeKUBAAAtAwAADgAAAAAAAAABACAAAAA9AQAAZHJzL2Uyb0RvYy54bWxQ&#10;SwUGAAAAAAYABgBZAQAAVAU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81792" behindDoc="1" locked="0" layoutInCell="1" allowOverlap="1">
              <wp:simplePos x="0" y="0"/>
              <wp:positionH relativeFrom="page">
                <wp:posOffset>1026160</wp:posOffset>
              </wp:positionH>
              <wp:positionV relativeFrom="page">
                <wp:posOffset>737870</wp:posOffset>
              </wp:positionV>
              <wp:extent cx="5424805" cy="0"/>
              <wp:effectExtent l="0" t="0" r="0" b="0"/>
              <wp:wrapNone/>
              <wp:docPr id="160" name="直线 42"/>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2" o:spid="_x0000_s1026" o:spt="20" style="position:absolute;left:0pt;margin-left:80.8pt;margin-top:58.1pt;height:0pt;width:427.15pt;mso-position-horizontal-relative:page;mso-position-vertical-relative:page;z-index:-251634688;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LqmTZ/RAQAAkwMA&#10;AA4AAABkcnMvZTJvRG9jLnhtbK1TS44TMRDdI3EHy3vSPVEmGlrpzIIwbBCMNHCAij/dlvyTy0kn&#10;Z+EarNhwnLkGZSeT4bNBiCycsqv8/N6r6tXtwVm2VwlN8D2/mrWcKS+CNH7o+edPd69uOMMMXoIN&#10;XvX8qJDfrl++WE2xU/MwBitVYgTisZtiz8ecY9c0KEblAGchKk9JHZKDTNs0NDLBROjONvO2XTZT&#10;SDKmIBQinW5OSb6u+ForkT9qjSoz23Piluua6rota7NeQTckiKMRZxrwDywcGE+PXqA2kIHtkvkD&#10;yhmRAgadZyK4JmhthKoaSM1V+5uahxGiqlrIHIwXm/D/wYoP+/vEjKTeLckfD46a9Pjl6+O372wx&#10;L/ZMETuqeoj36bxDCovWg06u/JMKdqiWHi+WqkNmgg6vF/PFTXvNmXjKNc8XY8L8TgXHStBza3xR&#10;Cx3s32Omx6j0qaQcW8+mni/b10uCAxoWbSFT6CLRRz/UuxiskXfG2nID07B9YxPbQ2l//RVJhPtL&#10;WXlkAzie6mrqNBijAvnWS5aPkWzxNMG8UHBKcmYVDXyJCBC6DMb+TSU9bT0xKK6efCzRNsgjtWEX&#10;kxlGciKnnapES5I6Xymfp7SM1s/7Cvb8La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LT5LY&#10;AAAADAEAAA8AAAAAAAAAAQAgAAAAOAAAAGRycy9kb3ducmV2LnhtbFBLAQIUABQAAAAIAIdO4kC6&#10;pk2f0QEAAJMDAAAOAAAAAAAAAAEAIAAAAD0BAABkcnMvZTJvRG9jLnhtbFBLBQYAAAAABgAGAFkB&#10;AACA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82816"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61" name="文本框 41"/>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41" o:spid="_x0000_s1026" o:spt="202" type="#_x0000_t202" style="position:absolute;left:0pt;margin-left:81.2pt;margin-top:42.8pt;height:14.25pt;width:202.95pt;mso-position-horizontal-relative:page;mso-position-vertical-relative:page;z-index:-251633664;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LY/C6qkAQAALQMA&#10;AA4AAABkcnMvZTJvRG9jLnhtbK1SS44TMRDdI3EHy3vi7miSDK10RkKjQUgIkAYO4LjttCX/VHbS&#10;nQvADVixYc+5cg7KTjrDZ4fYVJerqp/fe+X13WgNOUiI2ruW1rOKEumE77TbtfTTx4cXt5TExF3H&#10;jXeypUcZ6d3m+bP1EBo59703nQSCIC42Q2hpn1JoGIuil5bHmQ/SYVN5sDzhEXasAz4gujVsXlVL&#10;NnjoAnghY8Tq/blJNwVfKSnSe6WiTMS0FLmlEqHEbY5ss+bNDnjotbjQ4P/AwnLt8NIr1D1PnOxB&#10;/wVltQAfvUoz4S3zSmkhiwZUU1d/qHnseZBFC5oTw9Wm+P9gxbvDByC6w90ta0oct7ik09cvp28/&#10;Tt8/k5s6OzSE2ODgY8DRNL7yY0sT7OXUiljP2kcFNn9RFcERtPt4tViOiQgszher1c1yQYnAXn1b&#10;vVwtMgx7+jtATK+ltyQnLQVcYXGWH97GdB6dRvJlzj9oY8oajfutgJi5wjL7M8WcpXE7XiRtfXdE&#10;ReaNQ0Pz45gSmJLtlOwD6F2PdCbdBRV3Uqhf3k9e+q/ncvfTK9/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yosiLYAAAACgEAAA8AAAAAAAAAAQAgAAAAOAAAAGRycy9kb3ducmV2LnhtbFBLAQIU&#10;ABQAAAAIAIdO4kC2PwuqpAEAAC0DAAAOAAAAAAAAAAEAIAAAAD0BAABkcnMvZTJvRG9jLnhtbFBL&#10;BQYAAAAABgAGAFkBAABTBQ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84864" behindDoc="1" locked="0" layoutInCell="1" allowOverlap="1">
              <wp:simplePos x="0" y="0"/>
              <wp:positionH relativeFrom="page">
                <wp:posOffset>1026160</wp:posOffset>
              </wp:positionH>
              <wp:positionV relativeFrom="page">
                <wp:posOffset>737870</wp:posOffset>
              </wp:positionV>
              <wp:extent cx="5424805" cy="0"/>
              <wp:effectExtent l="0" t="0" r="0" b="0"/>
              <wp:wrapNone/>
              <wp:docPr id="163" name="直线 36"/>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36" o:spid="_x0000_s1026" o:spt="20" style="position:absolute;left:0pt;margin-left:80.8pt;margin-top:58.1pt;height:0pt;width:427.15pt;mso-position-horizontal-relative:page;mso-position-vertical-relative:page;z-index:-251631616;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PmU0EbSAQAAkwMA&#10;AA4AAABkcnMvZTJvRG9jLnhtbK1TS44TMRDdI3EHy3vSPZmZaGilMwvCsEEw0sABKv50W/JPLied&#10;nIVrsGLDceYalJ1Mhs8GIbJwyq7y83uvqpe3e2fZTiU0wff8YtZyprwI0vih558/3b264QwzeAk2&#10;eNXzg0J+u3r5YjnFTs3DGKxUiRGIx26KPR9zjl3ToBiVA5yFqDwldUgOMm3T0MgEE6E728zbdtFM&#10;IcmYglCIdLo+Jvmq4mutRP6oNarMbM+JW65rquumrM1qCd2QII5GnGjAP7BwYDw9eoZaQwa2TeYP&#10;KGdEChh0nongmqC1EapqIDUX7W9qHkaIqmohczCebcL/Bys+7O4TM5J6t7jkzIOjJj1++fr47Tu7&#10;XBR7pogdVT3E+3TaIYVF614nV/5JBdtXSw9nS9U+M0GH11fzq5v2mjPxlGueL8aE+Z0KjpWg59b4&#10;ohY62L3HTI9R6VNJObaeTT1ftK8XBAc0LNpCptBFoo9+qHcxWCPvjLXlBqZh88YmtoPS/vorkgj3&#10;l7LyyBpwPNbV1HEwRgXyrZcsHyLZ4mmCeaHglOTMKhr4EhEgdBmM/ZtKetp6YlBcPfpYok2QB2rD&#10;NiYzjORETltViZYkdb5SPk1pGa2f9xXs+Vta/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fy0+S&#10;2AAAAAwBAAAPAAAAAAAAAAEAIAAAADgAAABkcnMvZG93bnJldi54bWxQSwECFAAUAAAACACHTuJA&#10;+ZTQRtIBAACTAwAADgAAAAAAAAABACAAAAA9AQAAZHJzL2Uyb0RvYy54bWxQSwUGAAAAAAYABgBZ&#10;AQAAg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85888" behindDoc="1" locked="0" layoutInCell="1" allowOverlap="1">
              <wp:simplePos x="0" y="0"/>
              <wp:positionH relativeFrom="page">
                <wp:posOffset>5022215</wp:posOffset>
              </wp:positionH>
              <wp:positionV relativeFrom="page">
                <wp:posOffset>-2585085</wp:posOffset>
              </wp:positionV>
              <wp:extent cx="1424940" cy="165735"/>
              <wp:effectExtent l="0" t="0" r="0" b="0"/>
              <wp:wrapNone/>
              <wp:docPr id="164" name="文本框 35"/>
              <wp:cNvGraphicFramePr/>
              <a:graphic xmlns:a="http://schemas.openxmlformats.org/drawingml/2006/main">
                <a:graphicData uri="http://schemas.microsoft.com/office/word/2010/wordprocessingShape">
                  <wps:wsp>
                    <wps:cNvSpPr txBox="true"/>
                    <wps:spPr>
                      <a:xfrm>
                        <a:off x="0" y="0"/>
                        <a:ext cx="1424940" cy="165735"/>
                      </a:xfrm>
                      <a:prstGeom prst="rect">
                        <a:avLst/>
                      </a:prstGeom>
                      <a:noFill/>
                      <a:ln>
                        <a:noFill/>
                      </a:ln>
                    </wps:spPr>
                    <wps:txbx>
                      <w:txbxContent>
                        <w:p>
                          <w:pPr>
                            <w:tabs>
                              <w:tab w:val="left" w:pos="900"/>
                            </w:tabs>
                            <w:spacing w:line="261" w:lineRule="exact"/>
                            <w:ind w:left="20"/>
                            <w:rPr>
                              <w:rFonts w:ascii="黑体" w:eastAsia="黑体"/>
                            </w:rPr>
                          </w:pPr>
                          <w:r>
                            <w:rPr>
                              <w:rFonts w:hint="eastAsia" w:ascii="黑体" w:eastAsia="黑体"/>
                            </w:rPr>
                            <w:t>第九章</w:t>
                          </w:r>
                          <w:r>
                            <w:rPr>
                              <w:rFonts w:hint="eastAsia" w:ascii="黑体" w:eastAsia="黑体"/>
                            </w:rPr>
                            <w:tab/>
                          </w:r>
                          <w:r>
                            <w:rPr>
                              <w:rFonts w:hint="eastAsia" w:ascii="黑体" w:eastAsia="黑体"/>
                            </w:rPr>
                            <w:t>投标</w:t>
                          </w:r>
                          <w:r>
                            <w:rPr>
                              <w:rFonts w:hint="eastAsia" w:ascii="黑体" w:eastAsia="黑体"/>
                              <w:spacing w:val="-3"/>
                            </w:rPr>
                            <w:t>文</w:t>
                          </w:r>
                          <w:r>
                            <w:rPr>
                              <w:rFonts w:hint="eastAsia" w:ascii="黑体" w:eastAsia="黑体"/>
                            </w:rPr>
                            <w:t>件格式</w:t>
                          </w:r>
                        </w:p>
                      </w:txbxContent>
                    </wps:txbx>
                    <wps:bodyPr lIns="0" tIns="0" rIns="0" bIns="0" upright="true"/>
                  </wps:wsp>
                </a:graphicData>
              </a:graphic>
            </wp:anchor>
          </w:drawing>
        </mc:Choice>
        <mc:Fallback>
          <w:pict>
            <v:shape id="文本框 35" o:spid="_x0000_s1026" o:spt="202" type="#_x0000_t202" style="position:absolute;left:0pt;margin-left:395.45pt;margin-top:-203.55pt;height:13.05pt;width:112.2pt;mso-position-horizontal-relative:page;mso-position-vertical-relative:page;z-index:-251630592;mso-width-relative:page;mso-height-relative:page;" filled="f" stroked="f" coordsize="21600,21600" o:gfxdata="UEsFBgAAAAAAAAAAAAAAAAAAAAAAAFBLAwQKAAAAAACHTuJAAAAAAAAAAAAAAAAABAAAAGRycy9Q&#10;SwMEFAAAAAgAh07iQGzQH1zcAAAADgEAAA8AAABkcnMvZG93bnJldi54bWxNj8tOwzAQRfdI/IM1&#10;SOxa2xTaJsSpEIIVEiINC5ZOPE2sxuMQuw/+HncFy5k5unNusTm7gR1xCtaTAjkXwJBabyx1Cj7r&#10;19kaWIiajB48oYIfDLApr68KnRt/ogqP29ixFEIh1wr6GMec89D26HSY+xEp3XZ+cjqmceq4mfQp&#10;hbuB3wmx5E5bSh96PeJzj+1+e3AKnr6oerHf781HtatsXWeC3pZ7pW5vpHgEFvEc/2C46Cd1KJNT&#10;4w9kAhsUrDKRJVTB7F6sJLALIuTDAliTdou1FMDLgv+vUf4CUEsDBBQAAAAIAIdO4kD7RsmRpAEA&#10;AC0DAAAOAAAAZHJzL2Uyb0RvYy54bWytUktu2zAQ3RfoHQjua9qu46aC5QBFkKJAkBRIegCaIi0C&#10;/GFIW/IF0ht0lU32PZfPkSFtOUm7K7qhhjOjN++94eKit4ZsJUTtXU0nozEl0gnfaLeu6Y/7qw/n&#10;lMTEXcONd7KmOxnpxfL9u0UXKjn1rTeNBIIgLlZdqGmbUqgYi6KVlseRD9JhUXmwPOEV1qwB3iG6&#10;NWw6Hs9Z56EJ4IWMEbOXhyJdFnylpEi3SkWZiKkpckvlhHKu8smWC16tgYdWiyMN/g8sLNcOh56g&#10;LnniZAP6LyirBfjoVRoJb5lXSgtZNKCayfgPNXctD7JoQXNiONkU/x+suNl+B6Ib3N18RonjFpe0&#10;//Vz//h7//RAPp5lh7oQK2y8C9ia+i++r2mCjRxKEfNZe6/A5i+qItiCdu9OFss+EYHJyWw6+zzD&#10;ksDaZH726TCBvfwdIKav0luSg5oCrrA4y7fXMSEZbB1a8jDnr7QxZY3GvUlgY86wzP5AMUepX/VH&#10;SSvf7FCR+ebQ0Pw4hgCGYDUEmwB63SKdQXdBxZ0UPsf3k5f++l5mv7zy5T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s0B9c3AAAAA4BAAAPAAAAAAAAAAEAIAAAADgAAABkcnMvZG93bnJldi54bWxQ&#10;SwECFAAUAAAACACHTuJA+0bJkaQBAAAtAwAADgAAAAAAAAABACAAAABBAQAAZHJzL2Uyb0RvYy54&#10;bWxQSwUGAAAAAAYABgBZAQAAVwUAAAAA&#10;">
              <v:fill on="f" focussize="0,0"/>
              <v:stroke on="f"/>
              <v:imagedata o:title=""/>
              <o:lock v:ext="edit" aspectratio="f"/>
              <v:textbox inset="0mm,0mm,0mm,0mm">
                <w:txbxContent>
                  <w:p>
                    <w:pPr>
                      <w:tabs>
                        <w:tab w:val="left" w:pos="900"/>
                      </w:tabs>
                      <w:spacing w:line="261" w:lineRule="exact"/>
                      <w:ind w:left="20"/>
                      <w:rPr>
                        <w:rFonts w:ascii="黑体" w:eastAsia="黑体"/>
                      </w:rPr>
                    </w:pPr>
                    <w:r>
                      <w:rPr>
                        <w:rFonts w:hint="eastAsia" w:ascii="黑体" w:eastAsia="黑体"/>
                      </w:rPr>
                      <w:t>第九章</w:t>
                    </w:r>
                    <w:r>
                      <w:rPr>
                        <w:rFonts w:hint="eastAsia" w:ascii="黑体" w:eastAsia="黑体"/>
                      </w:rPr>
                      <w:tab/>
                    </w:r>
                    <w:r>
                      <w:rPr>
                        <w:rFonts w:hint="eastAsia" w:ascii="黑体" w:eastAsia="黑体"/>
                      </w:rPr>
                      <w:t>投标</w:t>
                    </w:r>
                    <w:r>
                      <w:rPr>
                        <w:rFonts w:hint="eastAsia" w:ascii="黑体" w:eastAsia="黑体"/>
                        <w:spacing w:val="-3"/>
                      </w:rPr>
                      <w:t>文</w:t>
                    </w:r>
                    <w:r>
                      <w:rPr>
                        <w:rFonts w:hint="eastAsia" w:ascii="黑体" w:eastAsia="黑体"/>
                      </w:rPr>
                      <w:t>件格式</w:t>
                    </w:r>
                  </w:p>
                </w:txbxContent>
              </v:textbox>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87936" behindDoc="1" locked="0" layoutInCell="1" allowOverlap="1">
              <wp:simplePos x="0" y="0"/>
              <wp:positionH relativeFrom="page">
                <wp:posOffset>917575</wp:posOffset>
              </wp:positionH>
              <wp:positionV relativeFrom="page">
                <wp:posOffset>737870</wp:posOffset>
              </wp:positionV>
              <wp:extent cx="8667115" cy="0"/>
              <wp:effectExtent l="0" t="0" r="0" b="0"/>
              <wp:wrapNone/>
              <wp:docPr id="166" name="直线 38"/>
              <wp:cNvGraphicFramePr/>
              <a:graphic xmlns:a="http://schemas.openxmlformats.org/drawingml/2006/main">
                <a:graphicData uri="http://schemas.microsoft.com/office/word/2010/wordprocessingShape">
                  <wps:wsp>
                    <wps:cNvSpPr/>
                    <wps:spPr>
                      <a:xfrm>
                        <a:off x="0" y="0"/>
                        <a:ext cx="866711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38" o:spid="_x0000_s1026" o:spt="20" style="position:absolute;left:0pt;margin-left:72.25pt;margin-top:58.1pt;height:0pt;width:682.45pt;mso-position-horizontal-relative:page;mso-position-vertical-relative:page;z-index:-251628544;mso-width-relative:page;mso-height-relative:page;" filled="f" stroked="t" coordsize="21600,21600" o:gfxdata="UEsFBgAAAAAAAAAAAAAAAAAAAAAAAFBLAwQKAAAAAACHTuJAAAAAAAAAAAAAAAAABAAAAGRycy9Q&#10;SwMEFAAAAAgAh07iQNQ/FN3aAAAADAEAAA8AAABkcnMvZG93bnJldi54bWxNj09Lw0AQxe+C32EZ&#10;wZvdpKQ1jdn0oCj0INI/eN5mp0ma7GzIbpv22zsFQW/zZh5vfi9fXmwnzjj4xpGCeBKBQCqdaahS&#10;sNu+P6UgfNBkdOcIFVzRw7K4v8t1ZtxIazxvQiU4hHymFdQh9JmUvqzRaj9xPRLfDm6wOrAcKmkG&#10;PXK47eQ0iubS6ob4Q617fK2xbDcnq+AzlW/uq/0ur8dx+5Gmq3bxvNop9fgQRy8gAl7Cnxlu+IwO&#10;BTPt3YmMFx3rJJmxlYd4PgVxc8yiRQJi/7uSRS7/lyh+AFBLAwQUAAAACACHTuJAbI27EdEBAACT&#10;AwAADgAAAGRycy9lMm9Eb2MueG1srVNLjhMxEN0jcQfLe9LJIJrQSmcWhGGDYKQZDlDxp9uSf3I5&#10;6eQsXIMVG44z16DsZDJ8NgiRhVN2lZ/fe1W9uj44y/YqoQm+54vZnDPlRZDGDz3/fH/zYskZZvAS&#10;bPCq50eF/Hr9/Nlqip26CmOwUiVGIB67KfZ8zDl2TYNiVA5wFqLylNQhOci0TUMjE0yE7mxzNZ+3&#10;zRSSjCkIhUinm1OSryu+1krkT1qjysz2nLjluqa6bsvarFfQDQniaMSZBvwDCwfG06MXqA1kYLtk&#10;/oByRqSAQeeZCK4JWhuhqgZSs5j/puZuhKiqFjIH48Um/H+w4uP+NjEjqXdty5kHR016+PL14dt3&#10;9nJZ7JkidlR1F2/TeYcUFq0HnVz5JxXsUC09XixVh8wEHS7b9vVi8Yoz8Zhrni7GhPm9Co6VoOfW&#10;+KIWOth/wEyPUeljSTm2nk09b+dviKgAGhZtIVPoItFHP9S7GKyRN8bacgPTsH1rE9tDaX/9FUmE&#10;+0tZeWQDOJ7qauo0GKMC+c5Llo+RbPE0wbxQcEpyZhUNfIkIELoMxv5NJT1tPTEorp58LNE2yCO1&#10;YReTGUZyIqedqkRLkjpfKZ+ntIzWz/sK9vQtr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D8U&#10;3doAAAAMAQAADwAAAAAAAAABACAAAAA4AAAAZHJzL2Rvd25yZXYueG1sUEsBAhQAFAAAAAgAh07i&#10;QGyNuxHRAQAAkwMAAA4AAAAAAAAAAQAgAAAAPw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88960" behindDoc="1" locked="0" layoutInCell="1" allowOverlap="1">
              <wp:simplePos x="0" y="0"/>
              <wp:positionH relativeFrom="page">
                <wp:posOffset>923290</wp:posOffset>
              </wp:positionH>
              <wp:positionV relativeFrom="page">
                <wp:posOffset>543560</wp:posOffset>
              </wp:positionV>
              <wp:extent cx="2577465" cy="180975"/>
              <wp:effectExtent l="0" t="0" r="0" b="0"/>
              <wp:wrapNone/>
              <wp:docPr id="167" name="文本框 37"/>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37" o:spid="_x0000_s1026" o:spt="202" type="#_x0000_t202" style="position:absolute;left:0pt;margin-left:72.7pt;margin-top:42.8pt;height:14.25pt;width:202.95pt;mso-position-horizontal-relative:page;mso-position-vertical-relative:page;z-index:-251627520;mso-width-relative:page;mso-height-relative:page;" filled="f" stroked="f" coordsize="21600,21600" o:gfxdata="UEsFBgAAAAAAAAAAAAAAAAAAAAAAAFBLAwQKAAAAAACHTuJAAAAAAAAAAAAAAAAABAAAAGRycy9Q&#10;SwMEFAAAAAgAh07iQMBDN93YAAAACgEAAA8AAABkcnMvZG93bnJldi54bWxNj7tOxDAQRXsk/sEa&#10;JDrWNiTREuKsEIIKCZENBaUTexNr43GIvQ/+nqGC8uoe3TlTbc5+Yke7RBdQgVwJYBb7YBwOCj7a&#10;l5s1sJg0Gj0FtAq+bYRNfXlR6dKEEzb2uE0DoxGMpVYwpjSXnMd+tF7HVZgtUrcLi9eJ4jJws+gT&#10;jfuJ3wpRcK8d0oVRz/ZptP1+e/AKHj+xeXZfb917s2tc294LfC32Sl1fSfEALNlz+oPhV5/UoSan&#10;LhzQRDZRzvKMUAXrvABGQJ7LO2AdNTKTwOuK/3+h/gFQSwMEFAAAAAgAh07iQG5wYCikAQAALQMA&#10;AA4AAABkcnMvZTJvRG9jLnhtbK1SS44TMRDdI3EHy3viTiDpoZXOSGg0CAkB0sABHLedtuSfyk66&#10;cwG4ASs27DlXzkHZSWf47BCb6nJV9fN7r7y+Ha0hBwlRe9fS+ayiRDrhO+12Lf308f7ZDSUxcddx&#10;451s6VFGert5+mQ9hEYufO9NJ4EgiIvNEFrapxQaxqLopeVx5oN02FQeLE94hB3rgA+Ibg1bVNWK&#10;DR66AF7IGLF6d27STcFXSor0XqkoEzEtRW6pRChxmyPbrHmzAx56LS40+D+wsFw7vPQKdccTJ3vQ&#10;f0FZLcBHr9JMeMu8UlrIogHVzKs/1Dz0PMiiBc2J4WpT/H+w4t3hAxDd4e5WNSWOW1zS6euX07cf&#10;p++fyfM6OzSE2ODgQ8DRNL7yY0sT7OXUiljP2kcFNn9RFcERtPt4tViOiQgsLpZ1/WK1pERgb35T&#10;vayXGYY9/h0gptfSW5KTlgKusDjLD29jOo9OI/ky5++1MWWNxv1WQMxcYZn9mWLO0rgdL5K2vjui&#10;IvPGoaH5cUwJTMl2SvYB9K5HOpPugoo7KdQv7ycv/ddzufvxlW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BDN93YAAAACgEAAA8AAAAAAAAAAQAgAAAAOAAAAGRycy9kb3ducmV2LnhtbFBLAQIU&#10;ABQAAAAIAIdO4kBucGAopAEAAC0DAAAOAAAAAAAAAAEAIAAAAD0BAABkcnMvZTJvRG9jLnhtbFBL&#10;BQYAAAAABgAGAFkBAABTBQ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93056" behindDoc="1" locked="0" layoutInCell="1" allowOverlap="1">
              <wp:simplePos x="0" y="0"/>
              <wp:positionH relativeFrom="page">
                <wp:posOffset>1026160</wp:posOffset>
              </wp:positionH>
              <wp:positionV relativeFrom="page">
                <wp:posOffset>737870</wp:posOffset>
              </wp:positionV>
              <wp:extent cx="5424805" cy="0"/>
              <wp:effectExtent l="0" t="0" r="0" b="0"/>
              <wp:wrapNone/>
              <wp:docPr id="171" name="直线 28"/>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28" o:spid="_x0000_s1026" o:spt="20" style="position:absolute;left:0pt;margin-left:80.8pt;margin-top:58.1pt;height:0pt;width:427.15pt;mso-position-horizontal-relative:page;mso-position-vertical-relative:page;z-index:-251623424;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Dm5GSLSAQAAkwMA&#10;AA4AAABkcnMvZTJvRG9jLnhtbK1TS27bMBDdF8gdCO5ryUbiOoLlLOqkm6INkOQAY5KSCPAHDm3Z&#10;Z+k1uuqmx8k1OqQdp59NUdQLesgZPr73ZrS82VvDdiqi9q7l00nNmXLCS+36lj893r1dcIYJnATj&#10;nWr5QSG/WV28WY6hUTM/eCNVZATisBlDy4eUQlNVKAZlASc+KEfJzkcLibaxr2SEkdCtqWZ1Pa9G&#10;H2WIXihEOl0fk3xV8LtOifS561AlZlpO3FJZY1k3ea1WS2j6CGHQ4kQD/oGFBe3o0TPUGhKwbdR/&#10;QFktokffpYnwtvJdp4UqGkjNtP5NzcMAQRUtZA6Gs034/2DFp919ZFpS795NOXNgqUnPX74+f/vO&#10;ZotszxiwoaqHcB9PO6Qwa9130eZ/UsH2xdLD2VK1T0zQ4dXl7HJRX3EmXnLV68UQMX1Q3rIctNxo&#10;l9VCA7uPmOgxKn0pycfGsbHl8/p6TnBAw9IZSBTaQPTR9eUueqPlnTYm38DYb96byHaQ219+WRLh&#10;/lKWH1kDDse6kjoOxqBA3jrJ0iGQLY4mmGcKVknOjKKBzxEBQpNAm7+ppKeNIwbZ1aOPOdp4eaA2&#10;bEPU/UBOpLhVhWhOUucL5dOU5tH6eV/AXr+l1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fy0+S&#10;2AAAAAwBAAAPAAAAAAAAAAEAIAAAADgAAABkcnMvZG93bnJldi54bWxQSwECFAAUAAAACACHTuJA&#10;ObkZItIBAACTAwAADgAAAAAAAAABACAAAAA9AQAAZHJzL2Uyb0RvYy54bWxQSwUGAAAAAAYABgBZ&#10;AQAAg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94080" behindDoc="1" locked="0" layoutInCell="1" allowOverlap="1">
              <wp:simplePos x="0" y="0"/>
              <wp:positionH relativeFrom="page">
                <wp:posOffset>5022215</wp:posOffset>
              </wp:positionH>
              <wp:positionV relativeFrom="page">
                <wp:posOffset>548005</wp:posOffset>
              </wp:positionV>
              <wp:extent cx="1424940" cy="165735"/>
              <wp:effectExtent l="0" t="0" r="0" b="0"/>
              <wp:wrapNone/>
              <wp:docPr id="172" name="文本框 27"/>
              <wp:cNvGraphicFramePr/>
              <a:graphic xmlns:a="http://schemas.openxmlformats.org/drawingml/2006/main">
                <a:graphicData uri="http://schemas.microsoft.com/office/word/2010/wordprocessingShape">
                  <wps:wsp>
                    <wps:cNvSpPr txBox="true"/>
                    <wps:spPr>
                      <a:xfrm>
                        <a:off x="0" y="0"/>
                        <a:ext cx="1424940" cy="165735"/>
                      </a:xfrm>
                      <a:prstGeom prst="rect">
                        <a:avLst/>
                      </a:prstGeom>
                      <a:noFill/>
                      <a:ln>
                        <a:noFill/>
                      </a:ln>
                    </wps:spPr>
                    <wps:txbx>
                      <w:txbxContent>
                        <w:p>
                          <w:pPr>
                            <w:tabs>
                              <w:tab w:val="left" w:pos="900"/>
                            </w:tabs>
                            <w:spacing w:line="261" w:lineRule="exact"/>
                            <w:ind w:left="20"/>
                            <w:rPr>
                              <w:rFonts w:ascii="黑体" w:eastAsia="黑体"/>
                            </w:rPr>
                          </w:pPr>
                        </w:p>
                      </w:txbxContent>
                    </wps:txbx>
                    <wps:bodyPr lIns="0" tIns="0" rIns="0" bIns="0" upright="true"/>
                  </wps:wsp>
                </a:graphicData>
              </a:graphic>
            </wp:anchor>
          </w:drawing>
        </mc:Choice>
        <mc:Fallback>
          <w:pict>
            <v:shape id="文本框 27" o:spid="_x0000_s1026" o:spt="202" type="#_x0000_t202" style="position:absolute;left:0pt;margin-left:395.45pt;margin-top:43.15pt;height:13.05pt;width:112.2pt;mso-position-horizontal-relative:page;mso-position-vertical-relative:page;z-index:-251622400;mso-width-relative:page;mso-height-relative:page;" filled="f" stroked="f" coordsize="21600,21600" o:gfxdata="UEsFBgAAAAAAAAAAAAAAAAAAAAAAAFBLAwQKAAAAAACHTuJAAAAAAAAAAAAAAAAABAAAAGRycy9Q&#10;SwMEFAAAAAgAh07iQNehuAjZAAAACwEAAA8AAABkcnMvZG93bnJldi54bWxNj01PwzAMhu9I/IfI&#10;SNxY0gFlLU0nhOCEhOjKgWPaeG21xilN9sG/xzvB7bX86PXjYn1yozjgHAZPGpKFAoHUejtQp+Gz&#10;fr1ZgQjRkDWjJ9TwgwHW5eVFYXLrj1ThYRM7wSUUcqOhj3HKpQxtj86EhZ+QeLf1szORx7mTdjZH&#10;LnejXCqVSmcG4gu9mfC5x3a32TsNT19UvQzf781Hta2Gus4UvaU7ra+vEvUIIuIp/sFw1md1KNmp&#10;8XuyQYwaHjKVMaphld6COAMquefUcEqWdyDLQv7/ofwFUEsDBBQAAAAIAIdO4kCycFeTpAEAAC0D&#10;AAAOAAAAZHJzL2Uyb0RvYy54bWytUs1uEzEQviP1HSzfiZMlbegqm0qoaoWEAKnwAI7Xzlryn8ZO&#10;dvMC8AacuHDnufIcjJ1sWuit4jI7npn9/H3feHkzWEN2EqL2rqGzyZQS6YRvtds09OuXu9dvKYmJ&#10;u5Yb72RD9zLSm9XFq2Ufaln5zptWAkEQF+s+NLRLKdSMRdFJy+PEB+mwqTxYnvAIG9YC7xHdGlZN&#10;p1es99AG8ELGiNXbY5OuCr5SUqRPSkWZiGkockslQonrHNlqyesN8NBpcaLBX8DCcu3w0jPULU+c&#10;bEE/g7JagI9epYnwlnmltJBFA6qZTf9R89DxIIsWNCeGs03x/8GKj7vPQHSLu1tUlDhucUmHH98P&#10;P38ffn0j1SI71IdY4+BDwNE0vPNDQxNs5diKWM/aBwU2f1EVwRG0e3+2WA6JCCzO5tX8eo4tgb3Z&#10;1eXizWWGYY9/B4jpXnpLctJQwBUWZ/nuQ0zH0XEkX+b8nTamrNG4vwqImSsssz9SzFka1sNJ0tq3&#10;e1Rk3js0ND+OMYExWY/JNoDedEhn1F1QcSeF+un95KU/PZe7H1/5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XobgI2QAAAAsBAAAPAAAAAAAAAAEAIAAAADgAAABkcnMvZG93bnJldi54bWxQSwEC&#10;FAAUAAAACACHTuJAsnBXk6QBAAAtAwAADgAAAAAAAAABACAAAAA+AQAAZHJzL2Uyb0RvYy54bWxQ&#10;SwUGAAAAAAYABgBZAQAAVAUAAAAA&#10;">
              <v:fill on="f" focussize="0,0"/>
              <v:stroke on="f"/>
              <v:imagedata o:title=""/>
              <o:lock v:ext="edit" aspectratio="f"/>
              <v:textbox inset="0mm,0mm,0mm,0mm">
                <w:txbxContent>
                  <w:p>
                    <w:pPr>
                      <w:tabs>
                        <w:tab w:val="left" w:pos="900"/>
                      </w:tabs>
                      <w:spacing w:line="261" w:lineRule="exact"/>
                      <w:ind w:left="20"/>
                      <w:rPr>
                        <w:rFonts w:ascii="黑体" w:eastAsia="黑体"/>
                      </w:rPr>
                    </w:pPr>
                  </w:p>
                </w:txbxContent>
              </v:textbox>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95104" behindDoc="1" locked="0" layoutInCell="1" allowOverlap="1">
              <wp:simplePos x="0" y="0"/>
              <wp:positionH relativeFrom="page">
                <wp:posOffset>1026160</wp:posOffset>
              </wp:positionH>
              <wp:positionV relativeFrom="page">
                <wp:posOffset>737870</wp:posOffset>
              </wp:positionV>
              <wp:extent cx="5424805" cy="0"/>
              <wp:effectExtent l="0" t="0" r="0" b="0"/>
              <wp:wrapNone/>
              <wp:docPr id="173" name="直线 30"/>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30" o:spid="_x0000_s1026" o:spt="20" style="position:absolute;left:0pt;margin-left:80.8pt;margin-top:58.1pt;height:0pt;width:427.15pt;mso-position-horizontal-relative:page;mso-position-vertical-relative:page;z-index:-251621376;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BWaYMbQAQAAkwMA&#10;AA4AAABkcnMvZTJvRG9jLnhtbK1TS24bMQzdF+gdBO3rmTifpgOPs6ibboo2QNID0PrMCNAPouyx&#10;z9JrdNVNj5NrlJITu59NUXQWGkqkHh8fqcXNzlm2VQlN8D0/m7WcKS+CNH7o+eeH21fXnGEGL8EG&#10;r3q+V8hvli9fLKbYqXkYg5UqMQLx2E2x52POsWsaFKNygLMQlSenDslBpm0aGplgInRnm3nbXjVT&#10;SDKmIBQina4OTr6s+ForkT9pjSoz23Piluua6roua7NcQDckiKMRTzTgH1g4MJ6SHqFWkIFtkvkD&#10;yhmRAgadZyK4JmhthKo1UDVn7W/V3I8QVa2FxMF4lAn/H6z4uL1LzEjq3etzzjw4atLjl6+P376z&#10;8yrPFLGjqPt4l0isskMyS607nVz5UxVsVyXdHyVVu8wEHV5ezC+u20vOxLOvOV2MCfN7FRwrRs+t&#10;8aVa6GD7ATMlo9DnkHJsPZt6ftW+uSI4oGHRFjKZLhJ99EO9i8EaeWusLTcwDeu3NrEtlPbXr3Sc&#10;cH8JK0lWgOMhrroOgzEqkO+8ZHkfSRZPE8wLBackZ1bRwBerjlAGY/8mklJbTwxOOhZrHeSe2rCJ&#10;yQwjKZHTRlWixUmdr5SfprSM1s/7CnZ6S8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38tPktgA&#10;AAAMAQAADwAAAAAAAAABACAAAAA4AAAAZHJzL2Rvd25yZXYueG1sUEsBAhQAFAAAAAgAh07iQBWa&#10;YMbQAQAAkwMAAA4AAAAAAAAAAQAgAAAAPQEAAGRycy9lMm9Eb2MueG1sUEsFBgAAAAAGAAYAWQEA&#10;AH8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96128"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74" name="文本框 29"/>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29" o:spid="_x0000_s1026" o:spt="202" type="#_x0000_t202" style="position:absolute;left:0pt;margin-left:81.2pt;margin-top:42.8pt;height:14.25pt;width:202.95pt;mso-position-horizontal-relative:page;mso-position-vertical-relative:page;z-index:-251620352;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L2t+PSlAQAALQMA&#10;AA4AAABkcnMvZTJvRG9jLnhtbK1SS27bMBDdF8gdCO5rykYcJ4LlAEWQoEDRFkh6AJoiLQL8YUhb&#10;8gXaG3TVTfc9l8/RIW05/eyCbEbDmdHje2+4vB2sITsJUXvX0OmkokQ64VvtNg398nT/9pqSmLhr&#10;ufFONnQvI71dXbxZ9qGWM99500ogCOJi3YeGdimFmrEoOml5nPggHTaVB8sTHmHDWuA9olvDZlV1&#10;xXoPbQAvZIxYvTs26argKyVF+qRUlImYhiK3VCKUuM6RrZa83gAPnRYnGvwFLCzXDi89Q93xxMkW&#10;9H9QVgvw0as0Ed4yr5QWsmhANdPqHzWPHQ+yaEFzYjjbFF8PVnzcfQaiW9zd4pISxy0u6fD92+HH&#10;r8PPr2R2kx3qQ6xx8DHgaBre+aGhCbZybEWsZ+2DApu/qIrgCNq9P1ssh0QEFmfzxeLyak6JwN70&#10;urpZzDMMe/47QEwP0luSk4YCrrA4y3cfYjqOjiP5MufvtTFljcb9VUDMXGGZ/ZFiztKwHk6S1r7d&#10;oyLz3qGh+XGMCYzJeky2AfSmQzqj7oKKOynUT+8nL/3Pc7n7+ZW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sqLIi2AAAAAoBAAAPAAAAAAAAAAEAIAAAADgAAABkcnMvZG93bnJldi54bWxQSwEC&#10;FAAUAAAACACHTuJAva349KUBAAAtAwAADgAAAAAAAAABACAAAAA9AQAAZHJzL2Uyb0RvYy54bWxQ&#10;SwUGAAAAAAYABgBZAQAAVAU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711488" behindDoc="1" locked="0" layoutInCell="1" allowOverlap="1">
              <wp:simplePos x="0" y="0"/>
              <wp:positionH relativeFrom="page">
                <wp:posOffset>1026160</wp:posOffset>
              </wp:positionH>
              <wp:positionV relativeFrom="page">
                <wp:posOffset>737870</wp:posOffset>
              </wp:positionV>
              <wp:extent cx="5424805" cy="0"/>
              <wp:effectExtent l="0" t="0" r="0" b="0"/>
              <wp:wrapNone/>
              <wp:docPr id="189" name="直线 8"/>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80.8pt;margin-top:58.1pt;height:0pt;width:427.15pt;mso-position-horizontal-relative:page;mso-position-vertical-relative:page;z-index:-251604992;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BfkKHrRAQAAkgMA&#10;AA4AAABkcnMvZTJvRG9jLnhtbK1TS27bMBDdF+gdCO4bKUZiOILlLOqmm6INkOYAY34kAvyBQ1v2&#10;WXqNrrrpcXKNDmnH6WdTFPWCHnKGj++9GS1v986ynUpogu/55UXLmfIiSOOHnj9+vnuz4AwzeAk2&#10;eNXzg0J+u3r9ajnFTs3CGKxUiRGIx26KPR9zjl3ToBiVA7wIUXlK6pAcZNqmoZEJJkJ3tpm17byZ&#10;QpIxBaEQ6XR9TPJVxddaifxJa1SZ2Z4Tt1zXVNdNWZvVErohQRyNONGAf2DhwHh69Ay1hgxsm8wf&#10;UM6IFDDofCGCa4LWRqiqgdRctr+peRghqqqFzMF4tgn/H6z4uLtPzEjq3eKGMw+OmvT05evTt+9s&#10;UdyZInZU9BDv02mHFBape51c+ScRbF8dPZwdVfvMBB1eX82uFu01Z+I517xcjAnzexUcK0HPrfFF&#10;LHSw+4CZHqPS55JybD2bej5vb+YEBzQr2kKm0EVij36odzFYI++MteUGpmHz1ia2g9L9+iuSCPeX&#10;svLIGnA81tXUcS5GBfKdlywfIrniaYB5oeCU5MwqmvcSESB0GYz9m0p62npiUFw9+liiTZAH6sI2&#10;JjOM5EROW1WJliQ1vlI+DWmZrJ/3FezlU1r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LT5LY&#10;AAAADAEAAA8AAAAAAAAAAQAgAAAAOAAAAGRycy9kb3ducmV2LnhtbFBLAQIUABQAAAAIAIdO4kAX&#10;5Ch60QEAAJIDAAAOAAAAAAAAAAEAIAAAAD0BAABkcnMvZTJvRG9jLnhtbFBLBQYAAAAABgAGAFkB&#10;AACABQAAAAA=&#10;">
              <v:fill on="f" focussize="0,0"/>
              <v:stroke weight="0.48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17280" behindDoc="1" locked="0" layoutInCell="1" allowOverlap="1">
              <wp:simplePos x="0" y="0"/>
              <wp:positionH relativeFrom="page">
                <wp:posOffset>1026160</wp:posOffset>
              </wp:positionH>
              <wp:positionV relativeFrom="page">
                <wp:posOffset>737870</wp:posOffset>
              </wp:positionV>
              <wp:extent cx="5424805" cy="0"/>
              <wp:effectExtent l="0" t="0" r="0" b="0"/>
              <wp:wrapNone/>
              <wp:docPr id="97" name="直线 133"/>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33" o:spid="_x0000_s1026" o:spt="20" style="position:absolute;left:0pt;margin-left:80.8pt;margin-top:58.1pt;height:0pt;width:427.15pt;mso-position-horizontal-relative:page;mso-position-vertical-relative:page;z-index:-251699200;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NnKiUPUAQAAkwMA&#10;AA4AAABkcnMvZTJvRG9jLnhtbK1TS27bMBDdF+gdCO5ryU7iJoLlLOomm6INkOQAY5KSCPAHDm3Z&#10;Z+k1uuqmx8k1OqQdp2k3RVEv6CFn+Oa9x9HiemcN26qI2ruWTyc1Z8oJL7XrW/74cPPukjNM4CQY&#10;71TL9wr59fLtm8UYGjXzgzdSRUYgDpsxtHxIKTRVhWJQFnDig3KU7Hy0kGgb+0pGGAndmmpW1/Nq&#10;9FGG6IVCpNPVIcmXBb/rlEhfug5VYqblxC2VNZZ1nddquYCmjxAGLY404B9YWNCOmp6gVpCAbaL+&#10;A8pqET36Lk2Et5XvOi1U0UBqpvVvau4HCKpoIXMwnGzC/wcrPm/vItOy5VfvOXNg6Y2evn57+v6D&#10;Tc/Osj1jwIaq7sNdPO6Qwqx110Wb/0kF2xVL9ydL1S4xQYcX57Pzy/qCM/Gcq14uhojpVnnLctBy&#10;o11WCw1sP2GiZlT6XJKPjWNjy+f11ZzggIalM5AotIHoo+vLXfRGyxttTL6BsV9/MJFtIT9/+WVJ&#10;hPuqLDdZAQ6HupI6DMagQH50kqV9IF8cTTDPFKySnBlFA58jAoQmgTZ/U0mtjSMG2dWDjzlae7mn&#10;Z9iEqPuBnEhxowrRnKSXL5SPU5pH69d9AXv5lp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L&#10;T5LYAAAADAEAAA8AAAAAAAAAAQAgAAAAOAAAAGRycy9kb3ducmV2LnhtbFBLAQIUABQAAAAIAIdO&#10;4kDZyolD1AEAAJMDAAAOAAAAAAAAAAEAIAAAAD0BAABkcnMvZTJvRG9jLnhtbFBLBQYAAAAABgAG&#10;AFkBAACD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18304" behindDoc="1" locked="0" layoutInCell="1" allowOverlap="1">
              <wp:simplePos x="0" y="0"/>
              <wp:positionH relativeFrom="page">
                <wp:posOffset>5161915</wp:posOffset>
              </wp:positionH>
              <wp:positionV relativeFrom="page">
                <wp:posOffset>548005</wp:posOffset>
              </wp:positionV>
              <wp:extent cx="1284605" cy="165735"/>
              <wp:effectExtent l="0" t="0" r="0" b="0"/>
              <wp:wrapNone/>
              <wp:docPr id="98" name="文本框 132"/>
              <wp:cNvGraphicFramePr/>
              <a:graphic xmlns:a="http://schemas.openxmlformats.org/drawingml/2006/main">
                <a:graphicData uri="http://schemas.microsoft.com/office/word/2010/wordprocessingShape">
                  <wps:wsp>
                    <wps:cNvSpPr txBox="true"/>
                    <wps:spPr>
                      <a:xfrm>
                        <a:off x="0" y="0"/>
                        <a:ext cx="1284605" cy="165735"/>
                      </a:xfrm>
                      <a:prstGeom prst="rect">
                        <a:avLst/>
                      </a:prstGeom>
                      <a:noFill/>
                      <a:ln>
                        <a:noFill/>
                      </a:ln>
                    </wps:spPr>
                    <wps:txbx>
                      <w:txbxContent>
                        <w:p>
                          <w:pPr>
                            <w:tabs>
                              <w:tab w:val="left" w:pos="901"/>
                            </w:tabs>
                            <w:spacing w:line="261" w:lineRule="exact"/>
                            <w:ind w:left="20"/>
                            <w:rPr>
                              <w:rFonts w:ascii="黑体" w:eastAsia="黑体"/>
                            </w:rPr>
                          </w:pPr>
                        </w:p>
                      </w:txbxContent>
                    </wps:txbx>
                    <wps:bodyPr lIns="0" tIns="0" rIns="0" bIns="0" upright="true"/>
                  </wps:wsp>
                </a:graphicData>
              </a:graphic>
            </wp:anchor>
          </w:drawing>
        </mc:Choice>
        <mc:Fallback>
          <w:pict>
            <v:shape id="文本框 132" o:spid="_x0000_s1026" o:spt="202" type="#_x0000_t202" style="position:absolute;left:0pt;margin-left:406.45pt;margin-top:43.15pt;height:13.05pt;width:101.15pt;mso-position-horizontal-relative:page;mso-position-vertical-relative:page;z-index:-251698176;mso-width-relative:page;mso-height-relative:page;" filled="f" stroked="f" coordsize="21600,21600" o:gfxdata="UEsFBgAAAAAAAAAAAAAAAAAAAAAAAFBLAwQKAAAAAACHTuJAAAAAAAAAAAAAAAAABAAAAGRycy9Q&#10;SwMEFAAAAAgAh07iQESGjFbZAAAACwEAAA8AAABkcnMvZG93bnJldi54bWxNj8tOwzAQRfdI/IM1&#10;SOyo7QBRG+JUCMEKCZGGBUsndhOr8TjE7oO/Z7oquzuaoztnyvXJj+xg5+gCKpALAcxiF4zDXsFX&#10;83a3BBaTRqPHgFbBr42wrq6vSl2YcMTaHjapZ1SCsdAKhpSmgvPYDdbruAiTRdptw+x1onHuuZn1&#10;kcr9yDMhcu61Q7ow6Mm+DLbbbfZewfM31q/u56P9rLe1a5qVwPd8p9TtjRRPwJI9pQsMZ31Sh4qc&#10;2rBHE9moYCmzFaEU8ntgZ0DIxwxYS0lmD8Crkv//ofoDUEsDBBQAAAAIAIdO4kDzMITUpAEAAC0D&#10;AAAOAAAAZHJzL2Uyb0RvYy54bWytUkuOEzEQ3SNxB8t74u4MCUMrnZHQaBASAqSBAzhuO23JP5Wd&#10;dOcCcANWbNhzrpyDspPOzMAOsakuV1U/v/fKq5vRGrKXELV3La1nFSXSCd9pt23pl893L64piYm7&#10;jhvvZEsPMtKb9fNnqyE0cu57bzoJBEFcbIbQ0j6l0DAWRS8tjzMfpMOm8mB5wiNsWQd8QHRr2Lyq&#10;lmzw0AXwQsaI1dtTk64LvlJSpI9KRZmIaSlySyVCiZsc2XrFmy3w0GtxpsH/gYXl2uGlF6hbnjjZ&#10;gf4LymoBPnqVZsJb5pXSQhYNqKau/lBz3/MgixY0J4aLTfH/wYoP+09AdNfS17gpxy3u6Pj92/HH&#10;r+PPr6S+mmeHhhAbHLwPOJrGN35saYKdnFoR61n7qMDmL6oiOIJ2Hy4WyzERgcV6fv1yWS0oEdir&#10;l4tXV4sMwx7+DhDTW+ktyUlLAVdYnOX79zGdRqeRfJnzd9qYskbjnhQQM1dYZn+imLM0bsazpI3v&#10;DqjIvHNoaH4cUwJTspmSXQC97ZHOpLug4k4K9fP7yUt/fC53P7zy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EhoxW2QAAAAsBAAAPAAAAAAAAAAEAIAAAADgAAABkcnMvZG93bnJldi54bWxQSwEC&#10;FAAUAAAACACHTuJA8zCE1KQBAAAtAwAADgAAAAAAAAABACAAAAA+AQAAZHJzL2Uyb0RvYy54bWxQ&#10;SwUGAAAAAAYABgBZAQAAVAUAAAAA&#10;">
              <v:fill on="f" focussize="0,0"/>
              <v:stroke on="f"/>
              <v:imagedata o:title=""/>
              <o:lock v:ext="edit" aspectratio="f"/>
              <v:textbox inset="0mm,0mm,0mm,0mm">
                <w:txbxContent>
                  <w:p>
                    <w:pPr>
                      <w:tabs>
                        <w:tab w:val="left" w:pos="901"/>
                      </w:tabs>
                      <w:spacing w:line="261" w:lineRule="exact"/>
                      <w:ind w:left="20"/>
                      <w:rPr>
                        <w:rFonts w:ascii="黑体" w:eastAsia="黑体"/>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19328" behindDoc="1" locked="0" layoutInCell="1" allowOverlap="1">
              <wp:simplePos x="0" y="0"/>
              <wp:positionH relativeFrom="page">
                <wp:posOffset>1026160</wp:posOffset>
              </wp:positionH>
              <wp:positionV relativeFrom="page">
                <wp:posOffset>737870</wp:posOffset>
              </wp:positionV>
              <wp:extent cx="5424805" cy="0"/>
              <wp:effectExtent l="0" t="0" r="0" b="0"/>
              <wp:wrapNone/>
              <wp:docPr id="99" name="直线 135"/>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35" o:spid="_x0000_s1026" o:spt="20" style="position:absolute;left:0pt;margin-left:80.8pt;margin-top:58.1pt;height:0pt;width:427.15pt;mso-position-horizontal-relative:page;mso-position-vertical-relative:page;z-index:-251697152;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PLnC5XTAQAAkwMA&#10;AA4AAABkcnMvZTJvRG9jLnhtbK1TS44TMRDdI3EHy3vSnTCJJq10ZkEYNghGGjhAxXZ3W/JPLied&#10;nIVrsGLDceYalJ1MBpjNCJGFU3aVX733XL26OVjD9iqi9q7l00nNmXLCS+36ln/9cvvmmjNM4CQY&#10;71TLjwr5zfr1q9UYGjXzgzdSRUYgDpsxtHxIKTRVhWJQFnDig3KU7Hy0kGgb+0pGGAndmmpW14tq&#10;9FGG6IVCpNPNKcnXBb/rlEifuw5VYqblxC2VNZZ1m9dqvYKmjxAGLc404B9YWNCOml6gNpCA7aJ+&#10;BmW1iB59lybC28p3nRaqaCA10/ovNfcDBFW0kDkYLjbh/4MVn/Z3kWnZ8uWSMweW3ujh2/eHHz/Z&#10;9O082zMGbKjqPtzF8w4pzFoPXbT5n1SwQ7H0eLFUHRITdDi/ml1d13POxGOueroYIqYPyluWg5Yb&#10;7bJaaGD/ERM1o9LHknxsHBtbvqiXC4IDGpbOQKLQBqKPri930Rstb7Ux+QbGfvvORLaH/PzllyUR&#10;7h9luckGcDjVldRpMAYF8r2TLB0D+eJognmmYJXkzCga+BwRIDQJtHlJJbU2jhhkV08+5mjr5ZGe&#10;YRei7gdyIsWdKkRzkl6+UD5PaR6t3/cF7OlbWv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38tP&#10;ktgAAAAMAQAADwAAAAAAAAABACAAAAA4AAAAZHJzL2Rvd25yZXYueG1sUEsBAhQAFAAAAAgAh07i&#10;QPLnC5XTAQAAkw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20352"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00" name="文本框 134"/>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134" o:spid="_x0000_s1026" o:spt="202" type="#_x0000_t202" style="position:absolute;left:0pt;margin-left:81.2pt;margin-top:42.8pt;height:14.25pt;width:202.95pt;mso-position-horizontal-relative:page;mso-position-vertical-relative:page;z-index:-251696128;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BRN2FOlAQAALgMA&#10;AA4AAABkcnMvZTJvRG9jLnhtbK1SzW4TMRC+I/UdLN+JN6FpyiqbSqhqhYQAqfAAjtfOWvKfxk52&#10;8wLwBpy4cOe58hwdO9kU6K3iMjuemf38fd94eTNYQ3YSovauodNJRYl0wrfabRr69cvd62tKYuKu&#10;5cY72dC9jPRmdfFq2YdaznznTSuBIIiLdR8a2qUUasai6KTlceKDdNhUHixPeIQNa4H3iG4Nm1XV&#10;Fes9tAG8kDFi9fbYpKuCr5QU6ZNSUSZiGorcUolQ4jpHtlryegM8dFqcaPAXsLBcO7z0DHXLEydb&#10;0M+grBbgo1dpIrxlXiktZNGAaqbVP2oeOh5k0YLmxHC2Kf4/WPFx9xmIbnF3FfrjuMUlHX58P/z8&#10;ffj1jUzfXGaL+hBrnHwIOJuGd35oaIKtHFsR61n8oMDmL8oiOIJ4+7PHckhEYHE2Xywur+aUCOxN&#10;r6u3i3mGYU9/B4jpXnpLctJQwB0Wa/nuQ0zH0XEkX+b8nTam7NG4vwqImSsssz9SzFka1sNJ0tq3&#10;e1Rk3jt0NL+OMYExWY/JNoDedEhn1F1QcSmF+ukB5a3/eS53Pz3z1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sqLIi2AAAAAoBAAAPAAAAAAAAAAEAIAAAADgAAABkcnMvZG93bnJldi54bWxQSwEC&#10;FAAUAAAACACHTuJAFE3YU6UBAAAuAwAADgAAAAAAAAABACAAAAA9AQAAZHJzL2Uyb0RvYy54bWxQ&#10;SwUGAAAAAAYABgBZAQAAVAU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22400" behindDoc="1" locked="0" layoutInCell="1" allowOverlap="1">
              <wp:simplePos x="0" y="0"/>
              <wp:positionH relativeFrom="page">
                <wp:posOffset>1026160</wp:posOffset>
              </wp:positionH>
              <wp:positionV relativeFrom="page">
                <wp:posOffset>737870</wp:posOffset>
              </wp:positionV>
              <wp:extent cx="5424805" cy="0"/>
              <wp:effectExtent l="0" t="0" r="0" b="0"/>
              <wp:wrapNone/>
              <wp:docPr id="102" name="直线 127"/>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27" o:spid="_x0000_s1026" o:spt="20" style="position:absolute;left:0pt;margin-left:80.8pt;margin-top:58.1pt;height:0pt;width:427.15pt;mso-position-horizontal-relative:page;mso-position-vertical-relative:page;z-index:-251694080;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BWy03zTAQAAlAMA&#10;AA4AAABkcnMvZTJvRG9jLnhtbK1TzW4TMRC+I/EOlu9kN6s2lFU2PRDKBUGllgeY2N5dS/6Tx8km&#10;z8JrcOLC4/Q1GDtpCvRSIXJwxp7x5+/7ZnZ5vbeG7VRE7V3H57OaM+WEl9oNHf96f/PmijNM4CQY&#10;71THDwr59er1q+UUWtX40RupIiMQh+0UOj6mFNqqQjEqCzjzQTlK9j5aSLSNQyUjTIRuTdXU9aKa&#10;fJQheqEQ6XR9TPJVwe97JdKXvkeVmOk4cUtljWXd5LVaLaEdIoRRixMN+AcWFrSjR89Qa0jAtlE/&#10;g7JaRI++TzPhbeX7XgtVNJCaef2XmrsRgipayBwMZ5vw/8GKz7vbyLSk3tUNZw4sNenh2/eHHz/Z&#10;vHmb/ZkCtlR2F27jaYcUZrH7Ptr8TzLYvnh6OHuq9okJOry8aC6u6kvOxGOueroYIqaPyluWg44b&#10;7bJcaGH3CRM9RqWPJfnYODZ1fFG/WxAc0LT0BhKFNhB/dEO5i95oeaONyTcwDpv3JrId5P6XX5ZE&#10;uH+U5UfWgOOxrqSOkzEqkB+cZOkQyBdHI8wzBaskZ0bRxOeIAKFNoM1LKulp44hBdvXoY442Xh6o&#10;D9sQ9TCSEyluVSGak9T6Qvk0pnm2ft8XsKePaf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38tP&#10;ktgAAAAMAQAADwAAAAAAAAABACAAAAA4AAAAZHJzL2Rvd25yZXYueG1sUEsBAhQAFAAAAAgAh07i&#10;QBWy03zTAQAAlA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23424" behindDoc="1" locked="0" layoutInCell="1" allowOverlap="1">
              <wp:simplePos x="0" y="0"/>
              <wp:positionH relativeFrom="page">
                <wp:posOffset>4323715</wp:posOffset>
              </wp:positionH>
              <wp:positionV relativeFrom="page">
                <wp:posOffset>548005</wp:posOffset>
              </wp:positionV>
              <wp:extent cx="2122805" cy="165735"/>
              <wp:effectExtent l="0" t="0" r="0" b="0"/>
              <wp:wrapNone/>
              <wp:docPr id="103" name="文本框 126"/>
              <wp:cNvGraphicFramePr/>
              <a:graphic xmlns:a="http://schemas.openxmlformats.org/drawingml/2006/main">
                <a:graphicData uri="http://schemas.microsoft.com/office/word/2010/wordprocessingShape">
                  <wps:wsp>
                    <wps:cNvSpPr txBox="true"/>
                    <wps:spPr>
                      <a:xfrm>
                        <a:off x="0" y="0"/>
                        <a:ext cx="2122805" cy="165735"/>
                      </a:xfrm>
                      <a:prstGeom prst="rect">
                        <a:avLst/>
                      </a:prstGeom>
                      <a:noFill/>
                      <a:ln>
                        <a:noFill/>
                      </a:ln>
                    </wps:spPr>
                    <wps:txbx>
                      <w:txbxContent>
                        <w:p>
                          <w:pPr>
                            <w:tabs>
                              <w:tab w:val="left" w:pos="900"/>
                            </w:tabs>
                            <w:spacing w:line="261" w:lineRule="exact"/>
                            <w:ind w:left="20"/>
                            <w:rPr>
                              <w:rFonts w:ascii="黑体" w:eastAsia="黑体"/>
                            </w:rPr>
                          </w:pPr>
                        </w:p>
                      </w:txbxContent>
                    </wps:txbx>
                    <wps:bodyPr lIns="0" tIns="0" rIns="0" bIns="0" upright="true"/>
                  </wps:wsp>
                </a:graphicData>
              </a:graphic>
            </wp:anchor>
          </w:drawing>
        </mc:Choice>
        <mc:Fallback>
          <w:pict>
            <v:shape id="文本框 126" o:spid="_x0000_s1026" o:spt="202" type="#_x0000_t202" style="position:absolute;left:0pt;margin-left:340.45pt;margin-top:43.15pt;height:13.05pt;width:167.15pt;mso-position-horizontal-relative:page;mso-position-vertical-relative:page;z-index:-251693056;mso-width-relative:page;mso-height-relative:page;" filled="f" stroked="f" coordsize="21600,21600" o:gfxdata="UEsFBgAAAAAAAAAAAAAAAAAAAAAAAFBLAwQKAAAAAACHTuJAAAAAAAAAAAAAAAAABAAAAGRycy9Q&#10;SwMEFAAAAAgAh07iQAWf5LvaAAAACwEAAA8AAABkcnMvZG93bnJldi54bWxNj8tOwzAQRfdI/Qdr&#10;KrGjdgJEaYhTIQQrJEQaFiydeJpYjcchdh/8Pe6q7GY0R3fOLTdnO7Ijzt44kpCsBDCkzmlDvYSv&#10;5u0uB+aDIq1GRyjhFz1sqsVNqQrtTlTjcRt6FkPIF0rCEMJUcO67Aa3yKzchxdvOzVaFuM4917M6&#10;xXA78lSIjFtlKH4Y1IQvA3b77cFKeP6m+tX8fLSf9a42TbMW9J7tpbxdJuIJWMBzuMJw0Y/qUEWn&#10;1h1IezZKyHKxjqiEPLsHdgFE8pgCa+OUpA/Aq5L/71D9AVBLAwQUAAAACACHTuJApx1g86QBAAAu&#10;AwAADgAAAGRycy9lMm9Eb2MueG1srVJLjhMxEN0jcQfLe+LuHiWMWumMhEaDkBAgDRzAcdtpS/6p&#10;7KQ7F4AbsGLDnnPlHJSddIbPDrGpLldVP7/3yuu7yRpykBC1dx2tFxUl0gnfa7fr6KePDy9uKYmJ&#10;u54b72RHjzLSu83zZ+sxtLLxgze9BIIgLrZj6OiQUmgZi2KQlseFD9JhU3mwPOERdqwHPiK6Nayp&#10;qhUbPfQBvJAxYvX+3KSbgq+UFOm9UlEmYjqK3FKJUOI2R7ZZ83YHPAxaXGjwf2BhuXZ46RXqnidO&#10;9qD/grJagI9epYXwlnmltJBFA6qpqz/UPA48yKIFzYnhalP8f7Di3eEDEN3j7qobShy3uKTT1y+n&#10;bz9O3z+Tullli8YQW5x8DDibpld+6miCvZxbEetZ/KTA5i/KIjiCfh+vHsspEYHFpm6a22pJicBe&#10;vVq+vFlmGPb0d4CYXktvSU46CrjDYi0/vI3pPDqP5Mucf9DGlD0a91sBMXOFZfZnijlL03a6SNr6&#10;/oiKzBuHjubXMScwJ9s52QfQuwHpzLoLKi6lUL88oLz1X8/l7qdnvv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BZ/ku9oAAAALAQAADwAAAAAAAAABACAAAAA4AAAAZHJzL2Rvd25yZXYueG1sUEsB&#10;AhQAFAAAAAgAh07iQKcdYPOkAQAALgMAAA4AAAAAAAAAAQAgAAAAPwEAAGRycy9lMm9Eb2MueG1s&#10;UEsFBgAAAAAGAAYAWQEAAFUFAAAAAA==&#10;">
              <v:fill on="f" focussize="0,0"/>
              <v:stroke on="f"/>
              <v:imagedata o:title=""/>
              <o:lock v:ext="edit" aspectratio="f"/>
              <v:textbox inset="0mm,0mm,0mm,0mm">
                <w:txbxContent>
                  <w:p>
                    <w:pPr>
                      <w:tabs>
                        <w:tab w:val="left" w:pos="900"/>
                      </w:tabs>
                      <w:spacing w:line="261" w:lineRule="exact"/>
                      <w:ind w:left="20"/>
                      <w:rPr>
                        <w:rFonts w:ascii="黑体" w:eastAsia="黑体"/>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24448" behindDoc="1" locked="0" layoutInCell="1" allowOverlap="1">
              <wp:simplePos x="0" y="0"/>
              <wp:positionH relativeFrom="page">
                <wp:posOffset>1026160</wp:posOffset>
              </wp:positionH>
              <wp:positionV relativeFrom="page">
                <wp:posOffset>737870</wp:posOffset>
              </wp:positionV>
              <wp:extent cx="5424805" cy="0"/>
              <wp:effectExtent l="0" t="0" r="0" b="0"/>
              <wp:wrapNone/>
              <wp:docPr id="104" name="直线 129"/>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29" o:spid="_x0000_s1026" o:spt="20" style="position:absolute;left:0pt;margin-left:80.8pt;margin-top:58.1pt;height:0pt;width:427.15pt;mso-position-horizontal-relative:page;mso-position-vertical-relative:page;z-index:-251692032;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Ex7c7TTAQAAlAMA&#10;AA4AAABkcnMvZTJvRG9jLnhtbK1TS27bMBDdF8gdCO5ryYZjJILlLOomm6INkOYAY5KSCPAHDm3Z&#10;Z+k1uuqmx8k1OqQdJ2k3RVEv6CFn+Pjem9HyZm8N26mI2ruWTyc1Z8oJL7XrW/749fb9FWeYwEkw&#10;3qmWHxTym9XFu+UYGjXzgzdSRUYgDpsxtHxIKTRVhWJQFnDig3KU7Hy0kGgb+0pGGAndmmpW14tq&#10;9FGG6IVCpNP1MclXBb/rlEhfug5VYqblxC2VNZZ1k9dqtYSmjxAGLU404B9YWNCOHj1DrSEB20b9&#10;B5TVInr0XZoIbyvfdVqoooHUTOvf1DwMEFTRQuZgONuE/w9WfN7dR6Yl9a6ec+bAUpOevn1/+vGT&#10;TWfX2Z8xYENlD+E+nnZIYRa776LN/ySD7Yunh7Onap+YoMPL+Wx+VV9yJp5z1cvFEDHdKW9ZDlpu&#10;tMtyoYHdJ0z0GJU+l+Rj49jY8kV9vSA4oGnpDCQKbSD+6PpyF73R8lYbk29g7DcfTGQ7yP0vvyyJ&#10;cN+U5UfWgMOxrqSOkzEokB+dZOkQyBdHI8wzBaskZ0bRxOeIAKFJoM3fVNLTxhGD7OrRxxxtvDxQ&#10;H7Yh6n4gJ1LcqkI0J6n1hfJpTPNsvd4XsJePaf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38tP&#10;ktgAAAAMAQAADwAAAAAAAAABACAAAAA4AAAAZHJzL2Rvd25yZXYueG1sUEsBAhQAFAAAAAgAh07i&#10;QEx7c7TTAQAAlA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25472"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05" name="文本框 128"/>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128" o:spid="_x0000_s1026" o:spt="202" type="#_x0000_t202" style="position:absolute;left:0pt;margin-left:81.2pt;margin-top:42.8pt;height:14.25pt;width:202.95pt;mso-position-horizontal-relative:page;mso-position-vertical-relative:page;z-index:-251691008;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G52KJOlAQAALgMA&#10;AA4AAABkcnMvZTJvRG9jLnhtbK1SS27bMBDdF8gdCO5rykYdO4LlAEWQoEDRFkhyAJoiLQL8YUhb&#10;8gXaG3TVTfc9l8/RIW05/eyKbqjhzOjNe2+4uh2sIXsJUXvX0OmkokQ64Vvttg19frp/vaQkJu5a&#10;bryTDT3ISG/XV69WfajlzHfetBIIgrhY96GhXUqhZiyKTloeJz5Ih0XlwfKEV9iyFniP6NawWVVd&#10;s95DG8ALGSNm705Fui74SkmRPioVZSKmocgtlRPKucknW694vQUeOi3ONPg/sLBcOxx6gbrjiZMd&#10;6L+grBbgo1dpIrxlXiktZNGAaqbVH2oeOx5k0YLmxHCxKf4/WPFh/wmIbnF31ZwSxy0u6fj1y/Hb&#10;j+P3z2Q6W2aL+hBr7HwM2JuGt35oaIKdHEsR81n8oMDmL8oi2IJ+Hy4eyyERgcnZfLF4c42jBNam&#10;y+pmMc8w7OXvADE9SG9JDhoKuMNiLd+/j+nUOrbkYc7fa2PKHo37LYGYOcMy+xPFHKVhM5wlbXx7&#10;QEXmnUNH8+sYAxiDzRjsAuhth3RG3QUVl1Konx9Q3vqv9zL75Zmv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sqLIi2AAAAAoBAAAPAAAAAAAAAAEAIAAAADgAAABkcnMvZG93bnJldi54bWxQSwEC&#10;FAAUAAAACACHTuJAbnYok6UBAAAuAwAADgAAAAAAAAABACAAAAA9AQAAZHJzL2Uyb0RvYy54bWxQ&#10;SwUGAAAAAAYABgBZAQAAVAU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27520" behindDoc="1" locked="0" layoutInCell="1" allowOverlap="1">
              <wp:simplePos x="0" y="0"/>
              <wp:positionH relativeFrom="page">
                <wp:posOffset>1026160</wp:posOffset>
              </wp:positionH>
              <wp:positionV relativeFrom="page">
                <wp:posOffset>737870</wp:posOffset>
              </wp:positionV>
              <wp:extent cx="5424805" cy="0"/>
              <wp:effectExtent l="0" t="0" r="0" b="0"/>
              <wp:wrapNone/>
              <wp:docPr id="107" name="直线 123"/>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23" o:spid="_x0000_s1026" o:spt="20" style="position:absolute;left:0pt;margin-left:80.8pt;margin-top:58.1pt;height:0pt;width:427.15pt;mso-position-horizontal-relative:page;mso-position-vertical-relative:page;z-index:-251688960;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Dlu0u7TAQAAlAMA&#10;AA4AAABkcnMvZTJvRG9jLnhtbK1TS44TMRDdI3EHy3vSnTAzDK10ZkEYNghGGjhAxZ9uS/7J5aST&#10;s3ANVmw4zlyDspPJ8NkgRBZO2VV+fu9V9fJm7yzbqYQm+J7PZy1nyosgjR96/vnT7YtrzjCDl2CD&#10;Vz0/KOQ3q+fPllPs1CKMwUqVGIF47KbY8zHn2DUNilE5wFmIylNSh+Qg0zYNjUwwEbqzzaJtr5op&#10;JBlTEAqRTtfHJF9VfK2VyB+1RpWZ7Tlxy3VNdd2UtVktoRsSxNGIEw34BxYOjKdHz1BryMC2yfwB&#10;5YxIAYPOMxFcE7Q2QlUNpGbe/qbmfoSoqhYyB+PZJvx/sOLD7i4xI6l37SvOPDhq0sOXrw/fvrP5&#10;4mXxZ4rYUdl9vEunHVJYxO51cuWfZLB99fRw9lTtMxN0eHmxuLhuLzkTj7nm6WJMmN+p4FgJem6N&#10;L3Khg917zPQYlT6WlGPr2dTzq/b1FcEBTYu2kCl0kfijH+pdDNbIW2NtuYFp2Lyxie2g9L/+iiTC&#10;/aWsPLIGHI91NXWcjFGBfOsly4dIvngaYV4oOCU5s4omvkQECF0GY/+mkp62nhgUV48+lmgT5IH6&#10;sI3JDCM5kdNWVaIlSa2vlE9jWmbr530Fe/qYV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38tP&#10;ktgAAAAMAQAADwAAAAAAAAABACAAAAA4AAAAZHJzL2Rvd25yZXYueG1sUEsBAhQAFAAAAAgAh07i&#10;QDlu0u7TAQAAlA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28544" behindDoc="1" locked="0" layoutInCell="1" allowOverlap="1">
              <wp:simplePos x="0" y="0"/>
              <wp:positionH relativeFrom="page">
                <wp:posOffset>3766185</wp:posOffset>
              </wp:positionH>
              <wp:positionV relativeFrom="page">
                <wp:posOffset>548005</wp:posOffset>
              </wp:positionV>
              <wp:extent cx="2680970" cy="165735"/>
              <wp:effectExtent l="0" t="0" r="0" b="0"/>
              <wp:wrapNone/>
              <wp:docPr id="108" name="文本框 122"/>
              <wp:cNvGraphicFramePr/>
              <a:graphic xmlns:a="http://schemas.openxmlformats.org/drawingml/2006/main">
                <a:graphicData uri="http://schemas.microsoft.com/office/word/2010/wordprocessingShape">
                  <wps:wsp>
                    <wps:cNvSpPr txBox="true"/>
                    <wps:spPr>
                      <a:xfrm>
                        <a:off x="0" y="0"/>
                        <a:ext cx="2680970" cy="165735"/>
                      </a:xfrm>
                      <a:prstGeom prst="rect">
                        <a:avLst/>
                      </a:prstGeom>
                      <a:noFill/>
                      <a:ln>
                        <a:noFill/>
                      </a:ln>
                    </wps:spPr>
                    <wps:txbx>
                      <w:txbxContent>
                        <w:p>
                          <w:pPr>
                            <w:tabs>
                              <w:tab w:val="left" w:pos="901"/>
                            </w:tabs>
                            <w:spacing w:line="261" w:lineRule="exact"/>
                            <w:ind w:left="20"/>
                            <w:rPr>
                              <w:rFonts w:ascii="黑体" w:eastAsia="黑体"/>
                            </w:rPr>
                          </w:pPr>
                        </w:p>
                      </w:txbxContent>
                    </wps:txbx>
                    <wps:bodyPr lIns="0" tIns="0" rIns="0" bIns="0" upright="true"/>
                  </wps:wsp>
                </a:graphicData>
              </a:graphic>
            </wp:anchor>
          </w:drawing>
        </mc:Choice>
        <mc:Fallback>
          <w:pict>
            <v:shape id="文本框 122" o:spid="_x0000_s1026" o:spt="202" type="#_x0000_t202" style="position:absolute;left:0pt;margin-left:296.55pt;margin-top:43.15pt;height:13.05pt;width:211.1pt;mso-position-horizontal-relative:page;mso-position-vertical-relative:page;z-index:-251687936;mso-width-relative:page;mso-height-relative:page;" filled="f" stroked="f" coordsize="21600,21600" o:gfxdata="UEsFBgAAAAAAAAAAAAAAAAAAAAAAAFBLAwQKAAAAAACHTuJAAAAAAAAAAAAAAAAABAAAAGRycy9Q&#10;SwMEFAAAAAgAh07iQAU0XD7ZAAAACwEAAA8AAABkcnMvZG93bnJldi54bWxNj8tOwzAQRfdI/IM1&#10;SOyo7ZZGbYhTIQQrJEQaFiyd2E2sxuMQuw/+numq7O5oju6cKTZnP7CjnaILqEDOBDCLbTAOOwVf&#10;9dvDClhMGo0eAloFvzbCpry9KXRuwgkre9ymjlEJxlwr6FMac85j21uv4yyMFmm3C5PXicap42bS&#10;Jyr3A58LkXGvHdKFXo/2pbftfnvwCp6/sXp1Px/NZ7WrXF2vBb5ne6Xu76R4ApbsOV1huOiTOpTk&#10;1IQDmsgGBcv1QhKqYJUtgF0AIZeUGkpy/gi8LPj/H8o/UEsDBBQAAAAIAIdO4kA3P9CdpAEAAC4D&#10;AAAOAAAAZHJzL2Uyb0RvYy54bWytUktu2zAQ3RfIHQjua8oq4iSC5QBFkKBA0RZIcgCaIi0C/GFI&#10;W/IF2ht01U33PZfP0SFtOf3sim5Gw5nR47z3uLwdrSE7CVF719L5rKJEOuE77TYtfX66f31NSUzc&#10;ddx4J1u6l5Heri5eLYfQyNr33nQSCIK42AyhpX1KoWEsil5aHmc+SIdN5cHyhEfYsA74gOjWsLqq&#10;Fmzw0AXwQsaI1btjk64KvlJSpI9KRZmIaSnulkqEEtc5stWSNxvgodfitAb/hy0s1w4vPUPd8cTJ&#10;FvRfUFYL8NGrNBPeMq+UFrJwQDbz6g82jz0PsnBBcWI4yxT/H6z4sPsERHfoXYVWOW7RpMPXL4dv&#10;Pw7fP5N5XWeJhhAbnHwMOJvGt35saYKtnFoR65n8qMDmL9IiOIJ6788ayzERgcV6cV3dXGFLYG++&#10;uLx6c5lh2MvfAWJ6kN6SnLQU0MMiLd+9j+k4Oo3ky5y/18YUH437rYCYucLy9scVc5bG9XiitPbd&#10;HhmZdw4Vza9jSmBK1lOyDaA3Pa4z8S6oaEpZ/fSAsuu/nsvdL898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NFw+2QAAAAsBAAAPAAAAAAAAAAEAIAAAADgAAABkcnMvZG93bnJldi54bWxQSwEC&#10;FAAUAAAACACHTuJANz/QnaQBAAAuAwAADgAAAAAAAAABACAAAAA+AQAAZHJzL2Uyb0RvYy54bWxQ&#10;SwUGAAAAAAYABgBZAQAAVAUAAAAA&#10;">
              <v:fill on="f" focussize="0,0"/>
              <v:stroke on="f"/>
              <v:imagedata o:title=""/>
              <o:lock v:ext="edit" aspectratio="f"/>
              <v:textbox inset="0mm,0mm,0mm,0mm">
                <w:txbxContent>
                  <w:p>
                    <w:pPr>
                      <w:tabs>
                        <w:tab w:val="left" w:pos="901"/>
                      </w:tabs>
                      <w:spacing w:line="261" w:lineRule="exact"/>
                      <w:ind w:left="20"/>
                      <w:rPr>
                        <w:rFonts w:ascii="黑体" w:eastAsia="黑体"/>
                      </w:rPr>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29568" behindDoc="1" locked="0" layoutInCell="1" allowOverlap="1">
              <wp:simplePos x="0" y="0"/>
              <wp:positionH relativeFrom="page">
                <wp:posOffset>1026160</wp:posOffset>
              </wp:positionH>
              <wp:positionV relativeFrom="page">
                <wp:posOffset>737870</wp:posOffset>
              </wp:positionV>
              <wp:extent cx="5424805" cy="0"/>
              <wp:effectExtent l="0" t="0" r="0" b="0"/>
              <wp:wrapNone/>
              <wp:docPr id="109" name="直线 121"/>
              <wp:cNvGraphicFramePr/>
              <a:graphic xmlns:a="http://schemas.openxmlformats.org/drawingml/2006/main">
                <a:graphicData uri="http://schemas.microsoft.com/office/word/2010/wordprocessingShape">
                  <wps:wsp>
                    <wps:cNvSp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21" o:spid="_x0000_s1026" o:spt="20" style="position:absolute;left:0pt;margin-left:80.8pt;margin-top:58.1pt;height:0pt;width:427.15pt;mso-position-horizontal-relative:page;mso-position-vertical-relative:page;z-index:-251686912;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LyDkC7SAQAAlAMA&#10;AA4AAABkcnMvZTJvRG9jLnhtbK1TS27bMBDdF+gdCO4byUZiJILlLOqmm6INkOYAY34kAvyBQ1v2&#10;WXqNrrrpcXKNDmnH6WdTFPWCHnKGj++9GS1v986ynUpogu/57KLlTHkRpPFDzx8/37255gwzeAk2&#10;eNXzg0J+u3r9ajnFTs3DGKxUiRGIx26KPR9zjl3ToBiVA7wIUXlK6pAcZNqmoZEJJkJ3tpm37aKZ&#10;QpIxBaEQ6XR9TPJVxddaifxJa1SZ2Z4Tt1zXVNdNWZvVErohQRyNONGAf2DhwHh69Ay1hgxsm8wf&#10;UM6IFDDofCGCa4LWRqiqgdTM2t/UPIwQVdVC5mA824T/D1Z83N0nZiT1rr3hzIOjJj19+fr07Tub&#10;zWfFnyliR2UP8T6ddkhhEbvXyZV/ksH21dPD2VO1z0zQ4dXl/PK6veJMPOeal4sxYX6vgmMl6Lk1&#10;vsiFDnYfMNNjVPpcUo6tZ1PPF+3NguCApkVbyBS6SPzRD/UuBmvknbG23MA0bN7axHZQ+l9/RRLh&#10;/lJWHlkDjse6mjpOxqhAvvOS5UMkXzyNMC8UnJKcWUUTXyIChC6DsX9TSU9bTwyKq0cfS7QJ8kB9&#10;2MZkhpGcyGmrKtGSpNZXyqcxLbP1876CvXxMq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fy0+S&#10;2AAAAAwBAAAPAAAAAAAAAAEAIAAAADgAAABkcnMvZG93bnJldi54bWxQSwECFAAUAAAACACHTuJA&#10;vIOQLtIBAACUAwAADgAAAAAAAAABACAAAAA9AQAAZHJzL2Uyb0RvYy54bWxQSwUGAAAAAAYABgBZ&#10;AQAAg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30592"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10" name="文本框 120"/>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120" o:spid="_x0000_s1026" o:spt="202" type="#_x0000_t202" style="position:absolute;left:0pt;margin-left:81.2pt;margin-top:42.8pt;height:14.25pt;width:202.95pt;mso-position-horizontal-relative:page;mso-position-vertical-relative:page;z-index:-251685888;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NQIbzakAQAALgMA&#10;AA4AAABkcnMvZTJvRG9jLnhtbK1SS44TMRDdI3EHy3vi7ohMhlY6I6HRICQESDMcwHHbaUv+qeyk&#10;OxeAG7Biw55z5RyUPekEmN2ITXW5qvr5vVde3YzWkL2EqL1raT2rKJFO+E67bUu/PNy9uqYkJu46&#10;bryTLT3ISG/WL1+shtDIue+96SQQBHGxGUJL+5RCw1gUvbQ8znyQDpvKg+UJj7BlHfAB0a1h86q6&#10;YoOHLoAXMkas3j426brgKyVF+qRUlImYliK3VCKUuMmRrVe82QIPvRYnGvwZLCzXDi89Q93yxMkO&#10;9BMoqwX46FWaCW+ZV0oLWTSgmrr6R819z4MsWtCcGM42xf8HKz7uPwPRHe6uRn8ct7ik4/dvxx+/&#10;jj+/knpeLBpCbHDyPuBsGt/6saUJdjK7l1sR61n8qMDmL8oiOIJ4h7PHckxEYHG+WC5fXy0oEdir&#10;r6s3y0WGYZe/A8T0TnpLctJSwB0Wa/n+Q0yPo9NIvsz5O21M2aNxfxUQM1fYhWLO0rgZT7w3vjug&#10;IvPeoaP5dUwJTMlmSnYB9LZHOpPugopLKdRPDyhv/c9zufvyzN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yosiLYAAAACgEAAA8AAAAAAAAAAQAgAAAAOAAAAGRycy9kb3ducmV2LnhtbFBLAQIU&#10;ABQAAAAIAIdO4kDUCG82pAEAAC4DAAAOAAAAAAAAAAEAIAAAAD0BAABkcnMvZTJvRG9jLnhtbFBL&#10;BQYAAAAABgAGAFkBAABTBQ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F06C6"/>
    <w:multiLevelType w:val="multilevel"/>
    <w:tmpl w:val="022F06C6"/>
    <w:lvl w:ilvl="0" w:tentative="0">
      <w:start w:val="13"/>
      <w:numFmt w:val="decimal"/>
      <w:lvlText w:val="%1"/>
      <w:lvlJc w:val="left"/>
      <w:pPr>
        <w:ind w:left="424" w:hanging="720"/>
      </w:pPr>
      <w:rPr>
        <w:rFonts w:hint="default"/>
        <w:lang w:val="zh-CN" w:eastAsia="zh-CN" w:bidi="zh-CN"/>
      </w:rPr>
    </w:lvl>
    <w:lvl w:ilvl="1" w:tentative="0">
      <w:start w:val="2"/>
      <w:numFmt w:val="decimal"/>
      <w:lvlText w:val="%1.%2"/>
      <w:lvlJc w:val="left"/>
      <w:pPr>
        <w:ind w:left="424" w:hanging="720"/>
      </w:pPr>
      <w:rPr>
        <w:rFonts w:hint="default"/>
        <w:lang w:val="zh-CN" w:eastAsia="zh-CN" w:bidi="zh-CN"/>
      </w:rPr>
    </w:lvl>
    <w:lvl w:ilvl="2" w:tentative="0">
      <w:start w:val="3"/>
      <w:numFmt w:val="decimal"/>
      <w:lvlText w:val="%1.%2.%3"/>
      <w:lvlJc w:val="left"/>
      <w:pPr>
        <w:ind w:left="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1">
    <w:nsid w:val="02F234C7"/>
    <w:multiLevelType w:val="multilevel"/>
    <w:tmpl w:val="02F234C7"/>
    <w:lvl w:ilvl="0" w:tentative="0">
      <w:start w:val="1"/>
      <w:numFmt w:val="decimal"/>
      <w:lvlText w:val="%1."/>
      <w:lvlJc w:val="left"/>
      <w:pPr>
        <w:ind w:left="424" w:hanging="300"/>
      </w:pPr>
      <w:rPr>
        <w:rFonts w:hint="default" w:ascii="Times New Roman" w:hAnsi="Times New Roman" w:eastAsia="Times New Roman" w:cs="Times New Roman"/>
        <w:spacing w:val="-120"/>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2">
    <w:nsid w:val="05205D7D"/>
    <w:multiLevelType w:val="multilevel"/>
    <w:tmpl w:val="05205D7D"/>
    <w:lvl w:ilvl="0" w:tentative="0">
      <w:start w:val="11"/>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3">
    <w:nsid w:val="06273EF1"/>
    <w:multiLevelType w:val="multilevel"/>
    <w:tmpl w:val="06273EF1"/>
    <w:lvl w:ilvl="0" w:tentative="0">
      <w:start w:val="4"/>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jc w:val="right"/>
      </w:pPr>
      <w:rPr>
        <w:rFonts w:hint="default"/>
        <w:lang w:val="zh-CN" w:eastAsia="zh-CN" w:bidi="zh-CN"/>
      </w:rPr>
    </w:lvl>
    <w:lvl w:ilvl="2" w:tentative="0">
      <w:start w:val="9"/>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895" w:hanging="600"/>
      </w:pPr>
      <w:rPr>
        <w:rFonts w:hint="default"/>
        <w:lang w:val="zh-CN" w:eastAsia="zh-CN" w:bidi="zh-CN"/>
      </w:rPr>
    </w:lvl>
    <w:lvl w:ilvl="4" w:tentative="0">
      <w:start w:val="0"/>
      <w:numFmt w:val="bullet"/>
      <w:lvlText w:val="•"/>
      <w:lvlJc w:val="left"/>
      <w:pPr>
        <w:ind w:left="4694" w:hanging="600"/>
      </w:pPr>
      <w:rPr>
        <w:rFonts w:hint="default"/>
        <w:lang w:val="zh-CN" w:eastAsia="zh-CN" w:bidi="zh-CN"/>
      </w:rPr>
    </w:lvl>
    <w:lvl w:ilvl="5" w:tentative="0">
      <w:start w:val="0"/>
      <w:numFmt w:val="bullet"/>
      <w:lvlText w:val="•"/>
      <w:lvlJc w:val="left"/>
      <w:pPr>
        <w:ind w:left="5493" w:hanging="600"/>
      </w:pPr>
      <w:rPr>
        <w:rFonts w:hint="default"/>
        <w:lang w:val="zh-CN" w:eastAsia="zh-CN" w:bidi="zh-CN"/>
      </w:rPr>
    </w:lvl>
    <w:lvl w:ilvl="6" w:tentative="0">
      <w:start w:val="0"/>
      <w:numFmt w:val="bullet"/>
      <w:lvlText w:val="•"/>
      <w:lvlJc w:val="left"/>
      <w:pPr>
        <w:ind w:left="6291" w:hanging="600"/>
      </w:pPr>
      <w:rPr>
        <w:rFonts w:hint="default"/>
        <w:lang w:val="zh-CN" w:eastAsia="zh-CN" w:bidi="zh-CN"/>
      </w:rPr>
    </w:lvl>
    <w:lvl w:ilvl="7" w:tentative="0">
      <w:start w:val="0"/>
      <w:numFmt w:val="bullet"/>
      <w:lvlText w:val="•"/>
      <w:lvlJc w:val="left"/>
      <w:pPr>
        <w:ind w:left="7090" w:hanging="600"/>
      </w:pPr>
      <w:rPr>
        <w:rFonts w:hint="default"/>
        <w:lang w:val="zh-CN" w:eastAsia="zh-CN" w:bidi="zh-CN"/>
      </w:rPr>
    </w:lvl>
    <w:lvl w:ilvl="8" w:tentative="0">
      <w:start w:val="0"/>
      <w:numFmt w:val="bullet"/>
      <w:lvlText w:val="•"/>
      <w:lvlJc w:val="left"/>
      <w:pPr>
        <w:ind w:left="7889" w:hanging="600"/>
      </w:pPr>
      <w:rPr>
        <w:rFonts w:hint="default"/>
        <w:lang w:val="zh-CN" w:eastAsia="zh-CN" w:bidi="zh-CN"/>
      </w:rPr>
    </w:lvl>
  </w:abstractNum>
  <w:abstractNum w:abstractNumId="4">
    <w:nsid w:val="06312B8F"/>
    <w:multiLevelType w:val="multilevel"/>
    <w:tmpl w:val="06312B8F"/>
    <w:lvl w:ilvl="0" w:tentative="0">
      <w:start w:val="1"/>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74" w:hanging="600"/>
      </w:pPr>
      <w:rPr>
        <w:rFonts w:hint="default"/>
        <w:lang w:val="zh-CN" w:eastAsia="zh-CN" w:bidi="zh-CN"/>
      </w:rPr>
    </w:lvl>
    <w:lvl w:ilvl="4" w:tentative="0">
      <w:start w:val="0"/>
      <w:numFmt w:val="bullet"/>
      <w:lvlText w:val="•"/>
      <w:lvlJc w:val="left"/>
      <w:pPr>
        <w:ind w:left="4162" w:hanging="600"/>
      </w:pPr>
      <w:rPr>
        <w:rFonts w:hint="default"/>
        <w:lang w:val="zh-CN" w:eastAsia="zh-CN" w:bidi="zh-CN"/>
      </w:rPr>
    </w:lvl>
    <w:lvl w:ilvl="5" w:tentative="0">
      <w:start w:val="0"/>
      <w:numFmt w:val="bullet"/>
      <w:lvlText w:val="•"/>
      <w:lvlJc w:val="left"/>
      <w:pPr>
        <w:ind w:left="5049" w:hanging="600"/>
      </w:pPr>
      <w:rPr>
        <w:rFonts w:hint="default"/>
        <w:lang w:val="zh-CN" w:eastAsia="zh-CN" w:bidi="zh-CN"/>
      </w:rPr>
    </w:lvl>
    <w:lvl w:ilvl="6" w:tentative="0">
      <w:start w:val="0"/>
      <w:numFmt w:val="bullet"/>
      <w:lvlText w:val="•"/>
      <w:lvlJc w:val="left"/>
      <w:pPr>
        <w:ind w:left="5936" w:hanging="600"/>
      </w:pPr>
      <w:rPr>
        <w:rFonts w:hint="default"/>
        <w:lang w:val="zh-CN" w:eastAsia="zh-CN" w:bidi="zh-CN"/>
      </w:rPr>
    </w:lvl>
    <w:lvl w:ilvl="7" w:tentative="0">
      <w:start w:val="0"/>
      <w:numFmt w:val="bullet"/>
      <w:lvlText w:val="•"/>
      <w:lvlJc w:val="left"/>
      <w:pPr>
        <w:ind w:left="6824" w:hanging="600"/>
      </w:pPr>
      <w:rPr>
        <w:rFonts w:hint="default"/>
        <w:lang w:val="zh-CN" w:eastAsia="zh-CN" w:bidi="zh-CN"/>
      </w:rPr>
    </w:lvl>
    <w:lvl w:ilvl="8" w:tentative="0">
      <w:start w:val="0"/>
      <w:numFmt w:val="bullet"/>
      <w:lvlText w:val="•"/>
      <w:lvlJc w:val="left"/>
      <w:pPr>
        <w:ind w:left="7711" w:hanging="600"/>
      </w:pPr>
      <w:rPr>
        <w:rFonts w:hint="default"/>
        <w:lang w:val="zh-CN" w:eastAsia="zh-CN" w:bidi="zh-CN"/>
      </w:rPr>
    </w:lvl>
  </w:abstractNum>
  <w:abstractNum w:abstractNumId="5">
    <w:nsid w:val="101B00DF"/>
    <w:multiLevelType w:val="multilevel"/>
    <w:tmpl w:val="101B00DF"/>
    <w:lvl w:ilvl="0" w:tentative="0">
      <w:start w:val="4"/>
      <w:numFmt w:val="decimal"/>
      <w:lvlText w:val="%1"/>
      <w:lvlJc w:val="left"/>
      <w:pPr>
        <w:ind w:left="424" w:hanging="600"/>
      </w:pPr>
      <w:rPr>
        <w:rFonts w:hint="default"/>
        <w:lang w:val="zh-CN" w:eastAsia="zh-CN" w:bidi="zh-CN"/>
      </w:rPr>
    </w:lvl>
    <w:lvl w:ilvl="1" w:tentative="0">
      <w:start w:val="3"/>
      <w:numFmt w:val="decimal"/>
      <w:lvlText w:val="%1.%2"/>
      <w:lvlJc w:val="left"/>
      <w:pPr>
        <w:ind w:left="424" w:hanging="600"/>
        <w:jc w:val="right"/>
      </w:pPr>
      <w:rPr>
        <w:rFonts w:hint="default"/>
        <w:lang w:val="zh-CN" w:eastAsia="zh-CN" w:bidi="zh-CN"/>
      </w:rPr>
    </w:lvl>
    <w:lvl w:ilvl="2" w:tentative="0">
      <w:start w:val="6"/>
      <w:numFmt w:val="decimal"/>
      <w:lvlText w:val="%1.%2.%3"/>
      <w:lvlJc w:val="left"/>
      <w:pPr>
        <w:ind w:left="42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39" w:hanging="600"/>
      </w:pPr>
      <w:rPr>
        <w:rFonts w:hint="default"/>
        <w:lang w:val="zh-CN" w:eastAsia="zh-CN" w:bidi="zh-CN"/>
      </w:rPr>
    </w:lvl>
    <w:lvl w:ilvl="4" w:tentative="0">
      <w:start w:val="0"/>
      <w:numFmt w:val="bullet"/>
      <w:lvlText w:val="•"/>
      <w:lvlJc w:val="left"/>
      <w:pPr>
        <w:ind w:left="4046" w:hanging="600"/>
      </w:pPr>
      <w:rPr>
        <w:rFonts w:hint="default"/>
        <w:lang w:val="zh-CN" w:eastAsia="zh-CN" w:bidi="zh-CN"/>
      </w:rPr>
    </w:lvl>
    <w:lvl w:ilvl="5" w:tentative="0">
      <w:start w:val="0"/>
      <w:numFmt w:val="bullet"/>
      <w:lvlText w:val="•"/>
      <w:lvlJc w:val="left"/>
      <w:pPr>
        <w:ind w:left="4953" w:hanging="600"/>
      </w:pPr>
      <w:rPr>
        <w:rFonts w:hint="default"/>
        <w:lang w:val="zh-CN" w:eastAsia="zh-CN" w:bidi="zh-CN"/>
      </w:rPr>
    </w:lvl>
    <w:lvl w:ilvl="6" w:tentative="0">
      <w:start w:val="0"/>
      <w:numFmt w:val="bullet"/>
      <w:lvlText w:val="•"/>
      <w:lvlJc w:val="left"/>
      <w:pPr>
        <w:ind w:left="5859" w:hanging="600"/>
      </w:pPr>
      <w:rPr>
        <w:rFonts w:hint="default"/>
        <w:lang w:val="zh-CN" w:eastAsia="zh-CN" w:bidi="zh-CN"/>
      </w:rPr>
    </w:lvl>
    <w:lvl w:ilvl="7" w:tentative="0">
      <w:start w:val="0"/>
      <w:numFmt w:val="bullet"/>
      <w:lvlText w:val="•"/>
      <w:lvlJc w:val="left"/>
      <w:pPr>
        <w:ind w:left="6766" w:hanging="600"/>
      </w:pPr>
      <w:rPr>
        <w:rFonts w:hint="default"/>
        <w:lang w:val="zh-CN" w:eastAsia="zh-CN" w:bidi="zh-CN"/>
      </w:rPr>
    </w:lvl>
    <w:lvl w:ilvl="8" w:tentative="0">
      <w:start w:val="0"/>
      <w:numFmt w:val="bullet"/>
      <w:lvlText w:val="•"/>
      <w:lvlJc w:val="left"/>
      <w:pPr>
        <w:ind w:left="7673" w:hanging="600"/>
      </w:pPr>
      <w:rPr>
        <w:rFonts w:hint="default"/>
        <w:lang w:val="zh-CN" w:eastAsia="zh-CN" w:bidi="zh-CN"/>
      </w:rPr>
    </w:lvl>
  </w:abstractNum>
  <w:abstractNum w:abstractNumId="6">
    <w:nsid w:val="18192DEF"/>
    <w:multiLevelType w:val="multilevel"/>
    <w:tmpl w:val="18192DEF"/>
    <w:lvl w:ilvl="0" w:tentative="0">
      <w:start w:val="3"/>
      <w:numFmt w:val="decimal"/>
      <w:lvlText w:val="%1"/>
      <w:lvlJc w:val="left"/>
      <w:pPr>
        <w:ind w:left="909" w:hanging="540"/>
      </w:pPr>
      <w:rPr>
        <w:rFonts w:hint="default"/>
        <w:lang w:val="zh-CN" w:eastAsia="zh-CN" w:bidi="zh-CN"/>
      </w:rPr>
    </w:lvl>
    <w:lvl w:ilvl="1" w:tentative="0">
      <w:start w:val="5"/>
      <w:numFmt w:val="decimal"/>
      <w:lvlText w:val="%1.%2"/>
      <w:lvlJc w:val="left"/>
      <w:pPr>
        <w:ind w:left="909" w:hanging="540"/>
      </w:pPr>
      <w:rPr>
        <w:rFonts w:hint="default" w:ascii="黑体" w:hAnsi="黑体" w:eastAsia="黑体" w:cs="黑体"/>
        <w:w w:val="100"/>
        <w:sz w:val="24"/>
        <w:szCs w:val="24"/>
        <w:lang w:val="zh-CN" w:eastAsia="zh-CN" w:bidi="zh-CN"/>
      </w:rPr>
    </w:lvl>
    <w:lvl w:ilvl="2" w:tentative="0">
      <w:start w:val="1"/>
      <w:numFmt w:val="decimal"/>
      <w:lvlText w:val="%1.%2.%3"/>
      <w:lvlJc w:val="left"/>
      <w:pPr>
        <w:ind w:left="369"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808" w:hanging="600"/>
      </w:pPr>
      <w:rPr>
        <w:rFonts w:hint="default"/>
        <w:lang w:val="zh-CN" w:eastAsia="zh-CN" w:bidi="zh-CN"/>
      </w:rPr>
    </w:lvl>
    <w:lvl w:ilvl="4" w:tentative="0">
      <w:start w:val="0"/>
      <w:numFmt w:val="bullet"/>
      <w:lvlText w:val="•"/>
      <w:lvlJc w:val="left"/>
      <w:pPr>
        <w:ind w:left="3762" w:hanging="600"/>
      </w:pPr>
      <w:rPr>
        <w:rFonts w:hint="default"/>
        <w:lang w:val="zh-CN" w:eastAsia="zh-CN" w:bidi="zh-CN"/>
      </w:rPr>
    </w:lvl>
    <w:lvl w:ilvl="5" w:tentative="0">
      <w:start w:val="0"/>
      <w:numFmt w:val="bullet"/>
      <w:lvlText w:val="•"/>
      <w:lvlJc w:val="left"/>
      <w:pPr>
        <w:ind w:left="4716" w:hanging="600"/>
      </w:pPr>
      <w:rPr>
        <w:rFonts w:hint="default"/>
        <w:lang w:val="zh-CN" w:eastAsia="zh-CN" w:bidi="zh-CN"/>
      </w:rPr>
    </w:lvl>
    <w:lvl w:ilvl="6" w:tentative="0">
      <w:start w:val="0"/>
      <w:numFmt w:val="bullet"/>
      <w:lvlText w:val="•"/>
      <w:lvlJc w:val="left"/>
      <w:pPr>
        <w:ind w:left="5670" w:hanging="600"/>
      </w:pPr>
      <w:rPr>
        <w:rFonts w:hint="default"/>
        <w:lang w:val="zh-CN" w:eastAsia="zh-CN" w:bidi="zh-CN"/>
      </w:rPr>
    </w:lvl>
    <w:lvl w:ilvl="7" w:tentative="0">
      <w:start w:val="0"/>
      <w:numFmt w:val="bullet"/>
      <w:lvlText w:val="•"/>
      <w:lvlJc w:val="left"/>
      <w:pPr>
        <w:ind w:left="6624" w:hanging="600"/>
      </w:pPr>
      <w:rPr>
        <w:rFonts w:hint="default"/>
        <w:lang w:val="zh-CN" w:eastAsia="zh-CN" w:bidi="zh-CN"/>
      </w:rPr>
    </w:lvl>
    <w:lvl w:ilvl="8" w:tentative="0">
      <w:start w:val="0"/>
      <w:numFmt w:val="bullet"/>
      <w:lvlText w:val="•"/>
      <w:lvlJc w:val="left"/>
      <w:pPr>
        <w:ind w:left="7578" w:hanging="600"/>
      </w:pPr>
      <w:rPr>
        <w:rFonts w:hint="default"/>
        <w:lang w:val="zh-CN" w:eastAsia="zh-CN" w:bidi="zh-CN"/>
      </w:rPr>
    </w:lvl>
  </w:abstractNum>
  <w:abstractNum w:abstractNumId="7">
    <w:nsid w:val="1BDB67AE"/>
    <w:multiLevelType w:val="multilevel"/>
    <w:tmpl w:val="1BDB67AE"/>
    <w:lvl w:ilvl="0" w:tentative="0">
      <w:start w:val="13"/>
      <w:numFmt w:val="decimal"/>
      <w:lvlText w:val="%1"/>
      <w:lvlJc w:val="left"/>
      <w:pPr>
        <w:ind w:left="424" w:hanging="720"/>
      </w:pPr>
      <w:rPr>
        <w:rFonts w:hint="default"/>
        <w:lang w:val="zh-CN" w:eastAsia="zh-CN" w:bidi="zh-CN"/>
      </w:rPr>
    </w:lvl>
    <w:lvl w:ilvl="1" w:tentative="0">
      <w:start w:val="1"/>
      <w:numFmt w:val="decimal"/>
      <w:lvlText w:val="%1.%2"/>
      <w:lvlJc w:val="left"/>
      <w:pPr>
        <w:ind w:left="424" w:hanging="720"/>
        <w:jc w:val="right"/>
      </w:pPr>
      <w:rPr>
        <w:rFonts w:hint="default"/>
        <w:lang w:val="zh-CN" w:eastAsia="zh-CN" w:bidi="zh-CN"/>
      </w:rPr>
    </w:lvl>
    <w:lvl w:ilvl="2" w:tentative="0">
      <w:start w:val="4"/>
      <w:numFmt w:val="decimal"/>
      <w:lvlText w:val="%1.%2.%3"/>
      <w:lvlJc w:val="left"/>
      <w:pPr>
        <w:ind w:left="424" w:hanging="720"/>
      </w:pPr>
      <w:rPr>
        <w:rFonts w:hint="default" w:ascii="Times New Roman" w:hAnsi="Times New Roman" w:eastAsia="Times New Roman" w:cs="Times New Roman"/>
        <w:spacing w:val="-1"/>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8">
    <w:nsid w:val="22D63347"/>
    <w:multiLevelType w:val="multilevel"/>
    <w:tmpl w:val="22D63347"/>
    <w:lvl w:ilvl="0" w:tentative="0">
      <w:start w:val="1"/>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pPr>
      <w:rPr>
        <w:rFonts w:hint="default"/>
        <w:lang w:val="zh-CN" w:eastAsia="zh-CN" w:bidi="zh-CN"/>
      </w:rPr>
    </w:lvl>
    <w:lvl w:ilvl="2" w:tentative="0">
      <w:start w:val="6"/>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2"/>
      <w:numFmt w:val="decimal"/>
      <w:lvlText w:val="%1.%2.%3.%4"/>
      <w:lvlJc w:val="left"/>
      <w:pPr>
        <w:ind w:left="424" w:hanging="780"/>
      </w:pPr>
      <w:rPr>
        <w:rFonts w:hint="default" w:ascii="Times New Roman" w:hAnsi="Times New Roman" w:eastAsia="Times New Roman" w:cs="Times New Roman"/>
        <w:spacing w:val="-5"/>
        <w:w w:val="100"/>
        <w:sz w:val="24"/>
        <w:szCs w:val="24"/>
        <w:lang w:val="zh-CN" w:eastAsia="zh-CN" w:bidi="zh-CN"/>
      </w:rPr>
    </w:lvl>
    <w:lvl w:ilvl="4" w:tentative="0">
      <w:start w:val="0"/>
      <w:numFmt w:val="bullet"/>
      <w:lvlText w:val="•"/>
      <w:lvlJc w:val="left"/>
      <w:pPr>
        <w:ind w:left="4162" w:hanging="780"/>
      </w:pPr>
      <w:rPr>
        <w:rFonts w:hint="default"/>
        <w:lang w:val="zh-CN" w:eastAsia="zh-CN" w:bidi="zh-CN"/>
      </w:rPr>
    </w:lvl>
    <w:lvl w:ilvl="5" w:tentative="0">
      <w:start w:val="0"/>
      <w:numFmt w:val="bullet"/>
      <w:lvlText w:val="•"/>
      <w:lvlJc w:val="left"/>
      <w:pPr>
        <w:ind w:left="5049" w:hanging="780"/>
      </w:pPr>
      <w:rPr>
        <w:rFonts w:hint="default"/>
        <w:lang w:val="zh-CN" w:eastAsia="zh-CN" w:bidi="zh-CN"/>
      </w:rPr>
    </w:lvl>
    <w:lvl w:ilvl="6" w:tentative="0">
      <w:start w:val="0"/>
      <w:numFmt w:val="bullet"/>
      <w:lvlText w:val="•"/>
      <w:lvlJc w:val="left"/>
      <w:pPr>
        <w:ind w:left="5936" w:hanging="780"/>
      </w:pPr>
      <w:rPr>
        <w:rFonts w:hint="default"/>
        <w:lang w:val="zh-CN" w:eastAsia="zh-CN" w:bidi="zh-CN"/>
      </w:rPr>
    </w:lvl>
    <w:lvl w:ilvl="7" w:tentative="0">
      <w:start w:val="0"/>
      <w:numFmt w:val="bullet"/>
      <w:lvlText w:val="•"/>
      <w:lvlJc w:val="left"/>
      <w:pPr>
        <w:ind w:left="6824" w:hanging="780"/>
      </w:pPr>
      <w:rPr>
        <w:rFonts w:hint="default"/>
        <w:lang w:val="zh-CN" w:eastAsia="zh-CN" w:bidi="zh-CN"/>
      </w:rPr>
    </w:lvl>
    <w:lvl w:ilvl="8" w:tentative="0">
      <w:start w:val="0"/>
      <w:numFmt w:val="bullet"/>
      <w:lvlText w:val="•"/>
      <w:lvlJc w:val="left"/>
      <w:pPr>
        <w:ind w:left="7711" w:hanging="780"/>
      </w:pPr>
      <w:rPr>
        <w:rFonts w:hint="default"/>
        <w:lang w:val="zh-CN" w:eastAsia="zh-CN" w:bidi="zh-CN"/>
      </w:rPr>
    </w:lvl>
  </w:abstractNum>
  <w:abstractNum w:abstractNumId="9">
    <w:nsid w:val="25F61A3F"/>
    <w:multiLevelType w:val="multilevel"/>
    <w:tmpl w:val="25F61A3F"/>
    <w:lvl w:ilvl="0" w:tentative="0">
      <w:start w:val="1"/>
      <w:numFmt w:val="decimal"/>
      <w:lvlText w:val="%1."/>
      <w:lvlJc w:val="left"/>
      <w:pPr>
        <w:ind w:left="844" w:hanging="420"/>
      </w:pPr>
      <w:rPr>
        <w:rFonts w:hint="default" w:ascii="黑体" w:hAnsi="黑体" w:eastAsia="黑体" w:cs="黑体"/>
        <w:w w:val="100"/>
        <w:sz w:val="28"/>
        <w:szCs w:val="28"/>
        <w:lang w:val="zh-CN" w:eastAsia="zh-CN" w:bidi="zh-CN"/>
      </w:rPr>
    </w:lvl>
    <w:lvl w:ilvl="1" w:tentative="0">
      <w:start w:val="1"/>
      <w:numFmt w:val="decimal"/>
      <w:lvlText w:val="%1.%2"/>
      <w:lvlJc w:val="left"/>
      <w:pPr>
        <w:ind w:left="904"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500" w:hanging="600"/>
      </w:pPr>
      <w:rPr>
        <w:rFonts w:hint="default"/>
        <w:lang w:val="zh-CN" w:eastAsia="zh-CN" w:bidi="zh-CN"/>
      </w:rPr>
    </w:lvl>
    <w:lvl w:ilvl="4" w:tentative="0">
      <w:start w:val="0"/>
      <w:numFmt w:val="bullet"/>
      <w:lvlText w:val="•"/>
      <w:lvlJc w:val="left"/>
      <w:pPr>
        <w:ind w:left="2640" w:hanging="600"/>
      </w:pPr>
      <w:rPr>
        <w:rFonts w:hint="default"/>
        <w:lang w:val="zh-CN" w:eastAsia="zh-CN" w:bidi="zh-CN"/>
      </w:rPr>
    </w:lvl>
    <w:lvl w:ilvl="5" w:tentative="0">
      <w:start w:val="0"/>
      <w:numFmt w:val="bullet"/>
      <w:lvlText w:val="•"/>
      <w:lvlJc w:val="left"/>
      <w:pPr>
        <w:ind w:left="3781" w:hanging="600"/>
      </w:pPr>
      <w:rPr>
        <w:rFonts w:hint="default"/>
        <w:lang w:val="zh-CN" w:eastAsia="zh-CN" w:bidi="zh-CN"/>
      </w:rPr>
    </w:lvl>
    <w:lvl w:ilvl="6" w:tentative="0">
      <w:start w:val="0"/>
      <w:numFmt w:val="bullet"/>
      <w:lvlText w:val="•"/>
      <w:lvlJc w:val="left"/>
      <w:pPr>
        <w:ind w:left="4922" w:hanging="600"/>
      </w:pPr>
      <w:rPr>
        <w:rFonts w:hint="default"/>
        <w:lang w:val="zh-CN" w:eastAsia="zh-CN" w:bidi="zh-CN"/>
      </w:rPr>
    </w:lvl>
    <w:lvl w:ilvl="7" w:tentative="0">
      <w:start w:val="0"/>
      <w:numFmt w:val="bullet"/>
      <w:lvlText w:val="•"/>
      <w:lvlJc w:val="left"/>
      <w:pPr>
        <w:ind w:left="6063" w:hanging="600"/>
      </w:pPr>
      <w:rPr>
        <w:rFonts w:hint="default"/>
        <w:lang w:val="zh-CN" w:eastAsia="zh-CN" w:bidi="zh-CN"/>
      </w:rPr>
    </w:lvl>
    <w:lvl w:ilvl="8" w:tentative="0">
      <w:start w:val="0"/>
      <w:numFmt w:val="bullet"/>
      <w:lvlText w:val="•"/>
      <w:lvlJc w:val="left"/>
      <w:pPr>
        <w:ind w:left="7204" w:hanging="600"/>
      </w:pPr>
      <w:rPr>
        <w:rFonts w:hint="default"/>
        <w:lang w:val="zh-CN" w:eastAsia="zh-CN" w:bidi="zh-CN"/>
      </w:rPr>
    </w:lvl>
  </w:abstractNum>
  <w:abstractNum w:abstractNumId="10">
    <w:nsid w:val="27B04AF0"/>
    <w:multiLevelType w:val="multilevel"/>
    <w:tmpl w:val="27B04AF0"/>
    <w:lvl w:ilvl="0" w:tentative="0">
      <w:start w:val="4"/>
      <w:numFmt w:val="decimal"/>
      <w:lvlText w:val="%1"/>
      <w:lvlJc w:val="left"/>
      <w:pPr>
        <w:ind w:left="844" w:hanging="420"/>
      </w:pPr>
      <w:rPr>
        <w:rFonts w:hint="default"/>
        <w:lang w:val="zh-CN" w:eastAsia="zh-CN" w:bidi="zh-CN"/>
      </w:rPr>
    </w:lvl>
    <w:lvl w:ilvl="1" w:tentative="0">
      <w:start w:val="9"/>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13"/>
      </w:pPr>
      <w:rPr>
        <w:rFonts w:hint="default" w:ascii="Times New Roman" w:hAnsi="Times New Roman" w:eastAsia="Times New Roman" w:cs="Times New Roman"/>
        <w:spacing w:val="-61"/>
        <w:w w:val="100"/>
        <w:sz w:val="24"/>
        <w:szCs w:val="24"/>
        <w:lang w:val="zh-CN" w:eastAsia="zh-CN" w:bidi="zh-CN"/>
      </w:rPr>
    </w:lvl>
    <w:lvl w:ilvl="3" w:tentative="0">
      <w:start w:val="0"/>
      <w:numFmt w:val="bullet"/>
      <w:lvlText w:val="•"/>
      <w:lvlJc w:val="left"/>
      <w:pPr>
        <w:ind w:left="2761" w:hanging="713"/>
      </w:pPr>
      <w:rPr>
        <w:rFonts w:hint="default"/>
        <w:lang w:val="zh-CN" w:eastAsia="zh-CN" w:bidi="zh-CN"/>
      </w:rPr>
    </w:lvl>
    <w:lvl w:ilvl="4" w:tentative="0">
      <w:start w:val="0"/>
      <w:numFmt w:val="bullet"/>
      <w:lvlText w:val="•"/>
      <w:lvlJc w:val="left"/>
      <w:pPr>
        <w:ind w:left="3722" w:hanging="713"/>
      </w:pPr>
      <w:rPr>
        <w:rFonts w:hint="default"/>
        <w:lang w:val="zh-CN" w:eastAsia="zh-CN" w:bidi="zh-CN"/>
      </w:rPr>
    </w:lvl>
    <w:lvl w:ilvl="5" w:tentative="0">
      <w:start w:val="0"/>
      <w:numFmt w:val="bullet"/>
      <w:lvlText w:val="•"/>
      <w:lvlJc w:val="left"/>
      <w:pPr>
        <w:ind w:left="4682" w:hanging="713"/>
      </w:pPr>
      <w:rPr>
        <w:rFonts w:hint="default"/>
        <w:lang w:val="zh-CN" w:eastAsia="zh-CN" w:bidi="zh-CN"/>
      </w:rPr>
    </w:lvl>
    <w:lvl w:ilvl="6" w:tentative="0">
      <w:start w:val="0"/>
      <w:numFmt w:val="bullet"/>
      <w:lvlText w:val="•"/>
      <w:lvlJc w:val="left"/>
      <w:pPr>
        <w:ind w:left="5643" w:hanging="713"/>
      </w:pPr>
      <w:rPr>
        <w:rFonts w:hint="default"/>
        <w:lang w:val="zh-CN" w:eastAsia="zh-CN" w:bidi="zh-CN"/>
      </w:rPr>
    </w:lvl>
    <w:lvl w:ilvl="7" w:tentative="0">
      <w:start w:val="0"/>
      <w:numFmt w:val="bullet"/>
      <w:lvlText w:val="•"/>
      <w:lvlJc w:val="left"/>
      <w:pPr>
        <w:ind w:left="6604" w:hanging="713"/>
      </w:pPr>
      <w:rPr>
        <w:rFonts w:hint="default"/>
        <w:lang w:val="zh-CN" w:eastAsia="zh-CN" w:bidi="zh-CN"/>
      </w:rPr>
    </w:lvl>
    <w:lvl w:ilvl="8" w:tentative="0">
      <w:start w:val="0"/>
      <w:numFmt w:val="bullet"/>
      <w:lvlText w:val="•"/>
      <w:lvlJc w:val="left"/>
      <w:pPr>
        <w:ind w:left="7564" w:hanging="713"/>
      </w:pPr>
      <w:rPr>
        <w:rFonts w:hint="default"/>
        <w:lang w:val="zh-CN" w:eastAsia="zh-CN" w:bidi="zh-CN"/>
      </w:rPr>
    </w:lvl>
  </w:abstractNum>
  <w:abstractNum w:abstractNumId="11">
    <w:nsid w:val="28A206A6"/>
    <w:multiLevelType w:val="multilevel"/>
    <w:tmpl w:val="28A206A6"/>
    <w:lvl w:ilvl="0" w:tentative="0">
      <w:start w:val="9"/>
      <w:numFmt w:val="decimal"/>
      <w:lvlText w:val="%1"/>
      <w:lvlJc w:val="left"/>
      <w:pPr>
        <w:ind w:left="844" w:hanging="420"/>
      </w:pPr>
      <w:rPr>
        <w:rFonts w:hint="default"/>
        <w:lang w:val="zh-CN" w:eastAsia="zh-CN" w:bidi="zh-CN"/>
      </w:rPr>
    </w:lvl>
    <w:lvl w:ilvl="1" w:tentative="0">
      <w:start w:val="2"/>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8"/>
      <w:numFmt w:val="decimal"/>
      <w:lvlText w:val="%1.%2.%3"/>
      <w:lvlJc w:val="left"/>
      <w:pPr>
        <w:ind w:left="424" w:hanging="600"/>
      </w:pPr>
      <w:rPr>
        <w:rFonts w:hint="default" w:ascii="Times New Roman" w:hAnsi="Times New Roman" w:eastAsia="Times New Roman" w:cs="Times New Roman"/>
        <w:spacing w:val="-84"/>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12">
    <w:nsid w:val="2B644816"/>
    <w:multiLevelType w:val="multilevel"/>
    <w:tmpl w:val="2B644816"/>
    <w:lvl w:ilvl="0" w:tentative="0">
      <w:start w:val="4"/>
      <w:numFmt w:val="decimal"/>
      <w:lvlText w:val="%1"/>
      <w:lvlJc w:val="left"/>
      <w:pPr>
        <w:ind w:left="369" w:hanging="600"/>
      </w:pPr>
      <w:rPr>
        <w:rFonts w:hint="default"/>
        <w:lang w:val="zh-CN" w:eastAsia="zh-CN" w:bidi="zh-CN"/>
      </w:rPr>
    </w:lvl>
    <w:lvl w:ilvl="1" w:tentative="0">
      <w:start w:val="1"/>
      <w:numFmt w:val="decimal"/>
      <w:lvlText w:val="%1.%2"/>
      <w:lvlJc w:val="left"/>
      <w:pPr>
        <w:ind w:left="369" w:hanging="600"/>
        <w:jc w:val="right"/>
      </w:pPr>
      <w:rPr>
        <w:rFonts w:hint="default"/>
        <w:lang w:val="zh-CN" w:eastAsia="zh-CN" w:bidi="zh-CN"/>
      </w:rPr>
    </w:lvl>
    <w:lvl w:ilvl="2" w:tentative="0">
      <w:start w:val="1"/>
      <w:numFmt w:val="decimal"/>
      <w:lvlText w:val="%1.%2.%3"/>
      <w:lvlJc w:val="left"/>
      <w:pPr>
        <w:ind w:left="369" w:hanging="600"/>
      </w:pPr>
      <w:rPr>
        <w:rFonts w:hint="default" w:ascii="Times New Roman" w:hAnsi="Times New Roman" w:eastAsia="Times New Roman" w:cs="Times New Roman"/>
        <w:spacing w:val="-32"/>
        <w:w w:val="100"/>
        <w:sz w:val="24"/>
        <w:szCs w:val="24"/>
        <w:lang w:val="zh-CN" w:eastAsia="zh-CN" w:bidi="zh-CN"/>
      </w:rPr>
    </w:lvl>
    <w:lvl w:ilvl="3" w:tentative="0">
      <w:start w:val="0"/>
      <w:numFmt w:val="bullet"/>
      <w:lvlText w:val="•"/>
      <w:lvlJc w:val="left"/>
      <w:pPr>
        <w:ind w:left="3097" w:hanging="600"/>
      </w:pPr>
      <w:rPr>
        <w:rFonts w:hint="default"/>
        <w:lang w:val="zh-CN" w:eastAsia="zh-CN" w:bidi="zh-CN"/>
      </w:rPr>
    </w:lvl>
    <w:lvl w:ilvl="4" w:tentative="0">
      <w:start w:val="0"/>
      <w:numFmt w:val="bullet"/>
      <w:lvlText w:val="•"/>
      <w:lvlJc w:val="left"/>
      <w:pPr>
        <w:ind w:left="4010" w:hanging="600"/>
      </w:pPr>
      <w:rPr>
        <w:rFonts w:hint="default"/>
        <w:lang w:val="zh-CN" w:eastAsia="zh-CN" w:bidi="zh-CN"/>
      </w:rPr>
    </w:lvl>
    <w:lvl w:ilvl="5" w:tentative="0">
      <w:start w:val="0"/>
      <w:numFmt w:val="bullet"/>
      <w:lvlText w:val="•"/>
      <w:lvlJc w:val="left"/>
      <w:pPr>
        <w:ind w:left="4923" w:hanging="600"/>
      </w:pPr>
      <w:rPr>
        <w:rFonts w:hint="default"/>
        <w:lang w:val="zh-CN" w:eastAsia="zh-CN" w:bidi="zh-CN"/>
      </w:rPr>
    </w:lvl>
    <w:lvl w:ilvl="6" w:tentative="0">
      <w:start w:val="0"/>
      <w:numFmt w:val="bullet"/>
      <w:lvlText w:val="•"/>
      <w:lvlJc w:val="left"/>
      <w:pPr>
        <w:ind w:left="5835" w:hanging="600"/>
      </w:pPr>
      <w:rPr>
        <w:rFonts w:hint="default"/>
        <w:lang w:val="zh-CN" w:eastAsia="zh-CN" w:bidi="zh-CN"/>
      </w:rPr>
    </w:lvl>
    <w:lvl w:ilvl="7" w:tentative="0">
      <w:start w:val="0"/>
      <w:numFmt w:val="bullet"/>
      <w:lvlText w:val="•"/>
      <w:lvlJc w:val="left"/>
      <w:pPr>
        <w:ind w:left="6748" w:hanging="600"/>
      </w:pPr>
      <w:rPr>
        <w:rFonts w:hint="default"/>
        <w:lang w:val="zh-CN" w:eastAsia="zh-CN" w:bidi="zh-CN"/>
      </w:rPr>
    </w:lvl>
    <w:lvl w:ilvl="8" w:tentative="0">
      <w:start w:val="0"/>
      <w:numFmt w:val="bullet"/>
      <w:lvlText w:val="•"/>
      <w:lvlJc w:val="left"/>
      <w:pPr>
        <w:ind w:left="7661" w:hanging="600"/>
      </w:pPr>
      <w:rPr>
        <w:rFonts w:hint="default"/>
        <w:lang w:val="zh-CN" w:eastAsia="zh-CN" w:bidi="zh-CN"/>
      </w:rPr>
    </w:lvl>
  </w:abstractNum>
  <w:abstractNum w:abstractNumId="13">
    <w:nsid w:val="2C1E3ABE"/>
    <w:multiLevelType w:val="multilevel"/>
    <w:tmpl w:val="2C1E3ABE"/>
    <w:lvl w:ilvl="0" w:tentative="0">
      <w:start w:val="1"/>
      <w:numFmt w:val="decimal"/>
      <w:lvlText w:val="%1."/>
      <w:lvlJc w:val="left"/>
      <w:pPr>
        <w:ind w:left="796" w:hanging="181"/>
      </w:pPr>
      <w:rPr>
        <w:rFonts w:hint="default" w:ascii="Times New Roman" w:hAnsi="Times New Roman" w:eastAsia="Times New Roman" w:cs="Times New Roman"/>
        <w:w w:val="100"/>
        <w:sz w:val="22"/>
        <w:szCs w:val="22"/>
        <w:lang w:val="zh-CN" w:eastAsia="zh-CN" w:bidi="zh-CN"/>
      </w:rPr>
    </w:lvl>
    <w:lvl w:ilvl="1" w:tentative="0">
      <w:start w:val="1"/>
      <w:numFmt w:val="decimal"/>
      <w:lvlText w:val="%2."/>
      <w:lvlJc w:val="left"/>
      <w:pPr>
        <w:ind w:left="1124" w:hanging="300"/>
      </w:pPr>
      <w:rPr>
        <w:rFonts w:hint="default" w:ascii="Times New Roman" w:hAnsi="Times New Roman" w:eastAsia="Times New Roman" w:cs="Times New Roman"/>
        <w:spacing w:val="-120"/>
        <w:w w:val="100"/>
        <w:sz w:val="24"/>
        <w:szCs w:val="24"/>
        <w:lang w:val="zh-CN" w:eastAsia="zh-CN" w:bidi="zh-CN"/>
      </w:rPr>
    </w:lvl>
    <w:lvl w:ilvl="2" w:tentative="0">
      <w:start w:val="0"/>
      <w:numFmt w:val="bullet"/>
      <w:lvlText w:val="•"/>
      <w:lvlJc w:val="left"/>
      <w:pPr>
        <w:ind w:left="1420" w:hanging="300"/>
      </w:pPr>
      <w:rPr>
        <w:rFonts w:hint="default"/>
        <w:lang w:val="zh-CN" w:eastAsia="zh-CN" w:bidi="zh-CN"/>
      </w:rPr>
    </w:lvl>
    <w:lvl w:ilvl="3" w:tentative="0">
      <w:start w:val="0"/>
      <w:numFmt w:val="bullet"/>
      <w:lvlText w:val="•"/>
      <w:lvlJc w:val="left"/>
      <w:pPr>
        <w:ind w:left="2390" w:hanging="300"/>
      </w:pPr>
      <w:rPr>
        <w:rFonts w:hint="default"/>
        <w:lang w:val="zh-CN" w:eastAsia="zh-CN" w:bidi="zh-CN"/>
      </w:rPr>
    </w:lvl>
    <w:lvl w:ilvl="4" w:tentative="0">
      <w:start w:val="0"/>
      <w:numFmt w:val="bullet"/>
      <w:lvlText w:val="•"/>
      <w:lvlJc w:val="left"/>
      <w:pPr>
        <w:ind w:left="3361" w:hanging="300"/>
      </w:pPr>
      <w:rPr>
        <w:rFonts w:hint="default"/>
        <w:lang w:val="zh-CN" w:eastAsia="zh-CN" w:bidi="zh-CN"/>
      </w:rPr>
    </w:lvl>
    <w:lvl w:ilvl="5" w:tentative="0">
      <w:start w:val="0"/>
      <w:numFmt w:val="bullet"/>
      <w:lvlText w:val="•"/>
      <w:lvlJc w:val="left"/>
      <w:pPr>
        <w:ind w:left="4332" w:hanging="300"/>
      </w:pPr>
      <w:rPr>
        <w:rFonts w:hint="default"/>
        <w:lang w:val="zh-CN" w:eastAsia="zh-CN" w:bidi="zh-CN"/>
      </w:rPr>
    </w:lvl>
    <w:lvl w:ilvl="6" w:tentative="0">
      <w:start w:val="0"/>
      <w:numFmt w:val="bullet"/>
      <w:lvlText w:val="•"/>
      <w:lvlJc w:val="left"/>
      <w:pPr>
        <w:ind w:left="5303" w:hanging="300"/>
      </w:pPr>
      <w:rPr>
        <w:rFonts w:hint="default"/>
        <w:lang w:val="zh-CN" w:eastAsia="zh-CN" w:bidi="zh-CN"/>
      </w:rPr>
    </w:lvl>
    <w:lvl w:ilvl="7" w:tentative="0">
      <w:start w:val="0"/>
      <w:numFmt w:val="bullet"/>
      <w:lvlText w:val="•"/>
      <w:lvlJc w:val="left"/>
      <w:pPr>
        <w:ind w:left="6274" w:hanging="300"/>
      </w:pPr>
      <w:rPr>
        <w:rFonts w:hint="default"/>
        <w:lang w:val="zh-CN" w:eastAsia="zh-CN" w:bidi="zh-CN"/>
      </w:rPr>
    </w:lvl>
    <w:lvl w:ilvl="8" w:tentative="0">
      <w:start w:val="0"/>
      <w:numFmt w:val="bullet"/>
      <w:lvlText w:val="•"/>
      <w:lvlJc w:val="left"/>
      <w:pPr>
        <w:ind w:left="7244" w:hanging="300"/>
      </w:pPr>
      <w:rPr>
        <w:rFonts w:hint="default"/>
        <w:lang w:val="zh-CN" w:eastAsia="zh-CN" w:bidi="zh-CN"/>
      </w:rPr>
    </w:lvl>
  </w:abstractNum>
  <w:abstractNum w:abstractNumId="14">
    <w:nsid w:val="2C9F0335"/>
    <w:multiLevelType w:val="multilevel"/>
    <w:tmpl w:val="2C9F0335"/>
    <w:lvl w:ilvl="0" w:tentative="0">
      <w:start w:val="5"/>
      <w:numFmt w:val="decimal"/>
      <w:lvlText w:val="%1"/>
      <w:lvlJc w:val="left"/>
      <w:pPr>
        <w:ind w:left="849" w:hanging="480"/>
      </w:pPr>
      <w:rPr>
        <w:rFonts w:hint="default"/>
        <w:lang w:val="zh-CN" w:eastAsia="zh-CN" w:bidi="zh-CN"/>
      </w:rPr>
    </w:lvl>
    <w:lvl w:ilvl="1" w:tentative="0">
      <w:start w:val="1"/>
      <w:numFmt w:val="decimal"/>
      <w:lvlText w:val="%1.%2"/>
      <w:lvlJc w:val="left"/>
      <w:pPr>
        <w:ind w:left="849"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369"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15">
    <w:nsid w:val="2E03767D"/>
    <w:multiLevelType w:val="multilevel"/>
    <w:tmpl w:val="2E03767D"/>
    <w:lvl w:ilvl="0" w:tentative="0">
      <w:start w:val="18"/>
      <w:numFmt w:val="decimal"/>
      <w:lvlText w:val="%1"/>
      <w:lvlJc w:val="left"/>
      <w:pPr>
        <w:ind w:left="964" w:hanging="540"/>
      </w:pPr>
      <w:rPr>
        <w:rFonts w:hint="default"/>
        <w:lang w:val="zh-CN" w:eastAsia="zh-CN" w:bidi="zh-CN"/>
      </w:rPr>
    </w:lvl>
    <w:lvl w:ilvl="1" w:tentative="0">
      <w:start w:val="2"/>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16">
    <w:nsid w:val="2E0646C5"/>
    <w:multiLevelType w:val="multilevel"/>
    <w:tmpl w:val="2E0646C5"/>
    <w:lvl w:ilvl="0" w:tentative="0">
      <w:start w:val="9"/>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7"/>
      <w:numFmt w:val="decimal"/>
      <w:lvlText w:val="%1.%2.%3"/>
      <w:lvlJc w:val="left"/>
      <w:pPr>
        <w:ind w:left="42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17">
    <w:nsid w:val="33533F9B"/>
    <w:multiLevelType w:val="multilevel"/>
    <w:tmpl w:val="33533F9B"/>
    <w:lvl w:ilvl="0" w:tentative="0">
      <w:start w:val="1"/>
      <w:numFmt w:val="decimal"/>
      <w:lvlText w:val="%1."/>
      <w:lvlJc w:val="left"/>
      <w:pPr>
        <w:ind w:left="844" w:hanging="420"/>
      </w:pPr>
      <w:rPr>
        <w:rFonts w:hint="default" w:ascii="黑体" w:hAnsi="黑体" w:eastAsia="黑体" w:cs="黑体"/>
        <w:w w:val="100"/>
        <w:sz w:val="28"/>
        <w:szCs w:val="28"/>
        <w:lang w:val="zh-CN" w:eastAsia="zh-CN" w:bidi="zh-CN"/>
      </w:rPr>
    </w:lvl>
    <w:lvl w:ilvl="1" w:tentative="0">
      <w:start w:val="1"/>
      <w:numFmt w:val="decimal"/>
      <w:lvlText w:val="%1.%2"/>
      <w:lvlJc w:val="left"/>
      <w:pPr>
        <w:ind w:left="904"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500" w:hanging="600"/>
      </w:pPr>
      <w:rPr>
        <w:rFonts w:hint="default"/>
        <w:lang w:val="zh-CN" w:eastAsia="zh-CN" w:bidi="zh-CN"/>
      </w:rPr>
    </w:lvl>
    <w:lvl w:ilvl="4" w:tentative="0">
      <w:start w:val="0"/>
      <w:numFmt w:val="bullet"/>
      <w:lvlText w:val="•"/>
      <w:lvlJc w:val="left"/>
      <w:pPr>
        <w:ind w:left="2640" w:hanging="600"/>
      </w:pPr>
      <w:rPr>
        <w:rFonts w:hint="default"/>
        <w:lang w:val="zh-CN" w:eastAsia="zh-CN" w:bidi="zh-CN"/>
      </w:rPr>
    </w:lvl>
    <w:lvl w:ilvl="5" w:tentative="0">
      <w:start w:val="0"/>
      <w:numFmt w:val="bullet"/>
      <w:lvlText w:val="•"/>
      <w:lvlJc w:val="left"/>
      <w:pPr>
        <w:ind w:left="3781" w:hanging="600"/>
      </w:pPr>
      <w:rPr>
        <w:rFonts w:hint="default"/>
        <w:lang w:val="zh-CN" w:eastAsia="zh-CN" w:bidi="zh-CN"/>
      </w:rPr>
    </w:lvl>
    <w:lvl w:ilvl="6" w:tentative="0">
      <w:start w:val="0"/>
      <w:numFmt w:val="bullet"/>
      <w:lvlText w:val="•"/>
      <w:lvlJc w:val="left"/>
      <w:pPr>
        <w:ind w:left="4922" w:hanging="600"/>
      </w:pPr>
      <w:rPr>
        <w:rFonts w:hint="default"/>
        <w:lang w:val="zh-CN" w:eastAsia="zh-CN" w:bidi="zh-CN"/>
      </w:rPr>
    </w:lvl>
    <w:lvl w:ilvl="7" w:tentative="0">
      <w:start w:val="0"/>
      <w:numFmt w:val="bullet"/>
      <w:lvlText w:val="•"/>
      <w:lvlJc w:val="left"/>
      <w:pPr>
        <w:ind w:left="6063" w:hanging="600"/>
      </w:pPr>
      <w:rPr>
        <w:rFonts w:hint="default"/>
        <w:lang w:val="zh-CN" w:eastAsia="zh-CN" w:bidi="zh-CN"/>
      </w:rPr>
    </w:lvl>
    <w:lvl w:ilvl="8" w:tentative="0">
      <w:start w:val="0"/>
      <w:numFmt w:val="bullet"/>
      <w:lvlText w:val="•"/>
      <w:lvlJc w:val="left"/>
      <w:pPr>
        <w:ind w:left="7204" w:hanging="600"/>
      </w:pPr>
      <w:rPr>
        <w:rFonts w:hint="default"/>
        <w:lang w:val="zh-CN" w:eastAsia="zh-CN" w:bidi="zh-CN"/>
      </w:rPr>
    </w:lvl>
  </w:abstractNum>
  <w:abstractNum w:abstractNumId="18">
    <w:nsid w:val="3C7D3CDF"/>
    <w:multiLevelType w:val="singleLevel"/>
    <w:tmpl w:val="3C7D3CDF"/>
    <w:lvl w:ilvl="0" w:tentative="0">
      <w:start w:val="1"/>
      <w:numFmt w:val="lowerLetter"/>
      <w:lvlText w:val="%1."/>
      <w:lvlJc w:val="left"/>
      <w:pPr>
        <w:tabs>
          <w:tab w:val="left" w:pos="312"/>
        </w:tabs>
      </w:pPr>
    </w:lvl>
  </w:abstractNum>
  <w:abstractNum w:abstractNumId="19">
    <w:nsid w:val="3D257819"/>
    <w:multiLevelType w:val="multilevel"/>
    <w:tmpl w:val="3D257819"/>
    <w:lvl w:ilvl="0" w:tentative="0">
      <w:start w:val="4"/>
      <w:numFmt w:val="decimal"/>
      <w:lvlText w:val="%1"/>
      <w:lvlJc w:val="left"/>
      <w:pPr>
        <w:ind w:left="844" w:hanging="420"/>
      </w:pPr>
      <w:rPr>
        <w:rFonts w:hint="default"/>
        <w:lang w:val="zh-CN" w:eastAsia="zh-CN" w:bidi="zh-CN"/>
      </w:rPr>
    </w:lvl>
    <w:lvl w:ilvl="1" w:tentative="0">
      <w:start w:val="6"/>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1800" w:hanging="420"/>
      </w:pPr>
      <w:rPr>
        <w:rFonts w:hint="default"/>
        <w:lang w:val="zh-CN" w:eastAsia="zh-CN" w:bidi="zh-CN"/>
      </w:rPr>
    </w:lvl>
    <w:lvl w:ilvl="3" w:tentative="0">
      <w:start w:val="0"/>
      <w:numFmt w:val="bullet"/>
      <w:lvlText w:val="•"/>
      <w:lvlJc w:val="left"/>
      <w:pPr>
        <w:ind w:left="2761" w:hanging="420"/>
      </w:pPr>
      <w:rPr>
        <w:rFonts w:hint="default"/>
        <w:lang w:val="zh-CN" w:eastAsia="zh-CN" w:bidi="zh-CN"/>
      </w:rPr>
    </w:lvl>
    <w:lvl w:ilvl="4" w:tentative="0">
      <w:start w:val="0"/>
      <w:numFmt w:val="bullet"/>
      <w:lvlText w:val="•"/>
      <w:lvlJc w:val="left"/>
      <w:pPr>
        <w:ind w:left="3722" w:hanging="420"/>
      </w:pPr>
      <w:rPr>
        <w:rFonts w:hint="default"/>
        <w:lang w:val="zh-CN" w:eastAsia="zh-CN" w:bidi="zh-CN"/>
      </w:rPr>
    </w:lvl>
    <w:lvl w:ilvl="5" w:tentative="0">
      <w:start w:val="0"/>
      <w:numFmt w:val="bullet"/>
      <w:lvlText w:val="•"/>
      <w:lvlJc w:val="left"/>
      <w:pPr>
        <w:ind w:left="4682" w:hanging="420"/>
      </w:pPr>
      <w:rPr>
        <w:rFonts w:hint="default"/>
        <w:lang w:val="zh-CN" w:eastAsia="zh-CN" w:bidi="zh-CN"/>
      </w:rPr>
    </w:lvl>
    <w:lvl w:ilvl="6" w:tentative="0">
      <w:start w:val="0"/>
      <w:numFmt w:val="bullet"/>
      <w:lvlText w:val="•"/>
      <w:lvlJc w:val="left"/>
      <w:pPr>
        <w:ind w:left="5643" w:hanging="420"/>
      </w:pPr>
      <w:rPr>
        <w:rFonts w:hint="default"/>
        <w:lang w:val="zh-CN" w:eastAsia="zh-CN" w:bidi="zh-CN"/>
      </w:rPr>
    </w:lvl>
    <w:lvl w:ilvl="7" w:tentative="0">
      <w:start w:val="0"/>
      <w:numFmt w:val="bullet"/>
      <w:lvlText w:val="•"/>
      <w:lvlJc w:val="left"/>
      <w:pPr>
        <w:ind w:left="6604" w:hanging="420"/>
      </w:pPr>
      <w:rPr>
        <w:rFonts w:hint="default"/>
        <w:lang w:val="zh-CN" w:eastAsia="zh-CN" w:bidi="zh-CN"/>
      </w:rPr>
    </w:lvl>
    <w:lvl w:ilvl="8" w:tentative="0">
      <w:start w:val="0"/>
      <w:numFmt w:val="bullet"/>
      <w:lvlText w:val="•"/>
      <w:lvlJc w:val="left"/>
      <w:pPr>
        <w:ind w:left="7564" w:hanging="420"/>
      </w:pPr>
      <w:rPr>
        <w:rFonts w:hint="default"/>
        <w:lang w:val="zh-CN" w:eastAsia="zh-CN" w:bidi="zh-CN"/>
      </w:rPr>
    </w:lvl>
  </w:abstractNum>
  <w:abstractNum w:abstractNumId="20">
    <w:nsid w:val="3D6346E2"/>
    <w:multiLevelType w:val="multilevel"/>
    <w:tmpl w:val="3D6346E2"/>
    <w:lvl w:ilvl="0" w:tentative="0">
      <w:start w:val="13"/>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21">
    <w:nsid w:val="3DE54DDA"/>
    <w:multiLevelType w:val="multilevel"/>
    <w:tmpl w:val="3DE54DDA"/>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22">
    <w:nsid w:val="436662DB"/>
    <w:multiLevelType w:val="multilevel"/>
    <w:tmpl w:val="436662DB"/>
    <w:lvl w:ilvl="0" w:tentative="0">
      <w:start w:val="1"/>
      <w:numFmt w:val="decimal"/>
      <w:lvlText w:val="%1"/>
      <w:lvlJc w:val="left"/>
      <w:pPr>
        <w:ind w:left="849" w:hanging="480"/>
      </w:pPr>
      <w:rPr>
        <w:rFonts w:hint="default"/>
        <w:lang w:val="zh-CN" w:eastAsia="zh-CN" w:bidi="zh-CN"/>
      </w:rPr>
    </w:lvl>
    <w:lvl w:ilvl="1" w:tentative="0">
      <w:start w:val="4"/>
      <w:numFmt w:val="decimal"/>
      <w:lvlText w:val="%1.%2"/>
      <w:lvlJc w:val="left"/>
      <w:pPr>
        <w:ind w:left="849"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1449"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445" w:hanging="600"/>
      </w:pPr>
      <w:rPr>
        <w:rFonts w:hint="default"/>
        <w:lang w:val="zh-CN" w:eastAsia="zh-CN" w:bidi="zh-CN"/>
      </w:rPr>
    </w:lvl>
    <w:lvl w:ilvl="4" w:tentative="0">
      <w:start w:val="0"/>
      <w:numFmt w:val="bullet"/>
      <w:lvlText w:val="•"/>
      <w:lvlJc w:val="left"/>
      <w:pPr>
        <w:ind w:left="3451" w:hanging="600"/>
      </w:pPr>
      <w:rPr>
        <w:rFonts w:hint="default"/>
        <w:lang w:val="zh-CN" w:eastAsia="zh-CN" w:bidi="zh-CN"/>
      </w:rPr>
    </w:lvl>
    <w:lvl w:ilvl="5" w:tentative="0">
      <w:start w:val="0"/>
      <w:numFmt w:val="bullet"/>
      <w:lvlText w:val="•"/>
      <w:lvlJc w:val="left"/>
      <w:pPr>
        <w:ind w:left="4457" w:hanging="600"/>
      </w:pPr>
      <w:rPr>
        <w:rFonts w:hint="default"/>
        <w:lang w:val="zh-CN" w:eastAsia="zh-CN" w:bidi="zh-CN"/>
      </w:rPr>
    </w:lvl>
    <w:lvl w:ilvl="6" w:tentative="0">
      <w:start w:val="0"/>
      <w:numFmt w:val="bullet"/>
      <w:lvlText w:val="•"/>
      <w:lvlJc w:val="left"/>
      <w:pPr>
        <w:ind w:left="5463" w:hanging="600"/>
      </w:pPr>
      <w:rPr>
        <w:rFonts w:hint="default"/>
        <w:lang w:val="zh-CN" w:eastAsia="zh-CN" w:bidi="zh-CN"/>
      </w:rPr>
    </w:lvl>
    <w:lvl w:ilvl="7" w:tentative="0">
      <w:start w:val="0"/>
      <w:numFmt w:val="bullet"/>
      <w:lvlText w:val="•"/>
      <w:lvlJc w:val="left"/>
      <w:pPr>
        <w:ind w:left="6469" w:hanging="600"/>
      </w:pPr>
      <w:rPr>
        <w:rFonts w:hint="default"/>
        <w:lang w:val="zh-CN" w:eastAsia="zh-CN" w:bidi="zh-CN"/>
      </w:rPr>
    </w:lvl>
    <w:lvl w:ilvl="8" w:tentative="0">
      <w:start w:val="0"/>
      <w:numFmt w:val="bullet"/>
      <w:lvlText w:val="•"/>
      <w:lvlJc w:val="left"/>
      <w:pPr>
        <w:ind w:left="7474" w:hanging="600"/>
      </w:pPr>
      <w:rPr>
        <w:rFonts w:hint="default"/>
        <w:lang w:val="zh-CN" w:eastAsia="zh-CN" w:bidi="zh-CN"/>
      </w:rPr>
    </w:lvl>
  </w:abstractNum>
  <w:abstractNum w:abstractNumId="23">
    <w:nsid w:val="44047DB7"/>
    <w:multiLevelType w:val="multilevel"/>
    <w:tmpl w:val="44047DB7"/>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24">
    <w:nsid w:val="4A0618FC"/>
    <w:multiLevelType w:val="multilevel"/>
    <w:tmpl w:val="4A0618FC"/>
    <w:lvl w:ilvl="0" w:tentative="0">
      <w:start w:val="1"/>
      <w:numFmt w:val="lowerLetter"/>
      <w:lvlText w:val="%1."/>
      <w:lvlJc w:val="left"/>
      <w:pPr>
        <w:ind w:left="424"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286"/>
      </w:pPr>
      <w:rPr>
        <w:rFonts w:hint="default"/>
        <w:lang w:val="zh-CN" w:eastAsia="zh-CN" w:bidi="zh-CN"/>
      </w:rPr>
    </w:lvl>
    <w:lvl w:ilvl="2" w:tentative="0">
      <w:start w:val="0"/>
      <w:numFmt w:val="bullet"/>
      <w:lvlText w:val="•"/>
      <w:lvlJc w:val="left"/>
      <w:pPr>
        <w:ind w:left="2233" w:hanging="286"/>
      </w:pPr>
      <w:rPr>
        <w:rFonts w:hint="default"/>
        <w:lang w:val="zh-CN" w:eastAsia="zh-CN" w:bidi="zh-CN"/>
      </w:rPr>
    </w:lvl>
    <w:lvl w:ilvl="3" w:tentative="0">
      <w:start w:val="0"/>
      <w:numFmt w:val="bullet"/>
      <w:lvlText w:val="•"/>
      <w:lvlJc w:val="left"/>
      <w:pPr>
        <w:ind w:left="3139" w:hanging="286"/>
      </w:pPr>
      <w:rPr>
        <w:rFonts w:hint="default"/>
        <w:lang w:val="zh-CN" w:eastAsia="zh-CN" w:bidi="zh-CN"/>
      </w:rPr>
    </w:lvl>
    <w:lvl w:ilvl="4" w:tentative="0">
      <w:start w:val="0"/>
      <w:numFmt w:val="bullet"/>
      <w:lvlText w:val="•"/>
      <w:lvlJc w:val="left"/>
      <w:pPr>
        <w:ind w:left="4046" w:hanging="286"/>
      </w:pPr>
      <w:rPr>
        <w:rFonts w:hint="default"/>
        <w:lang w:val="zh-CN" w:eastAsia="zh-CN" w:bidi="zh-CN"/>
      </w:rPr>
    </w:lvl>
    <w:lvl w:ilvl="5" w:tentative="0">
      <w:start w:val="0"/>
      <w:numFmt w:val="bullet"/>
      <w:lvlText w:val="•"/>
      <w:lvlJc w:val="left"/>
      <w:pPr>
        <w:ind w:left="4953" w:hanging="286"/>
      </w:pPr>
      <w:rPr>
        <w:rFonts w:hint="default"/>
        <w:lang w:val="zh-CN" w:eastAsia="zh-CN" w:bidi="zh-CN"/>
      </w:rPr>
    </w:lvl>
    <w:lvl w:ilvl="6" w:tentative="0">
      <w:start w:val="0"/>
      <w:numFmt w:val="bullet"/>
      <w:lvlText w:val="•"/>
      <w:lvlJc w:val="left"/>
      <w:pPr>
        <w:ind w:left="5859" w:hanging="286"/>
      </w:pPr>
      <w:rPr>
        <w:rFonts w:hint="default"/>
        <w:lang w:val="zh-CN" w:eastAsia="zh-CN" w:bidi="zh-CN"/>
      </w:rPr>
    </w:lvl>
    <w:lvl w:ilvl="7" w:tentative="0">
      <w:start w:val="0"/>
      <w:numFmt w:val="bullet"/>
      <w:lvlText w:val="•"/>
      <w:lvlJc w:val="left"/>
      <w:pPr>
        <w:ind w:left="6766" w:hanging="286"/>
      </w:pPr>
      <w:rPr>
        <w:rFonts w:hint="default"/>
        <w:lang w:val="zh-CN" w:eastAsia="zh-CN" w:bidi="zh-CN"/>
      </w:rPr>
    </w:lvl>
    <w:lvl w:ilvl="8" w:tentative="0">
      <w:start w:val="0"/>
      <w:numFmt w:val="bullet"/>
      <w:lvlText w:val="•"/>
      <w:lvlJc w:val="left"/>
      <w:pPr>
        <w:ind w:left="7673" w:hanging="286"/>
      </w:pPr>
      <w:rPr>
        <w:rFonts w:hint="default"/>
        <w:lang w:val="zh-CN" w:eastAsia="zh-CN" w:bidi="zh-CN"/>
      </w:rPr>
    </w:lvl>
  </w:abstractNum>
  <w:abstractNum w:abstractNumId="25">
    <w:nsid w:val="4AE8694F"/>
    <w:multiLevelType w:val="multilevel"/>
    <w:tmpl w:val="4AE8694F"/>
    <w:lvl w:ilvl="0" w:tentative="0">
      <w:start w:val="4"/>
      <w:numFmt w:val="decimal"/>
      <w:lvlText w:val="%1"/>
      <w:lvlJc w:val="left"/>
      <w:pPr>
        <w:ind w:left="424" w:hanging="600"/>
      </w:pPr>
      <w:rPr>
        <w:rFonts w:hint="default"/>
        <w:lang w:val="zh-CN" w:eastAsia="zh-CN" w:bidi="zh-CN"/>
      </w:rPr>
    </w:lvl>
    <w:lvl w:ilvl="1" w:tentative="0">
      <w:start w:val="3"/>
      <w:numFmt w:val="decimal"/>
      <w:lvlText w:val="%1.%2"/>
      <w:lvlJc w:val="left"/>
      <w:pPr>
        <w:ind w:left="424" w:hanging="600"/>
      </w:pPr>
      <w:rPr>
        <w:rFonts w:hint="default"/>
        <w:lang w:val="zh-CN" w:eastAsia="zh-CN" w:bidi="zh-CN"/>
      </w:rPr>
    </w:lvl>
    <w:lvl w:ilvl="2" w:tentative="0">
      <w:start w:val="2"/>
      <w:numFmt w:val="decimal"/>
      <w:lvlText w:val="%1.%2.%3"/>
      <w:lvlJc w:val="left"/>
      <w:pPr>
        <w:ind w:left="424" w:hanging="600"/>
      </w:pPr>
      <w:rPr>
        <w:rFonts w:hint="default" w:ascii="Times New Roman" w:hAnsi="Times New Roman" w:eastAsia="Times New Roman" w:cs="Times New Roman"/>
        <w:spacing w:val="-44"/>
        <w:w w:val="100"/>
        <w:sz w:val="24"/>
        <w:szCs w:val="24"/>
        <w:lang w:val="zh-CN" w:eastAsia="zh-CN" w:bidi="zh-CN"/>
      </w:rPr>
    </w:lvl>
    <w:lvl w:ilvl="3" w:tentative="0">
      <w:start w:val="0"/>
      <w:numFmt w:val="bullet"/>
      <w:lvlText w:val="•"/>
      <w:lvlJc w:val="left"/>
      <w:pPr>
        <w:ind w:left="3139" w:hanging="600"/>
      </w:pPr>
      <w:rPr>
        <w:rFonts w:hint="default"/>
        <w:lang w:val="zh-CN" w:eastAsia="zh-CN" w:bidi="zh-CN"/>
      </w:rPr>
    </w:lvl>
    <w:lvl w:ilvl="4" w:tentative="0">
      <w:start w:val="0"/>
      <w:numFmt w:val="bullet"/>
      <w:lvlText w:val="•"/>
      <w:lvlJc w:val="left"/>
      <w:pPr>
        <w:ind w:left="4046" w:hanging="600"/>
      </w:pPr>
      <w:rPr>
        <w:rFonts w:hint="default"/>
        <w:lang w:val="zh-CN" w:eastAsia="zh-CN" w:bidi="zh-CN"/>
      </w:rPr>
    </w:lvl>
    <w:lvl w:ilvl="5" w:tentative="0">
      <w:start w:val="0"/>
      <w:numFmt w:val="bullet"/>
      <w:lvlText w:val="•"/>
      <w:lvlJc w:val="left"/>
      <w:pPr>
        <w:ind w:left="4953" w:hanging="600"/>
      </w:pPr>
      <w:rPr>
        <w:rFonts w:hint="default"/>
        <w:lang w:val="zh-CN" w:eastAsia="zh-CN" w:bidi="zh-CN"/>
      </w:rPr>
    </w:lvl>
    <w:lvl w:ilvl="6" w:tentative="0">
      <w:start w:val="0"/>
      <w:numFmt w:val="bullet"/>
      <w:lvlText w:val="•"/>
      <w:lvlJc w:val="left"/>
      <w:pPr>
        <w:ind w:left="5859" w:hanging="600"/>
      </w:pPr>
      <w:rPr>
        <w:rFonts w:hint="default"/>
        <w:lang w:val="zh-CN" w:eastAsia="zh-CN" w:bidi="zh-CN"/>
      </w:rPr>
    </w:lvl>
    <w:lvl w:ilvl="7" w:tentative="0">
      <w:start w:val="0"/>
      <w:numFmt w:val="bullet"/>
      <w:lvlText w:val="•"/>
      <w:lvlJc w:val="left"/>
      <w:pPr>
        <w:ind w:left="6766" w:hanging="600"/>
      </w:pPr>
      <w:rPr>
        <w:rFonts w:hint="default"/>
        <w:lang w:val="zh-CN" w:eastAsia="zh-CN" w:bidi="zh-CN"/>
      </w:rPr>
    </w:lvl>
    <w:lvl w:ilvl="8" w:tentative="0">
      <w:start w:val="0"/>
      <w:numFmt w:val="bullet"/>
      <w:lvlText w:val="•"/>
      <w:lvlJc w:val="left"/>
      <w:pPr>
        <w:ind w:left="7673" w:hanging="600"/>
      </w:pPr>
      <w:rPr>
        <w:rFonts w:hint="default"/>
        <w:lang w:val="zh-CN" w:eastAsia="zh-CN" w:bidi="zh-CN"/>
      </w:rPr>
    </w:lvl>
  </w:abstractNum>
  <w:abstractNum w:abstractNumId="26">
    <w:nsid w:val="513C4340"/>
    <w:multiLevelType w:val="multilevel"/>
    <w:tmpl w:val="513C4340"/>
    <w:lvl w:ilvl="0" w:tentative="0">
      <w:start w:val="17"/>
      <w:numFmt w:val="decimal"/>
      <w:lvlText w:val="%1"/>
      <w:lvlJc w:val="left"/>
      <w:pPr>
        <w:ind w:left="1614" w:hanging="720"/>
      </w:pPr>
      <w:rPr>
        <w:rFonts w:hint="default"/>
        <w:lang w:val="zh-CN" w:eastAsia="zh-CN" w:bidi="zh-CN"/>
      </w:rPr>
    </w:lvl>
    <w:lvl w:ilvl="1" w:tentative="0">
      <w:start w:val="1"/>
      <w:numFmt w:val="decimal"/>
      <w:lvlText w:val="%1.%2"/>
      <w:lvlJc w:val="left"/>
      <w:pPr>
        <w:ind w:left="1614" w:hanging="720"/>
        <w:jc w:val="right"/>
      </w:pPr>
      <w:rPr>
        <w:rFonts w:hint="default"/>
        <w:lang w:val="zh-CN" w:eastAsia="zh-CN" w:bidi="zh-CN"/>
      </w:rPr>
    </w:lvl>
    <w:lvl w:ilvl="2" w:tentative="0">
      <w:start w:val="4"/>
      <w:numFmt w:val="decimal"/>
      <w:lvlText w:val="%1.%2.%3"/>
      <w:lvlJc w:val="left"/>
      <w:pPr>
        <w:ind w:left="161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79" w:hanging="720"/>
      </w:pPr>
      <w:rPr>
        <w:rFonts w:hint="default"/>
        <w:lang w:val="zh-CN" w:eastAsia="zh-CN" w:bidi="zh-CN"/>
      </w:rPr>
    </w:lvl>
    <w:lvl w:ilvl="4" w:tentative="0">
      <w:start w:val="0"/>
      <w:numFmt w:val="bullet"/>
      <w:lvlText w:val="•"/>
      <w:lvlJc w:val="left"/>
      <w:pPr>
        <w:ind w:left="4766" w:hanging="720"/>
      </w:pPr>
      <w:rPr>
        <w:rFonts w:hint="default"/>
        <w:lang w:val="zh-CN" w:eastAsia="zh-CN" w:bidi="zh-CN"/>
      </w:rPr>
    </w:lvl>
    <w:lvl w:ilvl="5" w:tentative="0">
      <w:start w:val="0"/>
      <w:numFmt w:val="bullet"/>
      <w:lvlText w:val="•"/>
      <w:lvlJc w:val="left"/>
      <w:pPr>
        <w:ind w:left="5553" w:hanging="720"/>
      </w:pPr>
      <w:rPr>
        <w:rFonts w:hint="default"/>
        <w:lang w:val="zh-CN" w:eastAsia="zh-CN" w:bidi="zh-CN"/>
      </w:rPr>
    </w:lvl>
    <w:lvl w:ilvl="6" w:tentative="0">
      <w:start w:val="0"/>
      <w:numFmt w:val="bullet"/>
      <w:lvlText w:val="•"/>
      <w:lvlJc w:val="left"/>
      <w:pPr>
        <w:ind w:left="6339" w:hanging="720"/>
      </w:pPr>
      <w:rPr>
        <w:rFonts w:hint="default"/>
        <w:lang w:val="zh-CN" w:eastAsia="zh-CN" w:bidi="zh-CN"/>
      </w:rPr>
    </w:lvl>
    <w:lvl w:ilvl="7" w:tentative="0">
      <w:start w:val="0"/>
      <w:numFmt w:val="bullet"/>
      <w:lvlText w:val="•"/>
      <w:lvlJc w:val="left"/>
      <w:pPr>
        <w:ind w:left="7126" w:hanging="720"/>
      </w:pPr>
      <w:rPr>
        <w:rFonts w:hint="default"/>
        <w:lang w:val="zh-CN" w:eastAsia="zh-CN" w:bidi="zh-CN"/>
      </w:rPr>
    </w:lvl>
    <w:lvl w:ilvl="8" w:tentative="0">
      <w:start w:val="0"/>
      <w:numFmt w:val="bullet"/>
      <w:lvlText w:val="•"/>
      <w:lvlJc w:val="left"/>
      <w:pPr>
        <w:ind w:left="7913" w:hanging="720"/>
      </w:pPr>
      <w:rPr>
        <w:rFonts w:hint="default"/>
        <w:lang w:val="zh-CN" w:eastAsia="zh-CN" w:bidi="zh-CN"/>
      </w:rPr>
    </w:lvl>
  </w:abstractNum>
  <w:abstractNum w:abstractNumId="27">
    <w:nsid w:val="56EA17A5"/>
    <w:multiLevelType w:val="multilevel"/>
    <w:tmpl w:val="56EA17A5"/>
    <w:lvl w:ilvl="0" w:tentative="0">
      <w:start w:val="1"/>
      <w:numFmt w:val="decimal"/>
      <w:lvlText w:val="%1."/>
      <w:lvlJc w:val="left"/>
      <w:pPr>
        <w:ind w:left="774" w:hanging="351"/>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12"/>
      <w:numFmt w:val="decimal"/>
      <w:lvlText w:val="%1.%2.%3.%4"/>
      <w:lvlJc w:val="left"/>
      <w:pPr>
        <w:ind w:left="424" w:hanging="903"/>
      </w:pPr>
      <w:rPr>
        <w:rFonts w:hint="default" w:ascii="Times New Roman" w:hAnsi="Times New Roman" w:eastAsia="Times New Roman" w:cs="Times New Roman"/>
        <w:w w:val="100"/>
        <w:sz w:val="24"/>
        <w:szCs w:val="24"/>
        <w:lang w:val="zh-CN" w:eastAsia="zh-CN" w:bidi="zh-CN"/>
      </w:rPr>
    </w:lvl>
    <w:lvl w:ilvl="4" w:tentative="0">
      <w:start w:val="0"/>
      <w:numFmt w:val="bullet"/>
      <w:lvlText w:val="•"/>
      <w:lvlJc w:val="left"/>
      <w:pPr>
        <w:ind w:left="960" w:hanging="903"/>
      </w:pPr>
      <w:rPr>
        <w:rFonts w:hint="default"/>
        <w:lang w:val="zh-CN" w:eastAsia="zh-CN" w:bidi="zh-CN"/>
      </w:rPr>
    </w:lvl>
    <w:lvl w:ilvl="5" w:tentative="0">
      <w:start w:val="0"/>
      <w:numFmt w:val="bullet"/>
      <w:lvlText w:val="•"/>
      <w:lvlJc w:val="left"/>
      <w:pPr>
        <w:ind w:left="1500" w:hanging="903"/>
      </w:pPr>
      <w:rPr>
        <w:rFonts w:hint="default"/>
        <w:lang w:val="zh-CN" w:eastAsia="zh-CN" w:bidi="zh-CN"/>
      </w:rPr>
    </w:lvl>
    <w:lvl w:ilvl="6" w:tentative="0">
      <w:start w:val="0"/>
      <w:numFmt w:val="bullet"/>
      <w:lvlText w:val="•"/>
      <w:lvlJc w:val="left"/>
      <w:pPr>
        <w:ind w:left="1620" w:hanging="903"/>
      </w:pPr>
      <w:rPr>
        <w:rFonts w:hint="default"/>
        <w:lang w:val="zh-CN" w:eastAsia="zh-CN" w:bidi="zh-CN"/>
      </w:rPr>
    </w:lvl>
    <w:lvl w:ilvl="7" w:tentative="0">
      <w:start w:val="0"/>
      <w:numFmt w:val="bullet"/>
      <w:lvlText w:val="•"/>
      <w:lvlJc w:val="left"/>
      <w:pPr>
        <w:ind w:left="3586" w:hanging="903"/>
      </w:pPr>
      <w:rPr>
        <w:rFonts w:hint="default"/>
        <w:lang w:val="zh-CN" w:eastAsia="zh-CN" w:bidi="zh-CN"/>
      </w:rPr>
    </w:lvl>
    <w:lvl w:ilvl="8" w:tentative="0">
      <w:start w:val="0"/>
      <w:numFmt w:val="bullet"/>
      <w:lvlText w:val="•"/>
      <w:lvlJc w:val="left"/>
      <w:pPr>
        <w:ind w:left="5553" w:hanging="903"/>
      </w:pPr>
      <w:rPr>
        <w:rFonts w:hint="default"/>
        <w:lang w:val="zh-CN" w:eastAsia="zh-CN" w:bidi="zh-CN"/>
      </w:rPr>
    </w:lvl>
  </w:abstractNum>
  <w:abstractNum w:abstractNumId="28">
    <w:nsid w:val="581B476B"/>
    <w:multiLevelType w:val="multilevel"/>
    <w:tmpl w:val="581B476B"/>
    <w:lvl w:ilvl="0" w:tentative="0">
      <w:start w:val="20"/>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422" w:hanging="540"/>
      </w:pPr>
      <w:rPr>
        <w:rFonts w:hint="default"/>
        <w:lang w:val="zh-CN" w:eastAsia="zh-CN" w:bidi="zh-CN"/>
      </w:rPr>
    </w:lvl>
    <w:lvl w:ilvl="3" w:tentative="0">
      <w:start w:val="0"/>
      <w:numFmt w:val="bullet"/>
      <w:lvlText w:val="•"/>
      <w:lvlJc w:val="left"/>
      <w:pPr>
        <w:ind w:left="3305" w:hanging="540"/>
      </w:pPr>
      <w:rPr>
        <w:rFonts w:hint="default"/>
        <w:lang w:val="zh-CN" w:eastAsia="zh-CN" w:bidi="zh-CN"/>
      </w:rPr>
    </w:lvl>
    <w:lvl w:ilvl="4" w:tentative="0">
      <w:start w:val="0"/>
      <w:numFmt w:val="bullet"/>
      <w:lvlText w:val="•"/>
      <w:lvlJc w:val="left"/>
      <w:pPr>
        <w:ind w:left="4188" w:hanging="540"/>
      </w:pPr>
      <w:rPr>
        <w:rFonts w:hint="default"/>
        <w:lang w:val="zh-CN" w:eastAsia="zh-CN" w:bidi="zh-CN"/>
      </w:rPr>
    </w:lvl>
    <w:lvl w:ilvl="5" w:tentative="0">
      <w:start w:val="0"/>
      <w:numFmt w:val="bullet"/>
      <w:lvlText w:val="•"/>
      <w:lvlJc w:val="left"/>
      <w:pPr>
        <w:ind w:left="5071" w:hanging="540"/>
      </w:pPr>
      <w:rPr>
        <w:rFonts w:hint="default"/>
        <w:lang w:val="zh-CN" w:eastAsia="zh-CN" w:bidi="zh-CN"/>
      </w:rPr>
    </w:lvl>
    <w:lvl w:ilvl="6" w:tentative="0">
      <w:start w:val="0"/>
      <w:numFmt w:val="bullet"/>
      <w:lvlText w:val="•"/>
      <w:lvlJc w:val="left"/>
      <w:pPr>
        <w:ind w:left="5954" w:hanging="540"/>
      </w:pPr>
      <w:rPr>
        <w:rFonts w:hint="default"/>
        <w:lang w:val="zh-CN" w:eastAsia="zh-CN" w:bidi="zh-CN"/>
      </w:rPr>
    </w:lvl>
    <w:lvl w:ilvl="7" w:tentative="0">
      <w:start w:val="0"/>
      <w:numFmt w:val="bullet"/>
      <w:lvlText w:val="•"/>
      <w:lvlJc w:val="left"/>
      <w:pPr>
        <w:ind w:left="6837" w:hanging="540"/>
      </w:pPr>
      <w:rPr>
        <w:rFonts w:hint="default"/>
        <w:lang w:val="zh-CN" w:eastAsia="zh-CN" w:bidi="zh-CN"/>
      </w:rPr>
    </w:lvl>
    <w:lvl w:ilvl="8" w:tentative="0">
      <w:start w:val="0"/>
      <w:numFmt w:val="bullet"/>
      <w:lvlText w:val="•"/>
      <w:lvlJc w:val="left"/>
      <w:pPr>
        <w:ind w:left="7720" w:hanging="540"/>
      </w:pPr>
      <w:rPr>
        <w:rFonts w:hint="default"/>
        <w:lang w:val="zh-CN" w:eastAsia="zh-CN" w:bidi="zh-CN"/>
      </w:rPr>
    </w:lvl>
  </w:abstractNum>
  <w:abstractNum w:abstractNumId="29">
    <w:nsid w:val="5E4256C7"/>
    <w:multiLevelType w:val="multilevel"/>
    <w:tmpl w:val="5E4256C7"/>
    <w:lvl w:ilvl="0" w:tentative="0">
      <w:start w:val="20"/>
      <w:numFmt w:val="decimal"/>
      <w:lvlText w:val="%1"/>
      <w:lvlJc w:val="left"/>
      <w:pPr>
        <w:ind w:left="1535" w:hanging="720"/>
      </w:pPr>
      <w:rPr>
        <w:rFonts w:hint="default"/>
        <w:lang w:val="zh-CN" w:eastAsia="zh-CN" w:bidi="zh-CN"/>
      </w:rPr>
    </w:lvl>
    <w:lvl w:ilvl="1" w:tentative="0">
      <w:start w:val="6"/>
      <w:numFmt w:val="decimal"/>
      <w:lvlText w:val="%1.%2"/>
      <w:lvlJc w:val="left"/>
      <w:pPr>
        <w:ind w:left="1535" w:hanging="720"/>
      </w:pPr>
      <w:rPr>
        <w:rFonts w:hint="default"/>
        <w:lang w:val="zh-CN" w:eastAsia="zh-CN" w:bidi="zh-CN"/>
      </w:rPr>
    </w:lvl>
    <w:lvl w:ilvl="2" w:tentative="0">
      <w:start w:val="3"/>
      <w:numFmt w:val="decimal"/>
      <w:lvlText w:val="%1.%2.%3"/>
      <w:lvlJc w:val="left"/>
      <w:pPr>
        <w:ind w:left="1535"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23" w:hanging="720"/>
      </w:pPr>
      <w:rPr>
        <w:rFonts w:hint="default"/>
        <w:lang w:val="zh-CN" w:eastAsia="zh-CN" w:bidi="zh-CN"/>
      </w:rPr>
    </w:lvl>
    <w:lvl w:ilvl="4" w:tentative="0">
      <w:start w:val="0"/>
      <w:numFmt w:val="bullet"/>
      <w:lvlText w:val="•"/>
      <w:lvlJc w:val="left"/>
      <w:pPr>
        <w:ind w:left="4718" w:hanging="720"/>
      </w:pPr>
      <w:rPr>
        <w:rFonts w:hint="default"/>
        <w:lang w:val="zh-CN" w:eastAsia="zh-CN" w:bidi="zh-CN"/>
      </w:rPr>
    </w:lvl>
    <w:lvl w:ilvl="5" w:tentative="0">
      <w:start w:val="0"/>
      <w:numFmt w:val="bullet"/>
      <w:lvlText w:val="•"/>
      <w:lvlJc w:val="left"/>
      <w:pPr>
        <w:ind w:left="5513" w:hanging="720"/>
      </w:pPr>
      <w:rPr>
        <w:rFonts w:hint="default"/>
        <w:lang w:val="zh-CN" w:eastAsia="zh-CN" w:bidi="zh-CN"/>
      </w:rPr>
    </w:lvl>
    <w:lvl w:ilvl="6" w:tentative="0">
      <w:start w:val="0"/>
      <w:numFmt w:val="bullet"/>
      <w:lvlText w:val="•"/>
      <w:lvlJc w:val="left"/>
      <w:pPr>
        <w:ind w:left="6307" w:hanging="720"/>
      </w:pPr>
      <w:rPr>
        <w:rFonts w:hint="default"/>
        <w:lang w:val="zh-CN" w:eastAsia="zh-CN" w:bidi="zh-CN"/>
      </w:rPr>
    </w:lvl>
    <w:lvl w:ilvl="7" w:tentative="0">
      <w:start w:val="0"/>
      <w:numFmt w:val="bullet"/>
      <w:lvlText w:val="•"/>
      <w:lvlJc w:val="left"/>
      <w:pPr>
        <w:ind w:left="7102" w:hanging="720"/>
      </w:pPr>
      <w:rPr>
        <w:rFonts w:hint="default"/>
        <w:lang w:val="zh-CN" w:eastAsia="zh-CN" w:bidi="zh-CN"/>
      </w:rPr>
    </w:lvl>
    <w:lvl w:ilvl="8" w:tentative="0">
      <w:start w:val="0"/>
      <w:numFmt w:val="bullet"/>
      <w:lvlText w:val="•"/>
      <w:lvlJc w:val="left"/>
      <w:pPr>
        <w:ind w:left="7897" w:hanging="720"/>
      </w:pPr>
      <w:rPr>
        <w:rFonts w:hint="default"/>
        <w:lang w:val="zh-CN" w:eastAsia="zh-CN" w:bidi="zh-CN"/>
      </w:rPr>
    </w:lvl>
  </w:abstractNum>
  <w:abstractNum w:abstractNumId="30">
    <w:nsid w:val="60573269"/>
    <w:multiLevelType w:val="multilevel"/>
    <w:tmpl w:val="60573269"/>
    <w:lvl w:ilvl="0" w:tentative="0">
      <w:start w:val="1"/>
      <w:numFmt w:val="decimal"/>
      <w:lvlText w:val="%1."/>
      <w:lvlJc w:val="left"/>
      <w:pPr>
        <w:ind w:left="789" w:hanging="420"/>
      </w:pPr>
      <w:rPr>
        <w:rFonts w:hint="default" w:ascii="黑体" w:hAnsi="黑体" w:eastAsia="黑体" w:cs="黑体"/>
        <w:w w:val="100"/>
        <w:sz w:val="28"/>
        <w:szCs w:val="28"/>
        <w:lang w:val="zh-CN" w:eastAsia="zh-CN" w:bidi="zh-CN"/>
      </w:rPr>
    </w:lvl>
    <w:lvl w:ilvl="1" w:tentative="0">
      <w:start w:val="1"/>
      <w:numFmt w:val="decimal"/>
      <w:lvlText w:val="%1.%2"/>
      <w:lvlJc w:val="left"/>
      <w:pPr>
        <w:ind w:left="369" w:hanging="543"/>
      </w:pPr>
      <w:rPr>
        <w:rFonts w:hint="default"/>
        <w:spacing w:val="-1"/>
        <w:w w:val="100"/>
        <w:lang w:val="zh-CN" w:eastAsia="zh-CN" w:bidi="zh-CN"/>
      </w:rPr>
    </w:lvl>
    <w:lvl w:ilvl="2" w:tentative="0">
      <w:start w:val="1"/>
      <w:numFmt w:val="decimal"/>
      <w:lvlText w:val="%1.%2.%3"/>
      <w:lvlJc w:val="left"/>
      <w:pPr>
        <w:ind w:left="1449" w:hanging="543"/>
      </w:pPr>
      <w:rPr>
        <w:rFonts w:hint="default" w:ascii="Times New Roman" w:hAnsi="Times New Roman" w:eastAsia="Times New Roman" w:cs="Times New Roman"/>
        <w:spacing w:val="-226"/>
        <w:w w:val="100"/>
        <w:sz w:val="24"/>
        <w:szCs w:val="24"/>
        <w:lang w:val="zh-CN" w:eastAsia="zh-CN" w:bidi="zh-CN"/>
      </w:rPr>
    </w:lvl>
    <w:lvl w:ilvl="3" w:tentative="0">
      <w:start w:val="0"/>
      <w:numFmt w:val="bullet"/>
      <w:lvlText w:val="•"/>
      <w:lvlJc w:val="left"/>
      <w:pPr>
        <w:ind w:left="900" w:hanging="543"/>
      </w:pPr>
      <w:rPr>
        <w:rFonts w:hint="default"/>
        <w:lang w:val="zh-CN" w:eastAsia="zh-CN" w:bidi="zh-CN"/>
      </w:rPr>
    </w:lvl>
    <w:lvl w:ilvl="4" w:tentative="0">
      <w:start w:val="0"/>
      <w:numFmt w:val="bullet"/>
      <w:lvlText w:val="•"/>
      <w:lvlJc w:val="left"/>
      <w:pPr>
        <w:ind w:left="1440" w:hanging="543"/>
      </w:pPr>
      <w:rPr>
        <w:rFonts w:hint="default"/>
        <w:lang w:val="zh-CN" w:eastAsia="zh-CN" w:bidi="zh-CN"/>
      </w:rPr>
    </w:lvl>
    <w:lvl w:ilvl="5" w:tentative="0">
      <w:start w:val="0"/>
      <w:numFmt w:val="bullet"/>
      <w:lvlText w:val="•"/>
      <w:lvlJc w:val="left"/>
      <w:pPr>
        <w:ind w:left="2781" w:hanging="543"/>
      </w:pPr>
      <w:rPr>
        <w:rFonts w:hint="default"/>
        <w:lang w:val="zh-CN" w:eastAsia="zh-CN" w:bidi="zh-CN"/>
      </w:rPr>
    </w:lvl>
    <w:lvl w:ilvl="6" w:tentative="0">
      <w:start w:val="0"/>
      <w:numFmt w:val="bullet"/>
      <w:lvlText w:val="•"/>
      <w:lvlJc w:val="left"/>
      <w:pPr>
        <w:ind w:left="4122" w:hanging="543"/>
      </w:pPr>
      <w:rPr>
        <w:rFonts w:hint="default"/>
        <w:lang w:val="zh-CN" w:eastAsia="zh-CN" w:bidi="zh-CN"/>
      </w:rPr>
    </w:lvl>
    <w:lvl w:ilvl="7" w:tentative="0">
      <w:start w:val="0"/>
      <w:numFmt w:val="bullet"/>
      <w:lvlText w:val="•"/>
      <w:lvlJc w:val="left"/>
      <w:pPr>
        <w:ind w:left="5463" w:hanging="543"/>
      </w:pPr>
      <w:rPr>
        <w:rFonts w:hint="default"/>
        <w:lang w:val="zh-CN" w:eastAsia="zh-CN" w:bidi="zh-CN"/>
      </w:rPr>
    </w:lvl>
    <w:lvl w:ilvl="8" w:tentative="0">
      <w:start w:val="0"/>
      <w:numFmt w:val="bullet"/>
      <w:lvlText w:val="•"/>
      <w:lvlJc w:val="left"/>
      <w:pPr>
        <w:ind w:left="6804" w:hanging="543"/>
      </w:pPr>
      <w:rPr>
        <w:rFonts w:hint="default"/>
        <w:lang w:val="zh-CN" w:eastAsia="zh-CN" w:bidi="zh-CN"/>
      </w:rPr>
    </w:lvl>
  </w:abstractNum>
  <w:abstractNum w:abstractNumId="31">
    <w:nsid w:val="61FB2F6D"/>
    <w:multiLevelType w:val="multilevel"/>
    <w:tmpl w:val="61FB2F6D"/>
    <w:lvl w:ilvl="0" w:tentative="0">
      <w:start w:val="1"/>
      <w:numFmt w:val="decimal"/>
      <w:lvlText w:val="%1."/>
      <w:lvlJc w:val="left"/>
      <w:pPr>
        <w:ind w:left="844" w:hanging="420"/>
      </w:pPr>
      <w:rPr>
        <w:rFonts w:hint="default" w:ascii="黑体" w:hAnsi="黑体" w:eastAsia="黑体" w:cs="黑体"/>
        <w:w w:val="100"/>
        <w:sz w:val="28"/>
        <w:szCs w:val="28"/>
        <w:lang w:val="zh-CN" w:eastAsia="zh-CN" w:bidi="zh-CN"/>
      </w:rPr>
    </w:lvl>
    <w:lvl w:ilvl="1" w:tentative="0">
      <w:start w:val="1"/>
      <w:numFmt w:val="decimal"/>
      <w:lvlText w:val="%1.%2"/>
      <w:lvlJc w:val="left"/>
      <w:pPr>
        <w:ind w:left="904"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424" w:hanging="600"/>
      </w:pPr>
      <w:rPr>
        <w:rFonts w:hint="default" w:ascii="Times New Roman" w:hAnsi="Times New Roman" w:eastAsia="Times New Roman" w:cs="Times New Roman"/>
        <w:spacing w:val="-120"/>
        <w:w w:val="100"/>
        <w:sz w:val="24"/>
        <w:szCs w:val="24"/>
        <w:lang w:val="zh-CN" w:eastAsia="zh-CN" w:bidi="zh-CN"/>
      </w:rPr>
    </w:lvl>
    <w:lvl w:ilvl="3" w:tentative="0">
      <w:start w:val="1"/>
      <w:numFmt w:val="upperLetter"/>
      <w:lvlText w:val="%4."/>
      <w:lvlJc w:val="left"/>
      <w:pPr>
        <w:ind w:left="3396" w:hanging="468"/>
      </w:pPr>
      <w:rPr>
        <w:rFonts w:hint="default" w:ascii="Times New Roman" w:hAnsi="Times New Roman" w:eastAsia="Times New Roman" w:cs="Times New Roman"/>
        <w:w w:val="99"/>
        <w:sz w:val="32"/>
        <w:szCs w:val="32"/>
        <w:lang w:val="zh-CN" w:eastAsia="zh-CN" w:bidi="zh-CN"/>
      </w:rPr>
    </w:lvl>
    <w:lvl w:ilvl="4" w:tentative="0">
      <w:start w:val="0"/>
      <w:numFmt w:val="bullet"/>
      <w:lvlText w:val="•"/>
      <w:lvlJc w:val="left"/>
      <w:pPr>
        <w:ind w:left="4269" w:hanging="468"/>
      </w:pPr>
      <w:rPr>
        <w:rFonts w:hint="default"/>
        <w:lang w:val="zh-CN" w:eastAsia="zh-CN" w:bidi="zh-CN"/>
      </w:rPr>
    </w:lvl>
    <w:lvl w:ilvl="5" w:tentative="0">
      <w:start w:val="0"/>
      <w:numFmt w:val="bullet"/>
      <w:lvlText w:val="•"/>
      <w:lvlJc w:val="left"/>
      <w:pPr>
        <w:ind w:left="5138" w:hanging="468"/>
      </w:pPr>
      <w:rPr>
        <w:rFonts w:hint="default"/>
        <w:lang w:val="zh-CN" w:eastAsia="zh-CN" w:bidi="zh-CN"/>
      </w:rPr>
    </w:lvl>
    <w:lvl w:ilvl="6" w:tentative="0">
      <w:start w:val="0"/>
      <w:numFmt w:val="bullet"/>
      <w:lvlText w:val="•"/>
      <w:lvlJc w:val="left"/>
      <w:pPr>
        <w:ind w:left="6008" w:hanging="468"/>
      </w:pPr>
      <w:rPr>
        <w:rFonts w:hint="default"/>
        <w:lang w:val="zh-CN" w:eastAsia="zh-CN" w:bidi="zh-CN"/>
      </w:rPr>
    </w:lvl>
    <w:lvl w:ilvl="7" w:tentative="0">
      <w:start w:val="0"/>
      <w:numFmt w:val="bullet"/>
      <w:lvlText w:val="•"/>
      <w:lvlJc w:val="left"/>
      <w:pPr>
        <w:ind w:left="6877" w:hanging="468"/>
      </w:pPr>
      <w:rPr>
        <w:rFonts w:hint="default"/>
        <w:lang w:val="zh-CN" w:eastAsia="zh-CN" w:bidi="zh-CN"/>
      </w:rPr>
    </w:lvl>
    <w:lvl w:ilvl="8" w:tentative="0">
      <w:start w:val="0"/>
      <w:numFmt w:val="bullet"/>
      <w:lvlText w:val="•"/>
      <w:lvlJc w:val="left"/>
      <w:pPr>
        <w:ind w:left="7747" w:hanging="468"/>
      </w:pPr>
      <w:rPr>
        <w:rFonts w:hint="default"/>
        <w:lang w:val="zh-CN" w:eastAsia="zh-CN" w:bidi="zh-CN"/>
      </w:rPr>
    </w:lvl>
  </w:abstractNum>
  <w:abstractNum w:abstractNumId="32">
    <w:nsid w:val="63E50983"/>
    <w:multiLevelType w:val="multilevel"/>
    <w:tmpl w:val="63E50983"/>
    <w:lvl w:ilvl="0" w:tentative="0">
      <w:start w:val="22"/>
      <w:numFmt w:val="decimal"/>
      <w:lvlText w:val="%1"/>
      <w:lvlJc w:val="left"/>
      <w:pPr>
        <w:ind w:left="1624" w:hanging="720"/>
      </w:pPr>
      <w:rPr>
        <w:rFonts w:hint="default"/>
        <w:lang w:val="zh-CN" w:eastAsia="zh-CN" w:bidi="zh-CN"/>
      </w:rPr>
    </w:lvl>
    <w:lvl w:ilvl="1" w:tentative="0">
      <w:start w:val="1"/>
      <w:numFmt w:val="decimal"/>
      <w:lvlText w:val="%1.%2"/>
      <w:lvlJc w:val="left"/>
      <w:pPr>
        <w:ind w:left="1624" w:hanging="720"/>
        <w:jc w:val="right"/>
      </w:pPr>
      <w:rPr>
        <w:rFonts w:hint="default"/>
        <w:lang w:val="zh-CN" w:eastAsia="zh-CN" w:bidi="zh-CN"/>
      </w:rPr>
    </w:lvl>
    <w:lvl w:ilvl="2" w:tentative="0">
      <w:start w:val="1"/>
      <w:numFmt w:val="decimal"/>
      <w:lvlText w:val="%1.%2.%3"/>
      <w:lvlJc w:val="left"/>
      <w:pPr>
        <w:ind w:left="16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368" w:hanging="720"/>
      </w:pPr>
      <w:rPr>
        <w:rFonts w:hint="default"/>
        <w:lang w:val="zh-CN" w:eastAsia="zh-CN" w:bidi="zh-CN"/>
      </w:rPr>
    </w:lvl>
    <w:lvl w:ilvl="4" w:tentative="0">
      <w:start w:val="0"/>
      <w:numFmt w:val="bullet"/>
      <w:lvlText w:val="•"/>
      <w:lvlJc w:val="left"/>
      <w:pPr>
        <w:ind w:left="4242" w:hanging="720"/>
      </w:pPr>
      <w:rPr>
        <w:rFonts w:hint="default"/>
        <w:lang w:val="zh-CN" w:eastAsia="zh-CN" w:bidi="zh-CN"/>
      </w:rPr>
    </w:lvl>
    <w:lvl w:ilvl="5" w:tentative="0">
      <w:start w:val="0"/>
      <w:numFmt w:val="bullet"/>
      <w:lvlText w:val="•"/>
      <w:lvlJc w:val="left"/>
      <w:pPr>
        <w:ind w:left="5116" w:hanging="720"/>
      </w:pPr>
      <w:rPr>
        <w:rFonts w:hint="default"/>
        <w:lang w:val="zh-CN" w:eastAsia="zh-CN" w:bidi="zh-CN"/>
      </w:rPr>
    </w:lvl>
    <w:lvl w:ilvl="6" w:tentative="0">
      <w:start w:val="0"/>
      <w:numFmt w:val="bullet"/>
      <w:lvlText w:val="•"/>
      <w:lvlJc w:val="left"/>
      <w:pPr>
        <w:ind w:left="5990" w:hanging="720"/>
      </w:pPr>
      <w:rPr>
        <w:rFonts w:hint="default"/>
        <w:lang w:val="zh-CN" w:eastAsia="zh-CN" w:bidi="zh-CN"/>
      </w:rPr>
    </w:lvl>
    <w:lvl w:ilvl="7" w:tentative="0">
      <w:start w:val="0"/>
      <w:numFmt w:val="bullet"/>
      <w:lvlText w:val="•"/>
      <w:lvlJc w:val="left"/>
      <w:pPr>
        <w:ind w:left="6864" w:hanging="720"/>
      </w:pPr>
      <w:rPr>
        <w:rFonts w:hint="default"/>
        <w:lang w:val="zh-CN" w:eastAsia="zh-CN" w:bidi="zh-CN"/>
      </w:rPr>
    </w:lvl>
    <w:lvl w:ilvl="8" w:tentative="0">
      <w:start w:val="0"/>
      <w:numFmt w:val="bullet"/>
      <w:lvlText w:val="•"/>
      <w:lvlJc w:val="left"/>
      <w:pPr>
        <w:ind w:left="7738" w:hanging="720"/>
      </w:pPr>
      <w:rPr>
        <w:rFonts w:hint="default"/>
        <w:lang w:val="zh-CN" w:eastAsia="zh-CN" w:bidi="zh-CN"/>
      </w:rPr>
    </w:lvl>
  </w:abstractNum>
  <w:abstractNum w:abstractNumId="33">
    <w:nsid w:val="63FD1D90"/>
    <w:multiLevelType w:val="multilevel"/>
    <w:tmpl w:val="63FD1D90"/>
    <w:lvl w:ilvl="0" w:tentative="0">
      <w:start w:val="1"/>
      <w:numFmt w:val="decimal"/>
      <w:lvlText w:val="%1."/>
      <w:lvlJc w:val="left"/>
      <w:pPr>
        <w:ind w:left="844" w:hanging="420"/>
      </w:pPr>
      <w:rPr>
        <w:rFonts w:hint="default" w:ascii="黑体" w:hAnsi="黑体" w:eastAsia="黑体" w:cs="黑体"/>
        <w:w w:val="100"/>
        <w:sz w:val="28"/>
        <w:szCs w:val="28"/>
        <w:lang w:val="zh-CN" w:eastAsia="zh-CN" w:bidi="zh-CN"/>
      </w:rPr>
    </w:lvl>
    <w:lvl w:ilvl="1" w:tentative="0">
      <w:start w:val="1"/>
      <w:numFmt w:val="decimal"/>
      <w:lvlText w:val="%1.%2"/>
      <w:lvlJc w:val="left"/>
      <w:pPr>
        <w:ind w:left="904"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500" w:hanging="600"/>
      </w:pPr>
      <w:rPr>
        <w:rFonts w:hint="default"/>
        <w:lang w:val="zh-CN" w:eastAsia="zh-CN" w:bidi="zh-CN"/>
      </w:rPr>
    </w:lvl>
    <w:lvl w:ilvl="4" w:tentative="0">
      <w:start w:val="0"/>
      <w:numFmt w:val="bullet"/>
      <w:lvlText w:val="•"/>
      <w:lvlJc w:val="left"/>
      <w:pPr>
        <w:ind w:left="2640" w:hanging="600"/>
      </w:pPr>
      <w:rPr>
        <w:rFonts w:hint="default"/>
        <w:lang w:val="zh-CN" w:eastAsia="zh-CN" w:bidi="zh-CN"/>
      </w:rPr>
    </w:lvl>
    <w:lvl w:ilvl="5" w:tentative="0">
      <w:start w:val="0"/>
      <w:numFmt w:val="bullet"/>
      <w:lvlText w:val="•"/>
      <w:lvlJc w:val="left"/>
      <w:pPr>
        <w:ind w:left="3781" w:hanging="600"/>
      </w:pPr>
      <w:rPr>
        <w:rFonts w:hint="default"/>
        <w:lang w:val="zh-CN" w:eastAsia="zh-CN" w:bidi="zh-CN"/>
      </w:rPr>
    </w:lvl>
    <w:lvl w:ilvl="6" w:tentative="0">
      <w:start w:val="0"/>
      <w:numFmt w:val="bullet"/>
      <w:lvlText w:val="•"/>
      <w:lvlJc w:val="left"/>
      <w:pPr>
        <w:ind w:left="4922" w:hanging="600"/>
      </w:pPr>
      <w:rPr>
        <w:rFonts w:hint="default"/>
        <w:lang w:val="zh-CN" w:eastAsia="zh-CN" w:bidi="zh-CN"/>
      </w:rPr>
    </w:lvl>
    <w:lvl w:ilvl="7" w:tentative="0">
      <w:start w:val="0"/>
      <w:numFmt w:val="bullet"/>
      <w:lvlText w:val="•"/>
      <w:lvlJc w:val="left"/>
      <w:pPr>
        <w:ind w:left="6063" w:hanging="600"/>
      </w:pPr>
      <w:rPr>
        <w:rFonts w:hint="default"/>
        <w:lang w:val="zh-CN" w:eastAsia="zh-CN" w:bidi="zh-CN"/>
      </w:rPr>
    </w:lvl>
    <w:lvl w:ilvl="8" w:tentative="0">
      <w:start w:val="0"/>
      <w:numFmt w:val="bullet"/>
      <w:lvlText w:val="•"/>
      <w:lvlJc w:val="left"/>
      <w:pPr>
        <w:ind w:left="7204" w:hanging="600"/>
      </w:pPr>
      <w:rPr>
        <w:rFonts w:hint="default"/>
        <w:lang w:val="zh-CN" w:eastAsia="zh-CN" w:bidi="zh-CN"/>
      </w:rPr>
    </w:lvl>
  </w:abstractNum>
  <w:abstractNum w:abstractNumId="34">
    <w:nsid w:val="666277F5"/>
    <w:multiLevelType w:val="multilevel"/>
    <w:tmpl w:val="666277F5"/>
    <w:lvl w:ilvl="0" w:tentative="0">
      <w:start w:val="17"/>
      <w:numFmt w:val="decimal"/>
      <w:lvlText w:val="%1"/>
      <w:lvlJc w:val="left"/>
      <w:pPr>
        <w:ind w:left="1554" w:hanging="660"/>
      </w:pPr>
      <w:rPr>
        <w:rFonts w:hint="default"/>
        <w:lang w:val="zh-CN" w:eastAsia="zh-CN" w:bidi="zh-CN"/>
      </w:rPr>
    </w:lvl>
    <w:lvl w:ilvl="1" w:tentative="0">
      <w:start w:val="2"/>
      <w:numFmt w:val="decimal"/>
      <w:lvlText w:val="%1.%2"/>
      <w:lvlJc w:val="left"/>
      <w:pPr>
        <w:ind w:left="1554" w:hanging="660"/>
        <w:jc w:val="right"/>
      </w:pPr>
      <w:rPr>
        <w:rFonts w:hint="default"/>
        <w:lang w:val="zh-CN" w:eastAsia="zh-CN" w:bidi="zh-CN"/>
      </w:rPr>
    </w:lvl>
    <w:lvl w:ilvl="2" w:tentative="0">
      <w:start w:val="1"/>
      <w:numFmt w:val="decimal"/>
      <w:lvlText w:val="%1.%2.%3"/>
      <w:lvlJc w:val="left"/>
      <w:pPr>
        <w:ind w:left="1554" w:hanging="66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660"/>
      </w:pPr>
      <w:rPr>
        <w:rFonts w:hint="default"/>
        <w:lang w:val="zh-CN" w:eastAsia="zh-CN" w:bidi="zh-CN"/>
      </w:rPr>
    </w:lvl>
    <w:lvl w:ilvl="4" w:tentative="0">
      <w:start w:val="0"/>
      <w:numFmt w:val="bullet"/>
      <w:lvlText w:val="•"/>
      <w:lvlJc w:val="left"/>
      <w:pPr>
        <w:ind w:left="3586" w:hanging="660"/>
      </w:pPr>
      <w:rPr>
        <w:rFonts w:hint="default"/>
        <w:lang w:val="zh-CN" w:eastAsia="zh-CN" w:bidi="zh-CN"/>
      </w:rPr>
    </w:lvl>
    <w:lvl w:ilvl="5" w:tentative="0">
      <w:start w:val="0"/>
      <w:numFmt w:val="bullet"/>
      <w:lvlText w:val="•"/>
      <w:lvlJc w:val="left"/>
      <w:pPr>
        <w:ind w:left="4569" w:hanging="660"/>
      </w:pPr>
      <w:rPr>
        <w:rFonts w:hint="default"/>
        <w:lang w:val="zh-CN" w:eastAsia="zh-CN" w:bidi="zh-CN"/>
      </w:rPr>
    </w:lvl>
    <w:lvl w:ilvl="6" w:tentative="0">
      <w:start w:val="0"/>
      <w:numFmt w:val="bullet"/>
      <w:lvlText w:val="•"/>
      <w:lvlJc w:val="left"/>
      <w:pPr>
        <w:ind w:left="5553" w:hanging="660"/>
      </w:pPr>
      <w:rPr>
        <w:rFonts w:hint="default"/>
        <w:lang w:val="zh-CN" w:eastAsia="zh-CN" w:bidi="zh-CN"/>
      </w:rPr>
    </w:lvl>
    <w:lvl w:ilvl="7" w:tentative="0">
      <w:start w:val="0"/>
      <w:numFmt w:val="bullet"/>
      <w:lvlText w:val="•"/>
      <w:lvlJc w:val="left"/>
      <w:pPr>
        <w:ind w:left="6536" w:hanging="660"/>
      </w:pPr>
      <w:rPr>
        <w:rFonts w:hint="default"/>
        <w:lang w:val="zh-CN" w:eastAsia="zh-CN" w:bidi="zh-CN"/>
      </w:rPr>
    </w:lvl>
    <w:lvl w:ilvl="8" w:tentative="0">
      <w:start w:val="0"/>
      <w:numFmt w:val="bullet"/>
      <w:lvlText w:val="•"/>
      <w:lvlJc w:val="left"/>
      <w:pPr>
        <w:ind w:left="7519" w:hanging="660"/>
      </w:pPr>
      <w:rPr>
        <w:rFonts w:hint="default"/>
        <w:lang w:val="zh-CN" w:eastAsia="zh-CN" w:bidi="zh-CN"/>
      </w:rPr>
    </w:lvl>
  </w:abstractNum>
  <w:abstractNum w:abstractNumId="35">
    <w:nsid w:val="66E94F27"/>
    <w:multiLevelType w:val="multilevel"/>
    <w:tmpl w:val="66E94F27"/>
    <w:lvl w:ilvl="0" w:tentative="0">
      <w:start w:val="24"/>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36">
    <w:nsid w:val="6BB13A2E"/>
    <w:multiLevelType w:val="multilevel"/>
    <w:tmpl w:val="6BB13A2E"/>
    <w:lvl w:ilvl="0" w:tentative="0">
      <w:start w:val="1"/>
      <w:numFmt w:val="decimal"/>
      <w:lvlText w:val="%1."/>
      <w:lvlJc w:val="left"/>
      <w:pPr>
        <w:ind w:left="717" w:hanging="348"/>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369" w:hanging="420"/>
      </w:pPr>
      <w:rPr>
        <w:rFonts w:hint="default" w:ascii="Times New Roman" w:hAnsi="Times New Roman" w:eastAsia="Times New Roman" w:cs="Times New Roman"/>
        <w:spacing w:val="-51"/>
        <w:w w:val="100"/>
        <w:sz w:val="24"/>
        <w:szCs w:val="24"/>
        <w:lang w:val="zh-CN" w:eastAsia="zh-CN" w:bidi="zh-CN"/>
      </w:rPr>
    </w:lvl>
    <w:lvl w:ilvl="2" w:tentative="0">
      <w:start w:val="0"/>
      <w:numFmt w:val="bullet"/>
      <w:lvlText w:val="•"/>
      <w:lvlJc w:val="left"/>
      <w:pPr>
        <w:ind w:left="1260" w:hanging="420"/>
      </w:pPr>
      <w:rPr>
        <w:rFonts w:hint="default"/>
        <w:lang w:val="zh-CN" w:eastAsia="zh-CN" w:bidi="zh-CN"/>
      </w:rPr>
    </w:lvl>
    <w:lvl w:ilvl="3" w:tentative="0">
      <w:start w:val="0"/>
      <w:numFmt w:val="bullet"/>
      <w:lvlText w:val="•"/>
      <w:lvlJc w:val="left"/>
      <w:pPr>
        <w:ind w:left="2288" w:hanging="420"/>
      </w:pPr>
      <w:rPr>
        <w:rFonts w:hint="default"/>
        <w:lang w:val="zh-CN" w:eastAsia="zh-CN" w:bidi="zh-CN"/>
      </w:rPr>
    </w:lvl>
    <w:lvl w:ilvl="4" w:tentative="0">
      <w:start w:val="0"/>
      <w:numFmt w:val="bullet"/>
      <w:lvlText w:val="•"/>
      <w:lvlJc w:val="left"/>
      <w:pPr>
        <w:ind w:left="3316" w:hanging="420"/>
      </w:pPr>
      <w:rPr>
        <w:rFonts w:hint="default"/>
        <w:lang w:val="zh-CN" w:eastAsia="zh-CN" w:bidi="zh-CN"/>
      </w:rPr>
    </w:lvl>
    <w:lvl w:ilvl="5" w:tentative="0">
      <w:start w:val="0"/>
      <w:numFmt w:val="bullet"/>
      <w:lvlText w:val="•"/>
      <w:lvlJc w:val="left"/>
      <w:pPr>
        <w:ind w:left="4344" w:hanging="420"/>
      </w:pPr>
      <w:rPr>
        <w:rFonts w:hint="default"/>
        <w:lang w:val="zh-CN" w:eastAsia="zh-CN" w:bidi="zh-CN"/>
      </w:rPr>
    </w:lvl>
    <w:lvl w:ilvl="6" w:tentative="0">
      <w:start w:val="0"/>
      <w:numFmt w:val="bullet"/>
      <w:lvlText w:val="•"/>
      <w:lvlJc w:val="left"/>
      <w:pPr>
        <w:ind w:left="5373" w:hanging="420"/>
      </w:pPr>
      <w:rPr>
        <w:rFonts w:hint="default"/>
        <w:lang w:val="zh-CN" w:eastAsia="zh-CN" w:bidi="zh-CN"/>
      </w:rPr>
    </w:lvl>
    <w:lvl w:ilvl="7" w:tentative="0">
      <w:start w:val="0"/>
      <w:numFmt w:val="bullet"/>
      <w:lvlText w:val="•"/>
      <w:lvlJc w:val="left"/>
      <w:pPr>
        <w:ind w:left="6401" w:hanging="420"/>
      </w:pPr>
      <w:rPr>
        <w:rFonts w:hint="default"/>
        <w:lang w:val="zh-CN" w:eastAsia="zh-CN" w:bidi="zh-CN"/>
      </w:rPr>
    </w:lvl>
    <w:lvl w:ilvl="8" w:tentative="0">
      <w:start w:val="0"/>
      <w:numFmt w:val="bullet"/>
      <w:lvlText w:val="•"/>
      <w:lvlJc w:val="left"/>
      <w:pPr>
        <w:ind w:left="7429" w:hanging="420"/>
      </w:pPr>
      <w:rPr>
        <w:rFonts w:hint="default"/>
        <w:lang w:val="zh-CN" w:eastAsia="zh-CN" w:bidi="zh-CN"/>
      </w:rPr>
    </w:lvl>
  </w:abstractNum>
  <w:abstractNum w:abstractNumId="37">
    <w:nsid w:val="6ED652FF"/>
    <w:multiLevelType w:val="multilevel"/>
    <w:tmpl w:val="6ED652FF"/>
    <w:lvl w:ilvl="0" w:tentative="0">
      <w:start w:val="6"/>
      <w:numFmt w:val="decimal"/>
      <w:lvlText w:val="%1"/>
      <w:lvlJc w:val="left"/>
      <w:pPr>
        <w:ind w:left="369" w:hanging="600"/>
      </w:pPr>
      <w:rPr>
        <w:rFonts w:hint="default"/>
        <w:lang w:val="zh-CN" w:eastAsia="zh-CN" w:bidi="zh-CN"/>
      </w:rPr>
    </w:lvl>
    <w:lvl w:ilvl="1" w:tentative="0">
      <w:start w:val="1"/>
      <w:numFmt w:val="decimal"/>
      <w:lvlText w:val="%1.%2"/>
      <w:lvlJc w:val="left"/>
      <w:pPr>
        <w:ind w:left="369" w:hanging="600"/>
        <w:jc w:val="right"/>
      </w:pPr>
      <w:rPr>
        <w:rFonts w:hint="default"/>
        <w:lang w:val="zh-CN" w:eastAsia="zh-CN" w:bidi="zh-CN"/>
      </w:rPr>
    </w:lvl>
    <w:lvl w:ilvl="2" w:tentative="0">
      <w:start w:val="2"/>
      <w:numFmt w:val="decimal"/>
      <w:lvlText w:val="%1.%2.%3"/>
      <w:lvlJc w:val="left"/>
      <w:pPr>
        <w:ind w:left="369"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097" w:hanging="600"/>
      </w:pPr>
      <w:rPr>
        <w:rFonts w:hint="default"/>
        <w:lang w:val="zh-CN" w:eastAsia="zh-CN" w:bidi="zh-CN"/>
      </w:rPr>
    </w:lvl>
    <w:lvl w:ilvl="4" w:tentative="0">
      <w:start w:val="0"/>
      <w:numFmt w:val="bullet"/>
      <w:lvlText w:val="•"/>
      <w:lvlJc w:val="left"/>
      <w:pPr>
        <w:ind w:left="4010" w:hanging="600"/>
      </w:pPr>
      <w:rPr>
        <w:rFonts w:hint="default"/>
        <w:lang w:val="zh-CN" w:eastAsia="zh-CN" w:bidi="zh-CN"/>
      </w:rPr>
    </w:lvl>
    <w:lvl w:ilvl="5" w:tentative="0">
      <w:start w:val="0"/>
      <w:numFmt w:val="bullet"/>
      <w:lvlText w:val="•"/>
      <w:lvlJc w:val="left"/>
      <w:pPr>
        <w:ind w:left="4923" w:hanging="600"/>
      </w:pPr>
      <w:rPr>
        <w:rFonts w:hint="default"/>
        <w:lang w:val="zh-CN" w:eastAsia="zh-CN" w:bidi="zh-CN"/>
      </w:rPr>
    </w:lvl>
    <w:lvl w:ilvl="6" w:tentative="0">
      <w:start w:val="0"/>
      <w:numFmt w:val="bullet"/>
      <w:lvlText w:val="•"/>
      <w:lvlJc w:val="left"/>
      <w:pPr>
        <w:ind w:left="5835" w:hanging="600"/>
      </w:pPr>
      <w:rPr>
        <w:rFonts w:hint="default"/>
        <w:lang w:val="zh-CN" w:eastAsia="zh-CN" w:bidi="zh-CN"/>
      </w:rPr>
    </w:lvl>
    <w:lvl w:ilvl="7" w:tentative="0">
      <w:start w:val="0"/>
      <w:numFmt w:val="bullet"/>
      <w:lvlText w:val="•"/>
      <w:lvlJc w:val="left"/>
      <w:pPr>
        <w:ind w:left="6748" w:hanging="600"/>
      </w:pPr>
      <w:rPr>
        <w:rFonts w:hint="default"/>
        <w:lang w:val="zh-CN" w:eastAsia="zh-CN" w:bidi="zh-CN"/>
      </w:rPr>
    </w:lvl>
    <w:lvl w:ilvl="8" w:tentative="0">
      <w:start w:val="0"/>
      <w:numFmt w:val="bullet"/>
      <w:lvlText w:val="•"/>
      <w:lvlJc w:val="left"/>
      <w:pPr>
        <w:ind w:left="7661" w:hanging="600"/>
      </w:pPr>
      <w:rPr>
        <w:rFonts w:hint="default"/>
        <w:lang w:val="zh-CN" w:eastAsia="zh-CN" w:bidi="zh-CN"/>
      </w:rPr>
    </w:lvl>
  </w:abstractNum>
  <w:abstractNum w:abstractNumId="38">
    <w:nsid w:val="6F1973B1"/>
    <w:multiLevelType w:val="multilevel"/>
    <w:tmpl w:val="6F1973B1"/>
    <w:lvl w:ilvl="0" w:tentative="0">
      <w:start w:val="22"/>
      <w:numFmt w:val="decimal"/>
      <w:lvlText w:val="%1"/>
      <w:lvlJc w:val="left"/>
      <w:pPr>
        <w:ind w:left="964" w:hanging="540"/>
      </w:pPr>
      <w:rPr>
        <w:rFonts w:hint="default"/>
        <w:lang w:val="zh-CN" w:eastAsia="zh-CN" w:bidi="zh-CN"/>
      </w:rPr>
    </w:lvl>
    <w:lvl w:ilvl="1" w:tentative="0">
      <w:start w:val="1"/>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424"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802" w:hanging="300"/>
      </w:pPr>
      <w:rPr>
        <w:rFonts w:hint="default"/>
        <w:lang w:val="zh-CN" w:eastAsia="zh-CN" w:bidi="zh-CN"/>
      </w:rPr>
    </w:lvl>
    <w:lvl w:ilvl="5" w:tentative="0">
      <w:start w:val="0"/>
      <w:numFmt w:val="bullet"/>
      <w:lvlText w:val="•"/>
      <w:lvlJc w:val="left"/>
      <w:pPr>
        <w:ind w:left="4749" w:hanging="300"/>
      </w:pPr>
      <w:rPr>
        <w:rFonts w:hint="default"/>
        <w:lang w:val="zh-CN" w:eastAsia="zh-CN" w:bidi="zh-CN"/>
      </w:rPr>
    </w:lvl>
    <w:lvl w:ilvl="6" w:tentative="0">
      <w:start w:val="0"/>
      <w:numFmt w:val="bullet"/>
      <w:lvlText w:val="•"/>
      <w:lvlJc w:val="left"/>
      <w:pPr>
        <w:ind w:left="5696" w:hanging="300"/>
      </w:pPr>
      <w:rPr>
        <w:rFonts w:hint="default"/>
        <w:lang w:val="zh-CN" w:eastAsia="zh-CN" w:bidi="zh-CN"/>
      </w:rPr>
    </w:lvl>
    <w:lvl w:ilvl="7" w:tentative="0">
      <w:start w:val="0"/>
      <w:numFmt w:val="bullet"/>
      <w:lvlText w:val="•"/>
      <w:lvlJc w:val="left"/>
      <w:pPr>
        <w:ind w:left="6644" w:hanging="300"/>
      </w:pPr>
      <w:rPr>
        <w:rFonts w:hint="default"/>
        <w:lang w:val="zh-CN" w:eastAsia="zh-CN" w:bidi="zh-CN"/>
      </w:rPr>
    </w:lvl>
    <w:lvl w:ilvl="8" w:tentative="0">
      <w:start w:val="0"/>
      <w:numFmt w:val="bullet"/>
      <w:lvlText w:val="•"/>
      <w:lvlJc w:val="left"/>
      <w:pPr>
        <w:ind w:left="7591" w:hanging="300"/>
      </w:pPr>
      <w:rPr>
        <w:rFonts w:hint="default"/>
        <w:lang w:val="zh-CN" w:eastAsia="zh-CN" w:bidi="zh-CN"/>
      </w:rPr>
    </w:lvl>
  </w:abstractNum>
  <w:abstractNum w:abstractNumId="39">
    <w:nsid w:val="70A5396A"/>
    <w:multiLevelType w:val="multilevel"/>
    <w:tmpl w:val="70A5396A"/>
    <w:lvl w:ilvl="0" w:tentative="0">
      <w:start w:val="5"/>
      <w:numFmt w:val="decimal"/>
      <w:lvlText w:val="%1"/>
      <w:lvlJc w:val="left"/>
      <w:pPr>
        <w:ind w:left="789" w:hanging="420"/>
      </w:pPr>
      <w:rPr>
        <w:rFonts w:hint="default"/>
        <w:lang w:val="zh-CN" w:eastAsia="zh-CN" w:bidi="zh-CN"/>
      </w:rPr>
    </w:lvl>
    <w:lvl w:ilvl="1" w:tentative="0">
      <w:start w:val="2"/>
      <w:numFmt w:val="decimal"/>
      <w:lvlText w:val="%1.%2"/>
      <w:lvlJc w:val="left"/>
      <w:pPr>
        <w:ind w:left="789" w:hanging="420"/>
      </w:pPr>
      <w:rPr>
        <w:rFonts w:hint="default" w:ascii="黑体" w:hAnsi="黑体" w:eastAsia="黑体" w:cs="黑体"/>
        <w:w w:val="100"/>
        <w:sz w:val="24"/>
        <w:szCs w:val="24"/>
        <w:lang w:val="zh-CN" w:eastAsia="zh-CN" w:bidi="zh-CN"/>
      </w:rPr>
    </w:lvl>
    <w:lvl w:ilvl="2" w:tentative="0">
      <w:start w:val="1"/>
      <w:numFmt w:val="decimal"/>
      <w:lvlText w:val="%1.%2.%3"/>
      <w:lvlJc w:val="left"/>
      <w:pPr>
        <w:ind w:left="369"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714" w:hanging="600"/>
      </w:pPr>
      <w:rPr>
        <w:rFonts w:hint="default"/>
        <w:lang w:val="zh-CN" w:eastAsia="zh-CN" w:bidi="zh-CN"/>
      </w:rPr>
    </w:lvl>
    <w:lvl w:ilvl="4" w:tentative="0">
      <w:start w:val="0"/>
      <w:numFmt w:val="bullet"/>
      <w:lvlText w:val="•"/>
      <w:lvlJc w:val="left"/>
      <w:pPr>
        <w:ind w:left="3682" w:hanging="600"/>
      </w:pPr>
      <w:rPr>
        <w:rFonts w:hint="default"/>
        <w:lang w:val="zh-CN" w:eastAsia="zh-CN" w:bidi="zh-CN"/>
      </w:rPr>
    </w:lvl>
    <w:lvl w:ilvl="5" w:tentative="0">
      <w:start w:val="0"/>
      <w:numFmt w:val="bullet"/>
      <w:lvlText w:val="•"/>
      <w:lvlJc w:val="left"/>
      <w:pPr>
        <w:ind w:left="4649" w:hanging="600"/>
      </w:pPr>
      <w:rPr>
        <w:rFonts w:hint="default"/>
        <w:lang w:val="zh-CN" w:eastAsia="zh-CN" w:bidi="zh-CN"/>
      </w:rPr>
    </w:lvl>
    <w:lvl w:ilvl="6" w:tentative="0">
      <w:start w:val="0"/>
      <w:numFmt w:val="bullet"/>
      <w:lvlText w:val="•"/>
      <w:lvlJc w:val="left"/>
      <w:pPr>
        <w:ind w:left="5616" w:hanging="600"/>
      </w:pPr>
      <w:rPr>
        <w:rFonts w:hint="default"/>
        <w:lang w:val="zh-CN" w:eastAsia="zh-CN" w:bidi="zh-CN"/>
      </w:rPr>
    </w:lvl>
    <w:lvl w:ilvl="7" w:tentative="0">
      <w:start w:val="0"/>
      <w:numFmt w:val="bullet"/>
      <w:lvlText w:val="•"/>
      <w:lvlJc w:val="left"/>
      <w:pPr>
        <w:ind w:left="6584" w:hanging="600"/>
      </w:pPr>
      <w:rPr>
        <w:rFonts w:hint="default"/>
        <w:lang w:val="zh-CN" w:eastAsia="zh-CN" w:bidi="zh-CN"/>
      </w:rPr>
    </w:lvl>
    <w:lvl w:ilvl="8" w:tentative="0">
      <w:start w:val="0"/>
      <w:numFmt w:val="bullet"/>
      <w:lvlText w:val="•"/>
      <w:lvlJc w:val="left"/>
      <w:pPr>
        <w:ind w:left="7551" w:hanging="600"/>
      </w:pPr>
      <w:rPr>
        <w:rFonts w:hint="default"/>
        <w:lang w:val="zh-CN" w:eastAsia="zh-CN" w:bidi="zh-CN"/>
      </w:rPr>
    </w:lvl>
  </w:abstractNum>
  <w:abstractNum w:abstractNumId="40">
    <w:nsid w:val="7451264E"/>
    <w:multiLevelType w:val="multilevel"/>
    <w:tmpl w:val="7451264E"/>
    <w:lvl w:ilvl="0" w:tentative="0">
      <w:start w:val="4"/>
      <w:numFmt w:val="decimal"/>
      <w:lvlText w:val="%1."/>
      <w:lvlJc w:val="left"/>
      <w:pPr>
        <w:ind w:left="424" w:hanging="303"/>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303"/>
      </w:pPr>
      <w:rPr>
        <w:rFonts w:hint="default"/>
        <w:lang w:val="zh-CN" w:eastAsia="zh-CN" w:bidi="zh-CN"/>
      </w:rPr>
    </w:lvl>
    <w:lvl w:ilvl="2" w:tentative="0">
      <w:start w:val="0"/>
      <w:numFmt w:val="bullet"/>
      <w:lvlText w:val="•"/>
      <w:lvlJc w:val="left"/>
      <w:pPr>
        <w:ind w:left="2233" w:hanging="303"/>
      </w:pPr>
      <w:rPr>
        <w:rFonts w:hint="default"/>
        <w:lang w:val="zh-CN" w:eastAsia="zh-CN" w:bidi="zh-CN"/>
      </w:rPr>
    </w:lvl>
    <w:lvl w:ilvl="3" w:tentative="0">
      <w:start w:val="0"/>
      <w:numFmt w:val="bullet"/>
      <w:lvlText w:val="•"/>
      <w:lvlJc w:val="left"/>
      <w:pPr>
        <w:ind w:left="3139" w:hanging="303"/>
      </w:pPr>
      <w:rPr>
        <w:rFonts w:hint="default"/>
        <w:lang w:val="zh-CN" w:eastAsia="zh-CN" w:bidi="zh-CN"/>
      </w:rPr>
    </w:lvl>
    <w:lvl w:ilvl="4" w:tentative="0">
      <w:start w:val="0"/>
      <w:numFmt w:val="bullet"/>
      <w:lvlText w:val="•"/>
      <w:lvlJc w:val="left"/>
      <w:pPr>
        <w:ind w:left="4046" w:hanging="303"/>
      </w:pPr>
      <w:rPr>
        <w:rFonts w:hint="default"/>
        <w:lang w:val="zh-CN" w:eastAsia="zh-CN" w:bidi="zh-CN"/>
      </w:rPr>
    </w:lvl>
    <w:lvl w:ilvl="5" w:tentative="0">
      <w:start w:val="0"/>
      <w:numFmt w:val="bullet"/>
      <w:lvlText w:val="•"/>
      <w:lvlJc w:val="left"/>
      <w:pPr>
        <w:ind w:left="4953" w:hanging="303"/>
      </w:pPr>
      <w:rPr>
        <w:rFonts w:hint="default"/>
        <w:lang w:val="zh-CN" w:eastAsia="zh-CN" w:bidi="zh-CN"/>
      </w:rPr>
    </w:lvl>
    <w:lvl w:ilvl="6" w:tentative="0">
      <w:start w:val="0"/>
      <w:numFmt w:val="bullet"/>
      <w:lvlText w:val="•"/>
      <w:lvlJc w:val="left"/>
      <w:pPr>
        <w:ind w:left="5859" w:hanging="303"/>
      </w:pPr>
      <w:rPr>
        <w:rFonts w:hint="default"/>
        <w:lang w:val="zh-CN" w:eastAsia="zh-CN" w:bidi="zh-CN"/>
      </w:rPr>
    </w:lvl>
    <w:lvl w:ilvl="7" w:tentative="0">
      <w:start w:val="0"/>
      <w:numFmt w:val="bullet"/>
      <w:lvlText w:val="•"/>
      <w:lvlJc w:val="left"/>
      <w:pPr>
        <w:ind w:left="6766" w:hanging="303"/>
      </w:pPr>
      <w:rPr>
        <w:rFonts w:hint="default"/>
        <w:lang w:val="zh-CN" w:eastAsia="zh-CN" w:bidi="zh-CN"/>
      </w:rPr>
    </w:lvl>
    <w:lvl w:ilvl="8" w:tentative="0">
      <w:start w:val="0"/>
      <w:numFmt w:val="bullet"/>
      <w:lvlText w:val="•"/>
      <w:lvlJc w:val="left"/>
      <w:pPr>
        <w:ind w:left="7673" w:hanging="303"/>
      </w:pPr>
      <w:rPr>
        <w:rFonts w:hint="default"/>
        <w:lang w:val="zh-CN" w:eastAsia="zh-CN" w:bidi="zh-CN"/>
      </w:rPr>
    </w:lvl>
  </w:abstractNum>
  <w:abstractNum w:abstractNumId="41">
    <w:nsid w:val="77066C18"/>
    <w:multiLevelType w:val="multilevel"/>
    <w:tmpl w:val="77066C18"/>
    <w:lvl w:ilvl="0" w:tentative="0">
      <w:start w:val="1"/>
      <w:numFmt w:val="lowerLetter"/>
      <w:lvlText w:val="%1."/>
      <w:lvlJc w:val="left"/>
      <w:pPr>
        <w:ind w:left="424"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286"/>
      </w:pPr>
      <w:rPr>
        <w:rFonts w:hint="default"/>
        <w:lang w:val="zh-CN" w:eastAsia="zh-CN" w:bidi="zh-CN"/>
      </w:rPr>
    </w:lvl>
    <w:lvl w:ilvl="2" w:tentative="0">
      <w:start w:val="0"/>
      <w:numFmt w:val="bullet"/>
      <w:lvlText w:val="•"/>
      <w:lvlJc w:val="left"/>
      <w:pPr>
        <w:ind w:left="2233" w:hanging="286"/>
      </w:pPr>
      <w:rPr>
        <w:rFonts w:hint="default"/>
        <w:lang w:val="zh-CN" w:eastAsia="zh-CN" w:bidi="zh-CN"/>
      </w:rPr>
    </w:lvl>
    <w:lvl w:ilvl="3" w:tentative="0">
      <w:start w:val="0"/>
      <w:numFmt w:val="bullet"/>
      <w:lvlText w:val="•"/>
      <w:lvlJc w:val="left"/>
      <w:pPr>
        <w:ind w:left="3139" w:hanging="286"/>
      </w:pPr>
      <w:rPr>
        <w:rFonts w:hint="default"/>
        <w:lang w:val="zh-CN" w:eastAsia="zh-CN" w:bidi="zh-CN"/>
      </w:rPr>
    </w:lvl>
    <w:lvl w:ilvl="4" w:tentative="0">
      <w:start w:val="0"/>
      <w:numFmt w:val="bullet"/>
      <w:lvlText w:val="•"/>
      <w:lvlJc w:val="left"/>
      <w:pPr>
        <w:ind w:left="4046" w:hanging="286"/>
      </w:pPr>
      <w:rPr>
        <w:rFonts w:hint="default"/>
        <w:lang w:val="zh-CN" w:eastAsia="zh-CN" w:bidi="zh-CN"/>
      </w:rPr>
    </w:lvl>
    <w:lvl w:ilvl="5" w:tentative="0">
      <w:start w:val="0"/>
      <w:numFmt w:val="bullet"/>
      <w:lvlText w:val="•"/>
      <w:lvlJc w:val="left"/>
      <w:pPr>
        <w:ind w:left="4953" w:hanging="286"/>
      </w:pPr>
      <w:rPr>
        <w:rFonts w:hint="default"/>
        <w:lang w:val="zh-CN" w:eastAsia="zh-CN" w:bidi="zh-CN"/>
      </w:rPr>
    </w:lvl>
    <w:lvl w:ilvl="6" w:tentative="0">
      <w:start w:val="0"/>
      <w:numFmt w:val="bullet"/>
      <w:lvlText w:val="•"/>
      <w:lvlJc w:val="left"/>
      <w:pPr>
        <w:ind w:left="5859" w:hanging="286"/>
      </w:pPr>
      <w:rPr>
        <w:rFonts w:hint="default"/>
        <w:lang w:val="zh-CN" w:eastAsia="zh-CN" w:bidi="zh-CN"/>
      </w:rPr>
    </w:lvl>
    <w:lvl w:ilvl="7" w:tentative="0">
      <w:start w:val="0"/>
      <w:numFmt w:val="bullet"/>
      <w:lvlText w:val="•"/>
      <w:lvlJc w:val="left"/>
      <w:pPr>
        <w:ind w:left="6766" w:hanging="286"/>
      </w:pPr>
      <w:rPr>
        <w:rFonts w:hint="default"/>
        <w:lang w:val="zh-CN" w:eastAsia="zh-CN" w:bidi="zh-CN"/>
      </w:rPr>
    </w:lvl>
    <w:lvl w:ilvl="8" w:tentative="0">
      <w:start w:val="0"/>
      <w:numFmt w:val="bullet"/>
      <w:lvlText w:val="•"/>
      <w:lvlJc w:val="left"/>
      <w:pPr>
        <w:ind w:left="7673" w:hanging="286"/>
      </w:pPr>
      <w:rPr>
        <w:rFonts w:hint="default"/>
        <w:lang w:val="zh-CN" w:eastAsia="zh-CN" w:bidi="zh-CN"/>
      </w:rPr>
    </w:lvl>
  </w:abstractNum>
  <w:abstractNum w:abstractNumId="42">
    <w:nsid w:val="78DE283B"/>
    <w:multiLevelType w:val="multilevel"/>
    <w:tmpl w:val="78DE283B"/>
    <w:lvl w:ilvl="0" w:tentative="0">
      <w:start w:val="6"/>
      <w:numFmt w:val="decimal"/>
      <w:lvlText w:val="%1"/>
      <w:lvlJc w:val="left"/>
      <w:pPr>
        <w:ind w:left="369" w:hanging="603"/>
      </w:pPr>
      <w:rPr>
        <w:rFonts w:hint="default"/>
        <w:lang w:val="zh-CN" w:eastAsia="zh-CN" w:bidi="zh-CN"/>
      </w:rPr>
    </w:lvl>
    <w:lvl w:ilvl="1" w:tentative="0">
      <w:start w:val="3"/>
      <w:numFmt w:val="decimal"/>
      <w:lvlText w:val="%1.%2"/>
      <w:lvlJc w:val="left"/>
      <w:pPr>
        <w:ind w:left="369" w:hanging="603"/>
      </w:pPr>
      <w:rPr>
        <w:rFonts w:hint="default"/>
        <w:lang w:val="zh-CN" w:eastAsia="zh-CN" w:bidi="zh-CN"/>
      </w:rPr>
    </w:lvl>
    <w:lvl w:ilvl="2" w:tentative="0">
      <w:start w:val="1"/>
      <w:numFmt w:val="decimal"/>
      <w:lvlText w:val="%1.%2.%3"/>
      <w:lvlJc w:val="left"/>
      <w:pPr>
        <w:ind w:left="369" w:hanging="603"/>
      </w:pPr>
      <w:rPr>
        <w:rFonts w:hint="default" w:ascii="Times New Roman" w:hAnsi="Times New Roman" w:eastAsia="Times New Roman" w:cs="Times New Roman"/>
        <w:spacing w:val="-22"/>
        <w:w w:val="100"/>
        <w:sz w:val="24"/>
        <w:szCs w:val="24"/>
        <w:lang w:val="zh-CN" w:eastAsia="zh-CN" w:bidi="zh-CN"/>
      </w:rPr>
    </w:lvl>
    <w:lvl w:ilvl="3" w:tentative="0">
      <w:start w:val="0"/>
      <w:numFmt w:val="bullet"/>
      <w:lvlText w:val="•"/>
      <w:lvlJc w:val="left"/>
      <w:pPr>
        <w:ind w:left="3097" w:hanging="603"/>
      </w:pPr>
      <w:rPr>
        <w:rFonts w:hint="default"/>
        <w:lang w:val="zh-CN" w:eastAsia="zh-CN" w:bidi="zh-CN"/>
      </w:rPr>
    </w:lvl>
    <w:lvl w:ilvl="4" w:tentative="0">
      <w:start w:val="0"/>
      <w:numFmt w:val="bullet"/>
      <w:lvlText w:val="•"/>
      <w:lvlJc w:val="left"/>
      <w:pPr>
        <w:ind w:left="4010" w:hanging="603"/>
      </w:pPr>
      <w:rPr>
        <w:rFonts w:hint="default"/>
        <w:lang w:val="zh-CN" w:eastAsia="zh-CN" w:bidi="zh-CN"/>
      </w:rPr>
    </w:lvl>
    <w:lvl w:ilvl="5" w:tentative="0">
      <w:start w:val="0"/>
      <w:numFmt w:val="bullet"/>
      <w:lvlText w:val="•"/>
      <w:lvlJc w:val="left"/>
      <w:pPr>
        <w:ind w:left="4923" w:hanging="603"/>
      </w:pPr>
      <w:rPr>
        <w:rFonts w:hint="default"/>
        <w:lang w:val="zh-CN" w:eastAsia="zh-CN" w:bidi="zh-CN"/>
      </w:rPr>
    </w:lvl>
    <w:lvl w:ilvl="6" w:tentative="0">
      <w:start w:val="0"/>
      <w:numFmt w:val="bullet"/>
      <w:lvlText w:val="•"/>
      <w:lvlJc w:val="left"/>
      <w:pPr>
        <w:ind w:left="5835" w:hanging="603"/>
      </w:pPr>
      <w:rPr>
        <w:rFonts w:hint="default"/>
        <w:lang w:val="zh-CN" w:eastAsia="zh-CN" w:bidi="zh-CN"/>
      </w:rPr>
    </w:lvl>
    <w:lvl w:ilvl="7" w:tentative="0">
      <w:start w:val="0"/>
      <w:numFmt w:val="bullet"/>
      <w:lvlText w:val="•"/>
      <w:lvlJc w:val="left"/>
      <w:pPr>
        <w:ind w:left="6748" w:hanging="603"/>
      </w:pPr>
      <w:rPr>
        <w:rFonts w:hint="default"/>
        <w:lang w:val="zh-CN" w:eastAsia="zh-CN" w:bidi="zh-CN"/>
      </w:rPr>
    </w:lvl>
    <w:lvl w:ilvl="8" w:tentative="0">
      <w:start w:val="0"/>
      <w:numFmt w:val="bullet"/>
      <w:lvlText w:val="•"/>
      <w:lvlJc w:val="left"/>
      <w:pPr>
        <w:ind w:left="7661" w:hanging="603"/>
      </w:pPr>
      <w:rPr>
        <w:rFonts w:hint="default"/>
        <w:lang w:val="zh-CN" w:eastAsia="zh-CN" w:bidi="zh-CN"/>
      </w:rPr>
    </w:lvl>
  </w:abstractNum>
  <w:abstractNum w:abstractNumId="43">
    <w:nsid w:val="79FA4170"/>
    <w:multiLevelType w:val="multilevel"/>
    <w:tmpl w:val="79FA4170"/>
    <w:lvl w:ilvl="0" w:tentative="0">
      <w:start w:val="1"/>
      <w:numFmt w:val="lowerLetter"/>
      <w:lvlText w:val="%1."/>
      <w:lvlJc w:val="left"/>
      <w:pPr>
        <w:ind w:left="1190"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028" w:hanging="286"/>
      </w:pPr>
      <w:rPr>
        <w:rFonts w:hint="default"/>
        <w:lang w:val="zh-CN" w:eastAsia="zh-CN" w:bidi="zh-CN"/>
      </w:rPr>
    </w:lvl>
    <w:lvl w:ilvl="2" w:tentative="0">
      <w:start w:val="0"/>
      <w:numFmt w:val="bullet"/>
      <w:lvlText w:val="•"/>
      <w:lvlJc w:val="left"/>
      <w:pPr>
        <w:ind w:left="2857" w:hanging="286"/>
      </w:pPr>
      <w:rPr>
        <w:rFonts w:hint="default"/>
        <w:lang w:val="zh-CN" w:eastAsia="zh-CN" w:bidi="zh-CN"/>
      </w:rPr>
    </w:lvl>
    <w:lvl w:ilvl="3" w:tentative="0">
      <w:start w:val="0"/>
      <w:numFmt w:val="bullet"/>
      <w:lvlText w:val="•"/>
      <w:lvlJc w:val="left"/>
      <w:pPr>
        <w:ind w:left="3685" w:hanging="286"/>
      </w:pPr>
      <w:rPr>
        <w:rFonts w:hint="default"/>
        <w:lang w:val="zh-CN" w:eastAsia="zh-CN" w:bidi="zh-CN"/>
      </w:rPr>
    </w:lvl>
    <w:lvl w:ilvl="4" w:tentative="0">
      <w:start w:val="0"/>
      <w:numFmt w:val="bullet"/>
      <w:lvlText w:val="•"/>
      <w:lvlJc w:val="left"/>
      <w:pPr>
        <w:ind w:left="4514" w:hanging="286"/>
      </w:pPr>
      <w:rPr>
        <w:rFonts w:hint="default"/>
        <w:lang w:val="zh-CN" w:eastAsia="zh-CN" w:bidi="zh-CN"/>
      </w:rPr>
    </w:lvl>
    <w:lvl w:ilvl="5" w:tentative="0">
      <w:start w:val="0"/>
      <w:numFmt w:val="bullet"/>
      <w:lvlText w:val="•"/>
      <w:lvlJc w:val="left"/>
      <w:pPr>
        <w:ind w:left="5343" w:hanging="286"/>
      </w:pPr>
      <w:rPr>
        <w:rFonts w:hint="default"/>
        <w:lang w:val="zh-CN" w:eastAsia="zh-CN" w:bidi="zh-CN"/>
      </w:rPr>
    </w:lvl>
    <w:lvl w:ilvl="6" w:tentative="0">
      <w:start w:val="0"/>
      <w:numFmt w:val="bullet"/>
      <w:lvlText w:val="•"/>
      <w:lvlJc w:val="left"/>
      <w:pPr>
        <w:ind w:left="6171" w:hanging="286"/>
      </w:pPr>
      <w:rPr>
        <w:rFonts w:hint="default"/>
        <w:lang w:val="zh-CN" w:eastAsia="zh-CN" w:bidi="zh-CN"/>
      </w:rPr>
    </w:lvl>
    <w:lvl w:ilvl="7" w:tentative="0">
      <w:start w:val="0"/>
      <w:numFmt w:val="bullet"/>
      <w:lvlText w:val="•"/>
      <w:lvlJc w:val="left"/>
      <w:pPr>
        <w:ind w:left="7000" w:hanging="286"/>
      </w:pPr>
      <w:rPr>
        <w:rFonts w:hint="default"/>
        <w:lang w:val="zh-CN" w:eastAsia="zh-CN" w:bidi="zh-CN"/>
      </w:rPr>
    </w:lvl>
    <w:lvl w:ilvl="8" w:tentative="0">
      <w:start w:val="0"/>
      <w:numFmt w:val="bullet"/>
      <w:lvlText w:val="•"/>
      <w:lvlJc w:val="left"/>
      <w:pPr>
        <w:ind w:left="7829" w:hanging="286"/>
      </w:pPr>
      <w:rPr>
        <w:rFonts w:hint="default"/>
        <w:lang w:val="zh-CN" w:eastAsia="zh-CN" w:bidi="zh-CN"/>
      </w:rPr>
    </w:lvl>
  </w:abstractNum>
  <w:abstractNum w:abstractNumId="44">
    <w:nsid w:val="7BCE50B5"/>
    <w:multiLevelType w:val="multilevel"/>
    <w:tmpl w:val="7BCE50B5"/>
    <w:lvl w:ilvl="0" w:tentative="0">
      <w:start w:val="15"/>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720"/>
      </w:pPr>
      <w:rPr>
        <w:rFonts w:hint="default"/>
        <w:lang w:val="zh-CN" w:eastAsia="zh-CN" w:bidi="zh-CN"/>
      </w:rPr>
    </w:lvl>
    <w:lvl w:ilvl="4" w:tentative="0">
      <w:start w:val="0"/>
      <w:numFmt w:val="bullet"/>
      <w:lvlText w:val="•"/>
      <w:lvlJc w:val="left"/>
      <w:pPr>
        <w:ind w:left="3586" w:hanging="720"/>
      </w:pPr>
      <w:rPr>
        <w:rFonts w:hint="default"/>
        <w:lang w:val="zh-CN" w:eastAsia="zh-CN" w:bidi="zh-CN"/>
      </w:rPr>
    </w:lvl>
    <w:lvl w:ilvl="5" w:tentative="0">
      <w:start w:val="0"/>
      <w:numFmt w:val="bullet"/>
      <w:lvlText w:val="•"/>
      <w:lvlJc w:val="left"/>
      <w:pPr>
        <w:ind w:left="4569" w:hanging="720"/>
      </w:pPr>
      <w:rPr>
        <w:rFonts w:hint="default"/>
        <w:lang w:val="zh-CN" w:eastAsia="zh-CN" w:bidi="zh-CN"/>
      </w:rPr>
    </w:lvl>
    <w:lvl w:ilvl="6" w:tentative="0">
      <w:start w:val="0"/>
      <w:numFmt w:val="bullet"/>
      <w:lvlText w:val="•"/>
      <w:lvlJc w:val="left"/>
      <w:pPr>
        <w:ind w:left="5553" w:hanging="720"/>
      </w:pPr>
      <w:rPr>
        <w:rFonts w:hint="default"/>
        <w:lang w:val="zh-CN" w:eastAsia="zh-CN" w:bidi="zh-CN"/>
      </w:rPr>
    </w:lvl>
    <w:lvl w:ilvl="7" w:tentative="0">
      <w:start w:val="0"/>
      <w:numFmt w:val="bullet"/>
      <w:lvlText w:val="•"/>
      <w:lvlJc w:val="left"/>
      <w:pPr>
        <w:ind w:left="6536" w:hanging="720"/>
      </w:pPr>
      <w:rPr>
        <w:rFonts w:hint="default"/>
        <w:lang w:val="zh-CN" w:eastAsia="zh-CN" w:bidi="zh-CN"/>
      </w:rPr>
    </w:lvl>
    <w:lvl w:ilvl="8" w:tentative="0">
      <w:start w:val="0"/>
      <w:numFmt w:val="bullet"/>
      <w:lvlText w:val="•"/>
      <w:lvlJc w:val="left"/>
      <w:pPr>
        <w:ind w:left="7519" w:hanging="720"/>
      </w:pPr>
      <w:rPr>
        <w:rFonts w:hint="default"/>
        <w:lang w:val="zh-CN" w:eastAsia="zh-CN" w:bidi="zh-CN"/>
      </w:rPr>
    </w:lvl>
  </w:abstractNum>
  <w:num w:numId="1">
    <w:abstractNumId w:val="36"/>
  </w:num>
  <w:num w:numId="2">
    <w:abstractNumId w:val="30"/>
  </w:num>
  <w:num w:numId="3">
    <w:abstractNumId w:val="22"/>
  </w:num>
  <w:num w:numId="4">
    <w:abstractNumId w:val="6"/>
  </w:num>
  <w:num w:numId="5">
    <w:abstractNumId w:val="12"/>
  </w:num>
  <w:num w:numId="6">
    <w:abstractNumId w:val="14"/>
  </w:num>
  <w:num w:numId="7">
    <w:abstractNumId w:val="39"/>
  </w:num>
  <w:num w:numId="8">
    <w:abstractNumId w:val="37"/>
  </w:num>
  <w:num w:numId="9">
    <w:abstractNumId w:val="42"/>
  </w:num>
  <w:num w:numId="10">
    <w:abstractNumId w:val="9"/>
  </w:num>
  <w:num w:numId="11">
    <w:abstractNumId w:val="33"/>
  </w:num>
  <w:num w:numId="12">
    <w:abstractNumId w:val="17"/>
  </w:num>
  <w:num w:numId="13">
    <w:abstractNumId w:val="31"/>
  </w:num>
  <w:num w:numId="14">
    <w:abstractNumId w:val="18"/>
  </w:num>
  <w:num w:numId="15">
    <w:abstractNumId w:val="27"/>
  </w:num>
  <w:num w:numId="16">
    <w:abstractNumId w:val="8"/>
  </w:num>
  <w:num w:numId="17">
    <w:abstractNumId w:val="4"/>
  </w:num>
  <w:num w:numId="18">
    <w:abstractNumId w:val="3"/>
  </w:num>
  <w:num w:numId="19">
    <w:abstractNumId w:val="25"/>
  </w:num>
  <w:num w:numId="20">
    <w:abstractNumId w:val="43"/>
  </w:num>
  <w:num w:numId="21">
    <w:abstractNumId w:val="5"/>
  </w:num>
  <w:num w:numId="22">
    <w:abstractNumId w:val="19"/>
  </w:num>
  <w:num w:numId="23">
    <w:abstractNumId w:val="10"/>
  </w:num>
  <w:num w:numId="24">
    <w:abstractNumId w:val="11"/>
  </w:num>
  <w:num w:numId="25">
    <w:abstractNumId w:val="16"/>
  </w:num>
  <w:num w:numId="26">
    <w:abstractNumId w:val="41"/>
  </w:num>
  <w:num w:numId="27">
    <w:abstractNumId w:val="2"/>
  </w:num>
  <w:num w:numId="28">
    <w:abstractNumId w:val="7"/>
  </w:num>
  <w:num w:numId="29">
    <w:abstractNumId w:val="0"/>
  </w:num>
  <w:num w:numId="30">
    <w:abstractNumId w:val="20"/>
  </w:num>
  <w:num w:numId="31">
    <w:abstractNumId w:val="44"/>
  </w:num>
  <w:num w:numId="32">
    <w:abstractNumId w:val="26"/>
  </w:num>
  <w:num w:numId="33">
    <w:abstractNumId w:val="34"/>
  </w:num>
  <w:num w:numId="34">
    <w:abstractNumId w:val="24"/>
  </w:num>
  <w:num w:numId="35">
    <w:abstractNumId w:val="15"/>
  </w:num>
  <w:num w:numId="36">
    <w:abstractNumId w:val="28"/>
  </w:num>
  <w:num w:numId="37">
    <w:abstractNumId w:val="29"/>
  </w:num>
  <w:num w:numId="38">
    <w:abstractNumId w:val="32"/>
  </w:num>
  <w:num w:numId="39">
    <w:abstractNumId w:val="35"/>
  </w:num>
  <w:num w:numId="40">
    <w:abstractNumId w:val="38"/>
  </w:num>
  <w:num w:numId="41">
    <w:abstractNumId w:val="23"/>
  </w:num>
  <w:num w:numId="42">
    <w:abstractNumId w:val="40"/>
  </w:num>
  <w:num w:numId="43">
    <w:abstractNumId w:val="1"/>
  </w:num>
  <w:num w:numId="44">
    <w:abstractNumId w:val="2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endnotePr>
    <w:numFmt w:val="decimal"/>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64"/>
    <w:rsid w:val="000024AE"/>
    <w:rsid w:val="00313E2A"/>
    <w:rsid w:val="003232CF"/>
    <w:rsid w:val="00351D6A"/>
    <w:rsid w:val="00467B54"/>
    <w:rsid w:val="006F67EE"/>
    <w:rsid w:val="0076163C"/>
    <w:rsid w:val="00780E09"/>
    <w:rsid w:val="0085694D"/>
    <w:rsid w:val="00872B64"/>
    <w:rsid w:val="00D6241E"/>
    <w:rsid w:val="00E673D8"/>
    <w:rsid w:val="00F004A8"/>
    <w:rsid w:val="00FB1D39"/>
    <w:rsid w:val="00FB3A1E"/>
    <w:rsid w:val="03A10959"/>
    <w:rsid w:val="0940293E"/>
    <w:rsid w:val="289553F0"/>
    <w:rsid w:val="2F301FC7"/>
    <w:rsid w:val="2F64706A"/>
    <w:rsid w:val="343B0185"/>
    <w:rsid w:val="383C6DD4"/>
    <w:rsid w:val="38CA1FA6"/>
    <w:rsid w:val="3DC554BF"/>
    <w:rsid w:val="4B5C5862"/>
    <w:rsid w:val="52BD1762"/>
    <w:rsid w:val="586A0F8C"/>
    <w:rsid w:val="69B21EF0"/>
    <w:rsid w:val="6B5F5F92"/>
    <w:rsid w:val="6F016966"/>
    <w:rsid w:val="762C3821"/>
    <w:rsid w:val="77C6050C"/>
    <w:rsid w:val="FEBFE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69"/>
      <w:outlineLvl w:val="0"/>
    </w:pPr>
    <w:rPr>
      <w:rFonts w:ascii="黑体" w:hAnsi="黑体" w:eastAsia="黑体" w:cs="黑体"/>
      <w:sz w:val="56"/>
      <w:szCs w:val="56"/>
    </w:rPr>
  </w:style>
  <w:style w:type="paragraph" w:styleId="3">
    <w:name w:val="heading 2"/>
    <w:basedOn w:val="1"/>
    <w:next w:val="1"/>
    <w:qFormat/>
    <w:uiPriority w:val="1"/>
    <w:pPr>
      <w:spacing w:before="41"/>
      <w:ind w:left="2661"/>
      <w:outlineLvl w:val="1"/>
    </w:pPr>
    <w:rPr>
      <w:rFonts w:ascii="黑体" w:hAnsi="黑体" w:eastAsia="黑体" w:cs="黑体"/>
      <w:sz w:val="42"/>
      <w:szCs w:val="42"/>
    </w:rPr>
  </w:style>
  <w:style w:type="paragraph" w:styleId="4">
    <w:name w:val="heading 3"/>
    <w:basedOn w:val="1"/>
    <w:next w:val="1"/>
    <w:qFormat/>
    <w:uiPriority w:val="1"/>
    <w:pPr>
      <w:spacing w:before="45"/>
      <w:ind w:left="1881"/>
      <w:outlineLvl w:val="2"/>
    </w:pPr>
    <w:rPr>
      <w:rFonts w:ascii="黑体" w:hAnsi="黑体" w:eastAsia="黑体" w:cs="黑体"/>
      <w:sz w:val="40"/>
      <w:szCs w:val="40"/>
    </w:rPr>
  </w:style>
  <w:style w:type="paragraph" w:styleId="5">
    <w:name w:val="heading 4"/>
    <w:basedOn w:val="1"/>
    <w:next w:val="1"/>
    <w:qFormat/>
    <w:uiPriority w:val="1"/>
    <w:pPr>
      <w:spacing w:before="30"/>
      <w:ind w:left="359" w:right="347"/>
      <w:jc w:val="center"/>
      <w:outlineLvl w:val="3"/>
    </w:pPr>
    <w:rPr>
      <w:b/>
      <w:bCs/>
      <w:sz w:val="38"/>
      <w:szCs w:val="38"/>
    </w:rPr>
  </w:style>
  <w:style w:type="paragraph" w:styleId="6">
    <w:name w:val="heading 5"/>
    <w:basedOn w:val="1"/>
    <w:next w:val="1"/>
    <w:qFormat/>
    <w:uiPriority w:val="1"/>
    <w:pPr>
      <w:ind w:left="42"/>
      <w:jc w:val="center"/>
      <w:outlineLvl w:val="4"/>
    </w:pPr>
    <w:rPr>
      <w:rFonts w:ascii="黑体" w:hAnsi="黑体" w:eastAsia="黑体" w:cs="黑体"/>
      <w:sz w:val="36"/>
      <w:szCs w:val="36"/>
    </w:rPr>
  </w:style>
  <w:style w:type="paragraph" w:styleId="7">
    <w:name w:val="heading 6"/>
    <w:basedOn w:val="1"/>
    <w:next w:val="1"/>
    <w:qFormat/>
    <w:uiPriority w:val="1"/>
    <w:pPr>
      <w:spacing w:before="55"/>
      <w:outlineLvl w:val="5"/>
    </w:pPr>
    <w:rPr>
      <w:rFonts w:ascii="黑体" w:hAnsi="黑体" w:eastAsia="黑体" w:cs="黑体"/>
      <w:sz w:val="32"/>
      <w:szCs w:val="32"/>
    </w:rPr>
  </w:style>
  <w:style w:type="paragraph" w:styleId="8">
    <w:name w:val="heading 7"/>
    <w:basedOn w:val="1"/>
    <w:next w:val="1"/>
    <w:qFormat/>
    <w:uiPriority w:val="1"/>
    <w:pPr>
      <w:spacing w:before="66"/>
      <w:ind w:left="1199"/>
      <w:outlineLvl w:val="6"/>
    </w:pPr>
    <w:rPr>
      <w:rFonts w:ascii="黑体" w:hAnsi="黑体" w:eastAsia="黑体" w:cs="黑体"/>
      <w:sz w:val="31"/>
      <w:szCs w:val="31"/>
      <w:u w:val="single" w:color="000000"/>
    </w:rPr>
  </w:style>
  <w:style w:type="paragraph" w:styleId="9">
    <w:name w:val="heading 8"/>
    <w:basedOn w:val="1"/>
    <w:next w:val="1"/>
    <w:qFormat/>
    <w:uiPriority w:val="1"/>
    <w:pPr>
      <w:spacing w:before="200"/>
      <w:ind w:left="3999"/>
      <w:outlineLvl w:val="7"/>
    </w:pPr>
    <w:rPr>
      <w:rFonts w:ascii="黑体" w:hAnsi="黑体" w:eastAsia="黑体" w:cs="黑体"/>
      <w:b/>
      <w:bCs/>
      <w:sz w:val="30"/>
      <w:szCs w:val="30"/>
    </w:rPr>
  </w:style>
  <w:style w:type="paragraph" w:styleId="10">
    <w:name w:val="heading 9"/>
    <w:basedOn w:val="1"/>
    <w:next w:val="1"/>
    <w:qFormat/>
    <w:uiPriority w:val="1"/>
    <w:pPr>
      <w:ind w:right="1061"/>
      <w:jc w:val="center"/>
      <w:outlineLvl w:val="8"/>
    </w:pPr>
    <w:rPr>
      <w:rFonts w:ascii="黑体" w:hAnsi="黑体" w:eastAsia="黑体" w:cs="黑体"/>
      <w:sz w:val="30"/>
      <w:szCs w:val="3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rPr>
      <w:sz w:val="24"/>
      <w:szCs w:val="24"/>
    </w:rPr>
  </w:style>
  <w:style w:type="paragraph" w:styleId="12">
    <w:name w:val="Plain Text"/>
    <w:basedOn w:val="1"/>
    <w:semiHidden/>
    <w:unhideWhenUsed/>
    <w:qFormat/>
    <w:uiPriority w:val="99"/>
    <w:rPr>
      <w:rFonts w:hAnsi="Courier New"/>
    </w:rPr>
  </w:style>
  <w:style w:type="paragraph" w:styleId="13">
    <w:name w:val="footer"/>
    <w:basedOn w:val="1"/>
    <w:link w:val="23"/>
    <w:unhideWhenUsed/>
    <w:qFormat/>
    <w:uiPriority w:val="99"/>
    <w:pPr>
      <w:tabs>
        <w:tab w:val="center" w:pos="4153"/>
        <w:tab w:val="right" w:pos="8306"/>
      </w:tabs>
      <w:snapToGrid w:val="0"/>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1"/>
    <w:pPr>
      <w:spacing w:before="183"/>
      <w:ind w:left="424"/>
    </w:pPr>
    <w:rPr>
      <w:rFonts w:ascii="黑体" w:hAnsi="黑体" w:eastAsia="黑体" w:cs="黑体"/>
      <w:sz w:val="20"/>
      <w:szCs w:val="20"/>
    </w:rPr>
  </w:style>
  <w:style w:type="paragraph" w:styleId="16">
    <w:name w:val="toc 2"/>
    <w:basedOn w:val="1"/>
    <w:next w:val="1"/>
    <w:qFormat/>
    <w:uiPriority w:val="1"/>
    <w:pPr>
      <w:spacing w:before="182"/>
      <w:ind w:left="707"/>
    </w:pPr>
    <w:rPr>
      <w:rFonts w:ascii="黑体" w:hAnsi="黑体" w:eastAsia="黑体" w:cs="黑体"/>
      <w:sz w:val="20"/>
      <w:szCs w:val="20"/>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424" w:firstLine="480"/>
    </w:pPr>
  </w:style>
  <w:style w:type="paragraph" w:customStyle="1" w:styleId="21">
    <w:name w:val="Table Paragraph"/>
    <w:basedOn w:val="1"/>
    <w:qFormat/>
    <w:uiPriority w:val="1"/>
  </w:style>
  <w:style w:type="character" w:customStyle="1" w:styleId="22">
    <w:name w:val="页眉 Char"/>
    <w:basedOn w:val="18"/>
    <w:link w:val="14"/>
    <w:qFormat/>
    <w:uiPriority w:val="99"/>
    <w:rPr>
      <w:rFonts w:ascii="宋体" w:hAnsi="宋体" w:eastAsia="宋体" w:cs="宋体"/>
      <w:sz w:val="18"/>
      <w:szCs w:val="18"/>
      <w:lang w:val="zh-CN" w:eastAsia="zh-CN" w:bidi="zh-CN"/>
    </w:rPr>
  </w:style>
  <w:style w:type="character" w:customStyle="1" w:styleId="23">
    <w:name w:val="页脚 Char"/>
    <w:basedOn w:val="18"/>
    <w:link w:val="13"/>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9" Type="http://schemas.openxmlformats.org/officeDocument/2006/relationships/header" Target="header36.xml"/><Relationship Id="rId98" Type="http://schemas.openxmlformats.org/officeDocument/2006/relationships/header" Target="header35.xml"/><Relationship Id="rId97" Type="http://schemas.openxmlformats.org/officeDocument/2006/relationships/footer" Target="footer61.xml"/><Relationship Id="rId96" Type="http://schemas.openxmlformats.org/officeDocument/2006/relationships/footer" Target="footer60.xml"/><Relationship Id="rId95" Type="http://schemas.openxmlformats.org/officeDocument/2006/relationships/footer" Target="footer59.xml"/><Relationship Id="rId94" Type="http://schemas.openxmlformats.org/officeDocument/2006/relationships/footer" Target="footer58.xml"/><Relationship Id="rId93" Type="http://schemas.openxmlformats.org/officeDocument/2006/relationships/header" Target="header34.xml"/><Relationship Id="rId92" Type="http://schemas.openxmlformats.org/officeDocument/2006/relationships/header" Target="header33.xml"/><Relationship Id="rId91" Type="http://schemas.openxmlformats.org/officeDocument/2006/relationships/header" Target="header32.xml"/><Relationship Id="rId90" Type="http://schemas.openxmlformats.org/officeDocument/2006/relationships/footer" Target="footer57.xml"/><Relationship Id="rId9" Type="http://schemas.openxmlformats.org/officeDocument/2006/relationships/footer" Target="footer4.xml"/><Relationship Id="rId89" Type="http://schemas.openxmlformats.org/officeDocument/2006/relationships/footer" Target="footer56.xml"/><Relationship Id="rId88" Type="http://schemas.openxmlformats.org/officeDocument/2006/relationships/header" Target="header31.xml"/><Relationship Id="rId87" Type="http://schemas.openxmlformats.org/officeDocument/2006/relationships/footer" Target="footer55.xml"/><Relationship Id="rId86" Type="http://schemas.openxmlformats.org/officeDocument/2006/relationships/footer" Target="footer54.xml"/><Relationship Id="rId85" Type="http://schemas.openxmlformats.org/officeDocument/2006/relationships/header" Target="header30.xml"/><Relationship Id="rId84" Type="http://schemas.openxmlformats.org/officeDocument/2006/relationships/header" Target="header29.xml"/><Relationship Id="rId83" Type="http://schemas.openxmlformats.org/officeDocument/2006/relationships/footer" Target="footer53.xml"/><Relationship Id="rId82" Type="http://schemas.openxmlformats.org/officeDocument/2006/relationships/footer" Target="footer52.xml"/><Relationship Id="rId81" Type="http://schemas.openxmlformats.org/officeDocument/2006/relationships/header" Target="header28.xml"/><Relationship Id="rId80" Type="http://schemas.openxmlformats.org/officeDocument/2006/relationships/header" Target="header27.xml"/><Relationship Id="rId8" Type="http://schemas.openxmlformats.org/officeDocument/2006/relationships/header" Target="header3.xml"/><Relationship Id="rId79" Type="http://schemas.openxmlformats.org/officeDocument/2006/relationships/footer" Target="footer51.xml"/><Relationship Id="rId78" Type="http://schemas.openxmlformats.org/officeDocument/2006/relationships/footer" Target="footer50.xml"/><Relationship Id="rId77" Type="http://schemas.openxmlformats.org/officeDocument/2006/relationships/header" Target="header26.xml"/><Relationship Id="rId76" Type="http://schemas.openxmlformats.org/officeDocument/2006/relationships/header" Target="header25.xml"/><Relationship Id="rId75" Type="http://schemas.openxmlformats.org/officeDocument/2006/relationships/footer" Target="footer49.xml"/><Relationship Id="rId74" Type="http://schemas.openxmlformats.org/officeDocument/2006/relationships/footer" Target="footer48.xml"/><Relationship Id="rId73" Type="http://schemas.openxmlformats.org/officeDocument/2006/relationships/header" Target="header24.xml"/><Relationship Id="rId72" Type="http://schemas.openxmlformats.org/officeDocument/2006/relationships/header" Target="header23.xml"/><Relationship Id="rId71" Type="http://schemas.openxmlformats.org/officeDocument/2006/relationships/footer" Target="footer47.xml"/><Relationship Id="rId70" Type="http://schemas.openxmlformats.org/officeDocument/2006/relationships/header" Target="header22.xml"/><Relationship Id="rId7" Type="http://schemas.openxmlformats.org/officeDocument/2006/relationships/header" Target="header2.xml"/><Relationship Id="rId69" Type="http://schemas.openxmlformats.org/officeDocument/2006/relationships/footer" Target="footer46.xml"/><Relationship Id="rId68" Type="http://schemas.openxmlformats.org/officeDocument/2006/relationships/header" Target="header21.xml"/><Relationship Id="rId67" Type="http://schemas.openxmlformats.org/officeDocument/2006/relationships/footer" Target="footer45.xml"/><Relationship Id="rId66" Type="http://schemas.openxmlformats.org/officeDocument/2006/relationships/footer" Target="footer44.xml"/><Relationship Id="rId65" Type="http://schemas.openxmlformats.org/officeDocument/2006/relationships/header" Target="header20.xml"/><Relationship Id="rId64" Type="http://schemas.openxmlformats.org/officeDocument/2006/relationships/header" Target="header19.xml"/><Relationship Id="rId63" Type="http://schemas.openxmlformats.org/officeDocument/2006/relationships/footer" Target="footer43.xml"/><Relationship Id="rId62" Type="http://schemas.openxmlformats.org/officeDocument/2006/relationships/footer" Target="footer42.xml"/><Relationship Id="rId61" Type="http://schemas.openxmlformats.org/officeDocument/2006/relationships/header" Target="header18.xml"/><Relationship Id="rId60" Type="http://schemas.openxmlformats.org/officeDocument/2006/relationships/header" Target="header17.xml"/><Relationship Id="rId6" Type="http://schemas.openxmlformats.org/officeDocument/2006/relationships/footer" Target="footer3.xml"/><Relationship Id="rId59" Type="http://schemas.openxmlformats.org/officeDocument/2006/relationships/footer" Target="footer41.xml"/><Relationship Id="rId58" Type="http://schemas.openxmlformats.org/officeDocument/2006/relationships/header" Target="header16.xml"/><Relationship Id="rId57" Type="http://schemas.openxmlformats.org/officeDocument/2006/relationships/footer" Target="footer40.xml"/><Relationship Id="rId56" Type="http://schemas.openxmlformats.org/officeDocument/2006/relationships/footer" Target="footer39.xml"/><Relationship Id="rId55" Type="http://schemas.openxmlformats.org/officeDocument/2006/relationships/footer" Target="footer38.xml"/><Relationship Id="rId54" Type="http://schemas.openxmlformats.org/officeDocument/2006/relationships/footer" Target="footer37.xml"/><Relationship Id="rId53" Type="http://schemas.openxmlformats.org/officeDocument/2006/relationships/footer" Target="footer36.xml"/><Relationship Id="rId52" Type="http://schemas.openxmlformats.org/officeDocument/2006/relationships/footer" Target="footer35.xml"/><Relationship Id="rId51" Type="http://schemas.openxmlformats.org/officeDocument/2006/relationships/footer" Target="footer34.xml"/><Relationship Id="rId50" Type="http://schemas.openxmlformats.org/officeDocument/2006/relationships/footer" Target="footer33.xml"/><Relationship Id="rId5" Type="http://schemas.openxmlformats.org/officeDocument/2006/relationships/header" Target="header1.xml"/><Relationship Id="rId49" Type="http://schemas.openxmlformats.org/officeDocument/2006/relationships/footer" Target="footer32.xml"/><Relationship Id="rId48" Type="http://schemas.openxmlformats.org/officeDocument/2006/relationships/footer" Target="footer31.xml"/><Relationship Id="rId47" Type="http://schemas.openxmlformats.org/officeDocument/2006/relationships/footer" Target="footer30.xml"/><Relationship Id="rId46" Type="http://schemas.openxmlformats.org/officeDocument/2006/relationships/footer" Target="footer29.xml"/><Relationship Id="rId45" Type="http://schemas.openxmlformats.org/officeDocument/2006/relationships/footer" Target="footer28.xml"/><Relationship Id="rId44" Type="http://schemas.openxmlformats.org/officeDocument/2006/relationships/footer" Target="footer27.xml"/><Relationship Id="rId43" Type="http://schemas.openxmlformats.org/officeDocument/2006/relationships/footer" Target="footer26.xml"/><Relationship Id="rId42" Type="http://schemas.openxmlformats.org/officeDocument/2006/relationships/footer" Target="footer25.xml"/><Relationship Id="rId41" Type="http://schemas.openxmlformats.org/officeDocument/2006/relationships/footer" Target="footer24.xml"/><Relationship Id="rId40" Type="http://schemas.openxmlformats.org/officeDocument/2006/relationships/footer" Target="footer23.xml"/><Relationship Id="rId4" Type="http://schemas.openxmlformats.org/officeDocument/2006/relationships/footer" Target="footer2.xml"/><Relationship Id="rId39" Type="http://schemas.openxmlformats.org/officeDocument/2006/relationships/footer" Target="footer22.xml"/><Relationship Id="rId38" Type="http://schemas.openxmlformats.org/officeDocument/2006/relationships/header" Target="header15.xml"/><Relationship Id="rId37" Type="http://schemas.openxmlformats.org/officeDocument/2006/relationships/header" Target="header14.xml"/><Relationship Id="rId36" Type="http://schemas.openxmlformats.org/officeDocument/2006/relationships/footer" Target="footer21.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footer" Target="foot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header" Target="header10.xml"/><Relationship Id="rId26" Type="http://schemas.openxmlformats.org/officeDocument/2006/relationships/header" Target="header9.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3" Type="http://schemas.openxmlformats.org/officeDocument/2006/relationships/fontTable" Target="fontTable.xml"/><Relationship Id="rId122" Type="http://schemas.openxmlformats.org/officeDocument/2006/relationships/numbering" Target="numbering.xml"/><Relationship Id="rId121" Type="http://schemas.openxmlformats.org/officeDocument/2006/relationships/customXml" Target="../customXml/item1.xml"/><Relationship Id="rId120" Type="http://schemas.openxmlformats.org/officeDocument/2006/relationships/image" Target="media/image4.png"/><Relationship Id="rId12" Type="http://schemas.openxmlformats.org/officeDocument/2006/relationships/footer" Target="footer7.xml"/><Relationship Id="rId119" Type="http://schemas.openxmlformats.org/officeDocument/2006/relationships/image" Target="media/image3.png"/><Relationship Id="rId118" Type="http://schemas.openxmlformats.org/officeDocument/2006/relationships/image" Target="media/image2.png"/><Relationship Id="rId117" Type="http://schemas.openxmlformats.org/officeDocument/2006/relationships/image" Target="media/image1.png"/><Relationship Id="rId116" Type="http://schemas.openxmlformats.org/officeDocument/2006/relationships/theme" Target="theme/theme1.xml"/><Relationship Id="rId115" Type="http://schemas.openxmlformats.org/officeDocument/2006/relationships/footer" Target="footer76.xml"/><Relationship Id="rId114" Type="http://schemas.openxmlformats.org/officeDocument/2006/relationships/header" Target="header37.xml"/><Relationship Id="rId113" Type="http://schemas.openxmlformats.org/officeDocument/2006/relationships/footer" Target="footer75.xml"/><Relationship Id="rId112" Type="http://schemas.openxmlformats.org/officeDocument/2006/relationships/footer" Target="footer74.xml"/><Relationship Id="rId111" Type="http://schemas.openxmlformats.org/officeDocument/2006/relationships/footer" Target="footer73.xml"/><Relationship Id="rId110" Type="http://schemas.openxmlformats.org/officeDocument/2006/relationships/footer" Target="footer72.xml"/><Relationship Id="rId11" Type="http://schemas.openxmlformats.org/officeDocument/2006/relationships/footer" Target="footer6.xml"/><Relationship Id="rId109" Type="http://schemas.openxmlformats.org/officeDocument/2006/relationships/footer" Target="footer71.xml"/><Relationship Id="rId108" Type="http://schemas.openxmlformats.org/officeDocument/2006/relationships/footer" Target="footer70.xml"/><Relationship Id="rId107" Type="http://schemas.openxmlformats.org/officeDocument/2006/relationships/footer" Target="footer69.xml"/><Relationship Id="rId106" Type="http://schemas.openxmlformats.org/officeDocument/2006/relationships/footer" Target="footer68.xml"/><Relationship Id="rId105" Type="http://schemas.openxmlformats.org/officeDocument/2006/relationships/footer" Target="footer67.xml"/><Relationship Id="rId104" Type="http://schemas.openxmlformats.org/officeDocument/2006/relationships/footer" Target="footer66.xml"/><Relationship Id="rId103" Type="http://schemas.openxmlformats.org/officeDocument/2006/relationships/footer" Target="footer65.xml"/><Relationship Id="rId102" Type="http://schemas.openxmlformats.org/officeDocument/2006/relationships/footer" Target="footer64.xml"/><Relationship Id="rId101" Type="http://schemas.openxmlformats.org/officeDocument/2006/relationships/footer" Target="footer63.xml"/><Relationship Id="rId100" Type="http://schemas.openxmlformats.org/officeDocument/2006/relationships/footer" Target="footer6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181</Pages>
  <Words>15293</Words>
  <Characters>87174</Characters>
  <Lines>726</Lines>
  <Paragraphs>204</Paragraphs>
  <TotalTime>9</TotalTime>
  <ScaleCrop>false</ScaleCrop>
  <LinksUpToDate>false</LinksUpToDate>
  <CharactersWithSpaces>102263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2018-03-04T11:05:00Z</dcterms:created>
  <dc:creator>袁静</dc:creator>
  <cp:lastModifiedBy>user</cp:lastModifiedBy>
  <dcterms:modified xsi:type="dcterms:W3CDTF">2024-12-25T16:42:56Z</dcterms:modified>
  <dc:title>公路工程标准施工招标文件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Office Word 2007</vt:lpwstr>
  </property>
  <property fmtid="{D5CDD505-2E9C-101B-9397-08002B2CF9AE}" pid="4" name="LastSaved">
    <vt:filetime>2018-03-04T00:00:00Z</vt:filetime>
  </property>
  <property fmtid="{D5CDD505-2E9C-101B-9397-08002B2CF9AE}" pid="5" name="KSOProductBuildVer">
    <vt:lpwstr>2052-11.8.2.9980</vt:lpwstr>
  </property>
</Properties>
</file>