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colors5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style5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378C2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lang w:val="en-US" w:eastAsia="zh-CN"/>
        </w:rPr>
        <w:t>广元市</w:t>
      </w:r>
      <w:r>
        <w:rPr>
          <w:rFonts w:hint="eastAsia" w:ascii="方正大标宋简体" w:hAnsi="方正大标宋简体" w:eastAsia="方正大标宋简体" w:cs="方正大标宋简体"/>
        </w:rPr>
        <w:t>202</w:t>
      </w:r>
      <w:r>
        <w:rPr>
          <w:rFonts w:hint="eastAsia" w:ascii="方正大标宋简体" w:hAnsi="方正大标宋简体" w:eastAsia="方正大标宋简体" w:cs="方正大标宋简体"/>
          <w:lang w:val="en-US" w:eastAsia="zh-CN"/>
        </w:rPr>
        <w:t>5</w:t>
      </w:r>
      <w:r>
        <w:rPr>
          <w:rFonts w:hint="eastAsia" w:ascii="方正大标宋简体" w:hAnsi="方正大标宋简体" w:eastAsia="方正大标宋简体" w:cs="方正大标宋简体"/>
        </w:rPr>
        <w:t>年驾培市场运行</w:t>
      </w:r>
      <w:r>
        <w:rPr>
          <w:rFonts w:hint="eastAsia" w:ascii="方正大标宋简体" w:hAnsi="方正大标宋简体" w:eastAsia="方正大标宋简体" w:cs="方正大标宋简体"/>
          <w:lang w:val="en-US" w:eastAsia="zh-CN"/>
        </w:rPr>
        <w:t>概况及</w:t>
      </w:r>
    </w:p>
    <w:p w14:paraId="20735676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b/>
          <w:bCs/>
          <w:kern w:val="44"/>
          <w:sz w:val="48"/>
          <w:szCs w:val="48"/>
          <w:lang w:val="en-US" w:eastAsia="zh-CN" w:bidi="ar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kern w:val="44"/>
          <w:sz w:val="48"/>
          <w:szCs w:val="48"/>
          <w:lang w:val="en-US" w:eastAsia="zh-CN" w:bidi="ar"/>
        </w:rPr>
        <w:t>投资风险预警信息</w:t>
      </w:r>
    </w:p>
    <w:p w14:paraId="5D402368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</w:pPr>
    </w:p>
    <w:p w14:paraId="551D6CF0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为引导我市机动车驾驶员培训市场健康有序发展，现发布2025年度驾培市场运行概况及投资风险预警信息，供社会各界参考。</w:t>
      </w:r>
    </w:p>
    <w:p w14:paraId="5418A17F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 w:firstLineChars="200"/>
        <w:textAlignment w:val="auto"/>
        <w:rPr>
          <w:rFonts w:hint="eastAsia" w:ascii="华文中宋" w:hAnsi="华文中宋" w:eastAsia="华文中宋" w:cs="华文中宋"/>
          <w:b/>
          <w:bCs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华文中宋" w:hAnsi="华文中宋" w:eastAsia="华文中宋" w:cs="华文中宋"/>
          <w:b/>
          <w:bCs/>
          <w:color w:val="333333"/>
          <w:kern w:val="0"/>
          <w:sz w:val="32"/>
          <w:szCs w:val="32"/>
          <w:lang w:val="en-US" w:eastAsia="zh-CN" w:bidi="ar-SA"/>
        </w:rPr>
        <w:t>一、驾培行业供给现状</w:t>
      </w:r>
    </w:p>
    <w:p w14:paraId="477BF62C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（一）培训机构基本情况。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截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至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202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5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年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12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月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31日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，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广元市备案驾培机构20所，其中：一级驾校5所，（占25%），二级驾校7所（占35%），三级驾校8所（占40%）。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机构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区域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分布为：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利州区6所，苍溪县、剑阁县、昭化区各3所，旺苍县、青川县各2所，朝天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区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1所。全市备案教练员总数657人，以驾驶操作教练员为主（560人），复合型（理论兼操作）教练员82人，理论教练员15人。</w:t>
      </w:r>
    </w:p>
    <w:p w14:paraId="71F4054B">
      <w:pPr>
        <w:pStyle w:val="3"/>
        <w:keepNext w:val="0"/>
        <w:keepLines w:val="0"/>
        <w:widowControl/>
        <w:suppressLineNumbers w:val="0"/>
        <w:ind w:left="0" w:leftChars="0" w:firstLine="0" w:firstLineChars="0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481955" cy="2619375"/>
            <wp:effectExtent l="4445" t="4445" r="19050" b="5080"/>
            <wp:docPr id="6" name="图表 5" descr="7b0a202020202263686172745265734964223a20223230343736383039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6147CF72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（二）教学车辆基本情况。全市备案教练车638辆。教学车辆构成为小型汽车（C1、C2等）596辆，占总量的93.41%，其中：纯电动教练车7辆（分布于剑阁县、旺苍县），AI机器人教练车9辆（分布于苍溪县）；重型牵引挂车和大型货车（A2、B2）38辆，占总量的5.95%；大、中型客车（A1、B1）4辆，占总量的0.62%。</w:t>
      </w:r>
    </w:p>
    <w:p w14:paraId="53DE3BD2">
      <w:pPr>
        <w:pStyle w:val="3"/>
        <w:keepNext w:val="0"/>
        <w:keepLines w:val="0"/>
        <w:widowControl/>
        <w:suppressLineNumbers w:val="0"/>
        <w:ind w:left="0" w:leftChars="0" w:firstLine="0" w:firstLineChars="0"/>
      </w:pPr>
      <w:r>
        <w:drawing>
          <wp:inline distT="0" distB="0" distL="114300" distR="114300">
            <wp:extent cx="5396865" cy="2723515"/>
            <wp:effectExtent l="4445" t="4445" r="8890" b="15240"/>
            <wp:docPr id="2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B1EEFFD">
      <w:pPr>
        <w:keepNext w:val="0"/>
        <w:keepLines w:val="0"/>
        <w:widowControl/>
        <w:suppressLineNumbers w:val="0"/>
        <w:jc w:val="left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/>
          <w:lang w:eastAsia="zh-CN"/>
        </w:rPr>
        <w:t>　　　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（三） 培训能力。按我市现有教练车规模测算，全市年最大培训能力约为5.6万人。</w:t>
      </w:r>
    </w:p>
    <w:p w14:paraId="009B5C95">
      <w:pPr>
        <w:ind w:firstLine="641" w:firstLineChars="200"/>
        <w:rPr>
          <w:rFonts w:hint="eastAsia" w:ascii="华文中宋" w:hAnsi="华文中宋" w:eastAsia="华文中宋" w:cs="华文中宋"/>
          <w:b/>
          <w:bCs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华文中宋" w:hAnsi="华文中宋" w:eastAsia="华文中宋" w:cs="华文中宋"/>
          <w:b/>
          <w:bCs/>
          <w:color w:val="333333"/>
          <w:kern w:val="0"/>
          <w:sz w:val="32"/>
          <w:szCs w:val="32"/>
          <w:lang w:val="en-US" w:eastAsia="zh-CN" w:bidi="ar-SA"/>
        </w:rPr>
        <w:t>二、市场需求与招生情况</w:t>
      </w:r>
    </w:p>
    <w:p w14:paraId="5FCD1FD2">
      <w:pPr>
        <w:autoSpaceDN w:val="0"/>
        <w:spacing w:line="560" w:lineRule="exact"/>
        <w:ind w:firstLine="640" w:firstLineChars="200"/>
        <w:jc w:val="left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（一）驾驶员培训。2025年，全市驾培机构新报名学员20357人，与2023年同期相比下降13.8%，较2024年相比下降7.66%。招生区域集中度较高，利州区、苍溪县、剑阁县分别占年度招生总量的51.55%、13.48%和10.85%。学员报名培训车型以C1（占新报名总数的71.64%）、C2（占新报名总数的20.07%）、B2（占新报名总数的5.44%）为主。</w:t>
      </w:r>
    </w:p>
    <w:p w14:paraId="77922981">
      <w:pPr>
        <w:ind w:left="0" w:leftChars="0" w:firstLine="0" w:firstLineChars="0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3040" cy="2714625"/>
            <wp:effectExtent l="4445" t="4445" r="18415" b="5080"/>
            <wp:docPr id="18" name="图表 17" descr="7b0a202020202263686172745265734964223a20223230343734323932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1BC8F6D">
      <w:pPr>
        <w:ind w:left="0" w:leftChars="0" w:firstLine="0" w:firstLineChars="0"/>
      </w:pPr>
    </w:p>
    <w:p w14:paraId="626B48BF">
      <w:pPr>
        <w:ind w:left="0" w:leftChars="0" w:firstLine="0" w:firstLineChars="0"/>
      </w:pPr>
    </w:p>
    <w:p w14:paraId="64A59641">
      <w:pPr>
        <w:ind w:left="0" w:leftChars="0" w:firstLine="0" w:firstLineChars="0"/>
      </w:pPr>
      <w:r>
        <w:drawing>
          <wp:inline distT="0" distB="0" distL="114300" distR="114300">
            <wp:extent cx="5270500" cy="2476500"/>
            <wp:effectExtent l="4445" t="4445" r="20955" b="14605"/>
            <wp:docPr id="1" name="图表 6" descr="7b0a202020202263686172745265734964223a20223530303533343134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9BB9910">
      <w:pPr>
        <w:ind w:left="0" w:leftChars="0" w:firstLine="0" w:firstLineChars="0"/>
        <w:rPr>
          <w:rFonts w:hint="eastAsia"/>
          <w:lang w:val="en-US" w:eastAsia="zh-CN"/>
        </w:rPr>
      </w:pPr>
    </w:p>
    <w:p w14:paraId="2771B002">
      <w:pPr>
        <w:numPr>
          <w:ilvl w:val="0"/>
          <w:numId w:val="1"/>
        </w:numPr>
        <w:ind w:firstLine="640" w:firstLineChars="200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多元化培训。部分驾培机构积极探索发展相关业务，开展摩托车培训（9所）、道路运输从业资格培训（5所）、残疾人驾驶培训（2所）、无人机“飞手”培训（3所）等业务。智能教学、纯电动教练车推广应用处于试点阶段。</w:t>
      </w:r>
    </w:p>
    <w:p w14:paraId="25AE8EC6">
      <w:pPr>
        <w:numPr>
          <w:ilvl w:val="0"/>
          <w:numId w:val="0"/>
        </w:numPr>
        <w:ind w:firstLine="640" w:firstLineChars="200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（三）道路运输从业资格培训。2025年，报名参加各类别培训从业人员1672人（其中：参加客运驾驶员培训204人、危货运输从业人员培训686人，自愿参加出租汽车驾驶员培训782人），较2024年参训学员2406人（其中：客运驾驶员292人；危货运输从业人员599人；自愿参加出租汽车驾驶员培训1515人）相比，培训率下降30.5%。</w:t>
      </w:r>
    </w:p>
    <w:p w14:paraId="2680A436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right="0" w:rightChars="0" w:hanging="420" w:hangingChars="175"/>
        <w:jc w:val="center"/>
      </w:pPr>
      <w:r>
        <w:drawing>
          <wp:inline distT="0" distB="0" distL="114300" distR="114300">
            <wp:extent cx="5225415" cy="2363470"/>
            <wp:effectExtent l="4445" t="4445" r="8890" b="13335"/>
            <wp:docPr id="5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9331FB1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560" w:leftChars="0" w:right="0" w:rightChars="0" w:hanging="560" w:hangingChars="175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全市近两年道路运输从业资格培训人数情况统计表</w:t>
      </w:r>
    </w:p>
    <w:tbl>
      <w:tblPr>
        <w:tblStyle w:val="5"/>
        <w:tblpPr w:leftFromText="180" w:rightFromText="180" w:vertAnchor="text" w:horzAnchor="page" w:tblpX="1972" w:tblpY="401"/>
        <w:tblOverlap w:val="never"/>
        <w:tblW w:w="81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2"/>
        <w:gridCol w:w="1862"/>
        <w:gridCol w:w="1552"/>
        <w:gridCol w:w="1631"/>
        <w:gridCol w:w="1662"/>
      </w:tblGrid>
      <w:tr w14:paraId="48107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tblHeader/>
          <w:jc w:val="center"/>
        </w:trPr>
        <w:tc>
          <w:tcPr>
            <w:tcW w:w="3274" w:type="dxa"/>
            <w:gridSpan w:val="2"/>
            <w:vMerge w:val="restart"/>
            <w:vAlign w:val="center"/>
          </w:tcPr>
          <w:p w14:paraId="2245FFDA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eastAsiaTheme="minor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培训类别</w:t>
            </w:r>
          </w:p>
        </w:tc>
        <w:tc>
          <w:tcPr>
            <w:tcW w:w="4845" w:type="dxa"/>
            <w:gridSpan w:val="3"/>
            <w:vAlign w:val="center"/>
          </w:tcPr>
          <w:p w14:paraId="00C5A012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年度参加培训学员人数</w:t>
            </w:r>
          </w:p>
        </w:tc>
      </w:tr>
      <w:tr w14:paraId="69D10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tblHeader/>
          <w:jc w:val="center"/>
        </w:trPr>
        <w:tc>
          <w:tcPr>
            <w:tcW w:w="3274" w:type="dxa"/>
            <w:gridSpan w:val="2"/>
            <w:vMerge w:val="continue"/>
            <w:shd w:val="clear" w:color="auto" w:fill="auto"/>
            <w:vAlign w:val="center"/>
          </w:tcPr>
          <w:p w14:paraId="0D143DFB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</w:p>
        </w:tc>
        <w:tc>
          <w:tcPr>
            <w:tcW w:w="1552" w:type="dxa"/>
            <w:vAlign w:val="center"/>
          </w:tcPr>
          <w:p w14:paraId="4F11B1BB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2024年</w:t>
            </w:r>
          </w:p>
          <w:p w14:paraId="2F4F13C4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（人）</w:t>
            </w:r>
          </w:p>
        </w:tc>
        <w:tc>
          <w:tcPr>
            <w:tcW w:w="1631" w:type="dxa"/>
            <w:vAlign w:val="center"/>
          </w:tcPr>
          <w:p w14:paraId="3C220B72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1" w:leftChars="-95" w:right="0" w:rightChars="0" w:hanging="200" w:hangingChars="83"/>
              <w:jc w:val="center"/>
              <w:textAlignment w:val="auto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2025年</w:t>
            </w:r>
          </w:p>
          <w:p w14:paraId="70D07F0D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1" w:leftChars="-95" w:right="0" w:rightChars="0" w:hanging="200" w:hangingChars="83"/>
              <w:jc w:val="center"/>
              <w:textAlignment w:val="auto"/>
              <w:rPr>
                <w:rFonts w:hint="default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（人）</w:t>
            </w:r>
          </w:p>
        </w:tc>
        <w:tc>
          <w:tcPr>
            <w:tcW w:w="1662" w:type="dxa"/>
            <w:vAlign w:val="center"/>
          </w:tcPr>
          <w:p w14:paraId="3306D936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变化幅度</w:t>
            </w:r>
          </w:p>
          <w:p w14:paraId="34624F86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eastAsiaTheme="minorEastAsia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vertAlign w:val="baseline"/>
                <w:lang w:val="en-US" w:eastAsia="zh-CN"/>
              </w:rPr>
              <w:t>（%）</w:t>
            </w:r>
          </w:p>
        </w:tc>
      </w:tr>
      <w:tr w14:paraId="48517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3274" w:type="dxa"/>
            <w:gridSpan w:val="2"/>
            <w:vAlign w:val="center"/>
          </w:tcPr>
          <w:p w14:paraId="22193BA0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合      计</w:t>
            </w:r>
          </w:p>
        </w:tc>
        <w:tc>
          <w:tcPr>
            <w:tcW w:w="1552" w:type="dxa"/>
            <w:vAlign w:val="center"/>
          </w:tcPr>
          <w:p w14:paraId="48CDEFFE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2406</w:t>
            </w:r>
          </w:p>
        </w:tc>
        <w:tc>
          <w:tcPr>
            <w:tcW w:w="1631" w:type="dxa"/>
            <w:vAlign w:val="center"/>
          </w:tcPr>
          <w:p w14:paraId="027680C2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1672</w:t>
            </w:r>
          </w:p>
        </w:tc>
        <w:tc>
          <w:tcPr>
            <w:tcW w:w="1662" w:type="dxa"/>
            <w:vAlign w:val="center"/>
          </w:tcPr>
          <w:p w14:paraId="0F32BB59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-30.50</w:t>
            </w:r>
          </w:p>
        </w:tc>
      </w:tr>
      <w:tr w14:paraId="0EDDB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3274" w:type="dxa"/>
            <w:gridSpan w:val="2"/>
            <w:vAlign w:val="center"/>
          </w:tcPr>
          <w:p w14:paraId="63BEBE5F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客运驾驶员</w:t>
            </w:r>
          </w:p>
        </w:tc>
        <w:tc>
          <w:tcPr>
            <w:tcW w:w="1552" w:type="dxa"/>
            <w:vAlign w:val="center"/>
          </w:tcPr>
          <w:p w14:paraId="5F1C1D2E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292</w:t>
            </w:r>
          </w:p>
        </w:tc>
        <w:tc>
          <w:tcPr>
            <w:tcW w:w="1631" w:type="dxa"/>
            <w:vAlign w:val="center"/>
          </w:tcPr>
          <w:p w14:paraId="55FD99E3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204</w:t>
            </w:r>
          </w:p>
        </w:tc>
        <w:tc>
          <w:tcPr>
            <w:tcW w:w="1662" w:type="dxa"/>
            <w:vAlign w:val="center"/>
          </w:tcPr>
          <w:p w14:paraId="6F29FB0D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-30.13</w:t>
            </w:r>
          </w:p>
        </w:tc>
      </w:tr>
      <w:tr w14:paraId="29249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3274" w:type="dxa"/>
            <w:gridSpan w:val="2"/>
            <w:vAlign w:val="center"/>
          </w:tcPr>
          <w:p w14:paraId="659BFE76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危货运输从业人员</w:t>
            </w:r>
          </w:p>
        </w:tc>
        <w:tc>
          <w:tcPr>
            <w:tcW w:w="1552" w:type="dxa"/>
            <w:vAlign w:val="center"/>
          </w:tcPr>
          <w:p w14:paraId="34F70330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599</w:t>
            </w:r>
          </w:p>
        </w:tc>
        <w:tc>
          <w:tcPr>
            <w:tcW w:w="1631" w:type="dxa"/>
            <w:vAlign w:val="center"/>
          </w:tcPr>
          <w:p w14:paraId="0E4DC03B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686</w:t>
            </w:r>
          </w:p>
        </w:tc>
        <w:tc>
          <w:tcPr>
            <w:tcW w:w="1662" w:type="dxa"/>
            <w:vAlign w:val="center"/>
          </w:tcPr>
          <w:p w14:paraId="4562C753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14.52</w:t>
            </w:r>
          </w:p>
        </w:tc>
      </w:tr>
      <w:tr w14:paraId="70159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412" w:type="dxa"/>
            <w:vMerge w:val="restart"/>
            <w:vAlign w:val="center"/>
          </w:tcPr>
          <w:p w14:paraId="648AEF77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出租汽车驾驶员</w:t>
            </w:r>
          </w:p>
        </w:tc>
        <w:tc>
          <w:tcPr>
            <w:tcW w:w="1862" w:type="dxa"/>
            <w:vAlign w:val="center"/>
          </w:tcPr>
          <w:p w14:paraId="7E2F3C3D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小  计</w:t>
            </w:r>
          </w:p>
        </w:tc>
        <w:tc>
          <w:tcPr>
            <w:tcW w:w="1552" w:type="dxa"/>
            <w:vAlign w:val="center"/>
          </w:tcPr>
          <w:p w14:paraId="47D28593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1515</w:t>
            </w:r>
          </w:p>
        </w:tc>
        <w:tc>
          <w:tcPr>
            <w:tcW w:w="1631" w:type="dxa"/>
            <w:vAlign w:val="center"/>
          </w:tcPr>
          <w:p w14:paraId="6B47E2DC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782</w:t>
            </w:r>
          </w:p>
        </w:tc>
        <w:tc>
          <w:tcPr>
            <w:tcW w:w="1662" w:type="dxa"/>
            <w:vAlign w:val="center"/>
          </w:tcPr>
          <w:p w14:paraId="1C239745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-48.38</w:t>
            </w:r>
          </w:p>
        </w:tc>
      </w:tr>
      <w:tr w14:paraId="14A48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412" w:type="dxa"/>
            <w:vMerge w:val="continue"/>
            <w:vAlign w:val="center"/>
          </w:tcPr>
          <w:p w14:paraId="4B0201B8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62" w:type="dxa"/>
            <w:vAlign w:val="center"/>
          </w:tcPr>
          <w:p w14:paraId="1BBAABAD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巡  游</w:t>
            </w:r>
          </w:p>
        </w:tc>
        <w:tc>
          <w:tcPr>
            <w:tcW w:w="1552" w:type="dxa"/>
            <w:vAlign w:val="center"/>
          </w:tcPr>
          <w:p w14:paraId="33569FE2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631</w:t>
            </w:r>
          </w:p>
        </w:tc>
        <w:tc>
          <w:tcPr>
            <w:tcW w:w="1631" w:type="dxa"/>
            <w:vAlign w:val="center"/>
          </w:tcPr>
          <w:p w14:paraId="754E9999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353</w:t>
            </w:r>
          </w:p>
        </w:tc>
        <w:tc>
          <w:tcPr>
            <w:tcW w:w="1662" w:type="dxa"/>
            <w:vAlign w:val="center"/>
          </w:tcPr>
          <w:p w14:paraId="11DAB461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-44.05</w:t>
            </w:r>
          </w:p>
        </w:tc>
      </w:tr>
      <w:tr w14:paraId="7D072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412" w:type="dxa"/>
            <w:vMerge w:val="continue"/>
            <w:vAlign w:val="center"/>
          </w:tcPr>
          <w:p w14:paraId="68000FBB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62" w:type="dxa"/>
            <w:vAlign w:val="center"/>
          </w:tcPr>
          <w:p w14:paraId="28C97909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网  约</w:t>
            </w:r>
          </w:p>
        </w:tc>
        <w:tc>
          <w:tcPr>
            <w:tcW w:w="1552" w:type="dxa"/>
            <w:vAlign w:val="center"/>
          </w:tcPr>
          <w:p w14:paraId="26866E3F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884</w:t>
            </w:r>
          </w:p>
        </w:tc>
        <w:tc>
          <w:tcPr>
            <w:tcW w:w="1631" w:type="dxa"/>
            <w:vAlign w:val="center"/>
          </w:tcPr>
          <w:p w14:paraId="080036AE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429</w:t>
            </w:r>
          </w:p>
        </w:tc>
        <w:tc>
          <w:tcPr>
            <w:tcW w:w="1662" w:type="dxa"/>
            <w:vAlign w:val="center"/>
          </w:tcPr>
          <w:p w14:paraId="350F91C1"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-51.47</w:t>
            </w:r>
          </w:p>
        </w:tc>
      </w:tr>
    </w:tbl>
    <w:p w14:paraId="5B7F5CFB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方正小标宋简体" w:hAnsi="仿宋" w:eastAsia="方正小标宋简体" w:cs="Calibri"/>
          <w:b/>
          <w:color w:val="333333"/>
          <w:sz w:val="32"/>
          <w:szCs w:val="32"/>
          <w:lang w:val="en-US" w:eastAsia="zh-CN"/>
        </w:rPr>
      </w:pPr>
      <w:r>
        <w:rPr>
          <w:rFonts w:hint="eastAsia" w:ascii="黑体" w:hAnsi="黑体" w:eastAsia="黑体" w:cs="Calibri"/>
          <w:color w:val="333333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Calibri"/>
          <w:color w:val="333333"/>
          <w:sz w:val="32"/>
          <w:szCs w:val="32"/>
        </w:rPr>
        <w:t>、</w:t>
      </w:r>
      <w:r>
        <w:rPr>
          <w:rFonts w:hint="eastAsia" w:ascii="方正小标宋简体" w:hAnsi="仿宋" w:eastAsia="方正小标宋简体" w:cs="Calibri"/>
          <w:b/>
          <w:color w:val="333333"/>
          <w:sz w:val="32"/>
          <w:szCs w:val="32"/>
          <w:lang w:val="en-US" w:eastAsia="zh-CN"/>
        </w:rPr>
        <w:t>市场供需分析</w:t>
      </w:r>
    </w:p>
    <w:p w14:paraId="7D8959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（一）产能利用率低位运行。2025年，按实际招生人数测算，全市驾培行业全年产能利用率仅为36.35%，教练车单日最高使用率为56%，适时培训率为38%，设备与人员闲置现象突出，表明市场整体培训能力已严重过剩。</w:t>
      </w:r>
    </w:p>
    <w:p w14:paraId="74706E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（二）区域市场分化明显。除昭化区新报名人数实现同比正增长外，其余6个县区均出现不同程度下滑，其中剑阁县、青川县、苍溪县较去年同期相比降幅分别为23.17%、16.19%、11.99%，市场收缩压力较大。</w:t>
      </w:r>
    </w:p>
    <w:p w14:paraId="196342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" w:eastAsia="仿宋_GB2312" w:cs="Calibri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（三）供需结构性矛盾显现。总体供过于求：培训供给远大于生源需求，行业进入存量竞争阶段，生源竞争加剧，投资回报期延长。服务供给单一：当前培训供给以小型汽车（C1、C2）为主，充分响应市场对新能源汽车驾驶培训体验以及新增轻型牵引挂车（C6）等新兴车型的培训需求不足。</w:t>
      </w:r>
    </w:p>
    <w:p w14:paraId="6AB9C9EB"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0"/>
          <w:sz w:val="32"/>
          <w:szCs w:val="32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2"/>
          <w:szCs w:val="32"/>
          <w:lang w:val="en-US" w:eastAsia="zh-CN" w:bidi="ar"/>
        </w:rPr>
        <w:t xml:space="preserve">全市各县区驾培机构2023年至2025年招生情况对比  </w:t>
      </w:r>
    </w:p>
    <w:p w14:paraId="551FD79B">
      <w:pPr>
        <w:bidi w:val="0"/>
      </w:pPr>
      <w:r>
        <w:drawing>
          <wp:inline distT="0" distB="0" distL="114300" distR="114300">
            <wp:extent cx="5492115" cy="2695575"/>
            <wp:effectExtent l="6350" t="6350" r="6985" b="22225"/>
            <wp:docPr id="19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6F1AE28">
      <w:pPr>
        <w:bidi w:val="0"/>
      </w:pPr>
    </w:p>
    <w:p w14:paraId="503DE74D">
      <w:pPr>
        <w:bidi w:val="0"/>
        <w:jc w:val="center"/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2"/>
          <w:szCs w:val="32"/>
          <w:lang w:val="en-US" w:eastAsia="zh-CN" w:bidi="ar"/>
        </w:rPr>
        <w:t>全市各县区驾培机构2023年至2025年招生情况统计表</w:t>
      </w:r>
    </w:p>
    <w:tbl>
      <w:tblPr>
        <w:tblStyle w:val="5"/>
        <w:tblW w:w="93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1"/>
        <w:gridCol w:w="1294"/>
        <w:gridCol w:w="1294"/>
        <w:gridCol w:w="1487"/>
        <w:gridCol w:w="1805"/>
        <w:gridCol w:w="1807"/>
      </w:tblGrid>
      <w:tr w14:paraId="0EC10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651" w:type="dxa"/>
            <w:vMerge w:val="restart"/>
            <w:vAlign w:val="center"/>
          </w:tcPr>
          <w:p w14:paraId="02FA4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县（区）名称</w:t>
            </w:r>
          </w:p>
        </w:tc>
        <w:tc>
          <w:tcPr>
            <w:tcW w:w="4075" w:type="dxa"/>
            <w:gridSpan w:val="3"/>
            <w:vAlign w:val="center"/>
          </w:tcPr>
          <w:p w14:paraId="283312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年度招生人数</w:t>
            </w:r>
          </w:p>
        </w:tc>
        <w:tc>
          <w:tcPr>
            <w:tcW w:w="1805" w:type="dxa"/>
            <w:vMerge w:val="restart"/>
            <w:vAlign w:val="center"/>
          </w:tcPr>
          <w:p w14:paraId="038A5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2025年与2023年相比变化</w:t>
            </w:r>
          </w:p>
          <w:p w14:paraId="2E230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幅度（%）</w:t>
            </w:r>
          </w:p>
        </w:tc>
        <w:tc>
          <w:tcPr>
            <w:tcW w:w="1807" w:type="dxa"/>
            <w:vMerge w:val="restart"/>
            <w:shd w:val="clear" w:color="auto" w:fill="auto"/>
            <w:vAlign w:val="center"/>
          </w:tcPr>
          <w:p w14:paraId="3D811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2025年与2024年相比变化</w:t>
            </w:r>
          </w:p>
          <w:p w14:paraId="6C2D1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幅度（%）</w:t>
            </w:r>
          </w:p>
        </w:tc>
      </w:tr>
      <w:tr w14:paraId="06F85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1651" w:type="dxa"/>
            <w:vMerge w:val="continue"/>
            <w:vAlign w:val="center"/>
          </w:tcPr>
          <w:p w14:paraId="6AEBD543">
            <w:pPr>
              <w:jc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Align w:val="center"/>
          </w:tcPr>
          <w:p w14:paraId="3749F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  <w:p w14:paraId="462B1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（人）</w:t>
            </w:r>
          </w:p>
        </w:tc>
        <w:tc>
          <w:tcPr>
            <w:tcW w:w="1294" w:type="dxa"/>
            <w:vAlign w:val="center"/>
          </w:tcPr>
          <w:p w14:paraId="03B4D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2024年</w:t>
            </w:r>
          </w:p>
          <w:p w14:paraId="3675C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（人）</w:t>
            </w:r>
          </w:p>
        </w:tc>
        <w:tc>
          <w:tcPr>
            <w:tcW w:w="1487" w:type="dxa"/>
            <w:vAlign w:val="center"/>
          </w:tcPr>
          <w:p w14:paraId="0E063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2025年</w:t>
            </w:r>
          </w:p>
          <w:p w14:paraId="713C6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（人）</w:t>
            </w:r>
          </w:p>
        </w:tc>
        <w:tc>
          <w:tcPr>
            <w:tcW w:w="1805" w:type="dxa"/>
            <w:vMerge w:val="continue"/>
            <w:vAlign w:val="center"/>
          </w:tcPr>
          <w:p w14:paraId="03EEFAC0">
            <w:pPr>
              <w:jc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07" w:type="dxa"/>
            <w:vMerge w:val="continue"/>
            <w:vAlign w:val="center"/>
          </w:tcPr>
          <w:p w14:paraId="7BBB6A43">
            <w:pPr>
              <w:jc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47BA3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651" w:type="dxa"/>
            <w:vAlign w:val="center"/>
          </w:tcPr>
          <w:p w14:paraId="49EF1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苍溪县</w:t>
            </w:r>
          </w:p>
        </w:tc>
        <w:tc>
          <w:tcPr>
            <w:tcW w:w="1294" w:type="dxa"/>
            <w:vAlign w:val="center"/>
          </w:tcPr>
          <w:p w14:paraId="5516C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3429</w:t>
            </w:r>
          </w:p>
        </w:tc>
        <w:tc>
          <w:tcPr>
            <w:tcW w:w="1294" w:type="dxa"/>
            <w:vAlign w:val="center"/>
          </w:tcPr>
          <w:p w14:paraId="1F129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3092</w:t>
            </w:r>
          </w:p>
        </w:tc>
        <w:tc>
          <w:tcPr>
            <w:tcW w:w="1487" w:type="dxa"/>
            <w:vAlign w:val="center"/>
          </w:tcPr>
          <w:p w14:paraId="3DD5D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2721</w:t>
            </w:r>
          </w:p>
        </w:tc>
        <w:tc>
          <w:tcPr>
            <w:tcW w:w="1805" w:type="dxa"/>
            <w:vAlign w:val="center"/>
          </w:tcPr>
          <w:p w14:paraId="3693E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-20.64</w:t>
            </w:r>
          </w:p>
        </w:tc>
        <w:tc>
          <w:tcPr>
            <w:tcW w:w="1807" w:type="dxa"/>
            <w:vAlign w:val="center"/>
          </w:tcPr>
          <w:p w14:paraId="04919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-11.99</w:t>
            </w:r>
          </w:p>
        </w:tc>
      </w:tr>
      <w:tr w14:paraId="2027D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651" w:type="dxa"/>
            <w:vAlign w:val="center"/>
          </w:tcPr>
          <w:p w14:paraId="09D2B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旺苍县</w:t>
            </w:r>
          </w:p>
        </w:tc>
        <w:tc>
          <w:tcPr>
            <w:tcW w:w="1294" w:type="dxa"/>
            <w:vAlign w:val="center"/>
          </w:tcPr>
          <w:p w14:paraId="353DC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2348</w:t>
            </w:r>
          </w:p>
        </w:tc>
        <w:tc>
          <w:tcPr>
            <w:tcW w:w="1294" w:type="dxa"/>
            <w:vAlign w:val="center"/>
          </w:tcPr>
          <w:p w14:paraId="540AB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2001</w:t>
            </w:r>
          </w:p>
        </w:tc>
        <w:tc>
          <w:tcPr>
            <w:tcW w:w="1487" w:type="dxa"/>
            <w:vAlign w:val="center"/>
          </w:tcPr>
          <w:p w14:paraId="66DDC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1988</w:t>
            </w:r>
          </w:p>
        </w:tc>
        <w:tc>
          <w:tcPr>
            <w:tcW w:w="1805" w:type="dxa"/>
            <w:vAlign w:val="center"/>
          </w:tcPr>
          <w:p w14:paraId="6D3F1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-15.33</w:t>
            </w:r>
          </w:p>
        </w:tc>
        <w:tc>
          <w:tcPr>
            <w:tcW w:w="1807" w:type="dxa"/>
            <w:vAlign w:val="center"/>
          </w:tcPr>
          <w:p w14:paraId="545C8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-0.64</w:t>
            </w:r>
          </w:p>
        </w:tc>
      </w:tr>
      <w:tr w14:paraId="33F2C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651" w:type="dxa"/>
            <w:vAlign w:val="center"/>
          </w:tcPr>
          <w:p w14:paraId="4D768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剑阁县</w:t>
            </w:r>
          </w:p>
        </w:tc>
        <w:tc>
          <w:tcPr>
            <w:tcW w:w="1294" w:type="dxa"/>
            <w:vAlign w:val="center"/>
          </w:tcPr>
          <w:p w14:paraId="7B150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2289</w:t>
            </w:r>
          </w:p>
        </w:tc>
        <w:tc>
          <w:tcPr>
            <w:tcW w:w="1294" w:type="dxa"/>
            <w:vAlign w:val="center"/>
          </w:tcPr>
          <w:p w14:paraId="695ED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2880</w:t>
            </w:r>
          </w:p>
        </w:tc>
        <w:tc>
          <w:tcPr>
            <w:tcW w:w="1487" w:type="dxa"/>
            <w:vAlign w:val="center"/>
          </w:tcPr>
          <w:p w14:paraId="4F46C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2197</w:t>
            </w:r>
          </w:p>
        </w:tc>
        <w:tc>
          <w:tcPr>
            <w:tcW w:w="1805" w:type="dxa"/>
            <w:vAlign w:val="center"/>
          </w:tcPr>
          <w:p w14:paraId="41135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-4.01</w:t>
            </w:r>
          </w:p>
        </w:tc>
        <w:tc>
          <w:tcPr>
            <w:tcW w:w="1807" w:type="dxa"/>
            <w:vAlign w:val="center"/>
          </w:tcPr>
          <w:p w14:paraId="21AC8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-23.71</w:t>
            </w:r>
          </w:p>
        </w:tc>
      </w:tr>
      <w:tr w14:paraId="37EAB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651" w:type="dxa"/>
            <w:vAlign w:val="center"/>
          </w:tcPr>
          <w:p w14:paraId="5CB92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青川县</w:t>
            </w:r>
          </w:p>
        </w:tc>
        <w:tc>
          <w:tcPr>
            <w:tcW w:w="1294" w:type="dxa"/>
            <w:vAlign w:val="center"/>
          </w:tcPr>
          <w:p w14:paraId="401A0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1438</w:t>
            </w:r>
          </w:p>
        </w:tc>
        <w:tc>
          <w:tcPr>
            <w:tcW w:w="1294" w:type="dxa"/>
            <w:vAlign w:val="center"/>
          </w:tcPr>
          <w:p w14:paraId="45789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1235</w:t>
            </w:r>
          </w:p>
        </w:tc>
        <w:tc>
          <w:tcPr>
            <w:tcW w:w="1487" w:type="dxa"/>
            <w:vAlign w:val="center"/>
          </w:tcPr>
          <w:p w14:paraId="57DD2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1035</w:t>
            </w:r>
          </w:p>
        </w:tc>
        <w:tc>
          <w:tcPr>
            <w:tcW w:w="1805" w:type="dxa"/>
            <w:vAlign w:val="center"/>
          </w:tcPr>
          <w:p w14:paraId="1DD3E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-28.02</w:t>
            </w:r>
          </w:p>
        </w:tc>
        <w:tc>
          <w:tcPr>
            <w:tcW w:w="1807" w:type="dxa"/>
            <w:vAlign w:val="center"/>
          </w:tcPr>
          <w:p w14:paraId="2C4FC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-16.19</w:t>
            </w:r>
          </w:p>
        </w:tc>
      </w:tr>
      <w:tr w14:paraId="43BD9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651" w:type="dxa"/>
            <w:vAlign w:val="center"/>
          </w:tcPr>
          <w:p w14:paraId="7ED48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利州区</w:t>
            </w:r>
          </w:p>
        </w:tc>
        <w:tc>
          <w:tcPr>
            <w:tcW w:w="1294" w:type="dxa"/>
            <w:vAlign w:val="center"/>
          </w:tcPr>
          <w:p w14:paraId="34882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11968</w:t>
            </w:r>
          </w:p>
        </w:tc>
        <w:tc>
          <w:tcPr>
            <w:tcW w:w="1294" w:type="dxa"/>
            <w:vAlign w:val="center"/>
          </w:tcPr>
          <w:p w14:paraId="5E961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10959</w:t>
            </w:r>
          </w:p>
        </w:tc>
        <w:tc>
          <w:tcPr>
            <w:tcW w:w="1487" w:type="dxa"/>
            <w:vAlign w:val="center"/>
          </w:tcPr>
          <w:p w14:paraId="6B989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10498</w:t>
            </w:r>
          </w:p>
        </w:tc>
        <w:tc>
          <w:tcPr>
            <w:tcW w:w="1805" w:type="dxa"/>
            <w:vAlign w:val="center"/>
          </w:tcPr>
          <w:p w14:paraId="2EA54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-12.28</w:t>
            </w:r>
          </w:p>
        </w:tc>
        <w:tc>
          <w:tcPr>
            <w:tcW w:w="1807" w:type="dxa"/>
            <w:vAlign w:val="center"/>
          </w:tcPr>
          <w:p w14:paraId="01EB4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-4.20</w:t>
            </w:r>
          </w:p>
        </w:tc>
      </w:tr>
      <w:tr w14:paraId="15953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651" w:type="dxa"/>
            <w:vAlign w:val="center"/>
          </w:tcPr>
          <w:p w14:paraId="0FB16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昭化区</w:t>
            </w:r>
          </w:p>
        </w:tc>
        <w:tc>
          <w:tcPr>
            <w:tcW w:w="1294" w:type="dxa"/>
            <w:vAlign w:val="center"/>
          </w:tcPr>
          <w:p w14:paraId="56716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1241</w:t>
            </w:r>
          </w:p>
        </w:tc>
        <w:tc>
          <w:tcPr>
            <w:tcW w:w="1294" w:type="dxa"/>
            <w:vAlign w:val="center"/>
          </w:tcPr>
          <w:p w14:paraId="2FC97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1105</w:t>
            </w:r>
          </w:p>
        </w:tc>
        <w:tc>
          <w:tcPr>
            <w:tcW w:w="1487" w:type="dxa"/>
            <w:vAlign w:val="center"/>
          </w:tcPr>
          <w:p w14:paraId="720D7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1247</w:t>
            </w:r>
          </w:p>
        </w:tc>
        <w:tc>
          <w:tcPr>
            <w:tcW w:w="1805" w:type="dxa"/>
            <w:vAlign w:val="center"/>
          </w:tcPr>
          <w:p w14:paraId="0D696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0.48</w:t>
            </w:r>
          </w:p>
        </w:tc>
        <w:tc>
          <w:tcPr>
            <w:tcW w:w="1807" w:type="dxa"/>
            <w:vAlign w:val="center"/>
          </w:tcPr>
          <w:p w14:paraId="1FDBB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333333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12.85</w:t>
            </w:r>
          </w:p>
        </w:tc>
      </w:tr>
      <w:tr w14:paraId="12021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651" w:type="dxa"/>
            <w:vAlign w:val="center"/>
          </w:tcPr>
          <w:p w14:paraId="76457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朝天区</w:t>
            </w:r>
          </w:p>
        </w:tc>
        <w:tc>
          <w:tcPr>
            <w:tcW w:w="1294" w:type="dxa"/>
            <w:vAlign w:val="center"/>
          </w:tcPr>
          <w:p w14:paraId="59DB3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889</w:t>
            </w:r>
          </w:p>
        </w:tc>
        <w:tc>
          <w:tcPr>
            <w:tcW w:w="1294" w:type="dxa"/>
            <w:vAlign w:val="center"/>
          </w:tcPr>
          <w:p w14:paraId="107A1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752</w:t>
            </w:r>
          </w:p>
        </w:tc>
        <w:tc>
          <w:tcPr>
            <w:tcW w:w="1487" w:type="dxa"/>
            <w:vAlign w:val="center"/>
          </w:tcPr>
          <w:p w14:paraId="17BCF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671</w:t>
            </w:r>
          </w:p>
        </w:tc>
        <w:tc>
          <w:tcPr>
            <w:tcW w:w="1805" w:type="dxa"/>
            <w:vAlign w:val="center"/>
          </w:tcPr>
          <w:p w14:paraId="1715B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-24.52</w:t>
            </w:r>
          </w:p>
        </w:tc>
        <w:tc>
          <w:tcPr>
            <w:tcW w:w="1807" w:type="dxa"/>
            <w:vAlign w:val="center"/>
          </w:tcPr>
          <w:p w14:paraId="0291C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-10.77</w:t>
            </w:r>
          </w:p>
        </w:tc>
      </w:tr>
      <w:tr w14:paraId="5A143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651" w:type="dxa"/>
            <w:vAlign w:val="center"/>
          </w:tcPr>
          <w:p w14:paraId="075D5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全市合计</w:t>
            </w:r>
          </w:p>
        </w:tc>
        <w:tc>
          <w:tcPr>
            <w:tcW w:w="1294" w:type="dxa"/>
            <w:vAlign w:val="center"/>
          </w:tcPr>
          <w:p w14:paraId="7E310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23602</w:t>
            </w:r>
          </w:p>
        </w:tc>
        <w:tc>
          <w:tcPr>
            <w:tcW w:w="1294" w:type="dxa"/>
            <w:vAlign w:val="center"/>
          </w:tcPr>
          <w:p w14:paraId="09E48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22024</w:t>
            </w:r>
          </w:p>
        </w:tc>
        <w:tc>
          <w:tcPr>
            <w:tcW w:w="1487" w:type="dxa"/>
            <w:vAlign w:val="center"/>
          </w:tcPr>
          <w:p w14:paraId="20E35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20357</w:t>
            </w:r>
          </w:p>
        </w:tc>
        <w:tc>
          <w:tcPr>
            <w:tcW w:w="1805" w:type="dxa"/>
            <w:vAlign w:val="center"/>
          </w:tcPr>
          <w:p w14:paraId="6D87E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-13.74</w:t>
            </w:r>
          </w:p>
        </w:tc>
        <w:tc>
          <w:tcPr>
            <w:tcW w:w="1807" w:type="dxa"/>
            <w:vAlign w:val="center"/>
          </w:tcPr>
          <w:p w14:paraId="7943F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-7.56</w:t>
            </w:r>
          </w:p>
        </w:tc>
      </w:tr>
    </w:tbl>
    <w:p w14:paraId="28E397A2"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Autospacing="0" w:afterAutospacing="0" w:line="560" w:lineRule="exact"/>
        <w:jc w:val="left"/>
        <w:textAlignment w:val="auto"/>
        <w:rPr>
          <w:rFonts w:hint="eastAsia" w:ascii="仿宋_GB2312" w:hAnsi="仿宋" w:eastAsia="仿宋_GB2312" w:cs="Calibri"/>
          <w:color w:val="333333"/>
          <w:kern w:val="0"/>
          <w:sz w:val="32"/>
          <w:szCs w:val="32"/>
        </w:rPr>
      </w:pPr>
    </w:p>
    <w:p w14:paraId="2F1AEBA3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="0" w:beforeAutospacing="0" w:after="0" w:afterAutospacing="0" w:line="560" w:lineRule="exact"/>
        <w:ind w:firstLine="643" w:firstLineChars="200"/>
        <w:textAlignment w:val="auto"/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方正小标宋简体" w:hAnsi="仿宋" w:eastAsia="方正小标宋简体" w:cs="Calibri"/>
          <w:b/>
          <w:color w:val="333333"/>
          <w:sz w:val="32"/>
          <w:szCs w:val="32"/>
          <w:lang w:val="en-US" w:eastAsia="zh-CN"/>
        </w:rPr>
        <w:t>四、</w:t>
      </w:r>
      <w:r>
        <w:rPr>
          <w:rFonts w:hint="default" w:ascii="方正小标宋简体" w:hAnsi="仿宋" w:eastAsia="方正小标宋简体" w:cs="Calibri"/>
          <w:b/>
          <w:color w:val="333333"/>
          <w:sz w:val="32"/>
          <w:szCs w:val="32"/>
          <w:lang w:val="en-US" w:eastAsia="zh-CN"/>
        </w:rPr>
        <w:t>投资</w:t>
      </w:r>
      <w:r>
        <w:rPr>
          <w:rFonts w:hint="eastAsia" w:ascii="方正小标宋简体" w:hAnsi="仿宋" w:eastAsia="方正小标宋简体" w:cs="Calibri"/>
          <w:b/>
          <w:color w:val="333333"/>
          <w:sz w:val="32"/>
          <w:szCs w:val="32"/>
          <w:lang w:val="en-US" w:eastAsia="zh-CN"/>
        </w:rPr>
        <w:t>风险预警</w:t>
      </w:r>
    </w:p>
    <w:p w14:paraId="7CBB80CA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综合以上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概况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，我市驾培市场已呈现 “总量过剩、需求走低、竞争加剧” 的特征，行业整体投资风险加大。特此向拟进入驾培市场或计划新增、扩大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规模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的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投资者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发出以下风险预警：</w:t>
      </w:r>
    </w:p>
    <w:p w14:paraId="6AD6C9EA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（一）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 xml:space="preserve"> 市场饱和风险：行业培训能力远超实际需求，新进入者将面临激烈的生源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竞争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，存量机构亦面临营收下滑压力，投资回报存在高度不确定性。</w:t>
      </w:r>
    </w:p>
    <w:p w14:paraId="38754F00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（二）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经营成本风险：在生源不足的背景下，场地租金、车辆折旧、人力成本、燃料消耗等固定成本占比升高，经营压力持续增大。</w:t>
      </w:r>
    </w:p>
    <w:p w14:paraId="1D9822E8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（三）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技术升级风险：汽车产业电动化、智能化转型加速，市场对新能源教练车、智能辅助教学设备的需求将逐步增长，现有传统燃油教练车资产可能面临加速贬值和更新换代压力。</w:t>
      </w:r>
    </w:p>
    <w:p w14:paraId="5B564A8D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（四）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差异化竞争风险：单纯依靠价格竞争难以持续，未能及时拓展特色培训项目、提升教学服务质量或应用新技术的机构，生存空间可能被进一步挤压。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 xml:space="preserve">　　　　　　　     </w:t>
      </w:r>
    </w:p>
    <w:p w14:paraId="13699428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在此提醒拟进入驾培行业或计划新增培训能力的投资者，密切关注市场动态，</w:t>
      </w:r>
      <w: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深入调研</w:t>
      </w: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，科学评估，审慎决策。</w:t>
      </w:r>
    </w:p>
    <w:p w14:paraId="5D033E3B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</w:p>
    <w:p w14:paraId="1221822D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</w:p>
    <w:p w14:paraId="3F6E788B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 xml:space="preserve">                     　广元市交通运输综合服务中心</w:t>
      </w:r>
    </w:p>
    <w:p w14:paraId="4BC30879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  <w:t>　                           2026年2月2日</w:t>
      </w:r>
    </w:p>
    <w:p w14:paraId="29EE5014">
      <w:pPr>
        <w:numPr>
          <w:ilvl w:val="0"/>
          <w:numId w:val="0"/>
        </w:numPr>
        <w:rPr>
          <w:rFonts w:hint="default" w:ascii="仿宋_GB2312" w:hAnsi="仿宋" w:eastAsia="仿宋_GB2312" w:cs="Calibri"/>
          <w:color w:val="333333"/>
          <w:kern w:val="0"/>
          <w:sz w:val="32"/>
          <w:szCs w:val="32"/>
          <w:lang w:val="en-US" w:eastAsia="zh-CN" w:bidi="ar-SA"/>
        </w:rPr>
      </w:pPr>
      <w:bookmarkStart w:id="0" w:name="_GoBack"/>
      <w:bookmarkEnd w:id="0"/>
    </w:p>
    <w:sectPr>
      <w:pgSz w:w="11906" w:h="16838"/>
      <w:pgMar w:top="1837" w:right="1576" w:bottom="1723" w:left="163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9FDE26B-0DF5-4C8C-9E2A-0B8F229D40F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D81C738-23BE-4E9B-A7C5-927760C39B0B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985FF18-B95B-49A1-9C10-E8BF7986D51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2F79FAB5-8620-4CD4-8D59-18DC1151205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2F948747-A29D-42E8-9124-9CEB6A3315B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A544D24D-0E38-4E09-94E9-39356A2F1EE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C66C713-1DBF-49E9-9C5F-1CDE1016F7F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BBD867"/>
    <w:multiLevelType w:val="singleLevel"/>
    <w:tmpl w:val="7FBBD86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504A4D"/>
    <w:rsid w:val="00C77D53"/>
    <w:rsid w:val="011521FD"/>
    <w:rsid w:val="032B2C96"/>
    <w:rsid w:val="04D626FD"/>
    <w:rsid w:val="07F62BE7"/>
    <w:rsid w:val="08793FA4"/>
    <w:rsid w:val="08EF5238"/>
    <w:rsid w:val="0A876282"/>
    <w:rsid w:val="0B1D155E"/>
    <w:rsid w:val="0B6D4294"/>
    <w:rsid w:val="0E237489"/>
    <w:rsid w:val="0F625A9A"/>
    <w:rsid w:val="133A3A51"/>
    <w:rsid w:val="166D15EC"/>
    <w:rsid w:val="1B3F161E"/>
    <w:rsid w:val="1D04432C"/>
    <w:rsid w:val="1D536B88"/>
    <w:rsid w:val="1DC615E1"/>
    <w:rsid w:val="1F32053C"/>
    <w:rsid w:val="1F75173C"/>
    <w:rsid w:val="1F75506D"/>
    <w:rsid w:val="1F97211B"/>
    <w:rsid w:val="22297918"/>
    <w:rsid w:val="225B679C"/>
    <w:rsid w:val="25675F6C"/>
    <w:rsid w:val="25A22934"/>
    <w:rsid w:val="2F552B90"/>
    <w:rsid w:val="311E2EF7"/>
    <w:rsid w:val="32BC31DD"/>
    <w:rsid w:val="339B0F06"/>
    <w:rsid w:val="33C61EE3"/>
    <w:rsid w:val="359D46E5"/>
    <w:rsid w:val="35CD1307"/>
    <w:rsid w:val="3727391B"/>
    <w:rsid w:val="38D86941"/>
    <w:rsid w:val="38FC5E74"/>
    <w:rsid w:val="3B4F29FC"/>
    <w:rsid w:val="3D0F2AA3"/>
    <w:rsid w:val="3D973A53"/>
    <w:rsid w:val="3EF376E4"/>
    <w:rsid w:val="3F076411"/>
    <w:rsid w:val="44476729"/>
    <w:rsid w:val="44A92F3F"/>
    <w:rsid w:val="457C0654"/>
    <w:rsid w:val="46251739"/>
    <w:rsid w:val="49B900C8"/>
    <w:rsid w:val="4BE43A56"/>
    <w:rsid w:val="4ED2045E"/>
    <w:rsid w:val="4F343D4D"/>
    <w:rsid w:val="4FD712A8"/>
    <w:rsid w:val="50AE5B58"/>
    <w:rsid w:val="51730B5D"/>
    <w:rsid w:val="51BC1C9F"/>
    <w:rsid w:val="59367040"/>
    <w:rsid w:val="598D237B"/>
    <w:rsid w:val="5C07081F"/>
    <w:rsid w:val="5EED6B4B"/>
    <w:rsid w:val="5F4A3AFF"/>
    <w:rsid w:val="5F5777E5"/>
    <w:rsid w:val="5F6E2B70"/>
    <w:rsid w:val="60296C6A"/>
    <w:rsid w:val="608F175B"/>
    <w:rsid w:val="66504A4D"/>
    <w:rsid w:val="66F10A4A"/>
    <w:rsid w:val="676455DE"/>
    <w:rsid w:val="688356D2"/>
    <w:rsid w:val="6BD80AED"/>
    <w:rsid w:val="6CE34991"/>
    <w:rsid w:val="6FA8783E"/>
    <w:rsid w:val="71F473F6"/>
    <w:rsid w:val="72B1108D"/>
    <w:rsid w:val="751C78AF"/>
    <w:rsid w:val="76FA1255"/>
    <w:rsid w:val="77B36986"/>
    <w:rsid w:val="77E02845"/>
    <w:rsid w:val="7E3C30DF"/>
    <w:rsid w:val="7E871920"/>
    <w:rsid w:val="7FBD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paragraph" w:customStyle="1" w:styleId="10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6.xml"/><Relationship Id="rId8" Type="http://schemas.openxmlformats.org/officeDocument/2006/relationships/chart" Target="charts/chart5.xml"/><Relationship Id="rId7" Type="http://schemas.openxmlformats.org/officeDocument/2006/relationships/chart" Target="charts/chart4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&#24037;&#20316;&#31807;3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oleObject" Target="&#24037;&#20316;&#31807;3" TargetMode="External"/></Relationships>
</file>

<file path=word/charts/_rels/chart3.xml.rels><?xml version="1.0" encoding="UTF-8" standalone="yes"?>
<Relationships xmlns="http://schemas.openxmlformats.org/package/2006/relationships"><Relationship Id="rId5" Type="http://schemas.microsoft.com/office/2011/relationships/chartColorStyle" Target="colors4.xml"/><Relationship Id="rId4" Type="http://schemas.microsoft.com/office/2011/relationships/chartStyle" Target="style4.xml"/><Relationship Id="rId3" Type="http://schemas.openxmlformats.org/officeDocument/2006/relationships/image" Target="../media/image1.png"/><Relationship Id="rId2" Type="http://schemas.openxmlformats.org/officeDocument/2006/relationships/themeOverride" Target="../theme/themeOverride1.xml"/><Relationship Id="rId1" Type="http://schemas.openxmlformats.org/officeDocument/2006/relationships/oleObject" Target="&#24037;&#20316;&#31807;3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24037;&#20316;&#31807;2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E:\&#26032;&#24314;&#25991;&#20214;&#22841;\&#25105;&#30340;&#25991;&#26723;\&#20174;&#19994;&#36164;&#26684;&#26381;&#21153;\&#25913;&#38761;&#21518;\&#39550;&#26657;&#31649;&#29702;\&#34892;&#19994;&#30417;&#31649;\&#25237;&#36164;&#39118;&#38505;&#39044;&#35686;\2025\&#24037;&#20316;&#31807;3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6032;&#24314;&#25991;&#20214;&#22841;\&#25105;&#30340;&#25991;&#26723;\&#20174;&#19994;&#36164;&#26684;&#26381;&#21153;\&#25913;&#38761;&#21518;\&#39550;&#26657;&#31649;&#29702;\&#34892;&#19994;&#30417;&#31649;\&#25237;&#36164;&#39118;&#38505;&#39044;&#35686;\2025\&#24037;&#20316;&#31807;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微软雅黑" panose="020B0503020204020204" charset="-122"/>
              </a:defRPr>
            </a:pPr>
            <a:r>
              <a:rPr lang="zh-CN" altLang="en-US">
                <a:latin typeface="方正公文小标宋" panose="02000500000000000000" charset="-122"/>
                <a:ea typeface="方正公文小标宋" panose="02000500000000000000" charset="-122"/>
              </a:rPr>
              <a:t>全市各县（区）备案驾培机构情况</a:t>
            </a:r>
            <a:r>
              <a:rPr lang="en-US" altLang="zh-CN"/>
              <a:t>     </a:t>
            </a:r>
            <a:r>
              <a:rPr altLang="en-US" sz="800">
                <a:solidFill>
                  <a:schemeClr val="tx1">
                    <a:lumMod val="75000"/>
                    <a:lumOff val="25000"/>
                  </a:schemeClr>
                </a:solidFill>
                <a:uFillTx/>
              </a:rPr>
              <a:t>单位：所</a:t>
            </a:r>
            <a:endParaRPr lang="en-US" altLang="en-US" sz="800">
              <a:solidFill>
                <a:schemeClr val="tx1">
                  <a:lumMod val="75000"/>
                  <a:lumOff val="25000"/>
                </a:schemeClr>
              </a:solidFill>
              <a:uFillTx/>
            </a:endParaRPr>
          </a:p>
        </c:rich>
      </c:tx>
      <c:layout>
        <c:manualLayout>
          <c:xMode val="edge"/>
          <c:yMode val="edge"/>
          <c:x val="0.286288796966353"/>
          <c:y val="0.0277777777777778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289473684210526"/>
          <c:y val="0.178240740740741"/>
          <c:w val="0.942105263157895"/>
          <c:h val="0.7033333333333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[工作簿3]Sheet1!$B$35</c:f>
              <c:strCache>
                <c:ptCount val="1"/>
                <c:pt idx="0">
                  <c:v>备案驾校数量  单位：所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00197368421052632"/>
                  <c:y val="0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/>
                  <a:lstStyle/>
                  <a:p>
                    <a:pPr defTabSz="914400">
                      <a:defRPr lang="zh-CN" sz="900" b="1" i="0" u="none" strike="noStrike" kern="1200" baseline="0">
                        <a:solidFill>
                          <a:schemeClr val="accent1"/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t>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0394736842105263"/>
                  <c:y val="0.00347222222222222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/>
                  <a:lstStyle/>
                  <a:p>
                    <a:pPr defTabSz="914400">
                      <a:defRPr lang="zh-CN" sz="900" b="1" i="0" u="none" strike="noStrike" kern="1200" baseline="0">
                        <a:solidFill>
                          <a:schemeClr val="accent1"/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rPr lang="en-US" altLang="zh-CN"/>
                      <a:t>2</a:t>
                    </a:r>
                    <a:endParaRPr lang="en-US" altLang="zh-CN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/>
              <a:lstStyle/>
              <a:p>
                <a:pPr>
                  <a:defRPr lang="zh-CN" sz="900" b="1" i="0" u="none" strike="noStrike" kern="1200" baseline="0">
                    <a:solidFill>
                      <a:schemeClr val="accent1"/>
                    </a:solidFill>
                    <a:latin typeface="微软雅黑" panose="020B0503020204020204" charset="-122"/>
                    <a:ea typeface="微软雅黑" panose="020B0503020204020204" charset="-122"/>
                    <a:cs typeface="微软雅黑" panose="020B0503020204020204" charset="-122"/>
                    <a:sym typeface="微软雅黑" panose="020B0503020204020204" charset="-122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[工作簿3]Sheet1!$A$36:$A$43</c:f>
              <c:strCache>
                <c:ptCount val="8"/>
                <c:pt idx="0">
                  <c:v>苍溪县</c:v>
                </c:pt>
                <c:pt idx="1">
                  <c:v>旺苍县</c:v>
                </c:pt>
                <c:pt idx="2">
                  <c:v>剑阁县</c:v>
                </c:pt>
                <c:pt idx="3">
                  <c:v>青川县</c:v>
                </c:pt>
                <c:pt idx="4">
                  <c:v>利州区</c:v>
                </c:pt>
                <c:pt idx="5">
                  <c:v>昭化区</c:v>
                </c:pt>
                <c:pt idx="6">
                  <c:v>朝化区</c:v>
                </c:pt>
                <c:pt idx="7">
                  <c:v>全市合计</c:v>
                </c:pt>
              </c:strCache>
            </c:strRef>
          </c:cat>
          <c:val>
            <c:numRef>
              <c:f>[工作簿3]Sheet1!$B$36:$B$43</c:f>
              <c:numCache>
                <c:formatCode>General</c:formatCode>
                <c:ptCount val="8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6</c:v>
                </c:pt>
                <c:pt idx="5">
                  <c:v>3</c:v>
                </c:pt>
                <c:pt idx="6">
                  <c:v>1</c:v>
                </c:pt>
                <c:pt idx="7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7"/>
        <c:overlap val="-15"/>
        <c:axId val="329151669"/>
        <c:axId val="922219748"/>
      </c:barChart>
      <c:catAx>
        <c:axId val="32915166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lumMod val="50000"/>
                <a:lumOff val="50000"/>
                <a:alpha val="2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cap="none" spc="0" normalizeH="0" baseline="0">
                <a:solidFill>
                  <a:srgbClr val="0070C0"/>
                </a:solidFill>
                <a:uFill>
                  <a:solidFill>
                    <a:schemeClr val="tx1">
                      <a:lumMod val="75000"/>
                      <a:lumOff val="25000"/>
                    </a:schemeClr>
                  </a:solidFill>
                </a:u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微软雅黑" panose="020B0503020204020204" charset="-122"/>
              </a:defRPr>
            </a:pPr>
          </a:p>
        </c:txPr>
        <c:crossAx val="922219748"/>
        <c:crosses val="autoZero"/>
        <c:auto val="1"/>
        <c:lblAlgn val="ctr"/>
        <c:lblOffset val="100"/>
        <c:noMultiLvlLbl val="0"/>
      </c:catAx>
      <c:valAx>
        <c:axId val="9222197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微软雅黑" panose="020B0503020204020204" charset="-122"/>
              </a:defRPr>
            </a:pPr>
          </a:p>
        </c:txPr>
        <c:crossAx val="32915166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6d40c6b5-092e-4af5-9194-f9e6350d4aed}"/>
      </c:ext>
    </c:extLst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0"/>
    </a:gradFill>
    <a:ln w="6350" cap="flat" cmpd="sng" algn="ctr">
      <a:solidFill>
        <a:schemeClr val="tx1">
          <a:lumMod val="50000"/>
          <a:lumOff val="50000"/>
          <a:alpha val="25000"/>
        </a:schemeClr>
      </a:solidFill>
      <a:round/>
    </a:ln>
    <a:effectLst/>
  </c:spPr>
  <c:txPr>
    <a:bodyPr/>
    <a:lstStyle/>
    <a:p>
      <a:pPr>
        <a:defRPr lang="zh-CN" b="0">
          <a:solidFill>
            <a:schemeClr val="tx1">
              <a:lumMod val="75000"/>
              <a:lumOff val="25000"/>
            </a:schemeClr>
          </a:solidFill>
          <a:latin typeface="微软雅黑" panose="020B0503020204020204" charset="-122"/>
          <a:ea typeface="微软雅黑" panose="020B0503020204020204" charset="-122"/>
          <a:cs typeface="微软雅黑" panose="020B0503020204020204" charset="-122"/>
          <a:sym typeface="微软雅黑" panose="020B0503020204020204" charset="-122"/>
        </a:defRPr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全市各县区驾培机构备案教练车辆分布情况</a:t>
            </a:r>
          </a:p>
        </c:rich>
      </c:tx>
      <c:layout>
        <c:manualLayout>
          <c:xMode val="edge"/>
          <c:yMode val="edge"/>
          <c:x val="0.221052631578947"/>
          <c:y val="0.0277777777777778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[工作簿3]Sheet1!$B$1</c:f>
              <c:strCache>
                <c:ptCount val="1"/>
                <c:pt idx="0">
                  <c:v>教练车数量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bg1"/>
              </a:solidFill>
            </a:ln>
            <a:effectLst/>
          </c:spPr>
          <c:invertIfNegative val="0"/>
          <c:dLbls>
            <c:delete val="1"/>
          </c:dLbls>
          <c:cat>
            <c:strRef>
              <c:f>[工作簿3]Sheet1!$A$2:$A$9</c:f>
              <c:strCache>
                <c:ptCount val="8"/>
                <c:pt idx="0">
                  <c:v>苍溪县</c:v>
                </c:pt>
                <c:pt idx="1">
                  <c:v>旺苍县</c:v>
                </c:pt>
                <c:pt idx="2">
                  <c:v>剑阁县</c:v>
                </c:pt>
                <c:pt idx="3">
                  <c:v>青川县</c:v>
                </c:pt>
                <c:pt idx="4">
                  <c:v>利州区</c:v>
                </c:pt>
                <c:pt idx="5">
                  <c:v>昭化区</c:v>
                </c:pt>
                <c:pt idx="6">
                  <c:v>朝化区</c:v>
                </c:pt>
                <c:pt idx="7">
                  <c:v>全市合计</c:v>
                </c:pt>
              </c:strCache>
            </c:strRef>
          </c:cat>
          <c:val>
            <c:numRef>
              <c:f>[工作簿3]Sheet1!$B$2:$B$9</c:f>
              <c:numCache>
                <c:formatCode>General</c:formatCode>
                <c:ptCount val="8"/>
                <c:pt idx="0">
                  <c:v>97</c:v>
                </c:pt>
                <c:pt idx="1">
                  <c:v>102</c:v>
                </c:pt>
                <c:pt idx="2">
                  <c:v>68</c:v>
                </c:pt>
                <c:pt idx="3">
                  <c:v>39</c:v>
                </c:pt>
                <c:pt idx="4">
                  <c:v>262</c:v>
                </c:pt>
                <c:pt idx="5">
                  <c:v>26</c:v>
                </c:pt>
                <c:pt idx="6">
                  <c:v>44</c:v>
                </c:pt>
                <c:pt idx="7">
                  <c:v>638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6"/>
        <c:overlap val="100"/>
        <c:axId val="455686624"/>
        <c:axId val="407415454"/>
      </c:barChart>
      <c:catAx>
        <c:axId val="45568662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407415454"/>
        <c:crosses val="autoZero"/>
        <c:auto val="1"/>
        <c:lblAlgn val="ctr"/>
        <c:lblOffset val="100"/>
        <c:noMultiLvlLbl val="0"/>
      </c:catAx>
      <c:valAx>
        <c:axId val="40741545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455686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887e8389-ca60-4087-8307-ccff0822ca9b}"/>
      </c:ext>
    </c:extLst>
  </c:chart>
  <c:spPr>
    <a:solidFill>
      <a:schemeClr val="accent5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0" i="0" u="none" strike="noStrike" kern="1200" spc="0" baseline="0">
                <a:ln w="0" cmpd="sng">
                  <a:noFill/>
                  <a:prstDash val="solid"/>
                </a:ln>
                <a:solidFill>
                  <a:srgbClr val="404040"/>
                </a:solidFill>
                <a:effectLst/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微软雅黑" panose="020B0503020204020204" charset="-122"/>
              </a:defRPr>
            </a:pPr>
            <a:r>
              <a:rPr altLang="en-US"/>
              <a:t>全市</a:t>
            </a:r>
            <a:r>
              <a:rPr lang="en-US" altLang="zh-CN"/>
              <a:t>2023</a:t>
            </a:r>
            <a:r>
              <a:rPr altLang="en-US"/>
              <a:t>年至</a:t>
            </a:r>
            <a:r>
              <a:rPr lang="en-US" altLang="zh-CN"/>
              <a:t>2025</a:t>
            </a:r>
            <a:r>
              <a:rPr altLang="en-US"/>
              <a:t>年</a:t>
            </a:r>
            <a:r>
              <a:rPr lang="zh-CN" altLang="en-US"/>
              <a:t>驾培机构招生情况对比</a:t>
            </a:r>
            <a:r>
              <a:rPr lang="en-US" altLang="zh-CN"/>
              <a:t>  </a:t>
            </a:r>
            <a:endParaRPr lang="en-US" altLang="zh-CN"/>
          </a:p>
          <a:p>
            <a:pPr>
              <a:defRPr lang="zh-CN" sz="1400" b="0" i="0" u="none" strike="noStrike" kern="1200" spc="0" baseline="0">
                <a:ln w="0" cmpd="sng">
                  <a:noFill/>
                  <a:prstDash val="solid"/>
                </a:ln>
                <a:solidFill>
                  <a:srgbClr val="404040"/>
                </a:solidFill>
                <a:effectLst/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微软雅黑" panose="020B0503020204020204" charset="-122"/>
              </a:defRPr>
            </a:pPr>
            <a:r>
              <a:rPr lang="en-US" altLang="zh-CN"/>
              <a:t>                                                                  </a:t>
            </a:r>
            <a:r>
              <a:rPr altLang="en-US" sz="800">
                <a:solidFill>
                  <a:srgbClr val="404040"/>
                </a:solidFill>
                <a:uFillTx/>
              </a:rPr>
              <a:t>单位：人</a:t>
            </a:r>
            <a:endParaRPr lang="en-US" altLang="en-US" sz="800">
              <a:solidFill>
                <a:srgbClr val="404040"/>
              </a:solidFill>
              <a:uFillTx/>
            </a:endParaRPr>
          </a:p>
        </c:rich>
      </c:tx>
      <c:layout>
        <c:manualLayout>
          <c:xMode val="edge"/>
          <c:yMode val="edge"/>
          <c:x val="0.141016377649326"/>
          <c:y val="0.043742690058479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976156069364162"/>
          <c:y val="0.293099415204678"/>
          <c:w val="0.877697495183044"/>
          <c:h val="0.5907368421052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[工作簿3]Sheet1!$A$74</c:f>
              <c:strCache>
                <c:ptCount val="1"/>
                <c:pt idx="0">
                  <c:v>2023年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[工作簿3]Sheet1!$B$72:$F$73</c:f>
              <c:multiLvlStrCache>
                <c:ptCount val="5"/>
                <c:lvl>
                  <c:pt idx="0">
                    <c:v>一季度</c:v>
                  </c:pt>
                  <c:pt idx="1">
                    <c:v>二季度</c:v>
                  </c:pt>
                  <c:pt idx="2">
                    <c:v>三季度</c:v>
                  </c:pt>
                  <c:pt idx="3">
                    <c:v>四季度</c:v>
                  </c:pt>
                  <c:pt idx="4">
                    <c:v>全年合计</c:v>
                  </c:pt>
                </c:lvl>
                <c:lvl/>
              </c:multiLvlStrCache>
            </c:multiLvlStrRef>
          </c:cat>
          <c:val>
            <c:numRef>
              <c:f>[工作簿3]Sheet1!$B$74:$F$74</c:f>
              <c:numCache>
                <c:formatCode>General</c:formatCode>
                <c:ptCount val="5"/>
                <c:pt idx="0">
                  <c:v>6595</c:v>
                </c:pt>
                <c:pt idx="1">
                  <c:v>6704</c:v>
                </c:pt>
                <c:pt idx="2">
                  <c:v>5930</c:v>
                </c:pt>
                <c:pt idx="3">
                  <c:v>4549</c:v>
                </c:pt>
                <c:pt idx="4">
                  <c:v>23607</c:v>
                </c:pt>
              </c:numCache>
            </c:numRef>
          </c:val>
        </c:ser>
        <c:ser>
          <c:idx val="1"/>
          <c:order val="1"/>
          <c:tx>
            <c:strRef>
              <c:f>[工作簿3]Sheet1!$A$75</c:f>
              <c:strCache>
                <c:ptCount val="1"/>
                <c:pt idx="0">
                  <c:v>2024年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[工作簿3]Sheet1!$B$72:$F$73</c:f>
              <c:multiLvlStrCache>
                <c:ptCount val="5"/>
                <c:lvl>
                  <c:pt idx="0">
                    <c:v>一季度</c:v>
                  </c:pt>
                  <c:pt idx="1">
                    <c:v>二季度</c:v>
                  </c:pt>
                  <c:pt idx="2">
                    <c:v>三季度</c:v>
                  </c:pt>
                  <c:pt idx="3">
                    <c:v>四季度</c:v>
                  </c:pt>
                  <c:pt idx="4">
                    <c:v>全年合计</c:v>
                  </c:pt>
                </c:lvl>
                <c:lvl/>
              </c:multiLvlStrCache>
            </c:multiLvlStrRef>
          </c:cat>
          <c:val>
            <c:numRef>
              <c:f>[工作簿3]Sheet1!$B$75:$F$75</c:f>
              <c:numCache>
                <c:formatCode>General</c:formatCode>
                <c:ptCount val="5"/>
                <c:pt idx="0">
                  <c:v>6662</c:v>
                </c:pt>
                <c:pt idx="1">
                  <c:v>6328</c:v>
                </c:pt>
                <c:pt idx="2">
                  <c:v>5379</c:v>
                </c:pt>
                <c:pt idx="3">
                  <c:v>3883</c:v>
                </c:pt>
                <c:pt idx="4">
                  <c:v>22025</c:v>
                </c:pt>
              </c:numCache>
            </c:numRef>
          </c:val>
        </c:ser>
        <c:ser>
          <c:idx val="2"/>
          <c:order val="2"/>
          <c:tx>
            <c:strRef>
              <c:f>[工作簿3]Sheet1!$A$76</c:f>
              <c:strCache>
                <c:ptCount val="1"/>
                <c:pt idx="0">
                  <c:v>2025年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[工作簿3]Sheet1!$B$72:$F$73</c:f>
              <c:multiLvlStrCache>
                <c:ptCount val="5"/>
                <c:lvl>
                  <c:pt idx="0">
                    <c:v>一季度</c:v>
                  </c:pt>
                  <c:pt idx="1">
                    <c:v>二季度</c:v>
                  </c:pt>
                  <c:pt idx="2">
                    <c:v>三季度</c:v>
                  </c:pt>
                  <c:pt idx="3">
                    <c:v>四季度</c:v>
                  </c:pt>
                  <c:pt idx="4">
                    <c:v>全年合计</c:v>
                  </c:pt>
                </c:lvl>
                <c:lvl/>
              </c:multiLvlStrCache>
            </c:multiLvlStrRef>
          </c:cat>
          <c:val>
            <c:numRef>
              <c:f>[工作簿3]Sheet1!$B$76:$F$76</c:f>
              <c:numCache>
                <c:formatCode>General</c:formatCode>
                <c:ptCount val="5"/>
                <c:pt idx="0">
                  <c:v>5563</c:v>
                </c:pt>
                <c:pt idx="1">
                  <c:v>5634</c:v>
                </c:pt>
                <c:pt idx="2">
                  <c:v>5661</c:v>
                </c:pt>
                <c:pt idx="3">
                  <c:v>4549</c:v>
                </c:pt>
                <c:pt idx="4">
                  <c:v>20357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0"/>
        <c:axId val="56867059"/>
        <c:axId val="745605982"/>
      </c:barChart>
      <c:catAx>
        <c:axId val="568670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1">
                <a:lumMod val="7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cap="none" spc="0" normalizeH="0" baseline="0">
                <a:solidFill>
                  <a:srgbClr val="404040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微软雅黑" panose="020B0503020204020204" charset="-122"/>
              </a:defRPr>
            </a:pPr>
          </a:p>
        </c:txPr>
        <c:crossAx val="745605982"/>
        <c:crosses val="autoZero"/>
        <c:auto val="1"/>
        <c:lblAlgn val="ctr"/>
        <c:lblOffset val="100"/>
        <c:noMultiLvlLbl val="0"/>
      </c:catAx>
      <c:valAx>
        <c:axId val="74560598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>
                  <a:lumMod val="60000"/>
                  <a:lumOff val="40000"/>
                </a:schemeClr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baseline="0">
                <a:solidFill>
                  <a:srgbClr val="40404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微软雅黑" panose="020B0503020204020204" charset="-122"/>
              </a:defRPr>
            </a:pPr>
          </a:p>
        </c:txPr>
        <c:crossAx val="568670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 forceAA="0"/>
        <a:lstStyle/>
        <a:p>
          <a:pPr>
            <a:defRPr lang="zh-CN" sz="900" b="0" i="0" u="none" strike="noStrike" kern="1200" cap="none" spc="0" normalizeH="0" baseline="0">
              <a:solidFill>
                <a:srgbClr val="404040"/>
              </a:solidFill>
              <a:uFill>
                <a:solidFill>
                  <a:schemeClr val="tx1">
                    <a:lumMod val="65000"/>
                    <a:lumOff val="35000"/>
                  </a:schemeClr>
                </a:solidFill>
              </a:uFill>
              <a:latin typeface="微软雅黑" panose="020B0503020204020204" charset="-122"/>
              <a:ea typeface="微软雅黑" panose="020B0503020204020204" charset="-122"/>
              <a:cs typeface="微软雅黑" panose="020B0503020204020204" charset="-122"/>
              <a:sym typeface="微软雅黑" panose="020B0503020204020204" charset="-122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ec691def-55cc-4627-a8ae-b980e1ed040d}"/>
      </c:ext>
    </c:extLst>
  </c:chart>
  <c:spPr>
    <a:blipFill rotWithShape="1">
      <a:blip xmlns:r="http://schemas.openxmlformats.org/officeDocument/2006/relationships" r:embed="rId3"/>
      <a:stretch>
        <a:fillRect/>
      </a:stretch>
    </a:blipFill>
    <a:ln w="6350" cap="flat" cmpd="sng" algn="ctr">
      <a:solidFill>
        <a:schemeClr val="tx1">
          <a:lumMod val="50000"/>
          <a:lumOff val="50000"/>
          <a:alpha val="25000"/>
        </a:schemeClr>
      </a:solidFill>
      <a:round/>
    </a:ln>
    <a:effectLst/>
  </c:spPr>
  <c:txPr>
    <a:bodyPr/>
    <a:lstStyle/>
    <a:p>
      <a:pPr>
        <a:defRPr lang="zh-CN">
          <a:solidFill>
            <a:srgbClr val="404040"/>
          </a:solidFill>
          <a:latin typeface="微软雅黑" panose="020B0503020204020204" charset="-122"/>
          <a:ea typeface="微软雅黑" panose="020B0503020204020204" charset="-122"/>
          <a:cs typeface="微软雅黑" panose="020B0503020204020204" charset="-122"/>
          <a:sym typeface="微软雅黑" panose="020B0503020204020204" charset="-122"/>
        </a:defRPr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全市2025年驾培机构新报名学员培训车型情况对比  </a:t>
            </a:r>
          </a:p>
        </c:rich>
      </c:tx>
      <c:layout>
        <c:manualLayout>
          <c:xMode val="edge"/>
          <c:yMode val="edge"/>
          <c:x val="0.131325301204819"/>
          <c:y val="0.0351282051282051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[工作簿2]Sheet1!$C$1</c:f>
              <c:strCache>
                <c:ptCount val="1"/>
                <c:pt idx="0">
                  <c:v>各车型报名学驾人数对比</c:v>
                </c:pt>
              </c:strCache>
            </c:strRef>
          </c:tx>
          <c:spPr>
            <a:ln>
              <a:gradFill>
                <a:gsLst>
                  <a:gs pos="4000">
                    <a:srgbClr val="F1C1D7"/>
                  </a:gs>
                  <a:gs pos="100000">
                    <a:srgbClr val="9C6DFE"/>
                  </a:gs>
                </a:gsLst>
                <a:path path="circle">
                  <a:fillToRect r="100000" b="100000"/>
                </a:path>
                <a:tileRect l="-100000" t="-100000"/>
              </a:gradFill>
            </a:ln>
          </c:spPr>
          <c:explosion val="0"/>
          <c:dPt>
            <c:idx val="0"/>
            <c:bubble3D val="0"/>
            <c:spPr>
              <a:gradFill>
                <a:gsLst>
                  <a:gs pos="0">
                    <a:schemeClr val="accent1">
                      <a:lumMod val="40000"/>
                      <a:lumOff val="60000"/>
                    </a:schemeClr>
                  </a:gs>
                  <a:gs pos="90000">
                    <a:schemeClr val="accent1"/>
                  </a:gs>
                </a:gsLst>
                <a:lin ang="5400000" scaled="0"/>
              </a:gradFill>
              <a:ln>
                <a:gradFill>
                  <a:gsLst>
                    <a:gs pos="4000">
                      <a:srgbClr val="F1C1D7"/>
                    </a:gs>
                    <a:gs pos="100000">
                      <a:srgbClr val="9C6DFE"/>
                    </a:gs>
                  </a:gsLst>
                  <a:path path="circle">
                    <a:fillToRect r="100000" b="100000"/>
                  </a:path>
                  <a:tileRect l="-100000" t="-100000"/>
                </a:gradFill>
              </a:ln>
              <a:effectLst>
                <a:outerShdw blurRad="76200" dist="25400" dir="2700000" algn="tl" rotWithShape="0">
                  <a:schemeClr val="accent1">
                    <a:lumMod val="50000"/>
                    <a:alpha val="30000"/>
                  </a:schemeClr>
                </a:outerShdw>
              </a:effectLst>
            </c:spPr>
          </c:dPt>
          <c:dPt>
            <c:idx val="1"/>
            <c:bubble3D val="0"/>
            <c:spPr>
              <a:gradFill>
                <a:gsLst>
                  <a:gs pos="0">
                    <a:schemeClr val="accent2">
                      <a:lumMod val="40000"/>
                      <a:lumOff val="60000"/>
                    </a:schemeClr>
                  </a:gs>
                  <a:gs pos="90000">
                    <a:schemeClr val="accent2"/>
                  </a:gs>
                </a:gsLst>
                <a:lin ang="5400000" scaled="0"/>
              </a:gradFill>
              <a:ln>
                <a:gradFill>
                  <a:gsLst>
                    <a:gs pos="4000">
                      <a:srgbClr val="F1C1D7"/>
                    </a:gs>
                    <a:gs pos="100000">
                      <a:srgbClr val="9C6DFE"/>
                    </a:gs>
                  </a:gsLst>
                  <a:path path="circle">
                    <a:fillToRect r="100000" b="100000"/>
                  </a:path>
                  <a:tileRect l="-100000" t="-100000"/>
                </a:gradFill>
              </a:ln>
              <a:effectLst>
                <a:outerShdw blurRad="76200" dist="25400" dir="2700000" algn="tl" rotWithShape="0">
                  <a:schemeClr val="accent2">
                    <a:lumMod val="50000"/>
                    <a:alpha val="30000"/>
                  </a:schemeClr>
                </a:outerShdw>
              </a:effectLst>
            </c:spPr>
          </c:dPt>
          <c:dPt>
            <c:idx val="2"/>
            <c:bubble3D val="0"/>
            <c:spPr>
              <a:gradFill>
                <a:gsLst>
                  <a:gs pos="0">
                    <a:schemeClr val="accent3">
                      <a:lumMod val="40000"/>
                      <a:lumOff val="60000"/>
                    </a:schemeClr>
                  </a:gs>
                  <a:gs pos="90000">
                    <a:schemeClr val="accent3"/>
                  </a:gs>
                </a:gsLst>
                <a:lin ang="5400000" scaled="0"/>
              </a:gradFill>
              <a:ln>
                <a:gradFill>
                  <a:gsLst>
                    <a:gs pos="4000">
                      <a:srgbClr val="F1C1D7"/>
                    </a:gs>
                    <a:gs pos="100000">
                      <a:srgbClr val="9C6DFE"/>
                    </a:gs>
                  </a:gsLst>
                  <a:path path="circle">
                    <a:fillToRect r="100000" b="100000"/>
                  </a:path>
                  <a:tileRect l="-100000" t="-100000"/>
                </a:gradFill>
              </a:ln>
              <a:effectLst>
                <a:outerShdw blurRad="76200" dist="25400" dir="2700000" algn="tl" rotWithShape="0">
                  <a:schemeClr val="accent3">
                    <a:lumMod val="50000"/>
                    <a:alpha val="30000"/>
                  </a:schemeClr>
                </a:outerShdw>
              </a:effectLst>
            </c:spPr>
          </c:dPt>
          <c:dPt>
            <c:idx val="3"/>
            <c:bubble3D val="0"/>
            <c:spPr>
              <a:gradFill>
                <a:gsLst>
                  <a:gs pos="0">
                    <a:schemeClr val="accent4">
                      <a:lumMod val="40000"/>
                      <a:lumOff val="60000"/>
                    </a:schemeClr>
                  </a:gs>
                  <a:gs pos="90000">
                    <a:schemeClr val="accent4"/>
                  </a:gs>
                </a:gsLst>
                <a:lin ang="5400000" scaled="0"/>
              </a:gradFill>
              <a:ln>
                <a:gradFill>
                  <a:gsLst>
                    <a:gs pos="4000">
                      <a:srgbClr val="F1C1D7"/>
                    </a:gs>
                    <a:gs pos="100000">
                      <a:srgbClr val="9C6DFE"/>
                    </a:gs>
                  </a:gsLst>
                  <a:path path="circle">
                    <a:fillToRect r="100000" b="100000"/>
                  </a:path>
                  <a:tileRect l="-100000" t="-100000"/>
                </a:gradFill>
              </a:ln>
              <a:effectLst>
                <a:outerShdw blurRad="76200" dist="25400" dir="2700000" algn="tl" rotWithShape="0">
                  <a:schemeClr val="accent4">
                    <a:lumMod val="50000"/>
                    <a:alpha val="30000"/>
                  </a:schemeClr>
                </a:outerShdw>
              </a:effectLst>
            </c:spPr>
          </c:dPt>
          <c:dPt>
            <c:idx val="4"/>
            <c:bubble3D val="0"/>
            <c:spPr>
              <a:gradFill>
                <a:gsLst>
                  <a:gs pos="0">
                    <a:schemeClr val="accent5">
                      <a:lumMod val="40000"/>
                      <a:lumOff val="60000"/>
                    </a:schemeClr>
                  </a:gs>
                  <a:gs pos="90000">
                    <a:schemeClr val="accent5"/>
                  </a:gs>
                </a:gsLst>
                <a:lin ang="5400000" scaled="0"/>
              </a:gradFill>
              <a:ln>
                <a:gradFill>
                  <a:gsLst>
                    <a:gs pos="4000">
                      <a:srgbClr val="F1C1D7"/>
                    </a:gs>
                    <a:gs pos="100000">
                      <a:srgbClr val="9C6DFE"/>
                    </a:gs>
                  </a:gsLst>
                  <a:path path="circle">
                    <a:fillToRect r="100000" b="100000"/>
                  </a:path>
                  <a:tileRect l="-100000" t="-100000"/>
                </a:gradFill>
              </a:ln>
              <a:effectLst>
                <a:outerShdw blurRad="76200" dist="25400" dir="2700000" algn="tl" rotWithShape="0">
                  <a:schemeClr val="accent5">
                    <a:lumMod val="50000"/>
                    <a:alpha val="30000"/>
                  </a:schemeClr>
                </a:outerShdw>
              </a:effectLst>
            </c:spPr>
          </c:dPt>
          <c:dPt>
            <c:idx val="5"/>
            <c:bubble3D val="0"/>
            <c:spPr>
              <a:gradFill>
                <a:gsLst>
                  <a:gs pos="0">
                    <a:srgbClr val="BDD4F6"/>
                  </a:gs>
                  <a:gs pos="100000">
                    <a:srgbClr val="4D8DE5"/>
                  </a:gs>
                </a:gsLst>
                <a:lin ang="5400000" scaled="1"/>
              </a:gradFill>
              <a:ln>
                <a:gradFill>
                  <a:gsLst>
                    <a:gs pos="4000">
                      <a:srgbClr val="F1C1D7"/>
                    </a:gs>
                    <a:gs pos="100000">
                      <a:srgbClr val="9C6DFE"/>
                    </a:gs>
                  </a:gsLst>
                  <a:path path="circle">
                    <a:fillToRect r="100000" b="100000"/>
                  </a:path>
                  <a:tileRect l="-100000" t="-100000"/>
                </a:gradFill>
              </a:ln>
              <a:effectLst>
                <a:outerShdw blurRad="76200" dist="25400" dir="2700000" algn="tl" rotWithShape="0">
                  <a:schemeClr val="accent6">
                    <a:lumMod val="50000"/>
                    <a:alpha val="30000"/>
                  </a:schemeClr>
                </a:outerShdw>
              </a:effectLst>
            </c:spPr>
          </c:dPt>
          <c:dPt>
            <c:idx val="6"/>
            <c:bubble3D val="0"/>
            <c:spPr>
              <a:gradFill>
                <a:gsLst>
                  <a:gs pos="0">
                    <a:schemeClr val="accent1">
                      <a:lumMod val="60000"/>
                      <a:lumMod val="40000"/>
                      <a:lumOff val="60000"/>
                    </a:schemeClr>
                  </a:gs>
                  <a:gs pos="9000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>
                <a:gradFill>
                  <a:gsLst>
                    <a:gs pos="4000">
                      <a:srgbClr val="F1C1D7"/>
                    </a:gs>
                    <a:gs pos="100000">
                      <a:srgbClr val="9C6DFE"/>
                    </a:gs>
                  </a:gsLst>
                  <a:path path="circle">
                    <a:fillToRect r="100000" b="100000"/>
                  </a:path>
                  <a:tileRect l="-100000" t="-100000"/>
                </a:gradFill>
              </a:ln>
              <a:effectLst>
                <a:outerShdw blurRad="76200" dist="25400" dir="2700000" algn="tl" rotWithShape="0">
                  <a:schemeClr val="accent1">
                    <a:lumMod val="60000"/>
                    <a:lumMod val="50000"/>
                    <a:alpha val="30000"/>
                  </a:schemeClr>
                </a:outerShdw>
              </a:effectLst>
            </c:spPr>
          </c:dPt>
          <c:dPt>
            <c:idx val="7"/>
            <c:bubble3D val="0"/>
            <c:spPr>
              <a:gradFill>
                <a:gsLst>
                  <a:gs pos="0">
                    <a:schemeClr val="accent2">
                      <a:lumMod val="60000"/>
                      <a:lumMod val="40000"/>
                      <a:lumOff val="60000"/>
                    </a:schemeClr>
                  </a:gs>
                  <a:gs pos="9000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>
                <a:gradFill>
                  <a:gsLst>
                    <a:gs pos="4000">
                      <a:srgbClr val="F1C1D7"/>
                    </a:gs>
                    <a:gs pos="100000">
                      <a:srgbClr val="9C6DFE"/>
                    </a:gs>
                  </a:gsLst>
                  <a:path path="circle">
                    <a:fillToRect r="100000" b="100000"/>
                  </a:path>
                  <a:tileRect l="-100000" t="-100000"/>
                </a:gradFill>
              </a:ln>
              <a:effectLst>
                <a:outerShdw blurRad="76200" dist="25400" dir="2700000" algn="tl" rotWithShape="0">
                  <a:schemeClr val="accent2">
                    <a:lumMod val="60000"/>
                    <a:lumMod val="50000"/>
                    <a:alpha val="30000"/>
                  </a:schemeClr>
                </a:outerShdw>
              </a:effectLst>
            </c:spPr>
          </c:dPt>
          <c:dPt>
            <c:idx val="8"/>
            <c:bubble3D val="0"/>
            <c:spPr>
              <a:gradFill>
                <a:gsLst>
                  <a:gs pos="0">
                    <a:schemeClr val="accent3">
                      <a:lumMod val="60000"/>
                      <a:lumMod val="40000"/>
                      <a:lumOff val="60000"/>
                    </a:schemeClr>
                  </a:gs>
                  <a:gs pos="9000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>
                <a:gradFill>
                  <a:gsLst>
                    <a:gs pos="4000">
                      <a:srgbClr val="F1C1D7"/>
                    </a:gs>
                    <a:gs pos="100000">
                      <a:srgbClr val="9C6DFE"/>
                    </a:gs>
                  </a:gsLst>
                  <a:path path="circle">
                    <a:fillToRect r="100000" b="100000"/>
                  </a:path>
                  <a:tileRect l="-100000" t="-100000"/>
                </a:gradFill>
              </a:ln>
              <a:effectLst>
                <a:outerShdw blurRad="76200" dist="25400" dir="2700000" algn="tl" rotWithShape="0">
                  <a:schemeClr val="accent3">
                    <a:lumMod val="60000"/>
                    <a:lumMod val="50000"/>
                    <a:alpha val="30000"/>
                  </a:schemeClr>
                </a:outerShdw>
              </a:effectLst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0.00870866299001232"/>
                  <c:y val="0.118098281011322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A2占 2.29%</a:t>
                    </a: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0157693673464431"/>
                  <c:y val="0.331366334850741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</a:p>
                  <a:p>
                    <a:pPr>
                      <a:defRPr lang="zh-CN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0203580430427196"/>
                      <c:h val="0.0519904076738609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0468970714460236"/>
                  <c:y val="0.303856562288479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.</a:t>
                    </a: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0932592257480773"/>
                      <c:h val="0.0269544364508393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0434189114044636"/>
                  <c:y val="0.17852401985582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B2占5.53%</a:t>
                    </a: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0828238418359614"/>
                  <c:y val="-0.243473310347734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C1 占71.21%</a:t>
                    </a: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0637353344379235"/>
                  <c:y val="0.163505791616669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C2占  </a:t>
                    </a:r>
                    <a:r>
                      <a:rPr lang="en-US" altLang="zh-CN"/>
                      <a:t>                                      </a:t>
                    </a:r>
                    <a:r>
                      <a:t>20.23%</a:t>
                    </a:r>
                  </a:p>
                </c:rich>
              </c:tx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/>
                <a:lstStyle/>
                <a:p>
                  <a:pPr>
                    <a:defRPr lang="zh-CN"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delete val="1"/>
            </c:dLbl>
            <c:dLbl>
              <c:idx val="8"/>
              <c:delete val="1"/>
            </c:dLbl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[工作簿2]Sheet1!$A$2:$B$10</c:f>
              <c:multiLvlStrCache>
                <c:ptCount val="9"/>
                <c:lvl>
                  <c:pt idx="0" c:formatCode="0.00_ ">
                    <c:v>53人</c:v>
                  </c:pt>
                  <c:pt idx="1" c:formatCode="0.00_ ">
                    <c:v>467人</c:v>
                  </c:pt>
                  <c:pt idx="2" c:formatCode="0.00_ ">
                    <c:v>32人</c:v>
                  </c:pt>
                  <c:pt idx="3" c:formatCode="0.00_ ">
                    <c:v>27人</c:v>
                  </c:pt>
                  <c:pt idx="4" c:formatCode="0.00_ ">
                    <c:v>1127人</c:v>
                  </c:pt>
                  <c:pt idx="5" c:formatCode="0.00_ ">
                    <c:v>14497人</c:v>
                  </c:pt>
                  <c:pt idx="6" c:formatCode="0.00_ ">
                    <c:v>4120人</c:v>
                  </c:pt>
                  <c:pt idx="7" c:formatCode="0.00_ ">
                    <c:v>2人</c:v>
                  </c:pt>
                  <c:pt idx="8" c:formatCode="0.00_ ">
                    <c:v>32人</c:v>
                  </c:pt>
                </c:lvl>
                <c:lvl>
                  <c:pt idx="0" c:formatCode="0.00_ ">
                    <c:v>A1     </c:v>
                  </c:pt>
                  <c:pt idx="1" c:formatCode="0.00_ ">
                    <c:v>A2 </c:v>
                  </c:pt>
                  <c:pt idx="2" c:formatCode="0.00_ ">
                    <c:v>A3 </c:v>
                  </c:pt>
                  <c:pt idx="3" c:formatCode="0.00_ ">
                    <c:v>B1 </c:v>
                  </c:pt>
                  <c:pt idx="4" c:formatCode="0.00_ ">
                    <c:v>B2 </c:v>
                  </c:pt>
                  <c:pt idx="5" c:formatCode="0.00_ ">
                    <c:v>C1</c:v>
                  </c:pt>
                  <c:pt idx="6" c:formatCode="0.00_ ">
                    <c:v>C2 </c:v>
                  </c:pt>
                  <c:pt idx="7" c:formatCode="0.00_ ">
                    <c:v>C3 </c:v>
                  </c:pt>
                  <c:pt idx="8" c:formatCode="0.00_ ">
                    <c:v>C5 </c:v>
                  </c:pt>
                </c:lvl>
              </c:multiLvlStrCache>
            </c:multiLvlStrRef>
          </c:cat>
          <c:val>
            <c:numRef>
              <c:f>[工作簿2]Sheet1!$C$2:$C$10</c:f>
              <c:numCache>
                <c:formatCode>0.00_ </c:formatCode>
                <c:ptCount val="9"/>
                <c:pt idx="0">
                  <c:v>0.26</c:v>
                </c:pt>
                <c:pt idx="1">
                  <c:v>2.29</c:v>
                </c:pt>
                <c:pt idx="2">
                  <c:v>0.15</c:v>
                </c:pt>
                <c:pt idx="3">
                  <c:v>0.13</c:v>
                </c:pt>
                <c:pt idx="4">
                  <c:v>5.53</c:v>
                </c:pt>
                <c:pt idx="5">
                  <c:v>71.21</c:v>
                </c:pt>
                <c:pt idx="6">
                  <c:v>20.23</c:v>
                </c:pt>
                <c:pt idx="7">
                  <c:v>0</c:v>
                </c:pt>
                <c:pt idx="8">
                  <c:v>0.15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0d36520e-26e8-47fc-baaf-1b099aeeb3e6}"/>
      </c:ext>
    </c:extLst>
  </c:chart>
  <c:spPr>
    <a:solidFill>
      <a:schemeClr val="accent5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  全市近两年道路运输运输从业资格培训人数对比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[工作簿3.xlsx]Sheet1!$B$137</c:f>
              <c:strCache>
                <c:ptCount val="1"/>
                <c:pt idx="0">
                  <c:v>2024年参训人数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[工作簿3.xlsx]Sheet1!$A$138:$A$142</c:f>
              <c:strCache>
                <c:ptCount val="5"/>
                <c:pt idx="1">
                  <c:v>出租汽车驾驶员</c:v>
                </c:pt>
                <c:pt idx="2">
                  <c:v>客运驾驶员</c:v>
                </c:pt>
                <c:pt idx="3">
                  <c:v>危货运输从业人员</c:v>
                </c:pt>
                <c:pt idx="4">
                  <c:v>合计</c:v>
                </c:pt>
              </c:strCache>
            </c:strRef>
          </c:cat>
          <c:val>
            <c:numRef>
              <c:f>[工作簿3.xlsx]Sheet1!$B$138:$B$142</c:f>
              <c:numCache>
                <c:formatCode>General</c:formatCode>
                <c:ptCount val="5"/>
                <c:pt idx="1">
                  <c:v>1515</c:v>
                </c:pt>
                <c:pt idx="2">
                  <c:v>292</c:v>
                </c:pt>
                <c:pt idx="3">
                  <c:v>599</c:v>
                </c:pt>
                <c:pt idx="4">
                  <c:v>2406</c:v>
                </c:pt>
              </c:numCache>
            </c:numRef>
          </c:val>
        </c:ser>
        <c:ser>
          <c:idx val="1"/>
          <c:order val="1"/>
          <c:tx>
            <c:strRef>
              <c:f>[工作簿3.xlsx]Sheet1!$C$137</c:f>
              <c:strCache>
                <c:ptCount val="1"/>
                <c:pt idx="0">
                  <c:v>2025年参训人数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[工作簿3.xlsx]Sheet1!$A$138:$A$142</c:f>
              <c:strCache>
                <c:ptCount val="5"/>
                <c:pt idx="1">
                  <c:v>出租汽车驾驶员</c:v>
                </c:pt>
                <c:pt idx="2">
                  <c:v>客运驾驶员</c:v>
                </c:pt>
                <c:pt idx="3">
                  <c:v>危货运输从业人员</c:v>
                </c:pt>
                <c:pt idx="4">
                  <c:v>合计</c:v>
                </c:pt>
              </c:strCache>
            </c:strRef>
          </c:cat>
          <c:val>
            <c:numRef>
              <c:f>[工作簿3.xlsx]Sheet1!$C$138:$C$142</c:f>
              <c:numCache>
                <c:formatCode>General</c:formatCode>
                <c:ptCount val="5"/>
                <c:pt idx="1">
                  <c:v>782</c:v>
                </c:pt>
                <c:pt idx="2">
                  <c:v>204</c:v>
                </c:pt>
                <c:pt idx="3">
                  <c:v>686</c:v>
                </c:pt>
                <c:pt idx="4">
                  <c:v>1672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40"/>
        <c:overlap val="-40"/>
        <c:axId val="157760945"/>
        <c:axId val="653872645"/>
      </c:barChart>
      <c:catAx>
        <c:axId val="157760945"/>
        <c:scaling>
          <c:orientation val="minMax"/>
        </c:scaling>
        <c:delete val="0"/>
        <c:axPos val="l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53872645"/>
        <c:crosses val="autoZero"/>
        <c:auto val="1"/>
        <c:lblAlgn val="ctr"/>
        <c:lblOffset val="100"/>
        <c:noMultiLvlLbl val="0"/>
      </c:catAx>
      <c:valAx>
        <c:axId val="65387264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5776094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21aecf0-ab75-4e75-b04e-b2541d8a0b68}"/>
      </c:ext>
    </c:extLst>
  </c:chart>
  <c:spPr>
    <a:gradFill>
      <a:gsLst>
        <a:gs pos="0">
          <a:schemeClr val="bg1"/>
        </a:gs>
        <a:gs pos="84000">
          <a:srgbClr val="6ACCF2"/>
        </a:gs>
        <a:gs pos="100000">
          <a:srgbClr val="2497EA"/>
        </a:gs>
      </a:gsLst>
      <a:lin ang="81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[工作簿3.xlsx]Sheet1!$B$125:$B$126</c:f>
              <c:strCache>
                <c:ptCount val="1"/>
                <c:pt idx="0">
                  <c:v>招生年度 2023年</c:v>
                </c:pt>
              </c:strCache>
            </c:strRef>
          </c:tx>
          <c:invertIfNegative val="0"/>
          <c:dLbls>
            <c:delete val="1"/>
          </c:dLbls>
          <c:cat>
            <c:strRef>
              <c:f>[工作簿3.xlsx]Sheet1!$A$127:$A$134</c:f>
              <c:strCache>
                <c:ptCount val="8"/>
                <c:pt idx="0">
                  <c:v>苍溪县</c:v>
                </c:pt>
                <c:pt idx="1">
                  <c:v>旺苍县</c:v>
                </c:pt>
                <c:pt idx="2">
                  <c:v>剑阁县</c:v>
                </c:pt>
                <c:pt idx="3">
                  <c:v>青川县</c:v>
                </c:pt>
                <c:pt idx="4">
                  <c:v>利州区</c:v>
                </c:pt>
                <c:pt idx="5">
                  <c:v>昭化区</c:v>
                </c:pt>
                <c:pt idx="6">
                  <c:v>朝天区</c:v>
                </c:pt>
                <c:pt idx="7">
                  <c:v>全市合计</c:v>
                </c:pt>
              </c:strCache>
            </c:strRef>
          </c:cat>
          <c:val>
            <c:numRef>
              <c:f>[工作簿3.xlsx]Sheet1!$B$127:$B$134</c:f>
              <c:numCache>
                <c:formatCode>General</c:formatCode>
                <c:ptCount val="8"/>
                <c:pt idx="0">
                  <c:v>3429</c:v>
                </c:pt>
                <c:pt idx="1">
                  <c:v>2348</c:v>
                </c:pt>
                <c:pt idx="2">
                  <c:v>2289</c:v>
                </c:pt>
                <c:pt idx="3">
                  <c:v>1438</c:v>
                </c:pt>
                <c:pt idx="4">
                  <c:v>11968</c:v>
                </c:pt>
                <c:pt idx="5">
                  <c:v>1241</c:v>
                </c:pt>
                <c:pt idx="6">
                  <c:v>889</c:v>
                </c:pt>
                <c:pt idx="7">
                  <c:v>23602</c:v>
                </c:pt>
              </c:numCache>
            </c:numRef>
          </c:val>
        </c:ser>
        <c:ser>
          <c:idx val="1"/>
          <c:order val="1"/>
          <c:tx>
            <c:strRef>
              <c:f>[工作簿3.xlsx]Sheet1!$C$125:$C$126</c:f>
              <c:strCache>
                <c:ptCount val="1"/>
                <c:pt idx="0">
                  <c:v>招生年度 2024年</c:v>
                </c:pt>
              </c:strCache>
            </c:strRef>
          </c:tx>
          <c:invertIfNegative val="0"/>
          <c:dLbls>
            <c:delete val="1"/>
          </c:dLbls>
          <c:cat>
            <c:strRef>
              <c:f>[工作簿3.xlsx]Sheet1!$A$127:$A$134</c:f>
              <c:strCache>
                <c:ptCount val="8"/>
                <c:pt idx="0">
                  <c:v>苍溪县</c:v>
                </c:pt>
                <c:pt idx="1">
                  <c:v>旺苍县</c:v>
                </c:pt>
                <c:pt idx="2">
                  <c:v>剑阁县</c:v>
                </c:pt>
                <c:pt idx="3">
                  <c:v>青川县</c:v>
                </c:pt>
                <c:pt idx="4">
                  <c:v>利州区</c:v>
                </c:pt>
                <c:pt idx="5">
                  <c:v>昭化区</c:v>
                </c:pt>
                <c:pt idx="6">
                  <c:v>朝天区</c:v>
                </c:pt>
                <c:pt idx="7">
                  <c:v>全市合计</c:v>
                </c:pt>
              </c:strCache>
            </c:strRef>
          </c:cat>
          <c:val>
            <c:numRef>
              <c:f>[工作簿3.xlsx]Sheet1!$C$127:$C$134</c:f>
              <c:numCache>
                <c:formatCode>General</c:formatCode>
                <c:ptCount val="8"/>
                <c:pt idx="0">
                  <c:v>3092</c:v>
                </c:pt>
                <c:pt idx="1">
                  <c:v>2001</c:v>
                </c:pt>
                <c:pt idx="2">
                  <c:v>2880</c:v>
                </c:pt>
                <c:pt idx="3">
                  <c:v>1235</c:v>
                </c:pt>
                <c:pt idx="4">
                  <c:v>10959</c:v>
                </c:pt>
                <c:pt idx="5">
                  <c:v>1105</c:v>
                </c:pt>
                <c:pt idx="6">
                  <c:v>752</c:v>
                </c:pt>
                <c:pt idx="7">
                  <c:v>22024</c:v>
                </c:pt>
              </c:numCache>
            </c:numRef>
          </c:val>
        </c:ser>
        <c:ser>
          <c:idx val="2"/>
          <c:order val="2"/>
          <c:tx>
            <c:strRef>
              <c:f>[工作簿3.xlsx]Sheet1!$D$125:$D$126</c:f>
              <c:strCache>
                <c:ptCount val="1"/>
                <c:pt idx="0">
                  <c:v>招生年度 2025年</c:v>
                </c:pt>
              </c:strCache>
            </c:strRef>
          </c:tx>
          <c:invertIfNegative val="0"/>
          <c:dLbls>
            <c:delete val="1"/>
          </c:dLbls>
          <c:cat>
            <c:strRef>
              <c:f>[工作簿3.xlsx]Sheet1!$A$127:$A$134</c:f>
              <c:strCache>
                <c:ptCount val="8"/>
                <c:pt idx="0">
                  <c:v>苍溪县</c:v>
                </c:pt>
                <c:pt idx="1">
                  <c:v>旺苍县</c:v>
                </c:pt>
                <c:pt idx="2">
                  <c:v>剑阁县</c:v>
                </c:pt>
                <c:pt idx="3">
                  <c:v>青川县</c:v>
                </c:pt>
                <c:pt idx="4">
                  <c:v>利州区</c:v>
                </c:pt>
                <c:pt idx="5">
                  <c:v>昭化区</c:v>
                </c:pt>
                <c:pt idx="6">
                  <c:v>朝天区</c:v>
                </c:pt>
                <c:pt idx="7">
                  <c:v>全市合计</c:v>
                </c:pt>
              </c:strCache>
            </c:strRef>
          </c:cat>
          <c:val>
            <c:numRef>
              <c:f>[工作簿3.xlsx]Sheet1!$D$127:$D$134</c:f>
              <c:numCache>
                <c:formatCode>General</c:formatCode>
                <c:ptCount val="8"/>
                <c:pt idx="0">
                  <c:v>2721</c:v>
                </c:pt>
                <c:pt idx="1">
                  <c:v>1988</c:v>
                </c:pt>
                <c:pt idx="2">
                  <c:v>2197</c:v>
                </c:pt>
                <c:pt idx="3">
                  <c:v>1035</c:v>
                </c:pt>
                <c:pt idx="4">
                  <c:v>10498</c:v>
                </c:pt>
                <c:pt idx="5">
                  <c:v>1247</c:v>
                </c:pt>
                <c:pt idx="6">
                  <c:v>671</c:v>
                </c:pt>
                <c:pt idx="7">
                  <c:v>20357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6347239"/>
        <c:axId val="695697448"/>
      </c:barChart>
      <c:catAx>
        <c:axId val="976347239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695697448"/>
        <c:crosses val="autoZero"/>
        <c:auto val="1"/>
        <c:lblAlgn val="ctr"/>
        <c:lblOffset val="100"/>
        <c:noMultiLvlLbl val="0"/>
      </c:catAx>
      <c:valAx>
        <c:axId val="6956974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976347239"/>
        <c:crosses val="autoZero"/>
        <c:crossBetween val="between"/>
      </c:valAx>
      <c:spPr>
        <a:gradFill>
          <a:gsLst>
            <a:gs pos="99000">
              <a:srgbClr val="BDD4F6"/>
            </a:gs>
            <a:gs pos="100000">
              <a:srgbClr val="4D8DE5"/>
            </a:gs>
          </a:gsLst>
          <a:lin ang="5400000" scaled="1"/>
        </a:gradFill>
      </c:spPr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00d0f382-15f4-4786-8ce7-73af8c51cfee}"/>
      </c:ext>
    </c:extLst>
  </c:chart>
  <c:spPr>
    <a:gradFill>
      <a:gsLst>
        <a:gs pos="90000">
          <a:srgbClr val="BDD4F6"/>
        </a:gs>
        <a:gs pos="100000">
          <a:srgbClr val="4D8DE5"/>
        </a:gs>
      </a:gsLst>
      <a:lin ang="5400000" scaled="1"/>
    </a:gradFill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8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gradFill>
        <a:gsLst>
          <a:gs pos="0">
            <a:schemeClr val="phClr">
              <a:lumMod val="40000"/>
              <a:lumOff val="60000"/>
            </a:schemeClr>
          </a:gs>
          <a:gs pos="90000">
            <a:schemeClr val="phClr"/>
          </a:gs>
        </a:gsLst>
        <a:lin ang="5400000" scaled="0"/>
      </a:gradFill>
      <a:ln>
        <a:gradFill>
          <a:gsLst>
            <a:gs pos="0">
              <a:schemeClr val="phClr"/>
            </a:gs>
            <a:gs pos="100000">
              <a:schemeClr val="phClr">
                <a:lumMod val="75000"/>
              </a:schemeClr>
            </a:gs>
          </a:gsLst>
          <a:lin ang="5400000" scaled="1"/>
        </a:gradFill>
      </a:ln>
      <a:effectLst>
        <a:outerShdw blurRad="76200" dist="25400" dir="2700000" algn="tl" rotWithShape="0">
          <a:schemeClr val="phClr">
            <a:lumMod val="50000"/>
            <a:alpha val="30000"/>
          </a:schemeClr>
        </a:outerShdw>
      </a:effectLst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12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100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solidFill>
          <a:schemeClr val="bg1"/>
        </a:solidFill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自定义 81">
    <a:dk1>
      <a:srgbClr val="000000"/>
    </a:dk1>
    <a:lt1>
      <a:srgbClr val="FFFFFF"/>
    </a:lt1>
    <a:dk2>
      <a:srgbClr val="44546A"/>
    </a:dk2>
    <a:lt2>
      <a:srgbClr val="E7E6E6"/>
    </a:lt2>
    <a:accent1>
      <a:srgbClr val="8DCAF5"/>
    </a:accent1>
    <a:accent2>
      <a:srgbClr val="53A6D7"/>
    </a:accent2>
    <a:accent3>
      <a:srgbClr val="307FB5"/>
    </a:accent3>
    <a:accent4>
      <a:srgbClr val="8CB0FB"/>
    </a:accent4>
    <a:accent5>
      <a:srgbClr val="8DCAF5"/>
    </a:accent5>
    <a:accent6>
      <a:srgbClr val="2180F7"/>
    </a:accent6>
    <a:hlink>
      <a:srgbClr val="0026E5"/>
    </a:hlink>
    <a:folHlink>
      <a:srgbClr val="7E1FAD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1805</Words>
  <Characters>2212</Characters>
  <Lines>0</Lines>
  <Paragraphs>0</Paragraphs>
  <TotalTime>29</TotalTime>
  <ScaleCrop>false</ScaleCrop>
  <LinksUpToDate>false</LinksUpToDate>
  <CharactersWithSpaces>2295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2025-12-09T01:53:00Z</dcterms:created>
  <dc:creator>zhl</dc:creator>
  <cp:lastModifiedBy>諾誠</cp:lastModifiedBy>
  <cp:lastPrinted>2026-02-02T06:51:00Z</cp:lastPrinted>
  <dcterms:modified xsi:type="dcterms:W3CDTF">2026-02-02T07:08:10Z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EA088BABB4C74B4598DCF6F9AA187DEC_13</vt:lpwstr>
  </property>
  <property fmtid="{D5CDD505-2E9C-101B-9397-08002B2CF9AE}" pid="4" name="KSOTemplateDocerSaveRecord">
    <vt:lpwstr>eyJoZGlkIjoiYTRhMzliOTY5ZTJhNTI0MDYxNjM1NmM0MjQ1MTI0M2UiLCJ1c2VySWQiOiIxMTQ5Njk2NzE4In0=</vt:lpwstr>
  </property>
</Properties>
</file>